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eastAsia" w:ascii="宋体" w:hAnsi="宋体" w:cs="宋体"/>
          <w:b/>
          <w:bCs/>
          <w:color w:val="000000"/>
          <w:kern w:val="0"/>
          <w:sz w:val="48"/>
          <w:szCs w:val="48"/>
          <w:highlight w:val="none"/>
          <w:lang w:val="en-US" w:eastAsia="zh-CN" w:bidi="ar"/>
        </w:rPr>
      </w:pPr>
      <w:r>
        <w:rPr>
          <w:rFonts w:hint="eastAsia" w:ascii="宋体" w:hAnsi="宋体" w:cs="宋体"/>
          <w:b/>
          <w:bCs/>
          <w:color w:val="000000"/>
          <w:kern w:val="0"/>
          <w:sz w:val="48"/>
          <w:szCs w:val="48"/>
          <w:highlight w:val="none"/>
          <w:lang w:val="en-US" w:eastAsia="zh-CN" w:bidi="ar"/>
        </w:rPr>
        <w:t>重庆成渝垫丰武高速公路有限公司</w:t>
      </w:r>
    </w:p>
    <w:p>
      <w:pPr>
        <w:widowControl/>
        <w:jc w:val="center"/>
        <w:rPr>
          <w:rFonts w:hint="default" w:ascii="宋体" w:hAnsi="宋体" w:eastAsia="宋体"/>
          <w:b/>
          <w:bCs/>
          <w:color w:val="auto"/>
          <w:sz w:val="32"/>
          <w:szCs w:val="32"/>
          <w:highlight w:val="none"/>
          <w:lang w:val="en-US" w:eastAsia="zh-CN"/>
        </w:rPr>
      </w:pPr>
      <w:r>
        <w:rPr>
          <w:rFonts w:hint="eastAsia" w:ascii="宋体" w:hAnsi="宋体" w:cs="宋体"/>
          <w:b/>
          <w:bCs/>
          <w:color w:val="000000"/>
          <w:kern w:val="0"/>
          <w:sz w:val="48"/>
          <w:szCs w:val="48"/>
          <w:highlight w:val="none"/>
          <w:lang w:val="en-US" w:eastAsia="zh-CN" w:bidi="ar"/>
        </w:rPr>
        <w:t>造价</w:t>
      </w:r>
      <w:r>
        <w:rPr>
          <w:rFonts w:hint="eastAsia"/>
          <w:b/>
          <w:bCs/>
          <w:color w:val="auto"/>
          <w:sz w:val="48"/>
          <w:szCs w:val="48"/>
          <w:highlight w:val="none"/>
          <w:lang w:val="en-US" w:eastAsia="zh-CN"/>
        </w:rPr>
        <w:t>咨询服务</w:t>
      </w: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b/>
          <w:bCs/>
          <w:color w:val="auto"/>
          <w:sz w:val="84"/>
          <w:szCs w:val="84"/>
          <w:highlight w:val="none"/>
        </w:rPr>
        <w:t>竞争性</w:t>
      </w:r>
      <w:r>
        <w:rPr>
          <w:rFonts w:hint="eastAsia"/>
          <w:b/>
          <w:bCs/>
          <w:color w:val="auto"/>
          <w:sz w:val="84"/>
          <w:szCs w:val="84"/>
          <w:highlight w:val="none"/>
          <w:lang w:val="en-US" w:eastAsia="zh-CN"/>
        </w:rPr>
        <w:t>比选</w:t>
      </w:r>
      <w:r>
        <w:rPr>
          <w:rFonts w:hint="eastAsia"/>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lang w:val="en-US" w:eastAsia="zh-CN"/>
        </w:rPr>
        <w:t>重庆成渝垫丰武</w:t>
      </w:r>
      <w:r>
        <w:rPr>
          <w:rFonts w:hint="eastAsia"/>
          <w:b/>
          <w:bCs/>
          <w:color w:val="auto"/>
          <w:sz w:val="32"/>
          <w:szCs w:val="32"/>
          <w:highlight w:val="none"/>
        </w:rPr>
        <w:t>高速公路有限公司</w:t>
      </w: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二0</w:t>
      </w:r>
      <w:r>
        <w:rPr>
          <w:rFonts w:hint="eastAsia"/>
          <w:b/>
          <w:bCs/>
          <w:color w:val="auto"/>
          <w:sz w:val="32"/>
          <w:szCs w:val="32"/>
          <w:highlight w:val="none"/>
          <w:lang w:val="en-US" w:eastAsia="zh-CN"/>
        </w:rPr>
        <w:t>二三</w:t>
      </w:r>
      <w:r>
        <w:rPr>
          <w:rFonts w:hint="eastAsia"/>
          <w:b/>
          <w:bCs/>
          <w:color w:val="auto"/>
          <w:sz w:val="32"/>
          <w:szCs w:val="32"/>
          <w:highlight w:val="none"/>
        </w:rPr>
        <w:t>年</w:t>
      </w:r>
      <w:r>
        <w:rPr>
          <w:rFonts w:hint="eastAsia"/>
          <w:b/>
          <w:bCs/>
          <w:color w:val="auto"/>
          <w:sz w:val="32"/>
          <w:szCs w:val="32"/>
          <w:highlight w:val="none"/>
          <w:lang w:val="en-US" w:eastAsia="zh-CN"/>
        </w:rPr>
        <w:t>八</w:t>
      </w:r>
      <w:r>
        <w:rPr>
          <w:rFonts w:hint="eastAsia"/>
          <w:b/>
          <w:bCs/>
          <w:color w:val="auto"/>
          <w:sz w:val="32"/>
          <w:szCs w:val="32"/>
          <w:highlight w:val="none"/>
        </w:rPr>
        <w:t>月</w:t>
      </w:r>
    </w:p>
    <w:p>
      <w:pPr>
        <w:jc w:val="center"/>
        <w:rPr>
          <w:sz w:val="32"/>
          <w:szCs w:val="32"/>
          <w:highlight w:val="none"/>
        </w:rPr>
      </w:pPr>
    </w:p>
    <w:p>
      <w:pPr>
        <w:pStyle w:val="2"/>
      </w:pPr>
    </w:p>
    <w:p>
      <w:pPr>
        <w:jc w:val="center"/>
        <w:rPr>
          <w:b/>
          <w:bCs/>
          <w:sz w:val="44"/>
          <w:szCs w:val="44"/>
          <w:highlight w:val="none"/>
        </w:rPr>
      </w:pPr>
      <w:bookmarkStart w:id="0" w:name="_Hlk34248960"/>
      <w:r>
        <w:rPr>
          <w:rFonts w:hint="eastAsia"/>
          <w:b/>
          <w:bCs/>
          <w:sz w:val="44"/>
          <w:szCs w:val="44"/>
          <w:highlight w:val="none"/>
        </w:rPr>
        <w:t xml:space="preserve">目 </w:t>
      </w:r>
      <w:r>
        <w:rPr>
          <w:b/>
          <w:bCs/>
          <w:sz w:val="44"/>
          <w:szCs w:val="44"/>
          <w:highlight w:val="none"/>
        </w:rPr>
        <w:t xml:space="preserve"> </w:t>
      </w:r>
      <w:r>
        <w:rPr>
          <w:rFonts w:hint="eastAsia"/>
          <w:b/>
          <w:bCs/>
          <w:sz w:val="44"/>
          <w:szCs w:val="44"/>
          <w:highlight w:val="none"/>
        </w:rPr>
        <w:t>录</w:t>
      </w:r>
    </w:p>
    <w:p>
      <w:pPr>
        <w:spacing w:line="360" w:lineRule="auto"/>
        <w:rPr>
          <w:b/>
          <w:bCs/>
          <w:sz w:val="24"/>
          <w:highlight w:val="none"/>
        </w:rPr>
      </w:pPr>
    </w:p>
    <w:p>
      <w:pPr>
        <w:spacing w:line="360" w:lineRule="auto"/>
        <w:rPr>
          <w:b/>
          <w:bCs/>
          <w:sz w:val="28"/>
          <w:szCs w:val="28"/>
          <w:highlight w:val="none"/>
        </w:rPr>
      </w:pPr>
      <w:r>
        <w:rPr>
          <w:rFonts w:hint="eastAsia"/>
          <w:b/>
          <w:bCs/>
          <w:sz w:val="28"/>
          <w:szCs w:val="28"/>
          <w:highlight w:val="none"/>
        </w:rPr>
        <w:t>一、竞争性比选函</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1、项目概况</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2、竞争性比选相关事项</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3、报价人资质要求</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4、投标限价及报价</w:t>
      </w:r>
    </w:p>
    <w:p>
      <w:pPr>
        <w:pStyle w:val="2"/>
        <w:rPr>
          <w:rFonts w:hint="eastAsia"/>
          <w:lang w:val="en-US" w:eastAsia="zh-CN"/>
        </w:rPr>
      </w:pPr>
      <w:r>
        <w:rPr>
          <w:rFonts w:hint="eastAsia"/>
          <w:lang w:val="en-US" w:eastAsia="zh-CN"/>
        </w:rPr>
        <w:t>5、编制审核费用</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6、评审办法</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7、报价文件要求</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8、竞争性比选文件的发送</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9、现场开标</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10、重新招标</w:t>
      </w:r>
    </w:p>
    <w:p>
      <w:pPr>
        <w:numPr>
          <w:ilvl w:val="0"/>
          <w:numId w:val="0"/>
        </w:numPr>
        <w:spacing w:line="360" w:lineRule="auto"/>
        <w:ind w:leftChars="0"/>
        <w:rPr>
          <w:rFonts w:hint="eastAsia"/>
          <w:sz w:val="24"/>
          <w:highlight w:val="none"/>
          <w:lang w:val="en-US" w:eastAsia="zh-CN"/>
        </w:rPr>
      </w:pPr>
      <w:r>
        <w:rPr>
          <w:rFonts w:hint="eastAsia"/>
          <w:sz w:val="24"/>
          <w:highlight w:val="none"/>
          <w:lang w:val="en-US" w:eastAsia="zh-CN"/>
        </w:rPr>
        <w:t>11、不再招标</w:t>
      </w:r>
    </w:p>
    <w:p>
      <w:pPr>
        <w:pStyle w:val="2"/>
        <w:rPr>
          <w:rFonts w:hint="eastAsia" w:ascii="Calibri" w:cs="Times New Roman"/>
          <w:b/>
          <w:bCs/>
          <w:color w:val="auto"/>
          <w:kern w:val="2"/>
          <w:sz w:val="28"/>
          <w:szCs w:val="28"/>
          <w:highlight w:val="none"/>
        </w:rPr>
      </w:pPr>
      <w:r>
        <w:rPr>
          <w:rFonts w:hint="eastAsia"/>
          <w:sz w:val="24"/>
          <w:highlight w:val="none"/>
          <w:lang w:val="en-US" w:eastAsia="zh-CN"/>
        </w:rPr>
        <w:t>12、联系方式</w:t>
      </w:r>
    </w:p>
    <w:p>
      <w:pPr>
        <w:pStyle w:val="2"/>
        <w:rPr>
          <w:rFonts w:hint="eastAsia"/>
          <w:b/>
          <w:bCs/>
          <w:sz w:val="28"/>
          <w:szCs w:val="28"/>
          <w:highlight w:val="none"/>
        </w:rPr>
      </w:pPr>
      <w:r>
        <w:rPr>
          <w:rFonts w:hint="eastAsia" w:ascii="Calibri" w:cs="Times New Roman"/>
          <w:b/>
          <w:bCs/>
          <w:color w:val="auto"/>
          <w:kern w:val="2"/>
          <w:sz w:val="28"/>
          <w:szCs w:val="28"/>
          <w:highlight w:val="none"/>
        </w:rPr>
        <w:t>二、合同条款及格式</w:t>
      </w:r>
    </w:p>
    <w:p>
      <w:pPr>
        <w:spacing w:line="360" w:lineRule="auto"/>
        <w:rPr>
          <w:b/>
          <w:bCs/>
          <w:sz w:val="28"/>
          <w:szCs w:val="28"/>
          <w:highlight w:val="none"/>
        </w:rPr>
      </w:pPr>
      <w:r>
        <w:rPr>
          <w:rFonts w:hint="eastAsia"/>
          <w:b/>
          <w:bCs/>
          <w:sz w:val="28"/>
          <w:szCs w:val="28"/>
          <w:highlight w:val="none"/>
          <w:lang w:val="en-US" w:eastAsia="zh-CN"/>
        </w:rPr>
        <w:t>三</w:t>
      </w:r>
      <w:r>
        <w:rPr>
          <w:rFonts w:hint="eastAsia"/>
          <w:b/>
          <w:bCs/>
          <w:sz w:val="28"/>
          <w:szCs w:val="28"/>
          <w:highlight w:val="none"/>
        </w:rPr>
        <w:t>、</w:t>
      </w:r>
      <w:r>
        <w:rPr>
          <w:rFonts w:hint="eastAsia" w:ascii="Calibri" w:cs="Times New Roman"/>
          <w:b/>
          <w:bCs/>
          <w:color w:val="auto"/>
          <w:kern w:val="2"/>
          <w:sz w:val="28"/>
          <w:szCs w:val="28"/>
          <w:highlight w:val="none"/>
          <w:lang w:val="en-US" w:eastAsia="zh-CN" w:bidi="ar-SA"/>
        </w:rPr>
        <w:t>投标</w:t>
      </w:r>
      <w:r>
        <w:rPr>
          <w:rFonts w:hint="eastAsia" w:ascii="Calibri" w:hAnsi="Times New Roman" w:eastAsia="宋体" w:cs="Times New Roman"/>
          <w:b/>
          <w:bCs/>
          <w:color w:val="auto"/>
          <w:kern w:val="2"/>
          <w:sz w:val="28"/>
          <w:szCs w:val="28"/>
          <w:highlight w:val="none"/>
          <w:lang w:val="en-US" w:eastAsia="zh-CN" w:bidi="ar-SA"/>
        </w:rPr>
        <w:t>文件格式</w:t>
      </w:r>
    </w:p>
    <w:p>
      <w:pPr>
        <w:spacing w:line="520" w:lineRule="exact"/>
        <w:jc w:val="left"/>
        <w:rPr>
          <w:rFonts w:ascii="宋体" w:hAnsi="宋体"/>
          <w:sz w:val="24"/>
          <w:highlight w:val="none"/>
        </w:rPr>
      </w:pPr>
      <w:r>
        <w:rPr>
          <w:rFonts w:hint="eastAsia" w:ascii="宋体" w:hAnsi="宋体"/>
          <w:sz w:val="24"/>
          <w:highlight w:val="none"/>
        </w:rPr>
        <w:t>一、商务部分</w:t>
      </w:r>
    </w:p>
    <w:p>
      <w:pPr>
        <w:spacing w:line="520" w:lineRule="exact"/>
        <w:jc w:val="left"/>
        <w:rPr>
          <w:rFonts w:ascii="宋体" w:hAnsi="宋体"/>
          <w:sz w:val="24"/>
          <w:highlight w:val="none"/>
        </w:rPr>
      </w:pPr>
      <w:r>
        <w:rPr>
          <w:rFonts w:hint="eastAsia" w:ascii="宋体" w:hAnsi="宋体"/>
          <w:sz w:val="24"/>
          <w:highlight w:val="none"/>
        </w:rPr>
        <w:t>（一）投标函</w:t>
      </w:r>
    </w:p>
    <w:p>
      <w:pPr>
        <w:spacing w:line="520" w:lineRule="exact"/>
        <w:jc w:val="left"/>
        <w:rPr>
          <w:rFonts w:ascii="宋体" w:hAnsi="宋体"/>
          <w:sz w:val="24"/>
          <w:highlight w:val="none"/>
        </w:rPr>
      </w:pPr>
      <w:r>
        <w:rPr>
          <w:rFonts w:hint="eastAsia" w:ascii="宋体" w:hAnsi="宋体"/>
          <w:sz w:val="24"/>
          <w:highlight w:val="none"/>
        </w:rPr>
        <w:t>（二）法定代表人身份证明</w:t>
      </w:r>
    </w:p>
    <w:p>
      <w:pPr>
        <w:spacing w:line="520" w:lineRule="exact"/>
        <w:jc w:val="left"/>
        <w:rPr>
          <w:rFonts w:ascii="宋体" w:hAnsi="宋体"/>
          <w:sz w:val="24"/>
          <w:highlight w:val="none"/>
        </w:rPr>
      </w:pPr>
      <w:r>
        <w:rPr>
          <w:rFonts w:hint="eastAsia" w:ascii="宋体" w:hAnsi="宋体"/>
          <w:sz w:val="24"/>
          <w:highlight w:val="none"/>
        </w:rPr>
        <w:t>（三）授权委托书</w:t>
      </w:r>
    </w:p>
    <w:p>
      <w:pPr>
        <w:spacing w:line="520" w:lineRule="exact"/>
        <w:jc w:val="left"/>
        <w:rPr>
          <w:rFonts w:ascii="宋体" w:hAnsi="宋体"/>
          <w:sz w:val="24"/>
          <w:highlight w:val="none"/>
        </w:rPr>
      </w:pPr>
      <w:r>
        <w:rPr>
          <w:rFonts w:hint="eastAsia" w:ascii="宋体" w:hAnsi="宋体"/>
          <w:sz w:val="24"/>
          <w:highlight w:val="none"/>
        </w:rPr>
        <w:t>（四）资格审查资料</w:t>
      </w:r>
    </w:p>
    <w:p>
      <w:pPr>
        <w:spacing w:line="520" w:lineRule="exact"/>
        <w:jc w:val="left"/>
        <w:rPr>
          <w:rFonts w:ascii="宋体" w:hAnsi="宋体"/>
          <w:sz w:val="24"/>
          <w:highlight w:val="none"/>
        </w:rPr>
      </w:pPr>
      <w:r>
        <w:rPr>
          <w:rFonts w:hint="eastAsia" w:ascii="宋体" w:hAnsi="宋体"/>
          <w:sz w:val="24"/>
          <w:highlight w:val="none"/>
        </w:rPr>
        <w:t>（五）类似业绩汇总表</w:t>
      </w:r>
    </w:p>
    <w:p>
      <w:pPr>
        <w:spacing w:line="520" w:lineRule="exact"/>
        <w:jc w:val="left"/>
        <w:rPr>
          <w:rFonts w:ascii="宋体" w:hAnsi="宋体"/>
          <w:sz w:val="24"/>
          <w:highlight w:val="none"/>
        </w:rPr>
      </w:pPr>
      <w:r>
        <w:rPr>
          <w:rFonts w:hint="eastAsia" w:ascii="宋体" w:hAnsi="宋体"/>
          <w:sz w:val="24"/>
          <w:highlight w:val="none"/>
        </w:rPr>
        <w:t>（六）拟委任人员情况表</w:t>
      </w:r>
    </w:p>
    <w:p>
      <w:pPr>
        <w:spacing w:line="520" w:lineRule="exact"/>
        <w:jc w:val="left"/>
        <w:rPr>
          <w:rFonts w:ascii="宋体" w:hAnsi="宋体"/>
          <w:sz w:val="24"/>
          <w:highlight w:val="none"/>
        </w:rPr>
      </w:pPr>
      <w:r>
        <w:rPr>
          <w:rFonts w:hint="eastAsia" w:ascii="宋体" w:hAnsi="宋体"/>
          <w:sz w:val="24"/>
          <w:highlight w:val="none"/>
        </w:rPr>
        <w:t>A、拟委任的主要人员汇总表</w:t>
      </w:r>
    </w:p>
    <w:p>
      <w:pPr>
        <w:spacing w:line="520" w:lineRule="exact"/>
        <w:jc w:val="left"/>
        <w:rPr>
          <w:rFonts w:ascii="宋体" w:hAnsi="宋体"/>
          <w:sz w:val="24"/>
          <w:highlight w:val="none"/>
        </w:rPr>
      </w:pPr>
      <w:r>
        <w:rPr>
          <w:rFonts w:hint="eastAsia" w:ascii="宋体" w:hAnsi="宋体"/>
          <w:sz w:val="24"/>
          <w:highlight w:val="none"/>
        </w:rPr>
        <w:t>B、项目负责人资历表</w:t>
      </w:r>
    </w:p>
    <w:p>
      <w:pPr>
        <w:spacing w:line="520" w:lineRule="exact"/>
        <w:jc w:val="left"/>
        <w:rPr>
          <w:rFonts w:ascii="宋体" w:hAnsi="宋体"/>
          <w:sz w:val="24"/>
          <w:highlight w:val="none"/>
        </w:rPr>
      </w:pPr>
      <w:r>
        <w:rPr>
          <w:rFonts w:hint="eastAsia" w:ascii="宋体" w:hAnsi="宋体"/>
          <w:sz w:val="24"/>
          <w:highlight w:val="none"/>
          <w:lang w:val="en-US" w:eastAsia="zh-CN"/>
        </w:rPr>
        <w:t>二</w:t>
      </w:r>
      <w:r>
        <w:rPr>
          <w:rFonts w:hint="eastAsia" w:ascii="宋体" w:hAnsi="宋体"/>
          <w:sz w:val="24"/>
          <w:highlight w:val="none"/>
        </w:rPr>
        <w:t>、报价部分</w:t>
      </w:r>
    </w:p>
    <w:p>
      <w:pPr>
        <w:spacing w:line="520" w:lineRule="exact"/>
        <w:ind w:firstLine="480" w:firstLineChars="200"/>
        <w:jc w:val="left"/>
        <w:rPr>
          <w:rFonts w:ascii="宋体" w:hAnsi="宋体"/>
          <w:sz w:val="24"/>
          <w:highlight w:val="none"/>
        </w:rPr>
      </w:pPr>
      <w:r>
        <w:rPr>
          <w:rFonts w:hint="eastAsia" w:ascii="宋体" w:hAnsi="宋体"/>
          <w:sz w:val="24"/>
          <w:highlight w:val="none"/>
        </w:rPr>
        <w:t>报价函</w:t>
      </w:r>
    </w:p>
    <w:p>
      <w:pPr>
        <w:jc w:val="center"/>
        <w:rPr>
          <w:b/>
          <w:bCs/>
          <w:sz w:val="72"/>
          <w:szCs w:val="72"/>
          <w:highlight w:val="none"/>
        </w:rPr>
      </w:pPr>
      <w:bookmarkStart w:id="1" w:name="_Hlk34428810"/>
      <w:r>
        <w:rPr>
          <w:b/>
          <w:bCs/>
          <w:sz w:val="72"/>
          <w:szCs w:val="72"/>
          <w:highlight w:val="none"/>
        </w:rPr>
        <w:br w:type="page"/>
      </w:r>
    </w:p>
    <w:p>
      <w:pPr>
        <w:jc w:val="center"/>
        <w:rPr>
          <w:b/>
          <w:bCs/>
          <w:sz w:val="72"/>
          <w:szCs w:val="72"/>
          <w:highlight w:val="none"/>
        </w:rPr>
      </w:pPr>
    </w:p>
    <w:p>
      <w:pPr>
        <w:jc w:val="center"/>
        <w:rPr>
          <w:b/>
          <w:bCs/>
          <w:sz w:val="72"/>
          <w:szCs w:val="72"/>
          <w:highlight w:val="none"/>
        </w:rPr>
      </w:pPr>
    </w:p>
    <w:p>
      <w:pPr>
        <w:jc w:val="center"/>
        <w:rPr>
          <w:b/>
          <w:bCs/>
          <w:sz w:val="72"/>
          <w:szCs w:val="72"/>
          <w:highlight w:val="none"/>
        </w:rPr>
      </w:pPr>
    </w:p>
    <w:p>
      <w:pPr>
        <w:jc w:val="center"/>
        <w:rPr>
          <w:b/>
          <w:bCs/>
          <w:sz w:val="72"/>
          <w:szCs w:val="72"/>
          <w:highlight w:val="none"/>
        </w:rPr>
      </w:pPr>
    </w:p>
    <w:p>
      <w:pPr>
        <w:jc w:val="center"/>
        <w:rPr>
          <w:b/>
          <w:bCs/>
          <w:sz w:val="72"/>
          <w:szCs w:val="72"/>
          <w:highlight w:val="none"/>
        </w:rPr>
      </w:pPr>
    </w:p>
    <w:p>
      <w:pPr>
        <w:rPr>
          <w:b/>
          <w:bCs/>
          <w:sz w:val="72"/>
          <w:szCs w:val="72"/>
          <w:highlight w:val="none"/>
        </w:rPr>
      </w:pPr>
    </w:p>
    <w:p>
      <w:pPr>
        <w:numPr>
          <w:ilvl w:val="0"/>
          <w:numId w:val="2"/>
        </w:numPr>
        <w:jc w:val="center"/>
        <w:rPr>
          <w:b/>
          <w:bCs/>
          <w:sz w:val="72"/>
          <w:szCs w:val="72"/>
          <w:highlight w:val="none"/>
        </w:rPr>
      </w:pPr>
      <w:r>
        <w:rPr>
          <w:rFonts w:hint="eastAsia"/>
          <w:b/>
          <w:bCs/>
          <w:sz w:val="72"/>
          <w:szCs w:val="72"/>
          <w:highlight w:val="none"/>
        </w:rPr>
        <w:t>竞争性比选函</w:t>
      </w:r>
    </w:p>
    <w:bookmarkEnd w:id="1"/>
    <w:p>
      <w:pPr>
        <w:jc w:val="center"/>
        <w:rPr>
          <w:b/>
          <w:bCs/>
          <w:sz w:val="52"/>
          <w:szCs w:val="52"/>
          <w:highlight w:val="none"/>
        </w:rPr>
      </w:pPr>
    </w:p>
    <w:p>
      <w:pPr>
        <w:jc w:val="cente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rPr>
          <w:b/>
          <w:bCs/>
          <w:sz w:val="52"/>
          <w:szCs w:val="52"/>
          <w:highlight w:val="none"/>
        </w:rPr>
      </w:pPr>
    </w:p>
    <w:p>
      <w:pPr>
        <w:jc w:val="center"/>
        <w:rPr>
          <w:b/>
          <w:bCs/>
          <w:sz w:val="32"/>
          <w:szCs w:val="32"/>
          <w:highlight w:val="none"/>
        </w:rPr>
      </w:pPr>
    </w:p>
    <w:bookmarkEnd w:id="0"/>
    <w:p>
      <w:pPr>
        <w:jc w:val="center"/>
        <w:rPr>
          <w:rFonts w:hint="eastAsia" w:ascii="宋体" w:hAnsi="宋体" w:cs="宋体"/>
          <w:b/>
          <w:bCs/>
          <w:color w:val="000000"/>
          <w:kern w:val="0"/>
          <w:sz w:val="31"/>
          <w:szCs w:val="31"/>
          <w:highlight w:val="none"/>
          <w:lang w:val="en-US" w:eastAsia="zh-CN" w:bidi="ar"/>
        </w:rPr>
      </w:pPr>
      <w:r>
        <w:rPr>
          <w:rFonts w:hint="eastAsia" w:ascii="宋体" w:hAnsi="宋体" w:cs="宋体"/>
          <w:b/>
          <w:bCs/>
          <w:color w:val="000000"/>
          <w:kern w:val="0"/>
          <w:sz w:val="31"/>
          <w:szCs w:val="31"/>
          <w:highlight w:val="none"/>
          <w:lang w:val="en-US" w:eastAsia="zh-CN" w:bidi="ar"/>
        </w:rPr>
        <w:t>重庆成渝垫丰武高速公路有限公司</w:t>
      </w:r>
    </w:p>
    <w:p>
      <w:pPr>
        <w:jc w:val="center"/>
        <w:rPr>
          <w:rFonts w:ascii="宋体" w:hAnsi="宋体" w:cs="宋体"/>
          <w:bCs/>
          <w:color w:val="auto"/>
          <w:sz w:val="24"/>
          <w:highlight w:val="none"/>
        </w:rPr>
      </w:pPr>
      <w:r>
        <w:rPr>
          <w:rFonts w:hint="eastAsia" w:ascii="宋体" w:hAnsi="宋体" w:cs="宋体"/>
          <w:b/>
          <w:bCs/>
          <w:color w:val="000000"/>
          <w:kern w:val="0"/>
          <w:sz w:val="31"/>
          <w:szCs w:val="31"/>
          <w:highlight w:val="none"/>
          <w:lang w:val="en-US" w:eastAsia="zh-CN" w:bidi="ar"/>
        </w:rPr>
        <w:t>造价</w:t>
      </w:r>
      <w:r>
        <w:rPr>
          <w:rFonts w:hint="eastAsia"/>
          <w:b/>
          <w:bCs/>
          <w:color w:val="auto"/>
          <w:sz w:val="32"/>
          <w:szCs w:val="32"/>
          <w:highlight w:val="none"/>
          <w:lang w:eastAsia="zh-CN"/>
        </w:rPr>
        <w:t>咨询服务</w:t>
      </w:r>
      <w:r>
        <w:rPr>
          <w:rFonts w:hint="eastAsia"/>
          <w:b/>
          <w:bCs/>
          <w:color w:val="auto"/>
          <w:sz w:val="32"/>
          <w:szCs w:val="32"/>
          <w:highlight w:val="none"/>
          <w:lang w:val="en-US" w:eastAsia="zh-CN"/>
        </w:rPr>
        <w:t>竞争性比选</w:t>
      </w:r>
      <w:r>
        <w:rPr>
          <w:rFonts w:hint="eastAsia"/>
          <w:b/>
          <w:bCs/>
          <w:color w:val="auto"/>
          <w:sz w:val="32"/>
          <w:szCs w:val="32"/>
          <w:highlight w:val="none"/>
        </w:rPr>
        <w:t>函</w:t>
      </w:r>
    </w:p>
    <w:p>
      <w:pPr>
        <w:spacing w:line="520" w:lineRule="exact"/>
        <w:ind w:firstLine="480" w:firstLineChars="200"/>
        <w:rPr>
          <w:rFonts w:hint="eastAsia" w:ascii="宋体" w:hAnsi="宋体"/>
          <w:color w:val="auto"/>
          <w:sz w:val="24"/>
          <w:highlight w:val="none"/>
        </w:rPr>
      </w:pPr>
      <w:r>
        <w:rPr>
          <w:rFonts w:hint="eastAsia" w:ascii="宋体" w:hAnsi="宋体" w:cs="宋体"/>
          <w:bCs/>
          <w:color w:val="auto"/>
          <w:sz w:val="24"/>
          <w:highlight w:val="none"/>
        </w:rPr>
        <w:t>G85银昆高速、G93成渝地区环线高速重庆高新区至荣昌区（川渝界）段改扩建工程、重庆市垫江至丰都至武隆高速公路项目（以下简称“本项目”）</w:t>
      </w:r>
      <w:r>
        <w:rPr>
          <w:rFonts w:hint="eastAsia" w:ascii="宋体" w:hAnsi="宋体" w:cs="宋体"/>
          <w:color w:val="auto"/>
          <w:sz w:val="24"/>
          <w:highlight w:val="none"/>
        </w:rPr>
        <w:t>采用社会资本合作（PPP）模式实施，由重庆高速公路集团有限公司牵头，联合中国铁建股份有限公司、</w:t>
      </w:r>
      <w:r>
        <w:rPr>
          <w:rFonts w:hint="eastAsia" w:ascii="宋体" w:hAnsi="宋体" w:eastAsia="宋体" w:cs="宋体"/>
          <w:color w:val="auto"/>
          <w:sz w:val="24"/>
          <w:highlight w:val="none"/>
          <w:lang w:eastAsia="zh-CN"/>
        </w:rPr>
        <w:t>中交路桥建设有限公司</w:t>
      </w:r>
      <w:r>
        <w:rPr>
          <w:rFonts w:hint="eastAsia" w:ascii="宋体" w:hAnsi="宋体" w:cs="宋体"/>
          <w:color w:val="auto"/>
          <w:sz w:val="24"/>
          <w:highlight w:val="none"/>
        </w:rPr>
        <w:t>等</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家大型国企及知名企业共同出资组建项目公司管理该项目。现由重庆成渝垫丰武高速公路有限公司（以下简称“</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人”）对</w:t>
      </w:r>
      <w:r>
        <w:rPr>
          <w:rFonts w:hint="eastAsia" w:ascii="宋体" w:hAnsi="宋体" w:cs="宋体"/>
          <w:color w:val="auto"/>
          <w:sz w:val="24"/>
          <w:highlight w:val="none"/>
          <w:lang w:val="en-US" w:eastAsia="zh-CN"/>
        </w:rPr>
        <w:t>造价咨询服务</w:t>
      </w:r>
      <w:r>
        <w:rPr>
          <w:rFonts w:hint="eastAsia" w:ascii="宋体" w:hAnsi="宋体" w:cs="宋体"/>
          <w:color w:val="auto"/>
          <w:sz w:val="24"/>
          <w:highlight w:val="none"/>
        </w:rPr>
        <w:t>进行竞争性</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，敬请参与报价。竞争性</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相关事项如下。</w:t>
      </w:r>
    </w:p>
    <w:p>
      <w:pPr>
        <w:numPr>
          <w:ilvl w:val="0"/>
          <w:numId w:val="3"/>
        </w:numPr>
        <w:spacing w:line="5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lang w:val="en-US" w:eastAsia="zh-CN"/>
        </w:rPr>
        <w:t>公司</w:t>
      </w:r>
      <w:r>
        <w:rPr>
          <w:rFonts w:hint="eastAsia" w:ascii="宋体" w:hAnsi="宋体" w:cs="宋体"/>
          <w:b/>
          <w:color w:val="auto"/>
          <w:sz w:val="24"/>
          <w:highlight w:val="none"/>
        </w:rPr>
        <w:t>概况</w:t>
      </w:r>
    </w:p>
    <w:p>
      <w:pPr>
        <w:spacing w:line="360" w:lineRule="auto"/>
        <w:ind w:firstLine="420" w:firstLineChars="200"/>
        <w:rPr>
          <w:rFonts w:hint="default" w:eastAsia="宋体"/>
          <w:kern w:val="0"/>
          <w:sz w:val="24"/>
          <w:highlight w:val="none"/>
          <w:lang w:val="en-US" w:eastAsia="zh-CN"/>
        </w:rPr>
      </w:pPr>
      <w:r>
        <w:rPr>
          <w:rFonts w:hint="eastAsia"/>
          <w:lang w:val="en-US" w:eastAsia="zh-CN"/>
        </w:rPr>
        <w:t xml:space="preserve"> </w:t>
      </w:r>
      <w:r>
        <w:rPr>
          <w:rFonts w:hint="eastAsia"/>
          <w:kern w:val="0"/>
          <w:sz w:val="24"/>
          <w:highlight w:val="none"/>
          <w:lang w:val="en-US" w:eastAsia="zh-CN"/>
        </w:rPr>
        <w:t>重庆成渝垫丰武高速公路有限公司（以下简称“公司”）于2023年4月28日注册，负责</w:t>
      </w:r>
      <w:r>
        <w:rPr>
          <w:rFonts w:hint="eastAsia"/>
          <w:kern w:val="0"/>
          <w:sz w:val="24"/>
          <w:highlight w:val="none"/>
        </w:rPr>
        <w:t>G85银昆高速、G93成渝地区环线高速重庆高新区至荣昌区（川渝界）段改扩建工程</w:t>
      </w:r>
      <w:r>
        <w:rPr>
          <w:rFonts w:hint="eastAsia"/>
          <w:kern w:val="0"/>
          <w:sz w:val="24"/>
          <w:highlight w:val="none"/>
          <w:lang w:val="en-US" w:eastAsia="zh-CN"/>
        </w:rPr>
        <w:t>和</w:t>
      </w:r>
      <w:r>
        <w:rPr>
          <w:rFonts w:hint="eastAsia"/>
          <w:kern w:val="0"/>
          <w:sz w:val="24"/>
          <w:highlight w:val="none"/>
        </w:rPr>
        <w:t>重庆市垫江至丰都至武隆高速公路项目</w:t>
      </w:r>
      <w:r>
        <w:rPr>
          <w:rFonts w:hint="eastAsia"/>
          <w:kern w:val="0"/>
          <w:sz w:val="24"/>
          <w:highlight w:val="none"/>
          <w:lang w:val="en-US" w:eastAsia="zh-CN"/>
        </w:rPr>
        <w:t>的投资、建设和运营。</w:t>
      </w:r>
    </w:p>
    <w:p>
      <w:pPr>
        <w:spacing w:line="5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竞争性比选</w:t>
      </w:r>
      <w:r>
        <w:rPr>
          <w:rFonts w:hint="eastAsia" w:ascii="宋体" w:hAnsi="宋体" w:cs="宋体"/>
          <w:b/>
          <w:color w:val="auto"/>
          <w:sz w:val="24"/>
          <w:highlight w:val="none"/>
        </w:rPr>
        <w:t>相关事项</w:t>
      </w:r>
    </w:p>
    <w:p>
      <w:pPr>
        <w:pStyle w:val="5"/>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比选</w:t>
      </w:r>
      <w:r>
        <w:rPr>
          <w:rFonts w:hint="eastAsia" w:ascii="宋体" w:hAnsi="宋体"/>
          <w:color w:val="auto"/>
          <w:sz w:val="24"/>
          <w:highlight w:val="none"/>
        </w:rPr>
        <w:t>范围</w:t>
      </w:r>
    </w:p>
    <w:p>
      <w:pPr>
        <w:pStyle w:val="5"/>
        <w:spacing w:line="52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报价人对比选人各部门及子公司实施的建筑类（含建筑、市政、园林、安装、装饰、维修）、交通类（含公路、铁路、水电、水运等土木工程）、材料采购、设备采购、咨询及服务等项目（不含已委托的施工监理、中心试验室、全过程跟踪审计三个项目的招标限价编制）的工程量清单及组价（审核）和招标限价（含公开招标、公开竞争性比选、竞争性比选、竞争性谈判、直接委托等）进行编制和审核工作。</w:t>
      </w:r>
    </w:p>
    <w:p>
      <w:pPr>
        <w:pStyle w:val="5"/>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2、工作内容</w:t>
      </w:r>
    </w:p>
    <w:p>
      <w:pPr>
        <w:pStyle w:val="5"/>
        <w:numPr>
          <w:ilvl w:val="-1"/>
          <w:numId w:val="0"/>
        </w:numPr>
        <w:spacing w:line="5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工作内容：为确保公司造价编审工作更加高效、准确，确保整个项目资金投入可控，规范公司造价管理行为，公司以竞争性比选方式确定一家造价咨询单位对公司各部门及子公司实施的建筑类（含建筑、市政、园林、安装、装饰、维修）、交通类（含公路、铁路、水电、水运等土木工程）、材料采购、设备采购、咨询及服务等项目（不含已委托的施工监理、中心试验室、全过程跟踪审计</w:t>
      </w:r>
      <w:r>
        <w:rPr>
          <w:rFonts w:hint="eastAsia" w:ascii="宋体" w:hAnsi="宋体"/>
          <w:color w:val="auto"/>
          <w:sz w:val="24"/>
          <w:highlight w:val="none"/>
          <w:lang w:val="en-US" w:eastAsia="zh-CN"/>
        </w:rPr>
        <w:t>三个项目的招标限价编制</w:t>
      </w:r>
      <w:r>
        <w:rPr>
          <w:rFonts w:hint="eastAsia" w:ascii="宋体" w:hAnsi="宋体" w:cs="宋体"/>
          <w:color w:val="auto"/>
          <w:sz w:val="24"/>
          <w:highlight w:val="none"/>
          <w:lang w:val="en-US" w:eastAsia="zh-CN"/>
        </w:rPr>
        <w:t>）的工程量清单及组价（审核）和招标限价（含公开招标、公开竞争性比选、竞争性比选、竞争性谈判、直接委托等）进行编制和审核工作。</w:t>
      </w:r>
    </w:p>
    <w:p>
      <w:pPr>
        <w:pStyle w:val="5"/>
        <w:numPr>
          <w:ilvl w:val="-1"/>
          <w:numId w:val="0"/>
        </w:numPr>
        <w:spacing w:line="5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编制工作内容：预算、工程量清单及组价编制并需出具符合要求的编制结果及报告。</w:t>
      </w:r>
    </w:p>
    <w:p>
      <w:pPr>
        <w:pStyle w:val="5"/>
        <w:numPr>
          <w:ilvl w:val="-1"/>
          <w:numId w:val="0"/>
        </w:numPr>
        <w:spacing w:line="5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审核工作内容：咨询单位针对限价计价依据、工程数量、定额套用、材料价格、费率及相关的其他费用等进行重点审核，并对发现问题提出意见和建议，出具符合要求的审核意见及报告，配合检查核对编制单位修改情况，整理完善审查资料。</w:t>
      </w:r>
    </w:p>
    <w:p>
      <w:pPr>
        <w:pStyle w:val="5"/>
        <w:spacing w:line="52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、合同段划分：本次</w:t>
      </w:r>
      <w:r>
        <w:rPr>
          <w:rFonts w:hint="eastAsia" w:ascii="宋体" w:hAnsi="宋体" w:cs="宋体"/>
          <w:bCs/>
          <w:color w:val="auto"/>
          <w:sz w:val="24"/>
          <w:highlight w:val="none"/>
          <w:lang w:eastAsia="zh-CN"/>
        </w:rPr>
        <w:t>比选</w:t>
      </w:r>
      <w:r>
        <w:rPr>
          <w:rFonts w:hint="eastAsia" w:ascii="宋体" w:hAnsi="宋体" w:cs="宋体"/>
          <w:bCs/>
          <w:color w:val="auto"/>
          <w:sz w:val="24"/>
          <w:highlight w:val="none"/>
        </w:rPr>
        <w:t>划分一个合同段。</w:t>
      </w:r>
    </w:p>
    <w:p>
      <w:pPr>
        <w:pStyle w:val="11"/>
        <w:spacing w:before="0" w:beforeAutospacing="0" w:after="0" w:afterAutospacing="0" w:line="520" w:lineRule="exact"/>
        <w:ind w:firstLine="480" w:firstLineChars="200"/>
        <w:rPr>
          <w:rFonts w:hint="eastAsia"/>
          <w:bCs/>
          <w:color w:val="auto"/>
          <w:kern w:val="2"/>
          <w:highlight w:val="none"/>
        </w:rPr>
      </w:pPr>
      <w:r>
        <w:rPr>
          <w:rFonts w:hint="eastAsia"/>
          <w:bCs/>
          <w:color w:val="auto"/>
          <w:kern w:val="2"/>
          <w:highlight w:val="none"/>
          <w:lang w:val="en-US" w:eastAsia="zh-CN"/>
        </w:rPr>
        <w:t>4</w:t>
      </w:r>
      <w:r>
        <w:rPr>
          <w:rFonts w:hint="eastAsia"/>
          <w:bCs/>
          <w:color w:val="auto"/>
          <w:kern w:val="2"/>
          <w:highlight w:val="none"/>
        </w:rPr>
        <w:t>、</w:t>
      </w:r>
      <w:r>
        <w:rPr>
          <w:rFonts w:hint="eastAsia"/>
          <w:b/>
          <w:bCs w:val="0"/>
          <w:color w:val="auto"/>
          <w:kern w:val="2"/>
          <w:highlight w:val="none"/>
        </w:rPr>
        <w:t>服务周期：</w:t>
      </w:r>
      <w:r>
        <w:rPr>
          <w:rFonts w:hint="eastAsia"/>
          <w:b/>
          <w:color w:val="auto"/>
          <w:highlight w:val="none"/>
          <w:lang w:eastAsia="zh-CN"/>
        </w:rPr>
        <w:t>自合同签订之日起开始计算2年（</w:t>
      </w:r>
      <w:r>
        <w:rPr>
          <w:rFonts w:hint="eastAsia"/>
          <w:b/>
          <w:color w:val="auto"/>
          <w:highlight w:val="none"/>
          <w:lang w:val="en-US" w:eastAsia="zh-CN"/>
        </w:rPr>
        <w:t>第一年服务到期后须经比选人考核合格后方可延续第二年服务</w:t>
      </w:r>
      <w:r>
        <w:rPr>
          <w:rFonts w:hint="eastAsia"/>
          <w:b/>
          <w:color w:val="auto"/>
          <w:highlight w:val="none"/>
          <w:lang w:eastAsia="zh-CN"/>
        </w:rPr>
        <w:t>），</w:t>
      </w:r>
      <w:r>
        <w:rPr>
          <w:rFonts w:hint="eastAsia"/>
          <w:b/>
          <w:color w:val="auto"/>
          <w:highlight w:val="none"/>
          <w:lang w:val="en-US" w:eastAsia="zh-CN"/>
        </w:rPr>
        <w:t>累计造价咨询结算服务费用达到90万元后自动终止本合同</w:t>
      </w:r>
      <w:r>
        <w:rPr>
          <w:rFonts w:hint="eastAsia"/>
          <w:b/>
          <w:color w:val="auto"/>
          <w:sz w:val="24"/>
          <w:highlight w:val="none"/>
          <w:lang w:val="en-US" w:eastAsia="zh-CN"/>
        </w:rPr>
        <w:t>。</w:t>
      </w:r>
    </w:p>
    <w:p>
      <w:pPr>
        <w:pStyle w:val="11"/>
        <w:numPr>
          <w:ilvl w:val="0"/>
          <w:numId w:val="0"/>
        </w:numPr>
        <w:spacing w:before="0" w:beforeAutospacing="0" w:after="0" w:afterAutospacing="0" w:line="520" w:lineRule="exact"/>
        <w:ind w:firstLine="480" w:firstLineChars="200"/>
        <w:rPr>
          <w:rFonts w:hint="eastAsia"/>
          <w:bCs/>
          <w:color w:val="auto"/>
          <w:kern w:val="2"/>
          <w:highlight w:val="none"/>
        </w:rPr>
      </w:pPr>
      <w:r>
        <w:rPr>
          <w:rFonts w:hint="eastAsia"/>
          <w:bCs/>
          <w:color w:val="auto"/>
          <w:kern w:val="2"/>
          <w:highlight w:val="none"/>
          <w:lang w:val="en-US" w:eastAsia="zh-CN"/>
        </w:rPr>
        <w:t>5、</w:t>
      </w:r>
      <w:r>
        <w:rPr>
          <w:rFonts w:hint="eastAsia"/>
          <w:bCs/>
          <w:color w:val="auto"/>
          <w:kern w:val="2"/>
          <w:highlight w:val="none"/>
        </w:rPr>
        <w:t>编制成果：</w:t>
      </w:r>
    </w:p>
    <w:p>
      <w:pPr>
        <w:pStyle w:val="11"/>
        <w:numPr>
          <w:ilvl w:val="0"/>
          <w:numId w:val="0"/>
        </w:numPr>
        <w:spacing w:before="0" w:beforeAutospacing="0" w:after="0" w:afterAutospacing="0" w:line="520" w:lineRule="exact"/>
        <w:ind w:firstLine="480" w:firstLineChars="200"/>
        <w:rPr>
          <w:rFonts w:hint="eastAsia"/>
          <w:color w:val="auto"/>
          <w:highlight w:val="none"/>
          <w:lang w:val="en-US" w:eastAsia="zh-CN"/>
        </w:rPr>
      </w:pPr>
      <w:r>
        <w:rPr>
          <w:rFonts w:hint="eastAsia"/>
          <w:color w:val="auto"/>
          <w:highlight w:val="none"/>
          <w:lang w:val="en-US" w:eastAsia="zh-CN"/>
        </w:rPr>
        <w:t>咨询单位须约定工作完成时限内向比选人提交成果。执行国家相关法律法规约定的质量标准，对报告的真实性、合法性、完整性负责等。</w:t>
      </w:r>
    </w:p>
    <w:p>
      <w:pPr>
        <w:pStyle w:val="11"/>
        <w:numPr>
          <w:ilvl w:val="0"/>
          <w:numId w:val="0"/>
        </w:numPr>
        <w:spacing w:before="0" w:beforeAutospacing="0" w:after="0" w:afterAutospacing="0" w:line="520" w:lineRule="exact"/>
        <w:ind w:firstLine="480" w:firstLineChars="200"/>
        <w:rPr>
          <w:rFonts w:hint="eastAsia"/>
          <w:color w:val="auto"/>
          <w:highlight w:val="none"/>
          <w:lang w:val="en-US" w:eastAsia="zh-CN"/>
        </w:rPr>
      </w:pPr>
      <w:r>
        <w:rPr>
          <w:rFonts w:hint="eastAsia"/>
          <w:color w:val="auto"/>
          <w:highlight w:val="none"/>
          <w:lang w:val="en-US" w:eastAsia="zh-CN"/>
        </w:rPr>
        <w:t>成果文件要求：单个项目委托实施后，</w:t>
      </w:r>
      <w:r>
        <w:rPr>
          <w:rFonts w:hint="eastAsia"/>
          <w:b/>
          <w:bCs/>
          <w:color w:val="auto"/>
          <w:highlight w:val="none"/>
          <w:lang w:val="en-US" w:eastAsia="zh-CN"/>
        </w:rPr>
        <w:t>成果文件须经比选人评审验收合格，</w:t>
      </w:r>
      <w:r>
        <w:rPr>
          <w:rFonts w:hint="eastAsia"/>
          <w:color w:val="auto"/>
          <w:highlight w:val="none"/>
          <w:lang w:val="en-US" w:eastAsia="zh-CN"/>
        </w:rPr>
        <w:t>并按评审意见修编完善后向比选人提交纸质报告书1份、电子光盘1份（含算量软件或计算式）（根据需要，比选人有权要求咨询服务公司增加成果资料份数，报价人应无偿提供）。</w:t>
      </w:r>
    </w:p>
    <w:p>
      <w:pPr>
        <w:pStyle w:val="11"/>
        <w:numPr>
          <w:ilvl w:val="0"/>
          <w:numId w:val="0"/>
        </w:numPr>
        <w:spacing w:before="0" w:beforeAutospacing="0" w:after="0" w:afterAutospacing="0" w:line="520" w:lineRule="exact"/>
        <w:ind w:firstLine="480" w:firstLineChars="200"/>
        <w:rPr>
          <w:rFonts w:hint="eastAsia"/>
          <w:color w:val="auto"/>
          <w:highlight w:val="none"/>
          <w:lang w:val="en-US" w:eastAsia="zh-CN"/>
        </w:rPr>
      </w:pPr>
      <w:r>
        <w:rPr>
          <w:rFonts w:hint="eastAsia"/>
          <w:color w:val="auto"/>
          <w:highlight w:val="none"/>
          <w:lang w:val="en-US" w:eastAsia="zh-CN"/>
        </w:rPr>
        <w:t>编制报告成果文件内容包含但不限于工程概况、编制范围、编制依据、编制结果（包括：编制金额、造价控制意见、控制指标）、其他说明等。</w:t>
      </w:r>
    </w:p>
    <w:p>
      <w:pPr>
        <w:pStyle w:val="11"/>
        <w:numPr>
          <w:ilvl w:val="0"/>
          <w:numId w:val="0"/>
        </w:numPr>
        <w:spacing w:before="0" w:beforeAutospacing="0" w:after="0" w:afterAutospacing="0" w:line="520" w:lineRule="exact"/>
        <w:ind w:firstLine="480" w:firstLineChars="200"/>
        <w:rPr>
          <w:rFonts w:hint="eastAsia" w:eastAsia="宋体"/>
          <w:color w:val="auto"/>
          <w:highlight w:val="none"/>
          <w:lang w:val="en-US" w:eastAsia="zh-CN"/>
        </w:rPr>
      </w:pPr>
      <w:r>
        <w:rPr>
          <w:rFonts w:hint="eastAsia"/>
          <w:color w:val="auto"/>
          <w:highlight w:val="none"/>
          <w:lang w:val="en-US" w:eastAsia="zh-CN"/>
        </w:rPr>
        <w:t>审核报告成果文件内容包含但不限于工程概况、审核范围、审核依据、审核结果（包括：审核意见、初步审定金额、审减（增）情况）、其他说明等。</w:t>
      </w:r>
    </w:p>
    <w:p>
      <w:pPr>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w:t>
      </w:r>
      <w:r>
        <w:rPr>
          <w:rFonts w:hint="eastAsia" w:ascii="宋体" w:hAnsi="宋体"/>
          <w:b/>
          <w:color w:val="auto"/>
          <w:sz w:val="24"/>
          <w:highlight w:val="none"/>
          <w:lang w:eastAsia="zh-CN"/>
        </w:rPr>
        <w:t>报价人</w:t>
      </w:r>
      <w:r>
        <w:rPr>
          <w:rFonts w:hint="eastAsia" w:ascii="宋体" w:hAnsi="宋体"/>
          <w:b/>
          <w:color w:val="auto"/>
          <w:sz w:val="24"/>
          <w:highlight w:val="none"/>
        </w:rPr>
        <w:t>资质要求</w:t>
      </w:r>
    </w:p>
    <w:p>
      <w:pPr>
        <w:pStyle w:val="2"/>
        <w:adjustRightInd/>
        <w:spacing w:line="360" w:lineRule="auto"/>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rPr>
        <w:t>1、报价人须具有独立法人资格，持有有效企业营业执照。</w:t>
      </w:r>
    </w:p>
    <w:p>
      <w:pPr>
        <w:pStyle w:val="2"/>
        <w:adjustRightInd/>
        <w:spacing w:line="360" w:lineRule="auto"/>
        <w:ind w:firstLine="480" w:firstLineChars="200"/>
        <w:jc w:val="both"/>
        <w:rPr>
          <w:rFonts w:hAnsi="宋体" w:cs="Times New Roman"/>
          <w:color w:val="auto"/>
          <w:kern w:val="2"/>
          <w:highlight w:val="none"/>
        </w:rPr>
      </w:pPr>
      <w:r>
        <w:rPr>
          <w:rFonts w:hint="eastAsia" w:hAnsi="宋体" w:cs="Times New Roman"/>
          <w:color w:val="auto"/>
          <w:kern w:val="2"/>
          <w:highlight w:val="none"/>
        </w:rPr>
        <w:t>2、报价人须</w:t>
      </w:r>
      <w:r>
        <w:rPr>
          <w:rFonts w:hint="eastAsia" w:hAnsi="宋体" w:cs="Times New Roman"/>
          <w:color w:val="auto"/>
          <w:kern w:val="2"/>
          <w:highlight w:val="none"/>
          <w:lang w:val="en-US" w:eastAsia="zh-CN"/>
        </w:rPr>
        <w:t>为</w:t>
      </w:r>
      <w:r>
        <w:rPr>
          <w:rFonts w:hint="eastAsia" w:ascii="Arial" w:hAnsi="Arial" w:eastAsia="宋体" w:cs="Arial"/>
          <w:sz w:val="24"/>
          <w:szCs w:val="24"/>
          <w:highlight w:val="none"/>
          <w:lang w:val="zh-TW"/>
        </w:rPr>
        <w:t>重庆高速公路集团招标管理平台合格供方库</w:t>
      </w:r>
      <w:r>
        <w:rPr>
          <w:rFonts w:hint="eastAsia" w:ascii="Arial" w:hAnsi="Arial" w:cs="Arial"/>
          <w:sz w:val="24"/>
          <w:szCs w:val="24"/>
          <w:highlight w:val="none"/>
          <w:lang w:val="en-US" w:eastAsia="zh-CN"/>
        </w:rPr>
        <w:t>内造价咨询类的入库单位</w:t>
      </w:r>
      <w:r>
        <w:rPr>
          <w:rFonts w:hint="eastAsia" w:hAnsi="宋体" w:cs="Times New Roman"/>
          <w:color w:val="auto"/>
          <w:kern w:val="2"/>
          <w:highlight w:val="none"/>
        </w:rPr>
        <w:t>。</w:t>
      </w:r>
    </w:p>
    <w:p>
      <w:pPr>
        <w:pStyle w:val="2"/>
        <w:adjustRightInd/>
        <w:spacing w:line="360" w:lineRule="auto"/>
        <w:ind w:firstLine="480" w:firstLineChars="200"/>
        <w:jc w:val="both"/>
        <w:rPr>
          <w:rFonts w:hint="eastAsia" w:hAnsi="宋体" w:eastAsia="宋体" w:cs="Times New Roman"/>
          <w:color w:val="auto"/>
          <w:kern w:val="2"/>
          <w:highlight w:val="none"/>
          <w:lang w:eastAsia="zh-CN"/>
        </w:rPr>
      </w:pPr>
      <w:r>
        <w:rPr>
          <w:rFonts w:hint="eastAsia" w:hAnsi="宋体" w:cs="Times New Roman"/>
          <w:color w:val="auto"/>
          <w:kern w:val="2"/>
          <w:highlight w:val="none"/>
        </w:rPr>
        <w:t>3、</w:t>
      </w:r>
      <w:r>
        <w:rPr>
          <w:rFonts w:hint="eastAsia" w:hAnsi="宋体" w:cs="Times New Roman"/>
          <w:color w:val="auto"/>
          <w:kern w:val="2"/>
          <w:highlight w:val="none"/>
          <w:lang w:val="en-US" w:eastAsia="zh-CN"/>
        </w:rPr>
        <w:t>业绩要求：</w:t>
      </w:r>
      <w:r>
        <w:rPr>
          <w:rFonts w:hint="eastAsia" w:hAnsi="宋体" w:cs="Times New Roman"/>
          <w:color w:val="auto"/>
          <w:kern w:val="2"/>
          <w:highlight w:val="none"/>
        </w:rPr>
        <w:t>报价人近5年（2018年1月1日至今，以合同签订时间为准）以来，独立承担过</w:t>
      </w:r>
      <w:r>
        <w:rPr>
          <w:rFonts w:hint="eastAsia" w:hAnsi="宋体" w:cs="Times New Roman"/>
          <w:color w:val="auto"/>
          <w:kern w:val="2"/>
          <w:highlight w:val="none"/>
          <w:lang w:val="en-US" w:eastAsia="zh-CN"/>
        </w:rPr>
        <w:t>1</w:t>
      </w:r>
      <w:r>
        <w:rPr>
          <w:rFonts w:hint="eastAsia" w:hAnsi="宋体" w:cs="Times New Roman"/>
          <w:color w:val="auto"/>
          <w:kern w:val="2"/>
          <w:highlight w:val="none"/>
        </w:rPr>
        <w:t>个金额不低于</w:t>
      </w:r>
      <w:r>
        <w:rPr>
          <w:rFonts w:hint="eastAsia" w:hAnsi="宋体" w:cs="Times New Roman"/>
          <w:color w:val="auto"/>
          <w:kern w:val="2"/>
          <w:highlight w:val="none"/>
          <w:lang w:val="en-US" w:eastAsia="zh-CN"/>
        </w:rPr>
        <w:t>10亿</w:t>
      </w:r>
      <w:r>
        <w:rPr>
          <w:rFonts w:hint="eastAsia" w:hAnsi="宋体" w:cs="Times New Roman"/>
          <w:color w:val="auto"/>
          <w:kern w:val="2"/>
          <w:highlight w:val="none"/>
        </w:rPr>
        <w:t>的新建或改扩建高速公路工程的造价咨询业绩。</w:t>
      </w:r>
    </w:p>
    <w:p>
      <w:pPr>
        <w:pStyle w:val="2"/>
        <w:adjustRightInd/>
        <w:spacing w:line="360" w:lineRule="auto"/>
        <w:ind w:firstLine="480" w:firstLineChars="200"/>
        <w:jc w:val="both"/>
        <w:rPr>
          <w:rFonts w:hint="eastAsia" w:hAnsi="宋体" w:eastAsia="宋体" w:cs="Times New Roman"/>
          <w:color w:val="auto"/>
          <w:kern w:val="2"/>
          <w:highlight w:val="none"/>
          <w:lang w:eastAsia="zh-CN"/>
        </w:rPr>
      </w:pPr>
      <w:r>
        <w:rPr>
          <w:rFonts w:hint="eastAsia" w:hAnsi="宋体" w:cs="Times New Roman"/>
          <w:color w:val="auto"/>
          <w:kern w:val="2"/>
          <w:highlight w:val="none"/>
          <w:lang w:val="en-US" w:eastAsia="zh-CN"/>
        </w:rPr>
        <w:t>4、项目负责人（1名）应同时具备以下要求：①具有工程类或经济类高级及以上职称，持有交通运输部注册一级造价工程师（注册专业为交通运输工程）或交通运输部公路甲级造价工程师，且执业时间不少于3年（以注册证初始注册时间为准）。②2018年1月1日起至投标文件递交截止日止（以合同签订时间为准）作为项目负责人至少承担过1个投资额10亿元及以上的公路工程的造价咨询服务工作或跟踪审核（审计）或结算审核（审计）业绩。</w:t>
      </w:r>
    </w:p>
    <w:p>
      <w:pPr>
        <w:pStyle w:val="2"/>
        <w:adjustRightInd/>
        <w:spacing w:line="360" w:lineRule="auto"/>
        <w:ind w:firstLine="480" w:firstLineChars="200"/>
        <w:jc w:val="both"/>
        <w:rPr>
          <w:rFonts w:hint="default" w:hAnsi="宋体" w:cs="Times New Roman"/>
          <w:color w:val="auto"/>
          <w:kern w:val="2"/>
          <w:highlight w:val="none"/>
          <w:lang w:val="en-US" w:eastAsia="zh-CN"/>
        </w:rPr>
      </w:pPr>
      <w:r>
        <w:rPr>
          <w:rFonts w:hint="eastAsia" w:hAnsi="宋体" w:cs="Times New Roman"/>
          <w:color w:val="auto"/>
          <w:kern w:val="2"/>
          <w:highlight w:val="none"/>
          <w:lang w:val="en-US" w:eastAsia="zh-CN"/>
        </w:rPr>
        <w:t>5、其他人员（4名）应同时具备以下要求：2名人员应持有交通运输部注册一级造价工程师（注册专业为交通运输工程）或交通运输部公路甲级造价工程师；1名持有住房和城乡建设部门注册一级造价工程师（注册专业为土木建筑工程）；1名持有住房和城乡建设部门注册一级造价工程师（注册专业为安装工程）。</w:t>
      </w:r>
    </w:p>
    <w:p>
      <w:pPr>
        <w:pStyle w:val="2"/>
        <w:adjustRightInd/>
        <w:spacing w:line="360" w:lineRule="auto"/>
        <w:ind w:firstLine="480" w:firstLineChars="200"/>
        <w:jc w:val="both"/>
        <w:rPr>
          <w:rFonts w:hAnsi="宋体" w:cs="Times New Roman"/>
          <w:color w:val="auto"/>
          <w:kern w:val="2"/>
          <w:highlight w:val="none"/>
        </w:rPr>
      </w:pPr>
      <w:r>
        <w:rPr>
          <w:rFonts w:hint="eastAsia" w:hAnsi="宋体" w:cs="Times New Roman"/>
          <w:color w:val="auto"/>
          <w:kern w:val="2"/>
          <w:highlight w:val="none"/>
          <w:lang w:val="en-US" w:eastAsia="zh-CN"/>
        </w:rPr>
        <w:t>6</w:t>
      </w:r>
      <w:r>
        <w:rPr>
          <w:rFonts w:hint="eastAsia" w:hAnsi="宋体" w:cs="Times New Roman"/>
          <w:color w:val="auto"/>
          <w:kern w:val="2"/>
          <w:highlight w:val="none"/>
        </w:rPr>
        <w:t>、本次</w:t>
      </w:r>
      <w:r>
        <w:rPr>
          <w:rFonts w:hint="eastAsia" w:hAnsi="宋体" w:cs="Times New Roman"/>
          <w:color w:val="auto"/>
          <w:kern w:val="2"/>
          <w:highlight w:val="none"/>
          <w:lang w:eastAsia="zh-CN"/>
        </w:rPr>
        <w:t>比选</w:t>
      </w:r>
      <w:r>
        <w:rPr>
          <w:rFonts w:hint="eastAsia" w:hAnsi="宋体" w:cs="Times New Roman"/>
          <w:color w:val="auto"/>
          <w:kern w:val="2"/>
          <w:highlight w:val="none"/>
        </w:rPr>
        <w:t>不接受联合体投标。</w:t>
      </w:r>
    </w:p>
    <w:p>
      <w:pPr>
        <w:spacing w:line="520" w:lineRule="exact"/>
        <w:ind w:firstLine="480" w:firstLineChars="200"/>
        <w:rPr>
          <w:rFonts w:hint="eastAsia" w:ascii="宋体" w:hAnsi="宋体"/>
          <w:color w:val="auto"/>
          <w:sz w:val="24"/>
          <w:highlight w:val="none"/>
        </w:rPr>
      </w:pPr>
      <w:bookmarkStart w:id="2" w:name="_Hlk34429321"/>
      <w:r>
        <w:rPr>
          <w:rFonts w:hint="eastAsia" w:ascii="宋体" w:hAnsi="宋体"/>
          <w:color w:val="auto"/>
          <w:sz w:val="24"/>
          <w:highlight w:val="none"/>
        </w:rPr>
        <w:t>根据上述资质要求，报价人应提供有效的企业营业执照副本和组织机构代码证副本（按照</w:t>
      </w:r>
      <w:r>
        <w:rPr>
          <w:rFonts w:ascii="宋体" w:hAnsi="宋体"/>
          <w:color w:val="auto"/>
          <w:sz w:val="24"/>
          <w:highlight w:val="none"/>
        </w:rPr>
        <w:t>“</w:t>
      </w:r>
      <w:r>
        <w:rPr>
          <w:rFonts w:hint="eastAsia" w:ascii="宋体" w:hAnsi="宋体"/>
          <w:color w:val="auto"/>
          <w:sz w:val="24"/>
          <w:highlight w:val="none"/>
        </w:rPr>
        <w:t>三证合一</w:t>
      </w:r>
      <w:r>
        <w:rPr>
          <w:rFonts w:ascii="宋体" w:hAnsi="宋体"/>
          <w:color w:val="auto"/>
          <w:sz w:val="24"/>
          <w:highlight w:val="none"/>
        </w:rPr>
        <w:t>”</w:t>
      </w:r>
      <w:r>
        <w:rPr>
          <w:rFonts w:hint="eastAsia" w:ascii="宋体" w:hAnsi="宋体"/>
          <w:color w:val="auto"/>
          <w:sz w:val="24"/>
          <w:highlight w:val="none"/>
        </w:rPr>
        <w:t>或</w:t>
      </w:r>
      <w:r>
        <w:rPr>
          <w:rFonts w:ascii="宋体" w:hAnsi="宋体"/>
          <w:color w:val="auto"/>
          <w:sz w:val="24"/>
          <w:highlight w:val="none"/>
        </w:rPr>
        <w:t>“</w:t>
      </w:r>
      <w:r>
        <w:rPr>
          <w:rFonts w:hint="eastAsia" w:ascii="宋体" w:hAnsi="宋体"/>
          <w:color w:val="auto"/>
          <w:sz w:val="24"/>
          <w:highlight w:val="none"/>
        </w:rPr>
        <w:t>五证合一</w:t>
      </w:r>
      <w:r>
        <w:rPr>
          <w:rFonts w:ascii="宋体" w:hAnsi="宋体"/>
          <w:color w:val="auto"/>
          <w:sz w:val="24"/>
          <w:highlight w:val="none"/>
        </w:rPr>
        <w:t>”</w:t>
      </w:r>
      <w:r>
        <w:rPr>
          <w:rFonts w:hint="eastAsia" w:ascii="宋体" w:hAnsi="宋体"/>
          <w:color w:val="auto"/>
          <w:sz w:val="24"/>
          <w:highlight w:val="none"/>
        </w:rPr>
        <w:t>登记制度进行登记的，可仅提供营业执照副本）、相应资质证书、业绩的合同文件。资料要求均为清晰可辨的复印件</w:t>
      </w:r>
      <w:r>
        <w:rPr>
          <w:rFonts w:hint="eastAsia" w:ascii="宋体" w:hAnsi="宋体"/>
          <w:color w:val="auto"/>
          <w:sz w:val="24"/>
          <w:highlight w:val="none"/>
          <w:lang w:eastAsia="zh-CN"/>
        </w:rPr>
        <w:t>，所有人员的资格证书必须注册在该投标单位</w:t>
      </w:r>
      <w:r>
        <w:rPr>
          <w:rFonts w:hint="eastAsia" w:ascii="宋体" w:hAnsi="宋体"/>
          <w:color w:val="auto"/>
          <w:sz w:val="24"/>
          <w:highlight w:val="none"/>
        </w:rPr>
        <w:t>。</w:t>
      </w:r>
    </w:p>
    <w:p>
      <w:pPr>
        <w:spacing w:line="520" w:lineRule="exact"/>
        <w:ind w:firstLine="482" w:firstLineChars="200"/>
        <w:rPr>
          <w:rFonts w:hint="default" w:ascii="宋体" w:hAnsi="宋体"/>
          <w:b/>
          <w:bCs/>
          <w:color w:val="auto"/>
          <w:sz w:val="24"/>
          <w:highlight w:val="none"/>
          <w:lang w:val="en-US" w:eastAsia="zh-CN"/>
        </w:rPr>
      </w:pPr>
      <w:r>
        <w:rPr>
          <w:rFonts w:hint="eastAsia" w:ascii="宋体" w:hAnsi="宋体"/>
          <w:b/>
          <w:bCs/>
          <w:color w:val="auto"/>
          <w:sz w:val="24"/>
          <w:highlight w:val="none"/>
          <w:lang w:val="en-US" w:eastAsia="zh-CN"/>
        </w:rPr>
        <w:t>不满足以上资质条件的将否决其报价文件。</w:t>
      </w:r>
    </w:p>
    <w:bookmarkEnd w:id="2"/>
    <w:p>
      <w:pPr>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w:t>
      </w:r>
      <w:bookmarkStart w:id="3" w:name="_Hlk34427499"/>
      <w:r>
        <w:rPr>
          <w:rFonts w:hint="eastAsia" w:ascii="宋体" w:hAnsi="宋体"/>
          <w:b/>
          <w:color w:val="auto"/>
          <w:sz w:val="24"/>
          <w:highlight w:val="none"/>
        </w:rPr>
        <w:t>投标限价及报价</w:t>
      </w:r>
      <w:bookmarkEnd w:id="3"/>
    </w:p>
    <w:p>
      <w:pPr>
        <w:adjustRightInd/>
        <w:spacing w:line="52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eastAsia="zh-CN"/>
        </w:rPr>
        <w:t>1、</w:t>
      </w:r>
      <w:r>
        <w:rPr>
          <w:rFonts w:hint="eastAsia" w:ascii="宋体" w:hAnsi="宋体" w:eastAsia="宋体" w:cs="Times New Roman"/>
          <w:color w:val="auto"/>
          <w:sz w:val="24"/>
          <w:szCs w:val="24"/>
          <w:highlight w:val="none"/>
        </w:rPr>
        <w:t>本项目咨询费用上限价。详见下表：</w:t>
      </w:r>
    </w:p>
    <w:tbl>
      <w:tblPr>
        <w:tblStyle w:val="13"/>
        <w:tblW w:w="9720" w:type="dxa"/>
        <w:jc w:val="center"/>
        <w:tblLayout w:type="fixed"/>
        <w:tblCellMar>
          <w:top w:w="0" w:type="dxa"/>
          <w:left w:w="0" w:type="dxa"/>
          <w:bottom w:w="0" w:type="dxa"/>
          <w:right w:w="0" w:type="dxa"/>
        </w:tblCellMar>
      </w:tblPr>
      <w:tblGrid>
        <w:gridCol w:w="565"/>
        <w:gridCol w:w="851"/>
        <w:gridCol w:w="1418"/>
        <w:gridCol w:w="992"/>
        <w:gridCol w:w="850"/>
        <w:gridCol w:w="1134"/>
        <w:gridCol w:w="1276"/>
        <w:gridCol w:w="992"/>
        <w:gridCol w:w="851"/>
        <w:gridCol w:w="791"/>
      </w:tblGrid>
      <w:tr>
        <w:tblPrEx>
          <w:tblCellMar>
            <w:top w:w="0" w:type="dxa"/>
            <w:left w:w="0" w:type="dxa"/>
            <w:bottom w:w="0" w:type="dxa"/>
            <w:right w:w="0" w:type="dxa"/>
          </w:tblCellMar>
        </w:tblPrEx>
        <w:trPr>
          <w:trHeight w:val="315" w:hRule="atLeast"/>
          <w:jc w:val="center"/>
        </w:trPr>
        <w:tc>
          <w:tcPr>
            <w:tcW w:w="972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Cs w:val="21"/>
                <w:highlight w:val="none"/>
              </w:rPr>
            </w:pPr>
            <w:r>
              <w:rPr>
                <w:rFonts w:hint="eastAsia" w:ascii="仿宋" w:hAnsi="仿宋" w:eastAsia="仿宋" w:cs="方正仿宋_GBK"/>
                <w:kern w:val="0"/>
                <w:szCs w:val="21"/>
                <w:highlight w:val="none"/>
                <w:lang w:val="en-US" w:eastAsia="zh-CN" w:bidi="ar"/>
              </w:rPr>
              <w:t>造价</w:t>
            </w:r>
            <w:r>
              <w:rPr>
                <w:rFonts w:hint="eastAsia" w:ascii="仿宋" w:hAnsi="仿宋" w:eastAsia="仿宋" w:cs="方正仿宋_GBK"/>
                <w:kern w:val="0"/>
                <w:szCs w:val="21"/>
                <w:highlight w:val="none"/>
                <w:lang w:bidi="ar"/>
              </w:rPr>
              <w:t>咨询服务项目上限价</w:t>
            </w:r>
          </w:p>
        </w:tc>
      </w:tr>
      <w:tr>
        <w:tblPrEx>
          <w:tblCellMar>
            <w:top w:w="0" w:type="dxa"/>
            <w:left w:w="0" w:type="dxa"/>
            <w:bottom w:w="0" w:type="dxa"/>
            <w:right w:w="0" w:type="dxa"/>
          </w:tblCellMar>
        </w:tblPrEx>
        <w:trPr>
          <w:trHeight w:val="315"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序号</w:t>
            </w:r>
          </w:p>
        </w:tc>
        <w:tc>
          <w:tcPr>
            <w:tcW w:w="226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收费项目</w:t>
            </w:r>
          </w:p>
        </w:tc>
        <w:tc>
          <w:tcPr>
            <w:tcW w:w="9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计费基数</w:t>
            </w:r>
          </w:p>
        </w:tc>
        <w:tc>
          <w:tcPr>
            <w:tcW w:w="589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限价费率、限价金额</w:t>
            </w:r>
          </w:p>
        </w:tc>
      </w:tr>
      <w:tr>
        <w:tblPrEx>
          <w:tblCellMar>
            <w:top w:w="0" w:type="dxa"/>
            <w:left w:w="0" w:type="dxa"/>
            <w:bottom w:w="0" w:type="dxa"/>
            <w:right w:w="0" w:type="dxa"/>
          </w:tblCellMar>
        </w:tblPrEx>
        <w:trPr>
          <w:trHeight w:val="973"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方正仿宋_GBK"/>
                <w:sz w:val="18"/>
                <w:szCs w:val="18"/>
                <w:highlight w:val="none"/>
              </w:rPr>
            </w:pPr>
          </w:p>
        </w:tc>
        <w:tc>
          <w:tcPr>
            <w:tcW w:w="226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方正仿宋_GBK"/>
                <w:sz w:val="18"/>
                <w:szCs w:val="18"/>
                <w:highlight w:val="none"/>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方正仿宋_GBK"/>
                <w:sz w:val="18"/>
                <w:szCs w:val="18"/>
                <w:highlight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500万元以下</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501-1000万元以内</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1001-5000万元以内</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5001万元-1亿元以内</w:t>
            </w:r>
          </w:p>
        </w:tc>
        <w:tc>
          <w:tcPr>
            <w:tcW w:w="8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10</w:t>
            </w:r>
            <w:r>
              <w:rPr>
                <w:rFonts w:ascii="仿宋" w:hAnsi="仿宋" w:eastAsia="仿宋" w:cs="方正仿宋_GBK"/>
                <w:kern w:val="0"/>
                <w:sz w:val="18"/>
                <w:szCs w:val="18"/>
                <w:highlight w:val="none"/>
                <w:lang w:bidi="ar"/>
              </w:rPr>
              <w:t>001</w:t>
            </w:r>
            <w:r>
              <w:rPr>
                <w:rFonts w:hint="eastAsia" w:ascii="仿宋" w:hAnsi="仿宋" w:eastAsia="仿宋" w:cs="方正仿宋_GBK"/>
                <w:kern w:val="0"/>
                <w:sz w:val="18"/>
                <w:szCs w:val="18"/>
                <w:highlight w:val="none"/>
                <w:lang w:bidi="ar"/>
              </w:rPr>
              <w:t>万元-</w:t>
            </w:r>
            <w:r>
              <w:rPr>
                <w:rFonts w:ascii="仿宋" w:hAnsi="仿宋" w:eastAsia="仿宋" w:cs="方正仿宋_GBK"/>
                <w:kern w:val="0"/>
                <w:sz w:val="18"/>
                <w:szCs w:val="18"/>
                <w:highlight w:val="none"/>
                <w:lang w:bidi="ar"/>
              </w:rPr>
              <w:t>5</w:t>
            </w:r>
            <w:r>
              <w:rPr>
                <w:rFonts w:hint="eastAsia" w:ascii="仿宋" w:hAnsi="仿宋" w:eastAsia="仿宋" w:cs="方正仿宋_GBK"/>
                <w:kern w:val="0"/>
                <w:sz w:val="18"/>
                <w:szCs w:val="18"/>
                <w:highlight w:val="none"/>
                <w:lang w:bidi="ar"/>
              </w:rPr>
              <w:t>亿元以内</w:t>
            </w:r>
          </w:p>
        </w:tc>
        <w:tc>
          <w:tcPr>
            <w:tcW w:w="79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sz w:val="18"/>
                <w:szCs w:val="18"/>
                <w:highlight w:val="none"/>
              </w:rPr>
              <w:t>5亿元以上</w:t>
            </w:r>
          </w:p>
        </w:tc>
      </w:tr>
      <w:tr>
        <w:tblPrEx>
          <w:tblCellMar>
            <w:top w:w="0" w:type="dxa"/>
            <w:left w:w="0" w:type="dxa"/>
            <w:bottom w:w="0" w:type="dxa"/>
            <w:right w:w="0" w:type="dxa"/>
          </w:tblCellMar>
        </w:tblPrEx>
        <w:trPr>
          <w:trHeight w:val="893"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kern w:val="0"/>
                <w:sz w:val="18"/>
                <w:szCs w:val="18"/>
                <w:highlight w:val="none"/>
                <w:lang w:bidi="ar"/>
              </w:rPr>
              <w:t>1</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kern w:val="0"/>
                <w:sz w:val="18"/>
                <w:szCs w:val="18"/>
                <w:highlight w:val="none"/>
                <w:lang w:bidi="ar"/>
              </w:rPr>
            </w:pPr>
          </w:p>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工程量清单及组价</w:t>
            </w:r>
            <w:r>
              <w:rPr>
                <w:rFonts w:hint="eastAsia" w:ascii="仿宋" w:hAnsi="仿宋" w:eastAsia="仿宋" w:cs="方正仿宋_GBK"/>
                <w:kern w:val="0"/>
                <w:sz w:val="18"/>
                <w:szCs w:val="18"/>
                <w:highlight w:val="none"/>
                <w:lang w:val="en-US" w:eastAsia="zh-CN" w:bidi="ar"/>
              </w:rPr>
              <w:t>编制</w:t>
            </w:r>
            <w:r>
              <w:rPr>
                <w:rFonts w:hint="eastAsia" w:ascii="仿宋" w:hAnsi="仿宋" w:eastAsia="仿宋" w:cs="方正仿宋_GBK"/>
                <w:kern w:val="0"/>
                <w:sz w:val="18"/>
                <w:szCs w:val="18"/>
                <w:highlight w:val="none"/>
                <w:lang w:bidi="ar"/>
              </w:rPr>
              <w:t>（审核）</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建筑类（含建筑、市政、园林、安装、装饰、维修）</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清单量工程造价(％)</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0.1</w:t>
            </w:r>
            <w:r>
              <w:rPr>
                <w:rFonts w:ascii="仿宋" w:hAnsi="仿宋" w:eastAsia="仿宋" w:cs="方正仿宋_GBK"/>
                <w:kern w:val="0"/>
                <w:sz w:val="18"/>
                <w:szCs w:val="18"/>
                <w:highlight w:val="none"/>
                <w:lang w:bidi="ar"/>
              </w:rPr>
              <w:t>44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0.1</w:t>
            </w:r>
            <w:r>
              <w:rPr>
                <w:rFonts w:ascii="仿宋" w:hAnsi="仿宋" w:eastAsia="仿宋" w:cs="方正仿宋_GBK"/>
                <w:kern w:val="0"/>
                <w:sz w:val="18"/>
                <w:szCs w:val="18"/>
                <w:highlight w:val="none"/>
                <w:lang w:bidi="ar"/>
              </w:rPr>
              <w:t>2</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0.0</w:t>
            </w:r>
            <w:r>
              <w:rPr>
                <w:rFonts w:ascii="仿宋" w:hAnsi="仿宋" w:eastAsia="仿宋" w:cs="方正仿宋_GBK"/>
                <w:kern w:val="0"/>
                <w:sz w:val="18"/>
                <w:szCs w:val="18"/>
                <w:highlight w:val="none"/>
                <w:lang w:bidi="ar"/>
              </w:rPr>
              <w:t>84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w:t>
            </w:r>
            <w:r>
              <w:rPr>
                <w:rFonts w:ascii="仿宋" w:hAnsi="仿宋" w:eastAsia="仿宋" w:cs="方正仿宋_GBK"/>
                <w:kern w:val="0"/>
                <w:sz w:val="18"/>
                <w:szCs w:val="18"/>
                <w:highlight w:val="none"/>
                <w:lang w:bidi="ar"/>
              </w:rPr>
              <w:t>06</w:t>
            </w:r>
          </w:p>
        </w:tc>
        <w:tc>
          <w:tcPr>
            <w:tcW w:w="8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ascii="仿宋" w:hAnsi="仿宋" w:eastAsia="仿宋" w:cs="方正仿宋_GBK"/>
                <w:kern w:val="0"/>
                <w:sz w:val="18"/>
                <w:szCs w:val="18"/>
                <w:highlight w:val="none"/>
                <w:lang w:bidi="ar"/>
              </w:rPr>
              <w:t>8</w:t>
            </w:r>
            <w:r>
              <w:rPr>
                <w:rFonts w:hint="eastAsia" w:ascii="仿宋" w:hAnsi="仿宋" w:eastAsia="仿宋" w:cs="方正仿宋_GBK"/>
                <w:kern w:val="0"/>
                <w:sz w:val="18"/>
                <w:szCs w:val="18"/>
                <w:highlight w:val="none"/>
                <w:lang w:bidi="ar"/>
              </w:rPr>
              <w:t>万元</w:t>
            </w:r>
          </w:p>
        </w:tc>
        <w:tc>
          <w:tcPr>
            <w:tcW w:w="79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方正仿宋_GBK"/>
                <w:sz w:val="18"/>
                <w:szCs w:val="18"/>
                <w:highlight w:val="none"/>
              </w:rPr>
            </w:pPr>
            <w:r>
              <w:rPr>
                <w:rFonts w:ascii="仿宋" w:hAnsi="仿宋" w:eastAsia="仿宋" w:cs="方正仿宋_GBK"/>
                <w:sz w:val="18"/>
                <w:szCs w:val="18"/>
                <w:highlight w:val="none"/>
              </w:rPr>
              <w:t>10</w:t>
            </w:r>
            <w:r>
              <w:rPr>
                <w:rFonts w:hint="eastAsia" w:ascii="仿宋" w:hAnsi="仿宋" w:eastAsia="仿宋" w:cs="方正仿宋_GBK"/>
                <w:sz w:val="18"/>
                <w:szCs w:val="18"/>
                <w:highlight w:val="none"/>
              </w:rPr>
              <w:t>万元</w:t>
            </w:r>
          </w:p>
        </w:tc>
      </w:tr>
      <w:tr>
        <w:tblPrEx>
          <w:tblCellMar>
            <w:top w:w="0" w:type="dxa"/>
            <w:left w:w="0" w:type="dxa"/>
            <w:bottom w:w="0" w:type="dxa"/>
            <w:right w:w="0" w:type="dxa"/>
          </w:tblCellMar>
        </w:tblPrEx>
        <w:trPr>
          <w:trHeight w:val="1140"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kern w:val="0"/>
                <w:sz w:val="18"/>
                <w:szCs w:val="18"/>
                <w:highlight w:val="none"/>
                <w:lang w:bidi="ar"/>
              </w:rPr>
              <w:t>2</w:t>
            </w:r>
          </w:p>
        </w:tc>
        <w:tc>
          <w:tcPr>
            <w:tcW w:w="8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方正仿宋_GBK"/>
                <w:sz w:val="18"/>
                <w:szCs w:val="18"/>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交通类（含公路、铁路、水电、水运等土木工程）</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清单量工程造价(％)</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0.1</w:t>
            </w:r>
            <w:r>
              <w:rPr>
                <w:rFonts w:ascii="仿宋" w:hAnsi="仿宋" w:eastAsia="仿宋" w:cs="方正仿宋_GBK"/>
                <w:kern w:val="0"/>
                <w:sz w:val="18"/>
                <w:szCs w:val="18"/>
                <w:highlight w:val="none"/>
                <w:lang w:bidi="ar"/>
              </w:rPr>
              <w:t>08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w:t>
            </w:r>
            <w:r>
              <w:rPr>
                <w:rFonts w:ascii="仿宋" w:hAnsi="仿宋" w:eastAsia="仿宋" w:cs="方正仿宋_GBK"/>
                <w:kern w:val="0"/>
                <w:sz w:val="18"/>
                <w:szCs w:val="18"/>
                <w:highlight w:val="none"/>
                <w:lang w:bidi="ar"/>
              </w:rPr>
              <w:t>09</w:t>
            </w:r>
          </w:p>
        </w:tc>
        <w:tc>
          <w:tcPr>
            <w:tcW w:w="1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0.06</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0.</w:t>
            </w:r>
            <w:r>
              <w:rPr>
                <w:rFonts w:ascii="仿宋" w:hAnsi="仿宋" w:eastAsia="仿宋" w:cs="方正仿宋_GBK"/>
                <w:kern w:val="0"/>
                <w:sz w:val="18"/>
                <w:szCs w:val="18"/>
                <w:highlight w:val="none"/>
                <w:lang w:bidi="ar"/>
              </w:rPr>
              <w:t>045</w:t>
            </w:r>
          </w:p>
        </w:tc>
        <w:tc>
          <w:tcPr>
            <w:tcW w:w="85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sz w:val="18"/>
                <w:szCs w:val="18"/>
                <w:highlight w:val="none"/>
              </w:rPr>
            </w:pPr>
            <w:r>
              <w:rPr>
                <w:rFonts w:ascii="仿宋" w:hAnsi="仿宋" w:eastAsia="仿宋" w:cs="方正仿宋_GBK"/>
                <w:kern w:val="0"/>
                <w:sz w:val="18"/>
                <w:szCs w:val="18"/>
                <w:highlight w:val="none"/>
                <w:lang w:bidi="ar"/>
              </w:rPr>
              <w:t>6</w:t>
            </w:r>
            <w:r>
              <w:rPr>
                <w:rFonts w:hint="eastAsia" w:ascii="仿宋" w:hAnsi="仿宋" w:eastAsia="仿宋" w:cs="方正仿宋_GBK"/>
                <w:kern w:val="0"/>
                <w:sz w:val="18"/>
                <w:szCs w:val="18"/>
                <w:highlight w:val="none"/>
                <w:lang w:bidi="ar"/>
              </w:rPr>
              <w:t>万元</w:t>
            </w:r>
          </w:p>
        </w:tc>
        <w:tc>
          <w:tcPr>
            <w:tcW w:w="79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方正仿宋_GBK"/>
                <w:sz w:val="18"/>
                <w:szCs w:val="18"/>
                <w:highlight w:val="none"/>
              </w:rPr>
            </w:pPr>
            <w:r>
              <w:rPr>
                <w:rFonts w:ascii="仿宋" w:hAnsi="仿宋" w:eastAsia="仿宋" w:cs="方正仿宋_GBK"/>
                <w:sz w:val="18"/>
                <w:szCs w:val="18"/>
                <w:highlight w:val="none"/>
              </w:rPr>
              <w:t>8</w:t>
            </w:r>
            <w:r>
              <w:rPr>
                <w:rFonts w:hint="eastAsia" w:ascii="仿宋" w:hAnsi="仿宋" w:eastAsia="仿宋" w:cs="方正仿宋_GBK"/>
                <w:sz w:val="18"/>
                <w:szCs w:val="18"/>
                <w:highlight w:val="none"/>
              </w:rPr>
              <w:t>万元</w:t>
            </w:r>
          </w:p>
        </w:tc>
      </w:tr>
      <w:tr>
        <w:tblPrEx>
          <w:tblCellMar>
            <w:top w:w="0" w:type="dxa"/>
            <w:left w:w="0" w:type="dxa"/>
            <w:bottom w:w="0" w:type="dxa"/>
            <w:right w:w="0" w:type="dxa"/>
          </w:tblCellMar>
        </w:tblPrEx>
        <w:trPr>
          <w:trHeight w:val="1140"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18"/>
                <w:szCs w:val="18"/>
                <w:highlight w:val="none"/>
                <w:lang w:bidi="ar"/>
              </w:rPr>
            </w:pPr>
            <w:r>
              <w:rPr>
                <w:rFonts w:ascii="方正仿宋_GBK" w:hAnsi="方正仿宋_GBK" w:eastAsia="方正仿宋_GBK" w:cs="方正仿宋_GBK"/>
                <w:kern w:val="0"/>
                <w:sz w:val="18"/>
                <w:szCs w:val="18"/>
                <w:highlight w:val="none"/>
                <w:lang w:bidi="ar"/>
              </w:rPr>
              <w:t>3</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方正仿宋_GBK"/>
                <w:sz w:val="18"/>
                <w:szCs w:val="18"/>
                <w:highlight w:val="none"/>
              </w:rPr>
            </w:pPr>
            <w:r>
              <w:rPr>
                <w:rFonts w:hint="eastAsia" w:ascii="仿宋" w:hAnsi="仿宋" w:eastAsia="仿宋" w:cs="方正仿宋_GBK"/>
                <w:kern w:val="0"/>
                <w:sz w:val="18"/>
                <w:szCs w:val="18"/>
                <w:highlight w:val="none"/>
                <w:lang w:bidi="ar"/>
              </w:rPr>
              <w:t>非工程类（如服务类、咨询类</w:t>
            </w:r>
            <w:r>
              <w:rPr>
                <w:rFonts w:hint="eastAsia" w:ascii="仿宋" w:hAnsi="仿宋" w:eastAsia="仿宋" w:cs="方正仿宋_GBK"/>
                <w:kern w:val="0"/>
                <w:sz w:val="18"/>
                <w:szCs w:val="18"/>
                <w:highlight w:val="none"/>
                <w:lang w:eastAsia="zh-CN" w:bidi="ar"/>
              </w:rPr>
              <w:t>、</w:t>
            </w:r>
            <w:r>
              <w:rPr>
                <w:rFonts w:hint="eastAsia" w:ascii="仿宋" w:hAnsi="仿宋" w:eastAsia="仿宋" w:cs="方正仿宋_GBK"/>
                <w:kern w:val="0"/>
                <w:sz w:val="18"/>
                <w:szCs w:val="18"/>
                <w:highlight w:val="none"/>
                <w:lang w:val="en-US" w:eastAsia="zh-CN" w:bidi="ar"/>
              </w:rPr>
              <w:t>物资类</w:t>
            </w:r>
            <w:r>
              <w:rPr>
                <w:rFonts w:hint="eastAsia" w:ascii="仿宋" w:hAnsi="仿宋" w:eastAsia="仿宋" w:cs="方正仿宋_GBK"/>
                <w:kern w:val="0"/>
                <w:sz w:val="18"/>
                <w:szCs w:val="18"/>
                <w:highlight w:val="none"/>
                <w:lang w:bidi="ar"/>
              </w:rPr>
              <w:t>等）造价咨询服务</w:t>
            </w:r>
          </w:p>
        </w:tc>
        <w:tc>
          <w:tcPr>
            <w:tcW w:w="830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kern w:val="0"/>
                <w:sz w:val="18"/>
                <w:szCs w:val="18"/>
                <w:highlight w:val="none"/>
                <w:lang w:bidi="ar"/>
              </w:rPr>
            </w:pPr>
            <w:r>
              <w:rPr>
                <w:rFonts w:hint="eastAsia" w:ascii="仿宋" w:hAnsi="仿宋" w:eastAsia="仿宋" w:cs="方正仿宋_GBK"/>
                <w:kern w:val="0"/>
                <w:sz w:val="18"/>
                <w:szCs w:val="18"/>
                <w:highlight w:val="none"/>
                <w:lang w:val="en-US" w:eastAsia="zh-CN" w:bidi="ar"/>
              </w:rPr>
              <w:t>3</w:t>
            </w:r>
            <w:r>
              <w:rPr>
                <w:rFonts w:hint="eastAsia" w:ascii="仿宋" w:hAnsi="仿宋" w:eastAsia="仿宋" w:cs="方正仿宋_GBK"/>
                <w:kern w:val="0"/>
                <w:sz w:val="18"/>
                <w:szCs w:val="18"/>
                <w:highlight w:val="none"/>
                <w:lang w:bidi="ar"/>
              </w:rPr>
              <w:t>000元（不参与竞争</w:t>
            </w:r>
            <w:r>
              <w:rPr>
                <w:rFonts w:hint="eastAsia" w:ascii="仿宋" w:hAnsi="仿宋" w:eastAsia="仿宋" w:cs="方正仿宋_GBK"/>
                <w:kern w:val="0"/>
                <w:sz w:val="18"/>
                <w:szCs w:val="18"/>
                <w:highlight w:val="none"/>
                <w:lang w:val="en-US" w:eastAsia="zh-CN" w:bidi="ar"/>
              </w:rPr>
              <w:t>性报价</w:t>
            </w:r>
            <w:r>
              <w:rPr>
                <w:rFonts w:hint="eastAsia" w:ascii="仿宋" w:hAnsi="仿宋" w:eastAsia="仿宋" w:cs="方正仿宋_GBK"/>
                <w:kern w:val="0"/>
                <w:sz w:val="18"/>
                <w:szCs w:val="18"/>
                <w:highlight w:val="none"/>
                <w:lang w:bidi="ar"/>
              </w:rPr>
              <w:t>）</w:t>
            </w:r>
          </w:p>
        </w:tc>
      </w:tr>
      <w:tr>
        <w:tblPrEx>
          <w:tblCellMar>
            <w:top w:w="0" w:type="dxa"/>
            <w:left w:w="0" w:type="dxa"/>
            <w:bottom w:w="0" w:type="dxa"/>
            <w:right w:w="0" w:type="dxa"/>
          </w:tblCellMar>
        </w:tblPrEx>
        <w:trPr>
          <w:trHeight w:val="1140"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18"/>
                <w:szCs w:val="18"/>
                <w:highlight w:val="none"/>
                <w:lang w:bidi="ar"/>
              </w:rPr>
            </w:pPr>
            <w:r>
              <w:rPr>
                <w:rFonts w:ascii="方正仿宋_GBK" w:hAnsi="方正仿宋_GBK" w:eastAsia="方正仿宋_GBK" w:cs="方正仿宋_GBK"/>
                <w:kern w:val="0"/>
                <w:sz w:val="18"/>
                <w:szCs w:val="18"/>
                <w:highlight w:val="none"/>
                <w:lang w:bidi="ar"/>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方正仿宋_GBK"/>
                <w:sz w:val="18"/>
                <w:szCs w:val="18"/>
                <w:highlight w:val="none"/>
              </w:rPr>
            </w:pPr>
            <w:r>
              <w:rPr>
                <w:rFonts w:hint="eastAsia" w:ascii="仿宋" w:hAnsi="仿宋" w:eastAsia="仿宋" w:cs="方正仿宋_GBK"/>
                <w:sz w:val="18"/>
                <w:szCs w:val="18"/>
                <w:highlight w:val="none"/>
              </w:rPr>
              <w:t>非工程类（如服务类、咨询类、物资等）限价编制</w:t>
            </w:r>
          </w:p>
        </w:tc>
        <w:tc>
          <w:tcPr>
            <w:tcW w:w="8304"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方正仿宋_GBK"/>
                <w:kern w:val="0"/>
                <w:sz w:val="18"/>
                <w:szCs w:val="18"/>
                <w:highlight w:val="none"/>
                <w:lang w:bidi="ar"/>
              </w:rPr>
            </w:pPr>
            <w:r>
              <w:rPr>
                <w:rFonts w:hint="eastAsia" w:ascii="仿宋" w:hAnsi="仿宋" w:eastAsia="仿宋" w:cs="方正仿宋_GBK"/>
                <w:kern w:val="0"/>
                <w:sz w:val="18"/>
                <w:szCs w:val="18"/>
                <w:highlight w:val="none"/>
                <w:lang w:val="en-US" w:eastAsia="zh-CN" w:bidi="ar"/>
              </w:rPr>
              <w:t>3</w:t>
            </w:r>
            <w:r>
              <w:rPr>
                <w:rFonts w:hint="eastAsia" w:ascii="仿宋" w:hAnsi="仿宋" w:eastAsia="仿宋" w:cs="方正仿宋_GBK"/>
                <w:kern w:val="0"/>
                <w:sz w:val="18"/>
                <w:szCs w:val="18"/>
                <w:highlight w:val="none"/>
                <w:lang w:bidi="ar"/>
              </w:rPr>
              <w:t>000元（不参与竞争</w:t>
            </w:r>
            <w:r>
              <w:rPr>
                <w:rFonts w:hint="eastAsia" w:ascii="仿宋" w:hAnsi="仿宋" w:eastAsia="仿宋" w:cs="方正仿宋_GBK"/>
                <w:kern w:val="0"/>
                <w:sz w:val="18"/>
                <w:szCs w:val="18"/>
                <w:highlight w:val="none"/>
                <w:lang w:val="en-US" w:eastAsia="zh-CN" w:bidi="ar"/>
              </w:rPr>
              <w:t>性报价</w:t>
            </w:r>
            <w:r>
              <w:rPr>
                <w:rFonts w:hint="eastAsia" w:ascii="仿宋" w:hAnsi="仿宋" w:eastAsia="仿宋" w:cs="方正仿宋_GBK"/>
                <w:kern w:val="0"/>
                <w:sz w:val="18"/>
                <w:szCs w:val="18"/>
                <w:highlight w:val="none"/>
                <w:lang w:bidi="ar"/>
              </w:rPr>
              <w:t>）</w:t>
            </w:r>
          </w:p>
        </w:tc>
      </w:tr>
    </w:tbl>
    <w:p>
      <w:pPr>
        <w:spacing w:line="52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w:t>
      </w:r>
      <w:r>
        <w:rPr>
          <w:rFonts w:hint="eastAsia" w:ascii="宋体" w:hAnsi="宋体" w:cs="Times New Roman"/>
          <w:color w:val="auto"/>
          <w:sz w:val="24"/>
          <w:szCs w:val="24"/>
          <w:highlight w:val="none"/>
          <w:lang w:eastAsia="zh-CN"/>
        </w:rPr>
        <w:t>①</w:t>
      </w:r>
      <w:r>
        <w:rPr>
          <w:rFonts w:hint="eastAsia" w:ascii="宋体" w:hAnsi="宋体" w:eastAsia="宋体" w:cs="Times New Roman"/>
          <w:color w:val="auto"/>
          <w:sz w:val="24"/>
          <w:szCs w:val="24"/>
          <w:highlight w:val="none"/>
          <w:lang w:val="en-US" w:eastAsia="zh-CN"/>
        </w:rPr>
        <w:t>计费基数1亿元以下</w:t>
      </w:r>
      <w:r>
        <w:rPr>
          <w:rFonts w:hint="eastAsia" w:ascii="宋体" w:hAnsi="宋体" w:eastAsia="宋体" w:cs="Times New Roman"/>
          <w:color w:val="auto"/>
          <w:sz w:val="24"/>
          <w:szCs w:val="24"/>
          <w:highlight w:val="none"/>
        </w:rPr>
        <w:t>收费按累进分档计取，同项目同类不同专业不进行分别累进</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计费基数1亿元以上收费按包干金额计取，不累进计算，例如建筑类项目计费基数为2亿元，收费金额为8万元*（1-中标人所报下浮比例）。</w:t>
      </w:r>
    </w:p>
    <w:p>
      <w:pPr>
        <w:numPr>
          <w:ilvl w:val="-1"/>
          <w:numId w:val="0"/>
        </w:numPr>
        <w:spacing w:line="52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rPr>
        <w:t>单项委托项目按上述费用计算不足3000元时，按3000元/次包干计取。</w:t>
      </w:r>
    </w:p>
    <w:p>
      <w:pPr>
        <w:spacing w:line="520" w:lineRule="exact"/>
        <w:ind w:firstLine="480" w:firstLineChars="200"/>
        <w:rPr>
          <w:rFonts w:hint="eastAsia" w:ascii="宋体" w:hAnsi="宋体" w:eastAsia="宋体" w:cs="Times New Roman"/>
          <w:bCs w:val="0"/>
          <w:color w:val="auto"/>
          <w:sz w:val="24"/>
          <w:szCs w:val="24"/>
          <w:highlight w:val="none"/>
        </w:rPr>
      </w:pPr>
      <w:r>
        <w:rPr>
          <w:rFonts w:hint="eastAsia" w:ascii="宋体" w:hAnsi="宋体" w:cs="Times New Roman"/>
          <w:color w:val="auto"/>
          <w:sz w:val="24"/>
          <w:szCs w:val="24"/>
          <w:highlight w:val="none"/>
          <w:lang w:eastAsia="zh-CN"/>
        </w:rPr>
        <w:t>2、</w:t>
      </w:r>
      <w:r>
        <w:rPr>
          <w:rFonts w:hint="eastAsia" w:ascii="宋体" w:hAnsi="宋体" w:eastAsia="宋体" w:cs="Times New Roman"/>
          <w:color w:val="auto"/>
          <w:sz w:val="24"/>
          <w:szCs w:val="24"/>
          <w:highlight w:val="none"/>
        </w:rPr>
        <w:t>投标人需基于“</w:t>
      </w:r>
      <w:r>
        <w:rPr>
          <w:rFonts w:hint="eastAsia" w:ascii="宋体" w:hAnsi="宋体" w:cs="Times New Roman"/>
          <w:color w:val="auto"/>
          <w:sz w:val="24"/>
          <w:szCs w:val="24"/>
          <w:highlight w:val="none"/>
          <w:lang w:eastAsia="zh-CN"/>
        </w:rPr>
        <w:t>1、</w:t>
      </w:r>
      <w:r>
        <w:rPr>
          <w:rFonts w:hint="eastAsia" w:ascii="宋体" w:hAnsi="宋体" w:eastAsia="宋体" w:cs="Times New Roman"/>
          <w:color w:val="auto"/>
          <w:sz w:val="24"/>
          <w:szCs w:val="24"/>
          <w:highlight w:val="none"/>
        </w:rPr>
        <w:t>本项目咨询费用上限价”对咨询费用投报下浮率。下浮率只能报0至1之间且保留两位的小数，</w:t>
      </w:r>
      <w:r>
        <w:rPr>
          <w:rFonts w:hint="eastAsia" w:ascii="宋体" w:hAnsi="宋体" w:eastAsia="宋体" w:cs="Times New Roman"/>
          <w:bCs w:val="0"/>
          <w:color w:val="auto"/>
          <w:sz w:val="24"/>
          <w:szCs w:val="24"/>
          <w:highlight w:val="none"/>
        </w:rPr>
        <w:t>不能报分数或百分数，如可报0.19，但不能报19/100或19%，否则评委现场按四舍五入原则计算，最终取保留两位的小数。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1711"/>
        <w:gridCol w:w="992"/>
        <w:gridCol w:w="1276"/>
        <w:gridCol w:w="1134"/>
        <w:gridCol w:w="1134"/>
        <w:gridCol w:w="85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8516" w:type="dxa"/>
            <w:gridSpan w:val="8"/>
            <w:noWrap w:val="0"/>
            <w:vAlign w:val="center"/>
          </w:tcPr>
          <w:p>
            <w:pPr>
              <w:widowControl/>
              <w:jc w:val="center"/>
              <w:textAlignment w:val="center"/>
              <w:rPr>
                <w:rFonts w:hint="eastAsia" w:ascii="仿宋_GB2312" w:hAnsi="宋体" w:eastAsia="仿宋_GB2312" w:cs="宋体"/>
                <w:color w:val="000000"/>
                <w:szCs w:val="21"/>
                <w:highlight w:val="none"/>
              </w:rPr>
            </w:pPr>
            <w:r>
              <w:rPr>
                <w:rFonts w:hint="eastAsia" w:ascii="仿宋_GB2312" w:hAnsi="Calibri" w:eastAsia="仿宋_GB2312"/>
                <w:szCs w:val="21"/>
                <w:highlight w:val="none"/>
                <w:lang w:val="en-US" w:eastAsia="zh-CN"/>
              </w:rPr>
              <w:t>造价</w:t>
            </w:r>
            <w:r>
              <w:rPr>
                <w:rFonts w:hint="eastAsia" w:ascii="仿宋_GB2312" w:hAnsi="Calibri" w:eastAsia="仿宋_GB2312"/>
                <w:szCs w:val="21"/>
                <w:highlight w:val="none"/>
              </w:rPr>
              <w:t>咨询服务项目报价表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jc w:val="center"/>
        </w:trPr>
        <w:tc>
          <w:tcPr>
            <w:tcW w:w="804" w:type="dxa"/>
            <w:vMerge w:val="restart"/>
            <w:noWrap w:val="0"/>
            <w:vAlign w:val="center"/>
          </w:tcPr>
          <w:p>
            <w:pPr>
              <w:widowControl/>
              <w:jc w:val="center"/>
              <w:textAlignment w:val="center"/>
              <w:rPr>
                <w:rFonts w:hint="eastAsia" w:ascii="仿宋_GB2312" w:hAnsi="方正仿宋_GBK" w:eastAsia="仿宋_GB2312" w:cs="方正仿宋_GBK"/>
                <w:color w:val="000000"/>
                <w:szCs w:val="21"/>
                <w:highlight w:val="none"/>
              </w:rPr>
            </w:pPr>
            <w:r>
              <w:rPr>
                <w:rFonts w:hint="eastAsia" w:ascii="仿宋_GB2312" w:hAnsi="方正仿宋_GBK" w:eastAsia="仿宋_GB2312" w:cs="方正仿宋_GBK"/>
                <w:szCs w:val="21"/>
                <w:highlight w:val="none"/>
              </w:rPr>
              <w:t>序号</w:t>
            </w:r>
          </w:p>
        </w:tc>
        <w:tc>
          <w:tcPr>
            <w:tcW w:w="1711" w:type="dxa"/>
            <w:vMerge w:val="restart"/>
            <w:noWrap w:val="0"/>
            <w:vAlign w:val="center"/>
          </w:tcPr>
          <w:p>
            <w:pPr>
              <w:widowControl/>
              <w:jc w:val="center"/>
              <w:textAlignment w:val="center"/>
              <w:rPr>
                <w:rFonts w:hint="eastAsia" w:ascii="仿宋_GB2312" w:hAnsi="方正仿宋_GBK" w:eastAsia="仿宋_GB2312" w:cs="方正仿宋_GBK"/>
                <w:color w:val="000000"/>
                <w:szCs w:val="21"/>
                <w:highlight w:val="none"/>
              </w:rPr>
            </w:pPr>
            <w:r>
              <w:rPr>
                <w:rFonts w:hint="eastAsia" w:ascii="仿宋_GB2312" w:hAnsi="方正仿宋_GBK" w:eastAsia="仿宋_GB2312" w:cs="方正仿宋_GBK"/>
                <w:szCs w:val="21"/>
                <w:highlight w:val="none"/>
              </w:rPr>
              <w:t>项目</w:t>
            </w:r>
          </w:p>
        </w:tc>
        <w:tc>
          <w:tcPr>
            <w:tcW w:w="6001" w:type="dxa"/>
            <w:gridSpan w:val="6"/>
            <w:noWrap w:val="0"/>
            <w:vAlign w:val="center"/>
          </w:tcPr>
          <w:p>
            <w:pPr>
              <w:widowControl/>
              <w:jc w:val="center"/>
              <w:textAlignment w:val="center"/>
              <w:rPr>
                <w:rFonts w:hint="eastAsia" w:ascii="仿宋_GB2312" w:hAnsi="方正仿宋_GBK" w:eastAsia="仿宋_GB2312" w:cs="方正仿宋_GBK"/>
                <w:color w:val="000000"/>
                <w:szCs w:val="21"/>
                <w:highlight w:val="none"/>
              </w:rPr>
            </w:pPr>
            <w:r>
              <w:rPr>
                <w:rFonts w:hint="eastAsia" w:ascii="仿宋_GB2312" w:hAnsi="方正仿宋_GBK" w:eastAsia="仿宋_GB2312" w:cs="方正仿宋_GBK"/>
                <w:szCs w:val="21"/>
                <w:highlight w:val="none"/>
              </w:rPr>
              <w:t>计费基数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1" w:hRule="atLeast"/>
          <w:jc w:val="center"/>
        </w:trPr>
        <w:tc>
          <w:tcPr>
            <w:tcW w:w="804" w:type="dxa"/>
            <w:vMerge w:val="continue"/>
            <w:noWrap w:val="0"/>
            <w:vAlign w:val="center"/>
          </w:tcPr>
          <w:p>
            <w:pPr>
              <w:jc w:val="left"/>
              <w:rPr>
                <w:rFonts w:hint="eastAsia" w:ascii="仿宋_GB2312" w:hAnsi="方正仿宋_GBK" w:eastAsia="仿宋_GB2312" w:cs="方正仿宋_GBK"/>
                <w:color w:val="000000"/>
                <w:szCs w:val="21"/>
                <w:highlight w:val="none"/>
              </w:rPr>
            </w:pPr>
          </w:p>
        </w:tc>
        <w:tc>
          <w:tcPr>
            <w:tcW w:w="1711" w:type="dxa"/>
            <w:vMerge w:val="continue"/>
            <w:noWrap w:val="0"/>
            <w:vAlign w:val="center"/>
          </w:tcPr>
          <w:p>
            <w:pPr>
              <w:jc w:val="left"/>
              <w:rPr>
                <w:rFonts w:hint="eastAsia" w:ascii="仿宋_GB2312" w:hAnsi="方正仿宋_GBK" w:eastAsia="仿宋_GB2312" w:cs="方正仿宋_GBK"/>
                <w:color w:val="000000"/>
                <w:szCs w:val="21"/>
                <w:highlight w:val="none"/>
              </w:rPr>
            </w:pPr>
          </w:p>
        </w:tc>
        <w:tc>
          <w:tcPr>
            <w:tcW w:w="992" w:type="dxa"/>
            <w:noWrap w:val="0"/>
            <w:vAlign w:val="center"/>
          </w:tcPr>
          <w:p>
            <w:pPr>
              <w:widowControl/>
              <w:spacing w:before="150" w:after="150"/>
              <w:jc w:val="center"/>
              <w:rPr>
                <w:rFonts w:hint="eastAsia" w:ascii="仿宋" w:hAnsi="仿宋" w:eastAsia="仿宋" w:cs="方正仿宋_GBK"/>
                <w:kern w:val="0"/>
                <w:sz w:val="18"/>
                <w:szCs w:val="18"/>
                <w:highlight w:val="none"/>
                <w:lang w:bidi="ar"/>
              </w:rPr>
            </w:pPr>
            <w:r>
              <w:rPr>
                <w:rFonts w:hint="eastAsia" w:ascii="仿宋" w:hAnsi="仿宋" w:eastAsia="仿宋" w:cs="方正仿宋_GBK"/>
                <w:kern w:val="0"/>
                <w:sz w:val="18"/>
                <w:szCs w:val="18"/>
                <w:highlight w:val="none"/>
                <w:lang w:bidi="ar"/>
              </w:rPr>
              <w:t>500万元以下</w:t>
            </w:r>
          </w:p>
        </w:tc>
        <w:tc>
          <w:tcPr>
            <w:tcW w:w="1276" w:type="dxa"/>
            <w:noWrap w:val="0"/>
            <w:vAlign w:val="center"/>
          </w:tcPr>
          <w:p>
            <w:pPr>
              <w:widowControl/>
              <w:spacing w:before="150" w:after="150"/>
              <w:jc w:val="center"/>
              <w:rPr>
                <w:rFonts w:hint="eastAsia" w:ascii="仿宋" w:hAnsi="仿宋" w:eastAsia="仿宋" w:cs="方正仿宋_GBK"/>
                <w:kern w:val="0"/>
                <w:sz w:val="18"/>
                <w:szCs w:val="18"/>
                <w:highlight w:val="none"/>
                <w:lang w:bidi="ar"/>
              </w:rPr>
            </w:pPr>
            <w:r>
              <w:rPr>
                <w:rFonts w:hint="eastAsia" w:ascii="仿宋" w:hAnsi="仿宋" w:eastAsia="仿宋" w:cs="方正仿宋_GBK"/>
                <w:kern w:val="0"/>
                <w:sz w:val="18"/>
                <w:szCs w:val="18"/>
                <w:highlight w:val="none"/>
                <w:lang w:bidi="ar"/>
              </w:rPr>
              <w:t>501-1000万元以内</w:t>
            </w:r>
          </w:p>
        </w:tc>
        <w:tc>
          <w:tcPr>
            <w:tcW w:w="1134" w:type="dxa"/>
            <w:noWrap w:val="0"/>
            <w:vAlign w:val="center"/>
          </w:tcPr>
          <w:p>
            <w:pPr>
              <w:widowControl/>
              <w:spacing w:before="150" w:after="150"/>
              <w:jc w:val="center"/>
              <w:rPr>
                <w:rFonts w:hint="eastAsia" w:ascii="仿宋" w:hAnsi="仿宋" w:eastAsia="仿宋" w:cs="方正仿宋_GBK"/>
                <w:kern w:val="0"/>
                <w:sz w:val="18"/>
                <w:szCs w:val="18"/>
                <w:highlight w:val="none"/>
                <w:lang w:bidi="ar"/>
              </w:rPr>
            </w:pPr>
            <w:r>
              <w:rPr>
                <w:rFonts w:hint="eastAsia" w:ascii="仿宋" w:hAnsi="仿宋" w:eastAsia="仿宋" w:cs="方正仿宋_GBK"/>
                <w:kern w:val="0"/>
                <w:sz w:val="18"/>
                <w:szCs w:val="18"/>
                <w:highlight w:val="none"/>
                <w:lang w:bidi="ar"/>
              </w:rPr>
              <w:t>1001-5000万元以内</w:t>
            </w:r>
          </w:p>
        </w:tc>
        <w:tc>
          <w:tcPr>
            <w:tcW w:w="1134" w:type="dxa"/>
            <w:noWrap w:val="0"/>
            <w:vAlign w:val="center"/>
          </w:tcPr>
          <w:p>
            <w:pPr>
              <w:widowControl/>
              <w:spacing w:before="150" w:after="150"/>
              <w:jc w:val="center"/>
              <w:rPr>
                <w:rFonts w:hint="eastAsia" w:ascii="仿宋" w:hAnsi="仿宋" w:eastAsia="仿宋" w:cs="方正仿宋_GBK"/>
                <w:kern w:val="0"/>
                <w:sz w:val="18"/>
                <w:szCs w:val="18"/>
                <w:highlight w:val="none"/>
                <w:lang w:bidi="ar"/>
              </w:rPr>
            </w:pPr>
            <w:r>
              <w:rPr>
                <w:rFonts w:hint="eastAsia" w:ascii="仿宋" w:hAnsi="仿宋" w:eastAsia="仿宋" w:cs="方正仿宋_GBK"/>
                <w:kern w:val="0"/>
                <w:sz w:val="18"/>
                <w:szCs w:val="18"/>
                <w:highlight w:val="none"/>
                <w:lang w:bidi="ar"/>
              </w:rPr>
              <w:t>5001万元-1亿元以内</w:t>
            </w: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before="150" w:after="150"/>
              <w:jc w:val="center"/>
              <w:rPr>
                <w:rFonts w:hint="eastAsia" w:ascii="仿宋_GB2312" w:hAnsi="方正仿宋_GBK" w:eastAsia="仿宋_GB2312" w:cs="方正仿宋_GBK"/>
                <w:szCs w:val="21"/>
                <w:highlight w:val="none"/>
              </w:rPr>
            </w:pPr>
            <w:r>
              <w:rPr>
                <w:rFonts w:hint="eastAsia" w:ascii="仿宋" w:hAnsi="仿宋" w:eastAsia="仿宋" w:cs="方正仿宋_GBK"/>
                <w:kern w:val="0"/>
                <w:sz w:val="18"/>
                <w:szCs w:val="18"/>
                <w:highlight w:val="none"/>
                <w:lang w:bidi="ar"/>
              </w:rPr>
              <w:t>10</w:t>
            </w:r>
            <w:r>
              <w:rPr>
                <w:rFonts w:ascii="仿宋" w:hAnsi="仿宋" w:eastAsia="仿宋" w:cs="方正仿宋_GBK"/>
                <w:kern w:val="0"/>
                <w:sz w:val="18"/>
                <w:szCs w:val="18"/>
                <w:highlight w:val="none"/>
                <w:lang w:bidi="ar"/>
              </w:rPr>
              <w:t>001</w:t>
            </w:r>
            <w:r>
              <w:rPr>
                <w:rFonts w:hint="eastAsia" w:ascii="仿宋" w:hAnsi="仿宋" w:eastAsia="仿宋" w:cs="方正仿宋_GBK"/>
                <w:kern w:val="0"/>
                <w:sz w:val="18"/>
                <w:szCs w:val="18"/>
                <w:highlight w:val="none"/>
                <w:lang w:bidi="ar"/>
              </w:rPr>
              <w:t>万元-</w:t>
            </w:r>
            <w:r>
              <w:rPr>
                <w:rFonts w:ascii="仿宋" w:hAnsi="仿宋" w:eastAsia="仿宋" w:cs="方正仿宋_GBK"/>
                <w:kern w:val="0"/>
                <w:sz w:val="18"/>
                <w:szCs w:val="18"/>
                <w:highlight w:val="none"/>
                <w:lang w:bidi="ar"/>
              </w:rPr>
              <w:t>5</w:t>
            </w:r>
            <w:r>
              <w:rPr>
                <w:rFonts w:hint="eastAsia" w:ascii="仿宋" w:hAnsi="仿宋" w:eastAsia="仿宋" w:cs="方正仿宋_GBK"/>
                <w:kern w:val="0"/>
                <w:sz w:val="18"/>
                <w:szCs w:val="18"/>
                <w:highlight w:val="none"/>
                <w:lang w:bidi="ar"/>
              </w:rPr>
              <w:t>亿元以内</w:t>
            </w:r>
          </w:p>
        </w:tc>
        <w:tc>
          <w:tcPr>
            <w:tcW w:w="614" w:type="dxa"/>
            <w:tcBorders>
              <w:top w:val="single" w:color="000000" w:sz="4" w:space="0"/>
              <w:left w:val="single" w:color="auto" w:sz="4" w:space="0"/>
              <w:bottom w:val="single" w:color="000000" w:sz="4" w:space="0"/>
              <w:right w:val="single" w:color="000000" w:sz="4" w:space="0"/>
            </w:tcBorders>
            <w:noWrap w:val="0"/>
            <w:vAlign w:val="center"/>
          </w:tcPr>
          <w:p>
            <w:pPr>
              <w:widowControl/>
              <w:spacing w:before="150" w:after="150"/>
              <w:jc w:val="center"/>
              <w:rPr>
                <w:rFonts w:hint="eastAsia" w:ascii="仿宋_GB2312" w:hAnsi="方正仿宋_GBK" w:eastAsia="仿宋_GB2312" w:cs="方正仿宋_GBK"/>
                <w:szCs w:val="21"/>
                <w:highlight w:val="none"/>
              </w:rPr>
            </w:pPr>
            <w:r>
              <w:rPr>
                <w:rFonts w:hint="eastAsia" w:ascii="仿宋" w:hAnsi="仿宋" w:eastAsia="仿宋" w:cs="方正仿宋_GBK"/>
                <w:sz w:val="18"/>
                <w:szCs w:val="18"/>
                <w:highlight w:val="none"/>
              </w:rPr>
              <w:t>5亿元以上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5" w:hRule="atLeast"/>
          <w:jc w:val="center"/>
        </w:trPr>
        <w:tc>
          <w:tcPr>
            <w:tcW w:w="804" w:type="dxa"/>
            <w:noWrap w:val="0"/>
            <w:vAlign w:val="center"/>
          </w:tcPr>
          <w:p>
            <w:pPr>
              <w:jc w:val="center"/>
              <w:rPr>
                <w:rFonts w:hint="eastAsia" w:ascii="仿宋_GB2312" w:hAnsi="方正仿宋_GBK" w:eastAsia="仿宋_GB2312" w:cs="方正仿宋_GBK"/>
                <w:color w:val="000000"/>
                <w:szCs w:val="21"/>
                <w:highlight w:val="none"/>
                <w:lang w:eastAsia="zh-CN"/>
              </w:rPr>
            </w:pPr>
            <w:r>
              <w:rPr>
                <w:rFonts w:hint="eastAsia" w:ascii="仿宋_GB2312" w:hAnsi="方正仿宋_GBK" w:eastAsia="仿宋_GB2312" w:cs="方正仿宋_GBK"/>
                <w:color w:val="000000"/>
                <w:szCs w:val="21"/>
                <w:highlight w:val="none"/>
                <w:lang w:val="en-US" w:eastAsia="zh-CN"/>
              </w:rPr>
              <w:t>1</w:t>
            </w:r>
          </w:p>
        </w:tc>
        <w:tc>
          <w:tcPr>
            <w:tcW w:w="1711" w:type="dxa"/>
            <w:noWrap w:val="0"/>
            <w:vAlign w:val="center"/>
          </w:tcPr>
          <w:p>
            <w:pPr>
              <w:widowControl/>
              <w:spacing w:line="240" w:lineRule="exact"/>
              <w:jc w:val="center"/>
              <w:textAlignment w:val="center"/>
              <w:rPr>
                <w:rFonts w:hint="eastAsia" w:ascii="仿宋_GB2312" w:hAnsi="方正仿宋_GBK" w:eastAsia="仿宋_GB2312" w:cs="方正仿宋_GBK"/>
                <w:kern w:val="0"/>
                <w:szCs w:val="21"/>
                <w:highlight w:val="none"/>
              </w:rPr>
            </w:pPr>
            <w:r>
              <w:rPr>
                <w:rFonts w:hint="eastAsia" w:ascii="仿宋_GB2312" w:hAnsi="方正仿宋_GBK" w:eastAsia="仿宋_GB2312" w:cs="方正仿宋_GBK"/>
                <w:kern w:val="0"/>
                <w:szCs w:val="21"/>
                <w:highlight w:val="none"/>
              </w:rPr>
              <w:t>投报下浮率</w:t>
            </w:r>
          </w:p>
        </w:tc>
        <w:tc>
          <w:tcPr>
            <w:tcW w:w="6001" w:type="dxa"/>
            <w:gridSpan w:val="6"/>
            <w:noWrap w:val="0"/>
            <w:vAlign w:val="center"/>
          </w:tcPr>
          <w:p>
            <w:pPr>
              <w:widowControl/>
              <w:jc w:val="right"/>
              <w:textAlignment w:val="center"/>
              <w:rPr>
                <w:rFonts w:hint="eastAsia" w:ascii="仿宋_GB2312" w:hAnsi="方正仿宋_GBK" w:eastAsia="仿宋_GB2312" w:cs="方正仿宋_GBK"/>
                <w:color w:val="000000"/>
                <w:kern w:val="0"/>
                <w:sz w:val="22"/>
                <w:szCs w:val="22"/>
                <w:highlight w:val="none"/>
                <w:lang w:bidi="ar"/>
              </w:rPr>
            </w:pPr>
          </w:p>
        </w:tc>
      </w:tr>
    </w:tbl>
    <w:p>
      <w:pPr>
        <w:adjustRightInd/>
        <w:spacing w:line="520" w:lineRule="exact"/>
        <w:ind w:firstLine="480" w:firstLineChars="200"/>
        <w:rPr>
          <w:rFonts w:hint="eastAsia" w:ascii="宋体" w:hAnsi="宋体" w:eastAsia="宋体" w:cs="Times New Roman"/>
          <w:color w:val="auto"/>
          <w:sz w:val="24"/>
          <w:szCs w:val="24"/>
          <w:highlight w:val="none"/>
        </w:rPr>
      </w:pPr>
      <w:r>
        <w:rPr>
          <w:rFonts w:hint="eastAsia" w:ascii="宋体" w:hAnsi="宋体" w:cs="Times New Roman"/>
          <w:color w:val="auto"/>
          <w:sz w:val="24"/>
          <w:szCs w:val="24"/>
          <w:highlight w:val="none"/>
          <w:lang w:eastAsia="zh-CN"/>
        </w:rPr>
        <w:t>3、</w:t>
      </w:r>
      <w:r>
        <w:rPr>
          <w:rFonts w:hint="eastAsia" w:ascii="宋体" w:hAnsi="宋体" w:eastAsia="宋体" w:cs="Times New Roman"/>
          <w:color w:val="auto"/>
          <w:sz w:val="24"/>
          <w:szCs w:val="24"/>
          <w:highlight w:val="none"/>
        </w:rPr>
        <w:t>投标人所报价款包括为实施和完成合同标段所需的劳务、材料、管理、税费、利润、现场调研等所有费用，以及该项任务明示或暗示的所有责任、义务和风险。</w:t>
      </w:r>
    </w:p>
    <w:p>
      <w:pPr>
        <w:spacing w:line="52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b/>
          <w:color w:val="auto"/>
          <w:sz w:val="24"/>
          <w:highlight w:val="none"/>
          <w:lang w:val="en-US" w:eastAsia="zh-CN"/>
        </w:rPr>
        <w:t>五</w:t>
      </w:r>
      <w:r>
        <w:rPr>
          <w:rFonts w:hint="eastAsia" w:ascii="宋体" w:hAnsi="宋体"/>
          <w:b/>
          <w:color w:val="auto"/>
          <w:sz w:val="24"/>
          <w:highlight w:val="none"/>
        </w:rPr>
        <w:t>、</w:t>
      </w:r>
      <w:r>
        <w:rPr>
          <w:rFonts w:hint="eastAsia" w:ascii="宋体" w:hAnsi="宋体"/>
          <w:b/>
          <w:color w:val="auto"/>
          <w:sz w:val="24"/>
          <w:highlight w:val="none"/>
          <w:lang w:val="en-US" w:eastAsia="zh-CN"/>
        </w:rPr>
        <w:t>编制审核费用</w:t>
      </w:r>
      <w:r>
        <w:rPr>
          <w:rFonts w:hint="eastAsia" w:ascii="宋体" w:hAnsi="宋体"/>
          <w:b/>
          <w:color w:val="auto"/>
          <w:sz w:val="24"/>
          <w:highlight w:val="none"/>
        </w:rPr>
        <w:t>计取模式</w:t>
      </w:r>
    </w:p>
    <w:p>
      <w:pPr>
        <w:spacing w:line="52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1、最终造价咨询费用=比选人认可的单位工程造价*对应项目限价费率*（1-中标人所报下浮率）。</w:t>
      </w:r>
    </w:p>
    <w:p>
      <w:pPr>
        <w:spacing w:line="52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2、单项委托项目按上述费用计算不足3000元时，以及非工程类造价咨询服务及限价编制，按3000元/次包干计取。</w:t>
      </w:r>
    </w:p>
    <w:p>
      <w:pPr>
        <w:spacing w:line="520" w:lineRule="exact"/>
        <w:ind w:firstLine="482" w:firstLineChars="200"/>
        <w:rPr>
          <w:rFonts w:hint="eastAsia" w:ascii="宋体" w:hAnsi="宋体"/>
          <w:b/>
          <w:color w:val="auto"/>
          <w:sz w:val="24"/>
          <w:highlight w:val="none"/>
        </w:rPr>
      </w:pPr>
      <w:r>
        <w:rPr>
          <w:rFonts w:hint="eastAsia" w:ascii="宋体" w:hAnsi="宋体"/>
          <w:b/>
          <w:bCs w:val="0"/>
          <w:color w:val="auto"/>
          <w:sz w:val="24"/>
          <w:highlight w:val="none"/>
          <w:lang w:val="en-US" w:eastAsia="zh-CN"/>
        </w:rPr>
        <w:t>六</w:t>
      </w:r>
      <w:r>
        <w:rPr>
          <w:rFonts w:hint="eastAsia" w:ascii="宋体" w:hAnsi="宋体"/>
          <w:b/>
          <w:bCs w:val="0"/>
          <w:color w:val="auto"/>
          <w:sz w:val="24"/>
          <w:highlight w:val="none"/>
        </w:rPr>
        <w:t>、评审办法</w:t>
      </w:r>
    </w:p>
    <w:p>
      <w:pPr>
        <w:spacing w:line="52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评审采用</w:t>
      </w:r>
      <w:bookmarkStart w:id="32" w:name="_GoBack"/>
      <w:r>
        <w:rPr>
          <w:rFonts w:hint="eastAsia" w:ascii="宋体" w:hAnsi="宋体" w:cs="宋体"/>
          <w:b/>
          <w:bCs/>
          <w:sz w:val="24"/>
          <w:highlight w:val="none"/>
          <w:lang w:eastAsia="zh-CN"/>
        </w:rPr>
        <w:t>经评审的最低投标价法</w:t>
      </w:r>
      <w:bookmarkEnd w:id="32"/>
      <w:r>
        <w:rPr>
          <w:rFonts w:hint="eastAsia" w:ascii="宋体" w:hAnsi="宋体" w:cs="宋体"/>
          <w:sz w:val="24"/>
          <w:highlight w:val="none"/>
        </w:rPr>
        <w:t>。具体如下</w:t>
      </w:r>
      <w:r>
        <w:rPr>
          <w:rFonts w:hint="eastAsia" w:ascii="宋体" w:hAnsi="宋体" w:cs="宋体"/>
          <w:sz w:val="24"/>
          <w:highlight w:val="none"/>
          <w:lang w:eastAsia="zh-CN"/>
        </w:rPr>
        <w:t>：</w:t>
      </w:r>
    </w:p>
    <w:p>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评审委员会依次按照以下优先顺序确定中标候选人：</w:t>
      </w:r>
    </w:p>
    <w:p>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1、下浮费率最高的单位为第一中标候选人。</w:t>
      </w:r>
    </w:p>
    <w:p>
      <w:pPr>
        <w:spacing w:line="520" w:lineRule="exact"/>
        <w:ind w:firstLine="480" w:firstLineChars="200"/>
        <w:rPr>
          <w:rFonts w:hint="eastAsia" w:ascii="宋体" w:hAnsi="宋体" w:cs="宋体"/>
          <w:sz w:val="24"/>
          <w:highlight w:val="none"/>
          <w:lang w:val="en-US" w:eastAsia="zh-CN"/>
        </w:rPr>
      </w:pPr>
      <w:r>
        <w:rPr>
          <w:rFonts w:hint="eastAsia" w:ascii="宋体" w:hAnsi="宋体" w:cs="宋体"/>
          <w:sz w:val="24"/>
          <w:highlight w:val="none"/>
        </w:rPr>
        <w:t>2、若存在下浮费率相同的情况，</w:t>
      </w:r>
      <w:r>
        <w:rPr>
          <w:rFonts w:hint="eastAsia" w:ascii="宋体" w:hAnsi="宋体" w:cs="宋体"/>
          <w:sz w:val="24"/>
          <w:highlight w:val="none"/>
          <w:lang w:val="en-US" w:eastAsia="zh-CN"/>
        </w:rPr>
        <w:t>按照报价人提供业绩</w:t>
      </w:r>
      <w:r>
        <w:rPr>
          <w:rFonts w:hint="eastAsia" w:ascii="宋体" w:hAnsi="宋体" w:cs="宋体"/>
          <w:b/>
          <w:bCs/>
          <w:sz w:val="24"/>
          <w:highlight w:val="none"/>
          <w:lang w:val="en-US" w:eastAsia="zh-CN"/>
        </w:rPr>
        <w:t>（报价人近5年（2018年1月1日至今，以合同签订时间为准）以来，独立承担过金额不低于10亿的新建或改扩建高速公路工程的造价咨询业绩）</w:t>
      </w:r>
      <w:r>
        <w:rPr>
          <w:rFonts w:hint="eastAsia" w:ascii="宋体" w:hAnsi="宋体" w:cs="宋体"/>
          <w:sz w:val="24"/>
          <w:highlight w:val="none"/>
          <w:lang w:val="en-US" w:eastAsia="zh-CN"/>
        </w:rPr>
        <w:t>数量多的确定第一中标候选人。</w:t>
      </w:r>
    </w:p>
    <w:p>
      <w:pPr>
        <w:spacing w:line="52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3、若提供的业绩数量相同的情况，由评标委员会投票表决</w:t>
      </w:r>
      <w:r>
        <w:rPr>
          <w:rFonts w:hint="eastAsia" w:ascii="宋体" w:hAnsi="宋体" w:cs="宋体"/>
          <w:sz w:val="24"/>
          <w:highlight w:val="none"/>
        </w:rPr>
        <w:t>确定中标候选人。</w:t>
      </w:r>
    </w:p>
    <w:p>
      <w:pPr>
        <w:spacing w:line="520" w:lineRule="exact"/>
        <w:ind w:firstLine="480" w:firstLineChars="200"/>
        <w:rPr>
          <w:rFonts w:hint="eastAsia"/>
        </w:rPr>
      </w:pPr>
      <w:r>
        <w:rPr>
          <w:rFonts w:hint="eastAsia" w:ascii="宋体" w:hAnsi="宋体" w:cs="宋体"/>
          <w:sz w:val="24"/>
          <w:highlight w:val="none"/>
          <w:lang w:val="en-US" w:eastAsia="zh-CN"/>
        </w:rPr>
        <w:t>4</w:t>
      </w:r>
      <w:r>
        <w:rPr>
          <w:rFonts w:hint="eastAsia" w:ascii="宋体" w:hAnsi="宋体" w:cs="宋体"/>
          <w:sz w:val="24"/>
          <w:highlight w:val="none"/>
        </w:rPr>
        <w:t>、若第一中标候选人放弃中标的，则以第二中标候选人为最终的中标人，以此类推。</w:t>
      </w:r>
    </w:p>
    <w:p>
      <w:pPr>
        <w:spacing w:line="520" w:lineRule="exact"/>
        <w:ind w:firstLine="482" w:firstLineChars="200"/>
        <w:rPr>
          <w:rFonts w:ascii="宋体" w:hAnsi="宋体"/>
          <w:b/>
          <w:sz w:val="24"/>
          <w:highlight w:val="none"/>
        </w:rPr>
      </w:pPr>
      <w:r>
        <w:rPr>
          <w:rFonts w:hint="eastAsia" w:ascii="宋体" w:hAnsi="宋体"/>
          <w:b/>
          <w:sz w:val="24"/>
          <w:highlight w:val="none"/>
          <w:lang w:val="en-US" w:eastAsia="zh-CN"/>
        </w:rPr>
        <w:t>七</w:t>
      </w:r>
      <w:r>
        <w:rPr>
          <w:rFonts w:hint="eastAsia" w:ascii="宋体" w:hAnsi="宋体"/>
          <w:b/>
          <w:sz w:val="24"/>
          <w:highlight w:val="none"/>
        </w:rPr>
        <w:t>、</w:t>
      </w:r>
      <w:bookmarkStart w:id="4" w:name="_Hlk34427540"/>
      <w:r>
        <w:rPr>
          <w:rFonts w:hint="eastAsia" w:ascii="宋体" w:hAnsi="宋体"/>
          <w:b/>
          <w:sz w:val="24"/>
          <w:highlight w:val="none"/>
        </w:rPr>
        <w:t>报价文件要求</w:t>
      </w:r>
      <w:bookmarkEnd w:id="4"/>
    </w:p>
    <w:p>
      <w:pPr>
        <w:spacing w:line="52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一</w:t>
      </w:r>
      <w:r>
        <w:rPr>
          <w:rFonts w:hint="eastAsia" w:ascii="宋体" w:hAnsi="宋体"/>
          <w:sz w:val="24"/>
          <w:highlight w:val="none"/>
          <w:lang w:eastAsia="zh-CN"/>
        </w:rPr>
        <w:t>）</w:t>
      </w:r>
      <w:r>
        <w:rPr>
          <w:rFonts w:hint="eastAsia" w:ascii="宋体" w:hAnsi="宋体"/>
          <w:sz w:val="24"/>
          <w:highlight w:val="none"/>
        </w:rPr>
        <w:t>报价文件包含内容如下：</w:t>
      </w:r>
    </w:p>
    <w:p>
      <w:pPr>
        <w:spacing w:line="520" w:lineRule="exact"/>
        <w:ind w:firstLine="480" w:firstLineChars="200"/>
        <w:rPr>
          <w:rFonts w:ascii="宋体" w:hAnsi="宋体"/>
          <w:sz w:val="24"/>
          <w:highlight w:val="none"/>
        </w:rPr>
      </w:pPr>
      <w:r>
        <w:rPr>
          <w:rFonts w:hint="eastAsia" w:ascii="宋体" w:hAnsi="宋体"/>
          <w:sz w:val="24"/>
          <w:highlight w:val="none"/>
        </w:rPr>
        <w:t>报价文件封面（需加盖</w:t>
      </w:r>
      <w:r>
        <w:rPr>
          <w:rFonts w:hint="eastAsia" w:ascii="宋体" w:hAnsi="宋体"/>
          <w:sz w:val="24"/>
          <w:highlight w:val="none"/>
          <w:lang w:eastAsia="zh-CN"/>
        </w:rPr>
        <w:t>报价人</w:t>
      </w:r>
      <w:r>
        <w:rPr>
          <w:rFonts w:hint="eastAsia" w:ascii="宋体" w:hAnsi="宋体"/>
          <w:sz w:val="24"/>
          <w:highlight w:val="none"/>
        </w:rPr>
        <w:t>单位公章）</w:t>
      </w:r>
    </w:p>
    <w:p>
      <w:pPr>
        <w:spacing w:line="520" w:lineRule="exact"/>
        <w:ind w:firstLine="480" w:firstLineChars="200"/>
        <w:rPr>
          <w:rFonts w:hint="eastAsia" w:ascii="宋体" w:hAnsi="宋体"/>
          <w:sz w:val="24"/>
          <w:highlight w:val="none"/>
        </w:rPr>
      </w:pPr>
      <w:r>
        <w:rPr>
          <w:rFonts w:hint="eastAsia" w:ascii="宋体" w:hAnsi="宋体"/>
          <w:sz w:val="24"/>
          <w:highlight w:val="none"/>
        </w:rPr>
        <w:t>报价文件目录（需加盖</w:t>
      </w:r>
      <w:r>
        <w:rPr>
          <w:rFonts w:hint="eastAsia" w:ascii="宋体" w:hAnsi="宋体"/>
          <w:sz w:val="24"/>
          <w:highlight w:val="none"/>
          <w:lang w:eastAsia="zh-CN"/>
        </w:rPr>
        <w:t>报价人</w:t>
      </w:r>
      <w:r>
        <w:rPr>
          <w:rFonts w:hint="eastAsia" w:ascii="宋体" w:hAnsi="宋体"/>
          <w:sz w:val="24"/>
          <w:highlight w:val="none"/>
        </w:rPr>
        <w:t>单位公章）</w:t>
      </w:r>
    </w:p>
    <w:p>
      <w:pPr>
        <w:spacing w:line="52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lang w:eastAsia="zh-CN"/>
        </w:rPr>
        <w:t>）</w:t>
      </w:r>
      <w:r>
        <w:rPr>
          <w:rFonts w:hint="eastAsia" w:ascii="宋体" w:hAnsi="宋体"/>
          <w:sz w:val="24"/>
          <w:highlight w:val="none"/>
        </w:rPr>
        <w:t>商务部分</w:t>
      </w:r>
    </w:p>
    <w:p>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投标函</w:t>
      </w:r>
    </w:p>
    <w:p>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法定代表人身份证明</w:t>
      </w:r>
    </w:p>
    <w:p>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授权委托书</w:t>
      </w:r>
    </w:p>
    <w:p>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资格审查资料</w:t>
      </w:r>
    </w:p>
    <w:p>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类似业绩汇总表</w:t>
      </w:r>
    </w:p>
    <w:p>
      <w:pPr>
        <w:spacing w:line="520" w:lineRule="exact"/>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拟委任人员情况表</w:t>
      </w:r>
    </w:p>
    <w:p>
      <w:pPr>
        <w:spacing w:line="520" w:lineRule="exact"/>
        <w:ind w:firstLine="480" w:firstLineChars="200"/>
        <w:rPr>
          <w:rFonts w:hint="eastAsia" w:ascii="宋体" w:hAnsi="宋体"/>
          <w:sz w:val="24"/>
          <w:highlight w:val="none"/>
        </w:rPr>
      </w:pPr>
      <w:r>
        <w:rPr>
          <w:rFonts w:hint="eastAsia" w:ascii="宋体" w:hAnsi="宋体"/>
          <w:sz w:val="24"/>
          <w:highlight w:val="none"/>
        </w:rPr>
        <w:t>A、拟委任的主要人员汇总表</w:t>
      </w:r>
    </w:p>
    <w:p>
      <w:pPr>
        <w:spacing w:line="520" w:lineRule="exact"/>
        <w:ind w:firstLine="480" w:firstLineChars="200"/>
        <w:rPr>
          <w:rFonts w:hint="eastAsia" w:ascii="宋体" w:hAnsi="宋体"/>
          <w:sz w:val="24"/>
          <w:highlight w:val="none"/>
        </w:rPr>
      </w:pPr>
      <w:r>
        <w:rPr>
          <w:rFonts w:hint="eastAsia" w:ascii="宋体" w:hAnsi="宋体"/>
          <w:sz w:val="24"/>
          <w:highlight w:val="none"/>
        </w:rPr>
        <w:t>B、项目负责人资历表</w:t>
      </w:r>
    </w:p>
    <w:p>
      <w:pPr>
        <w:spacing w:line="520" w:lineRule="exact"/>
        <w:ind w:firstLine="480" w:firstLineChars="200"/>
        <w:rPr>
          <w:rFonts w:hint="eastAsia"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lang w:eastAsia="zh-CN"/>
        </w:rPr>
        <w:t>）</w:t>
      </w:r>
      <w:r>
        <w:rPr>
          <w:rFonts w:hint="eastAsia" w:ascii="宋体" w:hAnsi="宋体"/>
          <w:sz w:val="24"/>
          <w:highlight w:val="none"/>
        </w:rPr>
        <w:t>报价部分</w:t>
      </w:r>
    </w:p>
    <w:p>
      <w:pPr>
        <w:spacing w:line="520" w:lineRule="exact"/>
        <w:ind w:firstLine="720" w:firstLineChars="300"/>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报价函</w:t>
      </w:r>
    </w:p>
    <w:p>
      <w:pPr>
        <w:spacing w:line="520" w:lineRule="exact"/>
        <w:ind w:firstLine="480" w:firstLineChars="200"/>
        <w:rPr>
          <w:rFonts w:ascii="宋体" w:hAnsi="宋体"/>
          <w:sz w:val="24"/>
          <w:highlight w:val="none"/>
        </w:rPr>
      </w:pPr>
      <w:r>
        <w:rPr>
          <w:rFonts w:hint="eastAsia" w:ascii="宋体" w:hAnsi="宋体"/>
          <w:sz w:val="24"/>
          <w:highlight w:val="none"/>
        </w:rPr>
        <w:t>2、报价文件的封装</w:t>
      </w:r>
    </w:p>
    <w:p>
      <w:pPr>
        <w:spacing w:line="520" w:lineRule="exact"/>
        <w:ind w:firstLine="480" w:firstLineChars="200"/>
        <w:rPr>
          <w:rFonts w:ascii="宋体" w:hAnsi="宋体"/>
          <w:sz w:val="24"/>
          <w:highlight w:val="none"/>
        </w:rPr>
      </w:pPr>
      <w:r>
        <w:rPr>
          <w:rFonts w:hint="eastAsia" w:ascii="宋体" w:hAnsi="宋体"/>
          <w:sz w:val="24"/>
          <w:highlight w:val="none"/>
        </w:rPr>
        <w:t>（1）报价文件提供纸质版正副本各一份。</w:t>
      </w:r>
    </w:p>
    <w:p>
      <w:pPr>
        <w:spacing w:line="520" w:lineRule="exact"/>
        <w:ind w:firstLine="480" w:firstLineChars="200"/>
        <w:rPr>
          <w:rFonts w:ascii="宋体" w:hAnsi="宋体"/>
          <w:sz w:val="24"/>
          <w:highlight w:val="none"/>
        </w:rPr>
      </w:pPr>
      <w:r>
        <w:rPr>
          <w:rFonts w:hint="eastAsia" w:ascii="宋体" w:hAnsi="宋体"/>
          <w:sz w:val="24"/>
          <w:highlight w:val="none"/>
        </w:rPr>
        <w:t>（2）报价文件</w:t>
      </w:r>
      <w:r>
        <w:rPr>
          <w:rFonts w:ascii="宋体" w:hAnsi="宋体"/>
          <w:sz w:val="24"/>
          <w:highlight w:val="none"/>
        </w:rPr>
        <w:t>应装订成册，不得采用活页装订。否则，</w:t>
      </w:r>
      <w:r>
        <w:rPr>
          <w:rFonts w:hint="eastAsia" w:ascii="宋体" w:hAnsi="宋体"/>
          <w:sz w:val="24"/>
          <w:highlight w:val="none"/>
          <w:lang w:eastAsia="zh-CN"/>
        </w:rPr>
        <w:t>比选人</w:t>
      </w:r>
      <w:r>
        <w:rPr>
          <w:rFonts w:ascii="宋体" w:hAnsi="宋体"/>
          <w:sz w:val="24"/>
          <w:highlight w:val="none"/>
        </w:rPr>
        <w:t>对由于</w:t>
      </w:r>
      <w:r>
        <w:rPr>
          <w:rFonts w:hint="eastAsia" w:ascii="宋体" w:hAnsi="宋体"/>
          <w:sz w:val="24"/>
          <w:highlight w:val="none"/>
        </w:rPr>
        <w:t>报价</w:t>
      </w:r>
      <w:r>
        <w:rPr>
          <w:rFonts w:ascii="宋体" w:hAnsi="宋体"/>
          <w:sz w:val="24"/>
          <w:highlight w:val="none"/>
        </w:rPr>
        <w:t>文件装订松散而造成的丢失或其他后果不承担任何责任。</w:t>
      </w:r>
      <w:r>
        <w:rPr>
          <w:rFonts w:hint="eastAsia" w:ascii="宋体" w:hAnsi="宋体"/>
          <w:sz w:val="24"/>
          <w:highlight w:val="none"/>
        </w:rPr>
        <w:t>报价</w:t>
      </w:r>
      <w:r>
        <w:rPr>
          <w:rFonts w:ascii="宋体" w:hAnsi="宋体"/>
          <w:sz w:val="24"/>
          <w:highlight w:val="none"/>
        </w:rPr>
        <w:t>文件应编制目录，并且从目录开始逐页标注连续页码。</w:t>
      </w:r>
    </w:p>
    <w:p>
      <w:pPr>
        <w:spacing w:line="520" w:lineRule="exact"/>
        <w:ind w:firstLine="480" w:firstLineChars="200"/>
        <w:rPr>
          <w:rFonts w:ascii="宋体" w:hAnsi="宋体"/>
          <w:sz w:val="24"/>
          <w:highlight w:val="none"/>
        </w:rPr>
      </w:pPr>
      <w:r>
        <w:rPr>
          <w:rFonts w:hint="eastAsia" w:ascii="宋体" w:hAnsi="宋体"/>
          <w:sz w:val="24"/>
          <w:highlight w:val="none"/>
        </w:rPr>
        <w:t>（3）报价文件应密封在一个封套中，未密封的报价文件将不予签收。</w:t>
      </w:r>
    </w:p>
    <w:p>
      <w:pPr>
        <w:spacing w:line="520" w:lineRule="exact"/>
        <w:ind w:firstLine="480" w:firstLineChars="200"/>
        <w:rPr>
          <w:rFonts w:ascii="宋体" w:hAnsi="宋体"/>
          <w:sz w:val="24"/>
          <w:highlight w:val="none"/>
        </w:rPr>
      </w:pPr>
      <w:r>
        <w:rPr>
          <w:rFonts w:hint="eastAsia" w:ascii="宋体" w:hAnsi="宋体"/>
          <w:sz w:val="24"/>
          <w:highlight w:val="none"/>
        </w:rPr>
        <w:t>（4）报价</w:t>
      </w:r>
      <w:r>
        <w:rPr>
          <w:rFonts w:ascii="宋体" w:hAnsi="宋体"/>
          <w:sz w:val="24"/>
          <w:highlight w:val="none"/>
        </w:rPr>
        <w:t>文件应</w:t>
      </w:r>
      <w:r>
        <w:rPr>
          <w:rFonts w:hint="eastAsia" w:ascii="宋体" w:hAnsi="宋体"/>
          <w:sz w:val="24"/>
          <w:highlight w:val="none"/>
        </w:rPr>
        <w:t>使</w:t>
      </w:r>
      <w:r>
        <w:rPr>
          <w:rFonts w:ascii="宋体" w:hAnsi="宋体"/>
          <w:sz w:val="24"/>
          <w:highlight w:val="none"/>
        </w:rPr>
        <w:t>用不褪色的墨水书写或打印，</w:t>
      </w:r>
      <w:r>
        <w:rPr>
          <w:rFonts w:hint="eastAsia" w:ascii="宋体" w:hAnsi="宋体"/>
          <w:sz w:val="24"/>
          <w:highlight w:val="none"/>
        </w:rPr>
        <w:t>报价文件应按竞争性比选文件的要求签章完善</w:t>
      </w:r>
      <w:r>
        <w:rPr>
          <w:rFonts w:ascii="宋体" w:hAnsi="宋体"/>
          <w:sz w:val="24"/>
          <w:highlight w:val="none"/>
        </w:rPr>
        <w:t>，禁止使用印章或签名章。如果</w:t>
      </w:r>
      <w:r>
        <w:rPr>
          <w:rFonts w:hint="eastAsia" w:ascii="宋体" w:hAnsi="宋体"/>
          <w:sz w:val="24"/>
          <w:highlight w:val="none"/>
        </w:rPr>
        <w:t>报价</w:t>
      </w:r>
      <w:r>
        <w:rPr>
          <w:rFonts w:ascii="宋体" w:hAnsi="宋体"/>
          <w:sz w:val="24"/>
          <w:highlight w:val="none"/>
        </w:rPr>
        <w:t>文件由授权代理人签署，其代理人的授权书应按</w:t>
      </w:r>
      <w:r>
        <w:rPr>
          <w:rFonts w:hint="eastAsia" w:ascii="宋体" w:hAnsi="宋体"/>
          <w:sz w:val="24"/>
          <w:highlight w:val="none"/>
        </w:rPr>
        <w:t>竞争性比选文件</w:t>
      </w:r>
      <w:r>
        <w:rPr>
          <w:rFonts w:ascii="宋体" w:hAnsi="宋体"/>
          <w:sz w:val="24"/>
          <w:highlight w:val="none"/>
        </w:rPr>
        <w:t>规定的</w:t>
      </w:r>
      <w:r>
        <w:rPr>
          <w:rFonts w:hint="eastAsia" w:ascii="宋体" w:hAnsi="宋体"/>
          <w:sz w:val="24"/>
          <w:highlight w:val="none"/>
        </w:rPr>
        <w:t>格式</w:t>
      </w:r>
      <w:r>
        <w:rPr>
          <w:rFonts w:ascii="宋体" w:hAnsi="宋体"/>
          <w:sz w:val="24"/>
          <w:highlight w:val="none"/>
        </w:rPr>
        <w:t>出具，并由授权人和被授权人亲笔签名，禁止使用印章或签名章。</w:t>
      </w:r>
    </w:p>
    <w:p>
      <w:pPr>
        <w:spacing w:line="520" w:lineRule="exact"/>
        <w:ind w:firstLine="480" w:firstLineChars="200"/>
        <w:rPr>
          <w:rFonts w:ascii="宋体" w:hAnsi="宋体"/>
          <w:sz w:val="24"/>
          <w:highlight w:val="none"/>
        </w:rPr>
      </w:pPr>
      <w:r>
        <w:rPr>
          <w:rFonts w:hint="eastAsia" w:ascii="宋体" w:hAnsi="宋体"/>
          <w:sz w:val="24"/>
          <w:highlight w:val="none"/>
        </w:rPr>
        <w:t>（5）报价</w:t>
      </w:r>
      <w:r>
        <w:rPr>
          <w:rFonts w:ascii="宋体" w:hAnsi="宋体"/>
          <w:sz w:val="24"/>
          <w:highlight w:val="none"/>
        </w:rPr>
        <w:t>文件的任何一处涂改、行间插字或删除，均应由前款规定的</w:t>
      </w:r>
      <w:r>
        <w:rPr>
          <w:rFonts w:hint="eastAsia" w:ascii="宋体" w:hAnsi="宋体"/>
          <w:sz w:val="24"/>
          <w:highlight w:val="none"/>
        </w:rPr>
        <w:t>报价</w:t>
      </w:r>
      <w:r>
        <w:rPr>
          <w:rFonts w:ascii="宋体" w:hAnsi="宋体"/>
          <w:sz w:val="24"/>
          <w:highlight w:val="none"/>
        </w:rPr>
        <w:t>文件签署人在修改处签署姓名并加盖</w:t>
      </w:r>
      <w:r>
        <w:rPr>
          <w:rFonts w:hint="eastAsia" w:ascii="宋体" w:hAnsi="宋体"/>
          <w:sz w:val="24"/>
          <w:highlight w:val="none"/>
          <w:lang w:eastAsia="zh-CN"/>
        </w:rPr>
        <w:t>报价人</w:t>
      </w:r>
      <w:r>
        <w:rPr>
          <w:rFonts w:hint="eastAsia" w:ascii="宋体" w:hAnsi="宋体"/>
          <w:sz w:val="24"/>
          <w:highlight w:val="none"/>
        </w:rPr>
        <w:t>单位</w:t>
      </w:r>
      <w:r>
        <w:rPr>
          <w:rFonts w:ascii="宋体" w:hAnsi="宋体"/>
          <w:sz w:val="24"/>
          <w:highlight w:val="none"/>
        </w:rPr>
        <w:t>公章。</w:t>
      </w:r>
    </w:p>
    <w:p>
      <w:pPr>
        <w:spacing w:line="520" w:lineRule="exact"/>
        <w:ind w:firstLine="480" w:firstLineChars="200"/>
        <w:rPr>
          <w:rFonts w:ascii="宋体" w:hAnsi="宋体"/>
          <w:sz w:val="24"/>
          <w:highlight w:val="none"/>
        </w:rPr>
      </w:pPr>
      <w:r>
        <w:rPr>
          <w:rFonts w:hint="eastAsia" w:ascii="宋体" w:hAnsi="宋体"/>
          <w:sz w:val="24"/>
          <w:highlight w:val="none"/>
        </w:rPr>
        <w:t>（6）</w:t>
      </w:r>
      <w:r>
        <w:rPr>
          <w:rFonts w:hint="eastAsia" w:ascii="宋体" w:hAnsi="宋体"/>
          <w:sz w:val="24"/>
          <w:highlight w:val="none"/>
          <w:lang w:eastAsia="zh-CN"/>
        </w:rPr>
        <w:t>报价人</w:t>
      </w:r>
      <w:r>
        <w:rPr>
          <w:rFonts w:hint="eastAsia" w:ascii="宋体" w:hAnsi="宋体"/>
          <w:sz w:val="24"/>
          <w:highlight w:val="none"/>
        </w:rPr>
        <w:t>对</w:t>
      </w:r>
      <w:r>
        <w:rPr>
          <w:rFonts w:hint="eastAsia" w:ascii="宋体" w:hAnsi="宋体"/>
          <w:sz w:val="24"/>
          <w:highlight w:val="none"/>
          <w:lang w:val="zh-TW"/>
        </w:rPr>
        <w:t>所提供的所有报价资料均保证其真实性和合法性，如有虚假，</w:t>
      </w:r>
      <w:r>
        <w:rPr>
          <w:rFonts w:hint="eastAsia" w:ascii="宋体" w:hAnsi="宋体"/>
          <w:sz w:val="24"/>
          <w:highlight w:val="none"/>
          <w:lang w:val="zh-TW" w:eastAsia="zh-CN"/>
        </w:rPr>
        <w:t>比选人</w:t>
      </w:r>
      <w:r>
        <w:rPr>
          <w:rFonts w:hint="eastAsia" w:ascii="宋体" w:hAnsi="宋体"/>
          <w:sz w:val="24"/>
          <w:highlight w:val="none"/>
          <w:lang w:val="zh-TW"/>
        </w:rPr>
        <w:t>将取消其报价及中标资格；若在合同实施期间发现中标人提供了虚假资料，</w:t>
      </w:r>
      <w:r>
        <w:rPr>
          <w:rFonts w:hint="eastAsia" w:ascii="宋体" w:hAnsi="宋体"/>
          <w:sz w:val="24"/>
          <w:highlight w:val="none"/>
          <w:lang w:val="zh-TW" w:eastAsia="zh-CN"/>
        </w:rPr>
        <w:t>比选人</w:t>
      </w:r>
      <w:r>
        <w:rPr>
          <w:rFonts w:hint="eastAsia" w:ascii="宋体" w:hAnsi="宋体"/>
          <w:sz w:val="24"/>
          <w:highlight w:val="none"/>
          <w:lang w:val="zh-TW"/>
        </w:rPr>
        <w:t>有权单方面解除合同，或予以违约处罚并上报上级主管部门。</w:t>
      </w:r>
    </w:p>
    <w:p>
      <w:pPr>
        <w:spacing w:line="520" w:lineRule="exact"/>
        <w:ind w:firstLine="482" w:firstLineChars="200"/>
        <w:rPr>
          <w:rFonts w:ascii="宋体" w:hAnsi="宋体"/>
          <w:b/>
          <w:sz w:val="24"/>
          <w:highlight w:val="none"/>
        </w:rPr>
      </w:pPr>
      <w:r>
        <w:rPr>
          <w:rFonts w:hint="eastAsia" w:ascii="宋体" w:hAnsi="宋体"/>
          <w:b/>
          <w:sz w:val="24"/>
          <w:highlight w:val="none"/>
          <w:lang w:val="en-US" w:eastAsia="zh-CN"/>
        </w:rPr>
        <w:t>八</w:t>
      </w:r>
      <w:r>
        <w:rPr>
          <w:rFonts w:hint="eastAsia" w:ascii="宋体" w:hAnsi="宋体"/>
          <w:b/>
          <w:sz w:val="24"/>
          <w:highlight w:val="none"/>
        </w:rPr>
        <w:t>、竞争性比选文件的发送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tLeast"/>
        <w:ind w:left="0" w:right="0" w:firstLine="480" w:firstLineChars="200"/>
        <w:jc w:val="left"/>
        <w:textAlignment w:val="auto"/>
        <w:outlineLvl w:val="9"/>
        <w:rPr>
          <w:rFonts w:hint="default" w:ascii="Arial" w:hAnsi="Arial" w:eastAsia="宋体" w:cs="Arial"/>
          <w:sz w:val="24"/>
          <w:szCs w:val="24"/>
          <w:highlight w:val="none"/>
        </w:rPr>
      </w:pPr>
      <w:r>
        <w:rPr>
          <w:rFonts w:hint="eastAsia" w:ascii="Arial" w:hAnsi="Arial" w:cs="Arial"/>
          <w:sz w:val="24"/>
          <w:szCs w:val="24"/>
          <w:highlight w:val="none"/>
          <w:lang w:val="en-US" w:eastAsia="zh-CN"/>
        </w:rPr>
        <w:t>比选人</w:t>
      </w:r>
      <w:r>
        <w:rPr>
          <w:rFonts w:hint="eastAsia" w:ascii="Arial" w:hAnsi="Arial" w:eastAsia="宋体" w:cs="Arial"/>
          <w:sz w:val="24"/>
          <w:szCs w:val="24"/>
          <w:highlight w:val="none"/>
          <w:lang w:val="zh-TW"/>
        </w:rPr>
        <w:t>于202</w:t>
      </w:r>
      <w:r>
        <w:rPr>
          <w:rFonts w:hint="eastAsia" w:ascii="Arial" w:hAnsi="Arial" w:eastAsia="宋体" w:cs="Arial"/>
          <w:sz w:val="24"/>
          <w:szCs w:val="24"/>
          <w:highlight w:val="none"/>
          <w:lang w:val="en-US" w:eastAsia="zh-CN"/>
        </w:rPr>
        <w:t>3</w:t>
      </w:r>
      <w:r>
        <w:rPr>
          <w:rFonts w:hint="eastAsia" w:ascii="Arial" w:hAnsi="Arial" w:eastAsia="宋体" w:cs="Arial"/>
          <w:sz w:val="24"/>
          <w:szCs w:val="24"/>
          <w:highlight w:val="none"/>
          <w:lang w:val="zh-TW"/>
        </w:rPr>
        <w:t>年</w:t>
      </w:r>
      <w:r>
        <w:rPr>
          <w:rFonts w:hint="eastAsia" w:ascii="Arial" w:hAnsi="Arial" w:cs="Arial"/>
          <w:sz w:val="24"/>
          <w:szCs w:val="24"/>
          <w:highlight w:val="none"/>
          <w:lang w:val="en-US" w:eastAsia="zh-CN"/>
        </w:rPr>
        <w:t>8</w:t>
      </w:r>
      <w:r>
        <w:rPr>
          <w:rFonts w:hint="eastAsia" w:ascii="Arial" w:hAnsi="Arial" w:eastAsia="宋体" w:cs="Arial"/>
          <w:sz w:val="24"/>
          <w:szCs w:val="24"/>
          <w:highlight w:val="none"/>
          <w:lang w:val="zh-TW"/>
        </w:rPr>
        <w:t>月</w:t>
      </w:r>
      <w:r>
        <w:rPr>
          <w:rFonts w:hint="eastAsia" w:ascii="Arial" w:hAnsi="Arial" w:cs="Arial"/>
          <w:sz w:val="24"/>
          <w:szCs w:val="24"/>
          <w:highlight w:val="none"/>
          <w:lang w:val="en-US" w:eastAsia="zh-CN"/>
        </w:rPr>
        <w:t>21</w:t>
      </w:r>
      <w:r>
        <w:rPr>
          <w:rFonts w:hint="eastAsia" w:ascii="Arial" w:hAnsi="Arial" w:eastAsia="宋体" w:cs="Arial"/>
          <w:sz w:val="24"/>
          <w:szCs w:val="24"/>
          <w:highlight w:val="none"/>
          <w:lang w:val="zh-TW"/>
        </w:rPr>
        <w:t>日</w:t>
      </w:r>
      <w:r>
        <w:rPr>
          <w:rFonts w:hint="eastAsia" w:ascii="Arial" w:hAnsi="Arial" w:cs="Arial"/>
          <w:sz w:val="24"/>
          <w:szCs w:val="24"/>
          <w:highlight w:val="none"/>
          <w:lang w:val="en-US" w:eastAsia="zh-CN"/>
        </w:rPr>
        <w:t>开始</w:t>
      </w:r>
      <w:r>
        <w:rPr>
          <w:rFonts w:hint="eastAsia" w:ascii="Arial" w:hAnsi="Arial" w:eastAsia="宋体" w:cs="Arial"/>
          <w:sz w:val="24"/>
          <w:szCs w:val="24"/>
          <w:highlight w:val="none"/>
          <w:lang w:val="zh-TW"/>
        </w:rPr>
        <w:t>在重庆高速公路集团有限公司招投标管理平台合格供方库中随机抽选</w:t>
      </w:r>
      <w:r>
        <w:rPr>
          <w:rFonts w:hint="eastAsia" w:ascii="Arial" w:hAnsi="Arial" w:cs="Arial"/>
          <w:sz w:val="24"/>
          <w:szCs w:val="24"/>
          <w:highlight w:val="none"/>
          <w:lang w:val="en-US" w:eastAsia="zh-CN"/>
        </w:rPr>
        <w:t>30</w:t>
      </w:r>
      <w:r>
        <w:rPr>
          <w:rFonts w:hint="eastAsia" w:ascii="Arial" w:hAnsi="Arial" w:eastAsia="宋体" w:cs="Arial"/>
          <w:sz w:val="24"/>
          <w:szCs w:val="24"/>
          <w:highlight w:val="none"/>
          <w:lang w:val="zh-TW"/>
        </w:rPr>
        <w:t>家单位</w:t>
      </w:r>
      <w:r>
        <w:rPr>
          <w:rFonts w:hint="eastAsia" w:ascii="Arial" w:hAnsi="Arial" w:cs="Arial"/>
          <w:sz w:val="24"/>
          <w:szCs w:val="24"/>
          <w:highlight w:val="none"/>
          <w:lang w:val="en-US" w:eastAsia="zh-CN"/>
        </w:rPr>
        <w:t>参加本次比选，请满足竞争性比选文件要求的报价人在</w:t>
      </w:r>
      <w:r>
        <w:rPr>
          <w:rFonts w:hint="eastAsia" w:ascii="Arial" w:hAnsi="Arial" w:eastAsia="宋体" w:cs="Arial"/>
          <w:sz w:val="24"/>
          <w:szCs w:val="24"/>
          <w:highlight w:val="none"/>
          <w:lang w:val="zh-TW"/>
        </w:rPr>
        <w:t>202</w:t>
      </w:r>
      <w:r>
        <w:rPr>
          <w:rFonts w:hint="eastAsia" w:ascii="Arial" w:hAnsi="Arial" w:eastAsia="宋体" w:cs="Arial"/>
          <w:sz w:val="24"/>
          <w:szCs w:val="24"/>
          <w:highlight w:val="none"/>
          <w:lang w:val="en-US" w:eastAsia="zh-CN"/>
        </w:rPr>
        <w:t>3</w:t>
      </w:r>
      <w:r>
        <w:rPr>
          <w:rFonts w:hint="eastAsia" w:ascii="Arial" w:hAnsi="Arial" w:eastAsia="宋体" w:cs="Arial"/>
          <w:sz w:val="24"/>
          <w:szCs w:val="24"/>
          <w:highlight w:val="none"/>
          <w:lang w:val="zh-TW"/>
        </w:rPr>
        <w:t>年</w:t>
      </w:r>
      <w:r>
        <w:rPr>
          <w:rFonts w:hint="eastAsia" w:ascii="Arial" w:hAnsi="Arial" w:cs="Arial"/>
          <w:sz w:val="24"/>
          <w:szCs w:val="24"/>
          <w:highlight w:val="none"/>
          <w:lang w:val="en-US" w:eastAsia="zh-CN"/>
        </w:rPr>
        <w:t>8</w:t>
      </w:r>
      <w:r>
        <w:rPr>
          <w:rFonts w:hint="eastAsia" w:ascii="Arial" w:hAnsi="Arial" w:eastAsia="宋体" w:cs="Arial"/>
          <w:sz w:val="24"/>
          <w:szCs w:val="24"/>
          <w:highlight w:val="none"/>
          <w:lang w:val="zh-TW"/>
        </w:rPr>
        <w:t>月</w:t>
      </w:r>
      <w:r>
        <w:rPr>
          <w:rFonts w:hint="eastAsia" w:ascii="Arial" w:hAnsi="Arial" w:cs="Arial"/>
          <w:sz w:val="24"/>
          <w:szCs w:val="24"/>
          <w:highlight w:val="none"/>
          <w:lang w:val="en-US" w:eastAsia="zh-CN"/>
        </w:rPr>
        <w:t>23</w:t>
      </w:r>
      <w:r>
        <w:rPr>
          <w:rFonts w:hint="eastAsia" w:ascii="Arial" w:hAnsi="Arial" w:eastAsia="宋体" w:cs="Arial"/>
          <w:sz w:val="24"/>
          <w:szCs w:val="24"/>
          <w:highlight w:val="none"/>
          <w:lang w:val="zh-TW"/>
        </w:rPr>
        <w:t>日</w:t>
      </w:r>
      <w:r>
        <w:rPr>
          <w:rFonts w:hint="eastAsia" w:ascii="Arial" w:hAnsi="Arial" w:cs="Arial"/>
          <w:sz w:val="24"/>
          <w:szCs w:val="24"/>
          <w:highlight w:val="none"/>
          <w:lang w:val="en-US" w:eastAsia="zh-CN"/>
        </w:rPr>
        <w:t>10:00前在招标管理平台确定是否参与投标，并在开标时间前将电子版投标文件投报至高速集团招投标管理平台</w:t>
      </w:r>
      <w:r>
        <w:rPr>
          <w:rFonts w:hint="eastAsia" w:ascii="Arial" w:hAnsi="Arial" w:eastAsia="宋体" w:cs="Arial"/>
          <w:sz w:val="24"/>
          <w:szCs w:val="24"/>
          <w:highlight w:val="none"/>
          <w:lang w:val="zh-TW"/>
        </w:rPr>
        <w:t>。凡有意参加竞标者，请在高速集团官网（http://www.cegc.com.cn/gw/index）、高速集团招投标平台（http://43.240.249.108:8088）上自行下载竞争性比选文件等全部内容</w:t>
      </w:r>
      <w:r>
        <w:rPr>
          <w:rFonts w:hint="eastAsia" w:ascii="Arial" w:hAnsi="Arial" w:cs="Arial"/>
          <w:sz w:val="24"/>
          <w:szCs w:val="24"/>
          <w:highlight w:val="none"/>
          <w:lang w:val="zh-TW" w:eastAsia="zh-CN"/>
        </w:rPr>
        <w:t>，</w:t>
      </w:r>
      <w:r>
        <w:rPr>
          <w:rFonts w:hint="eastAsia" w:ascii="Arial" w:hAnsi="Arial" w:eastAsia="宋体" w:cs="Arial"/>
          <w:sz w:val="24"/>
          <w:szCs w:val="24"/>
          <w:highlight w:val="none"/>
          <w:lang w:val="zh-TW"/>
        </w:rPr>
        <w:t>不管下载与否都视为潜在比选申请人全部知晓有关比选过程和全部内容。</w:t>
      </w:r>
    </w:p>
    <w:p>
      <w:pPr>
        <w:spacing w:line="520" w:lineRule="exact"/>
        <w:ind w:firstLine="482" w:firstLineChars="200"/>
        <w:rPr>
          <w:rFonts w:ascii="宋体" w:hAnsi="宋体"/>
          <w:b/>
          <w:sz w:val="24"/>
          <w:highlight w:val="none"/>
        </w:rPr>
      </w:pPr>
      <w:r>
        <w:rPr>
          <w:rFonts w:hint="eastAsia" w:ascii="宋体" w:hAnsi="宋体"/>
          <w:b/>
          <w:sz w:val="24"/>
          <w:highlight w:val="none"/>
          <w:lang w:val="en-US" w:eastAsia="zh-CN"/>
        </w:rPr>
        <w:t>九</w:t>
      </w:r>
      <w:r>
        <w:rPr>
          <w:rFonts w:hint="eastAsia" w:ascii="宋体" w:hAnsi="宋体"/>
          <w:b/>
          <w:sz w:val="24"/>
          <w:highlight w:val="none"/>
        </w:rPr>
        <w:t>、</w:t>
      </w:r>
      <w:bookmarkStart w:id="5" w:name="_Hlk34427557"/>
      <w:r>
        <w:rPr>
          <w:rFonts w:hint="eastAsia" w:ascii="宋体" w:hAnsi="宋体"/>
          <w:b/>
          <w:sz w:val="24"/>
          <w:highlight w:val="none"/>
        </w:rPr>
        <w:t>现场开标</w:t>
      </w:r>
      <w:bookmarkEnd w:id="5"/>
    </w:p>
    <w:p>
      <w:pPr>
        <w:spacing w:line="520" w:lineRule="exact"/>
        <w:ind w:firstLine="480" w:firstLineChars="200"/>
        <w:jc w:val="left"/>
        <w:rPr>
          <w:rFonts w:hint="default" w:ascii="Arial" w:hAnsi="Arial" w:eastAsia="宋体" w:cs="Arial"/>
          <w:sz w:val="24"/>
          <w:szCs w:val="24"/>
          <w:highlight w:val="none"/>
        </w:rPr>
      </w:pPr>
      <w:r>
        <w:rPr>
          <w:rFonts w:hint="eastAsia" w:ascii="Arial" w:hAnsi="Arial" w:eastAsia="宋体" w:cs="Arial"/>
          <w:sz w:val="24"/>
          <w:szCs w:val="24"/>
          <w:highlight w:val="none"/>
        </w:rPr>
        <w:t>1、开标时间：202</w:t>
      </w:r>
      <w:r>
        <w:rPr>
          <w:rFonts w:hint="eastAsia" w:ascii="Arial" w:hAnsi="Arial" w:cs="Arial"/>
          <w:sz w:val="24"/>
          <w:szCs w:val="24"/>
          <w:highlight w:val="none"/>
          <w:lang w:val="en-US" w:eastAsia="zh-CN"/>
        </w:rPr>
        <w:t>3</w:t>
      </w:r>
      <w:r>
        <w:rPr>
          <w:rFonts w:hint="eastAsia" w:ascii="Arial" w:hAnsi="Arial" w:eastAsia="宋体" w:cs="Arial"/>
          <w:sz w:val="24"/>
          <w:szCs w:val="24"/>
          <w:highlight w:val="none"/>
        </w:rPr>
        <w:t>年</w:t>
      </w:r>
      <w:r>
        <w:rPr>
          <w:rFonts w:hint="eastAsia" w:ascii="Arial" w:hAnsi="Arial" w:cs="Arial"/>
          <w:sz w:val="24"/>
          <w:szCs w:val="24"/>
          <w:highlight w:val="none"/>
          <w:lang w:val="en-US" w:eastAsia="zh-CN"/>
        </w:rPr>
        <w:t>8</w:t>
      </w:r>
      <w:r>
        <w:rPr>
          <w:rFonts w:hint="eastAsia" w:ascii="Arial" w:hAnsi="Arial" w:eastAsia="宋体" w:cs="Arial"/>
          <w:sz w:val="24"/>
          <w:szCs w:val="24"/>
          <w:highlight w:val="none"/>
        </w:rPr>
        <w:t>月</w:t>
      </w:r>
      <w:r>
        <w:rPr>
          <w:rFonts w:hint="eastAsia" w:ascii="Arial" w:hAnsi="Arial" w:cs="Arial"/>
          <w:sz w:val="24"/>
          <w:szCs w:val="24"/>
          <w:highlight w:val="none"/>
          <w:lang w:val="en-US" w:eastAsia="zh-CN"/>
        </w:rPr>
        <w:t>25</w:t>
      </w:r>
      <w:r>
        <w:rPr>
          <w:rFonts w:hint="eastAsia" w:ascii="Arial" w:hAnsi="Arial" w:eastAsia="宋体" w:cs="Arial"/>
          <w:sz w:val="24"/>
          <w:szCs w:val="24"/>
          <w:highlight w:val="none"/>
        </w:rPr>
        <w:t>日</w:t>
      </w:r>
      <w:r>
        <w:rPr>
          <w:rFonts w:hint="eastAsia" w:ascii="Arial" w:hAnsi="Arial" w:cs="Arial"/>
          <w:sz w:val="24"/>
          <w:szCs w:val="24"/>
          <w:highlight w:val="none"/>
          <w:lang w:val="en-US" w:eastAsia="zh-CN"/>
        </w:rPr>
        <w:t>10:00</w:t>
      </w:r>
      <w:r>
        <w:rPr>
          <w:rFonts w:hint="default" w:ascii="Arial" w:hAnsi="Arial" w:eastAsia="宋体" w:cs="Arial"/>
          <w:sz w:val="24"/>
          <w:szCs w:val="24"/>
          <w:highlight w:val="none"/>
        </w:rPr>
        <w:t>(</w:t>
      </w:r>
      <w:r>
        <w:rPr>
          <w:rFonts w:hint="eastAsia" w:ascii="Arial" w:hAnsi="Arial" w:eastAsia="宋体" w:cs="Arial"/>
          <w:sz w:val="24"/>
          <w:szCs w:val="24"/>
          <w:highlight w:val="none"/>
        </w:rPr>
        <w:t>北京时间</w:t>
      </w:r>
      <w:r>
        <w:rPr>
          <w:rFonts w:hint="default" w:ascii="Arial" w:hAnsi="Arial" w:eastAsia="宋体" w:cs="Arial"/>
          <w:sz w:val="24"/>
          <w:szCs w:val="24"/>
          <w:highlight w:val="none"/>
        </w:rPr>
        <w:t>)</w:t>
      </w:r>
      <w:r>
        <w:rPr>
          <w:rFonts w:hint="eastAsia" w:ascii="Arial" w:hAnsi="Arial" w:eastAsia="宋体" w:cs="Arial"/>
          <w:sz w:val="24"/>
          <w:szCs w:val="24"/>
          <w:highlight w:val="none"/>
        </w:rPr>
        <w:t>；</w:t>
      </w:r>
    </w:p>
    <w:p>
      <w:pPr>
        <w:spacing w:line="520" w:lineRule="exact"/>
        <w:ind w:firstLine="480" w:firstLineChars="200"/>
        <w:jc w:val="left"/>
        <w:rPr>
          <w:rFonts w:hint="default" w:ascii="Arial" w:hAnsi="Arial" w:eastAsia="宋体" w:cs="Arial"/>
          <w:sz w:val="24"/>
          <w:szCs w:val="24"/>
          <w:highlight w:val="none"/>
        </w:rPr>
      </w:pPr>
      <w:r>
        <w:rPr>
          <w:rFonts w:hint="eastAsia" w:ascii="Arial" w:hAnsi="Arial" w:eastAsia="宋体" w:cs="Arial"/>
          <w:sz w:val="24"/>
          <w:szCs w:val="24"/>
          <w:highlight w:val="none"/>
        </w:rPr>
        <w:t>2、报价文件递交的截止时间为202</w:t>
      </w:r>
      <w:r>
        <w:rPr>
          <w:rFonts w:hint="eastAsia" w:ascii="Arial" w:hAnsi="Arial" w:cs="Arial"/>
          <w:sz w:val="24"/>
          <w:szCs w:val="24"/>
          <w:highlight w:val="none"/>
          <w:lang w:val="en-US" w:eastAsia="zh-CN"/>
        </w:rPr>
        <w:t>3</w:t>
      </w:r>
      <w:r>
        <w:rPr>
          <w:rFonts w:hint="eastAsia" w:ascii="Arial" w:hAnsi="Arial" w:eastAsia="宋体" w:cs="Arial"/>
          <w:sz w:val="24"/>
          <w:szCs w:val="24"/>
          <w:highlight w:val="none"/>
        </w:rPr>
        <w:t>年</w:t>
      </w:r>
      <w:r>
        <w:rPr>
          <w:rFonts w:hint="eastAsia" w:ascii="Arial" w:hAnsi="Arial" w:cs="Arial"/>
          <w:sz w:val="24"/>
          <w:szCs w:val="24"/>
          <w:highlight w:val="none"/>
          <w:lang w:val="en-US" w:eastAsia="zh-CN"/>
        </w:rPr>
        <w:t>8</w:t>
      </w:r>
      <w:r>
        <w:rPr>
          <w:rFonts w:hint="eastAsia" w:ascii="Arial" w:hAnsi="Arial" w:eastAsia="宋体" w:cs="Arial"/>
          <w:sz w:val="24"/>
          <w:szCs w:val="24"/>
          <w:highlight w:val="none"/>
        </w:rPr>
        <w:t>月</w:t>
      </w:r>
      <w:r>
        <w:rPr>
          <w:rFonts w:hint="eastAsia" w:ascii="Arial" w:hAnsi="Arial" w:cs="Arial"/>
          <w:sz w:val="24"/>
          <w:szCs w:val="24"/>
          <w:highlight w:val="none"/>
          <w:lang w:val="en-US" w:eastAsia="zh-CN"/>
        </w:rPr>
        <w:t>25</w:t>
      </w:r>
      <w:r>
        <w:rPr>
          <w:rFonts w:hint="eastAsia" w:ascii="Arial" w:hAnsi="Arial" w:eastAsia="宋体" w:cs="Arial"/>
          <w:sz w:val="24"/>
          <w:szCs w:val="24"/>
          <w:highlight w:val="none"/>
        </w:rPr>
        <w:t>日</w:t>
      </w:r>
      <w:r>
        <w:rPr>
          <w:rFonts w:hint="eastAsia" w:ascii="Arial" w:hAnsi="Arial" w:cs="Arial"/>
          <w:sz w:val="24"/>
          <w:szCs w:val="24"/>
          <w:highlight w:val="none"/>
          <w:lang w:val="en-US" w:eastAsia="zh-CN"/>
        </w:rPr>
        <w:t>10:00</w:t>
      </w:r>
      <w:r>
        <w:rPr>
          <w:rFonts w:hint="default" w:ascii="Arial" w:hAnsi="Arial" w:eastAsia="宋体" w:cs="Arial"/>
          <w:sz w:val="24"/>
          <w:szCs w:val="24"/>
          <w:highlight w:val="none"/>
        </w:rPr>
        <w:t>(</w:t>
      </w:r>
      <w:r>
        <w:rPr>
          <w:rFonts w:hint="eastAsia" w:ascii="Arial" w:hAnsi="Arial" w:eastAsia="宋体" w:cs="Arial"/>
          <w:sz w:val="24"/>
          <w:szCs w:val="24"/>
          <w:highlight w:val="none"/>
        </w:rPr>
        <w:t>北京时间</w:t>
      </w:r>
      <w:r>
        <w:rPr>
          <w:rFonts w:hint="default" w:ascii="Arial" w:hAnsi="Arial" w:eastAsia="宋体" w:cs="Arial"/>
          <w:sz w:val="24"/>
          <w:szCs w:val="24"/>
          <w:highlight w:val="none"/>
        </w:rPr>
        <w:t>)</w:t>
      </w:r>
      <w:r>
        <w:rPr>
          <w:rFonts w:hint="eastAsia" w:ascii="Arial" w:hAnsi="Arial" w:eastAsia="宋体" w:cs="Arial"/>
          <w:sz w:val="24"/>
          <w:szCs w:val="24"/>
          <w:highlight w:val="none"/>
        </w:rPr>
        <w:t>；</w:t>
      </w:r>
    </w:p>
    <w:p>
      <w:pPr>
        <w:spacing w:line="520" w:lineRule="exact"/>
        <w:ind w:firstLine="480" w:firstLineChars="200"/>
        <w:jc w:val="left"/>
        <w:rPr>
          <w:rFonts w:hint="eastAsia" w:ascii="宋体" w:hAnsi="宋体"/>
          <w:sz w:val="24"/>
          <w:highlight w:val="none"/>
        </w:rPr>
      </w:pPr>
      <w:r>
        <w:rPr>
          <w:rFonts w:hint="eastAsia" w:ascii="Arial" w:hAnsi="Arial" w:eastAsia="宋体" w:cs="Arial"/>
          <w:sz w:val="24"/>
          <w:szCs w:val="24"/>
          <w:highlight w:val="none"/>
        </w:rPr>
        <w:t>3、递交地点：重庆高速公路集团有限公</w:t>
      </w:r>
      <w:r>
        <w:rPr>
          <w:rFonts w:hint="eastAsia" w:ascii="Arial" w:hAnsi="Arial" w:eastAsia="宋体" w:cs="Arial"/>
          <w:sz w:val="24"/>
          <w:szCs w:val="24"/>
          <w:highlight w:val="none"/>
          <w:lang w:val="zh-TW"/>
        </w:rPr>
        <w:t>司</w:t>
      </w:r>
      <w:r>
        <w:rPr>
          <w:rFonts w:hint="eastAsia" w:ascii="Arial" w:hAnsi="Arial" w:eastAsia="宋体" w:cs="Arial"/>
          <w:sz w:val="24"/>
          <w:szCs w:val="24"/>
          <w:highlight w:val="none"/>
        </w:rPr>
        <w:t>（重庆市渝北区银杉路</w:t>
      </w:r>
      <w:r>
        <w:rPr>
          <w:rFonts w:hint="default" w:ascii="Arial" w:hAnsi="Arial" w:eastAsia="宋体" w:cs="Arial"/>
          <w:sz w:val="24"/>
          <w:szCs w:val="24"/>
          <w:highlight w:val="none"/>
        </w:rPr>
        <w:t>66</w:t>
      </w:r>
      <w:r>
        <w:rPr>
          <w:rFonts w:hint="eastAsia" w:ascii="Arial" w:hAnsi="Arial" w:eastAsia="宋体" w:cs="Arial"/>
          <w:sz w:val="24"/>
          <w:szCs w:val="24"/>
          <w:highlight w:val="none"/>
        </w:rPr>
        <w:t>号）</w:t>
      </w:r>
      <w:r>
        <w:rPr>
          <w:rFonts w:hint="eastAsia" w:ascii="Arial" w:hAnsi="Arial" w:cs="Arial"/>
          <w:sz w:val="24"/>
          <w:szCs w:val="24"/>
          <w:highlight w:val="none"/>
          <w:lang w:val="en-US" w:eastAsia="zh-CN"/>
        </w:rPr>
        <w:t>912</w:t>
      </w:r>
      <w:r>
        <w:rPr>
          <w:rFonts w:hint="eastAsia" w:ascii="Arial" w:hAnsi="Arial" w:eastAsia="宋体" w:cs="Arial"/>
          <w:sz w:val="24"/>
          <w:szCs w:val="24"/>
          <w:highlight w:val="none"/>
        </w:rPr>
        <w:t>会议室</w:t>
      </w:r>
      <w:r>
        <w:rPr>
          <w:rFonts w:hint="eastAsia" w:ascii="Arial" w:hAnsi="Arial" w:eastAsia="宋体" w:cs="Arial"/>
          <w:sz w:val="24"/>
          <w:szCs w:val="24"/>
          <w:highlight w:val="none"/>
          <w:lang w:val="zh-TW"/>
        </w:rPr>
        <w:t>，</w:t>
      </w:r>
      <w:r>
        <w:rPr>
          <w:rFonts w:hint="eastAsia" w:ascii="Arial" w:hAnsi="Arial" w:eastAsia="宋体" w:cs="Arial"/>
          <w:b/>
          <w:bCs/>
          <w:sz w:val="24"/>
          <w:szCs w:val="24"/>
          <w:highlight w:val="none"/>
        </w:rPr>
        <w:t>逾期送达的或者未送达指定地点的投标文件，</w:t>
      </w:r>
      <w:r>
        <w:rPr>
          <w:rFonts w:hint="eastAsia" w:ascii="Arial" w:hAnsi="Arial" w:cs="Arial"/>
          <w:b/>
          <w:bCs/>
          <w:sz w:val="24"/>
          <w:szCs w:val="24"/>
          <w:highlight w:val="none"/>
          <w:lang w:eastAsia="zh-CN"/>
        </w:rPr>
        <w:t>比选人</w:t>
      </w:r>
      <w:r>
        <w:rPr>
          <w:rFonts w:hint="eastAsia" w:ascii="Arial" w:hAnsi="Arial" w:eastAsia="宋体" w:cs="Arial"/>
          <w:b/>
          <w:bCs/>
          <w:sz w:val="24"/>
          <w:szCs w:val="24"/>
          <w:highlight w:val="none"/>
        </w:rPr>
        <w:t>不予受理，最终依据纸质版投标文件进行评审。</w:t>
      </w:r>
    </w:p>
    <w:p>
      <w:pPr>
        <w:spacing w:line="520" w:lineRule="exact"/>
        <w:ind w:firstLine="480" w:firstLineChars="200"/>
        <w:jc w:val="left"/>
        <w:rPr>
          <w:rFonts w:hint="eastAsia" w:ascii="Arial" w:hAnsi="Arial" w:cs="Arial"/>
          <w:b w:val="0"/>
          <w:sz w:val="24"/>
          <w:highlight w:val="none"/>
          <w:lang w:val="en-US" w:eastAsia="zh-CN"/>
        </w:rPr>
      </w:pPr>
      <w:r>
        <w:rPr>
          <w:rFonts w:hint="eastAsia" w:ascii="Arial" w:hAnsi="Arial" w:cs="Arial"/>
          <w:b w:val="0"/>
          <w:sz w:val="24"/>
          <w:highlight w:val="none"/>
          <w:lang w:val="en-US" w:eastAsia="zh-CN"/>
        </w:rPr>
        <w:t>4、开标异议：报价人对开标有异议的，应在开标现场提出，比选人当场作出答复，并制作记录，有异议的报价人代表、比选人代表、记录人等有关人员在记录上签字确认。</w:t>
      </w:r>
    </w:p>
    <w:p>
      <w:pPr>
        <w:spacing w:line="520" w:lineRule="exact"/>
        <w:ind w:firstLine="482" w:firstLineChars="200"/>
        <w:rPr>
          <w:rFonts w:ascii="宋体" w:hAnsi="宋体"/>
          <w:b/>
          <w:sz w:val="24"/>
          <w:highlight w:val="none"/>
        </w:rPr>
      </w:pPr>
      <w:r>
        <w:rPr>
          <w:rFonts w:hint="eastAsia" w:ascii="宋体" w:hAnsi="宋体"/>
          <w:b/>
          <w:sz w:val="24"/>
          <w:highlight w:val="none"/>
          <w:lang w:val="en-US" w:eastAsia="zh-CN"/>
        </w:rPr>
        <w:t>十</w:t>
      </w:r>
      <w:r>
        <w:rPr>
          <w:rFonts w:hint="eastAsia" w:ascii="宋体" w:hAnsi="宋体"/>
          <w:b/>
          <w:sz w:val="24"/>
          <w:highlight w:val="none"/>
        </w:rPr>
        <w:t>、重新招标</w:t>
      </w:r>
    </w:p>
    <w:p>
      <w:pPr>
        <w:pStyle w:val="6"/>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有下列情形之一的，比选人将重新招标：</w:t>
      </w:r>
    </w:p>
    <w:p>
      <w:pPr>
        <w:pStyle w:val="6"/>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(1)投标截止时间止，报价人少于3个的；</w:t>
      </w:r>
    </w:p>
    <w:p>
      <w:pPr>
        <w:pStyle w:val="6"/>
        <w:ind w:firstLine="480" w:firstLineChars="200"/>
        <w:rPr>
          <w:rFonts w:ascii="Times New Roman" w:hAnsi="Times New Roman"/>
          <w:sz w:val="21"/>
          <w:lang w:val="zh-TW"/>
        </w:rPr>
      </w:pPr>
      <w:r>
        <w:rPr>
          <w:rFonts w:hint="eastAsia" w:ascii="宋体" w:hAnsi="宋体"/>
          <w:sz w:val="24"/>
          <w:highlight w:val="none"/>
          <w:lang w:val="en-US" w:eastAsia="zh-CN"/>
        </w:rPr>
        <w:t>(2)经评审后，如合格的报价人少于三个且评标委员会评定为仍具有竞争的，评标委员会可以继续进行评审，并按招标文件规定推荐中标候选人。如合格的报价人少于三个的，且明显缺乏竞争的，评标委员会可以否决全部投标，比选人将重新组织招标。</w:t>
      </w:r>
    </w:p>
    <w:p>
      <w:pPr>
        <w:spacing w:line="520" w:lineRule="exact"/>
        <w:ind w:firstLine="482" w:firstLineChars="200"/>
        <w:rPr>
          <w:rFonts w:hint="default" w:ascii="宋体" w:hAnsi="宋体"/>
          <w:b/>
          <w:bCs/>
          <w:sz w:val="24"/>
          <w:highlight w:val="none"/>
          <w:lang w:val="en-US" w:eastAsia="zh-CN"/>
        </w:rPr>
      </w:pPr>
      <w:r>
        <w:rPr>
          <w:rFonts w:hint="eastAsia" w:ascii="宋体" w:hAnsi="宋体"/>
          <w:b/>
          <w:bCs/>
          <w:sz w:val="24"/>
          <w:highlight w:val="none"/>
          <w:lang w:val="en-US" w:eastAsia="zh-CN"/>
        </w:rPr>
        <w:t>十一、</w:t>
      </w:r>
      <w:r>
        <w:rPr>
          <w:rFonts w:hint="default" w:ascii="宋体" w:hAnsi="宋体"/>
          <w:b/>
          <w:bCs/>
          <w:sz w:val="24"/>
          <w:highlight w:val="none"/>
          <w:lang w:val="en-US" w:eastAsia="zh-CN"/>
        </w:rPr>
        <w:t>不再招标</w:t>
      </w:r>
    </w:p>
    <w:p>
      <w:pPr>
        <w:spacing w:line="520" w:lineRule="exact"/>
        <w:ind w:firstLine="480" w:firstLineChars="200"/>
        <w:rPr>
          <w:rFonts w:hint="default" w:ascii="宋体" w:hAnsi="宋体"/>
          <w:b/>
          <w:bCs/>
          <w:sz w:val="24"/>
          <w:highlight w:val="none"/>
          <w:lang w:val="en-US" w:eastAsia="zh-CN"/>
        </w:rPr>
      </w:pPr>
      <w:r>
        <w:rPr>
          <w:rFonts w:hint="eastAsia" w:ascii="宋体" w:hAnsi="宋体"/>
          <w:b w:val="0"/>
          <w:bCs w:val="0"/>
          <w:sz w:val="24"/>
          <w:highlight w:val="none"/>
          <w:lang w:val="en-US" w:eastAsia="zh-CN"/>
        </w:rPr>
        <w:t>重新招标后报价人仍少于三人，按法定程序开标和评标，确定中标人。经评审无合格报价人，属于审批或核准项目的，报经我司批准可以不再招标。</w:t>
      </w:r>
    </w:p>
    <w:p>
      <w:pPr>
        <w:spacing w:line="520" w:lineRule="exact"/>
        <w:ind w:firstLine="482" w:firstLineChars="200"/>
        <w:rPr>
          <w:rFonts w:ascii="宋体" w:hAnsi="宋体"/>
          <w:b/>
          <w:bCs/>
          <w:sz w:val="24"/>
          <w:highlight w:val="none"/>
        </w:rPr>
      </w:pPr>
      <w:r>
        <w:rPr>
          <w:rFonts w:hint="eastAsia" w:ascii="宋体" w:hAnsi="宋体"/>
          <w:b/>
          <w:bCs/>
          <w:sz w:val="24"/>
          <w:highlight w:val="none"/>
          <w:lang w:val="en-US" w:eastAsia="zh-CN"/>
        </w:rPr>
        <w:t>十二</w:t>
      </w:r>
      <w:r>
        <w:rPr>
          <w:rFonts w:hint="eastAsia" w:ascii="宋体" w:hAnsi="宋体"/>
          <w:b/>
          <w:bCs/>
          <w:sz w:val="24"/>
          <w:highlight w:val="none"/>
        </w:rPr>
        <w:t>、联系方式</w:t>
      </w:r>
    </w:p>
    <w:p>
      <w:pPr>
        <w:spacing w:line="520" w:lineRule="exact"/>
        <w:ind w:firstLine="480" w:firstLineChars="200"/>
        <w:rPr>
          <w:rFonts w:ascii="宋体" w:hAnsi="宋体"/>
          <w:sz w:val="24"/>
          <w:highlight w:val="none"/>
        </w:rPr>
      </w:pPr>
      <w:r>
        <w:rPr>
          <w:rFonts w:hint="eastAsia" w:ascii="宋体" w:hAnsi="宋体"/>
          <w:sz w:val="24"/>
          <w:highlight w:val="none"/>
          <w:lang w:eastAsia="zh-CN"/>
        </w:rPr>
        <w:t>比选人</w:t>
      </w:r>
      <w:r>
        <w:rPr>
          <w:rFonts w:hint="eastAsia" w:ascii="宋体" w:hAnsi="宋体"/>
          <w:sz w:val="24"/>
          <w:highlight w:val="none"/>
        </w:rPr>
        <w:t>：重庆成渝垫丰武高速公路有限公司</w:t>
      </w:r>
    </w:p>
    <w:p>
      <w:pPr>
        <w:widowControl/>
        <w:spacing w:line="520" w:lineRule="exact"/>
        <w:ind w:firstLine="480" w:firstLineChars="200"/>
        <w:rPr>
          <w:rFonts w:hint="eastAsia" w:ascii="宋体" w:hAnsi="宋体"/>
          <w:sz w:val="24"/>
          <w:highlight w:val="none"/>
        </w:rPr>
      </w:pPr>
      <w:r>
        <w:rPr>
          <w:rFonts w:hint="eastAsia" w:ascii="宋体" w:hAnsi="宋体"/>
          <w:sz w:val="24"/>
          <w:highlight w:val="none"/>
        </w:rPr>
        <w:t>地  址：重庆市渝北区银杉路66号（重庆高速集团）1</w:t>
      </w:r>
      <w:r>
        <w:rPr>
          <w:rFonts w:hint="eastAsia" w:ascii="宋体" w:hAnsi="宋体"/>
          <w:sz w:val="24"/>
          <w:highlight w:val="none"/>
          <w:lang w:val="en-US" w:eastAsia="zh-CN"/>
        </w:rPr>
        <w:t>5</w:t>
      </w:r>
      <w:r>
        <w:rPr>
          <w:rFonts w:hint="eastAsia" w:ascii="宋体" w:hAnsi="宋体"/>
          <w:sz w:val="24"/>
          <w:highlight w:val="none"/>
        </w:rPr>
        <w:t>楼</w:t>
      </w:r>
    </w:p>
    <w:p>
      <w:pPr>
        <w:widowControl/>
        <w:spacing w:line="520" w:lineRule="exact"/>
        <w:ind w:firstLine="480" w:firstLineChars="200"/>
        <w:rPr>
          <w:rFonts w:hint="eastAsia" w:ascii="宋体" w:hAnsi="宋体"/>
          <w:sz w:val="24"/>
          <w:highlight w:val="none"/>
        </w:rPr>
      </w:pPr>
      <w:r>
        <w:rPr>
          <w:rFonts w:hint="eastAsia" w:ascii="宋体" w:hAnsi="宋体"/>
          <w:sz w:val="24"/>
          <w:highlight w:val="none"/>
        </w:rPr>
        <w:t>邮  编：401121</w:t>
      </w:r>
    </w:p>
    <w:p>
      <w:pPr>
        <w:widowControl/>
        <w:spacing w:line="520" w:lineRule="exact"/>
        <w:ind w:firstLine="480" w:firstLineChars="200"/>
        <w:rPr>
          <w:rFonts w:hint="eastAsia"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黄导  13709494358</w:t>
      </w:r>
      <w:r>
        <w:rPr>
          <w:rFonts w:hint="eastAsia" w:ascii="宋体" w:hAnsi="宋体"/>
          <w:sz w:val="24"/>
          <w:highlight w:val="none"/>
        </w:rPr>
        <w:t xml:space="preserve">  </w:t>
      </w:r>
    </w:p>
    <w:p>
      <w:pPr>
        <w:spacing w:line="520" w:lineRule="exact"/>
        <w:ind w:firstLine="0" w:firstLineChars="0"/>
        <w:jc w:val="right"/>
        <w:rPr>
          <w:rFonts w:ascii="宋体" w:hAnsi="宋体"/>
          <w:sz w:val="24"/>
          <w:highlight w:val="none"/>
        </w:rPr>
      </w:pPr>
      <w:r>
        <w:rPr>
          <w:rFonts w:hint="eastAsia" w:ascii="宋体" w:hAnsi="宋体"/>
          <w:sz w:val="24"/>
          <w:highlight w:val="none"/>
        </w:rPr>
        <w:t>二</w:t>
      </w:r>
      <w:r>
        <w:rPr>
          <w:rFonts w:hint="eastAsia" w:ascii="宋体" w:hAnsi="宋体"/>
          <w:sz w:val="24"/>
          <w:highlight w:val="none"/>
          <w:lang w:val="en-US" w:eastAsia="zh-CN"/>
        </w:rPr>
        <w:t>〇</w:t>
      </w:r>
      <w:r>
        <w:rPr>
          <w:rFonts w:hint="eastAsia" w:ascii="宋体" w:hAnsi="宋体"/>
          <w:sz w:val="24"/>
          <w:highlight w:val="none"/>
        </w:rPr>
        <w:t>二</w:t>
      </w:r>
      <w:r>
        <w:rPr>
          <w:rFonts w:hint="eastAsia" w:ascii="宋体" w:hAnsi="宋体"/>
          <w:sz w:val="24"/>
          <w:highlight w:val="none"/>
          <w:lang w:val="en-US" w:eastAsia="zh-CN"/>
        </w:rPr>
        <w:t>三</w:t>
      </w:r>
      <w:r>
        <w:rPr>
          <w:rFonts w:hint="eastAsia" w:ascii="宋体" w:hAnsi="宋体"/>
          <w:sz w:val="24"/>
          <w:highlight w:val="none"/>
        </w:rPr>
        <w:t>年</w:t>
      </w:r>
      <w:r>
        <w:rPr>
          <w:rFonts w:hint="eastAsia" w:ascii="宋体" w:hAnsi="宋体"/>
          <w:sz w:val="24"/>
          <w:highlight w:val="none"/>
          <w:lang w:val="en-US" w:eastAsia="zh-CN"/>
        </w:rPr>
        <w:t>八</w:t>
      </w:r>
      <w:r>
        <w:rPr>
          <w:rFonts w:hint="eastAsia" w:ascii="宋体" w:hAnsi="宋体"/>
          <w:sz w:val="24"/>
          <w:highlight w:val="none"/>
        </w:rPr>
        <w:t>月</w:t>
      </w:r>
      <w:r>
        <w:rPr>
          <w:rFonts w:hint="eastAsia" w:ascii="宋体" w:hAnsi="宋体"/>
          <w:sz w:val="24"/>
          <w:highlight w:val="none"/>
          <w:lang w:val="en-US" w:eastAsia="zh-CN"/>
        </w:rPr>
        <w:t>十五</w:t>
      </w:r>
      <w:r>
        <w:rPr>
          <w:rFonts w:hint="eastAsia" w:ascii="宋体" w:hAnsi="宋体"/>
          <w:sz w:val="24"/>
          <w:highlight w:val="none"/>
        </w:rPr>
        <w:t>日</w:t>
      </w:r>
    </w:p>
    <w:p>
      <w:pPr>
        <w:spacing w:line="360" w:lineRule="auto"/>
        <w:ind w:firstLine="5400" w:firstLineChars="2250"/>
        <w:rPr>
          <w:rFonts w:ascii="宋体" w:hAnsi="宋体"/>
          <w:sz w:val="24"/>
          <w:highlight w:val="none"/>
        </w:rPr>
      </w:pPr>
    </w:p>
    <w:p>
      <w:pPr>
        <w:spacing w:line="360" w:lineRule="auto"/>
        <w:ind w:firstLine="5400" w:firstLineChars="2250"/>
        <w:rPr>
          <w:rFonts w:ascii="宋体" w:hAnsi="宋体"/>
          <w:sz w:val="24"/>
          <w:highlight w:val="none"/>
        </w:rPr>
      </w:pPr>
    </w:p>
    <w:p>
      <w:pPr>
        <w:jc w:val="center"/>
        <w:rPr>
          <w:rFonts w:ascii="宋体" w:hAnsi="宋体"/>
          <w:sz w:val="24"/>
          <w:highlight w:val="none"/>
        </w:rPr>
      </w:pPr>
      <w:bookmarkStart w:id="6" w:name="_Toc144974858"/>
      <w:bookmarkStart w:id="7" w:name="_Toc152042578"/>
      <w:bookmarkStart w:id="8" w:name="_Toc152045789"/>
    </w:p>
    <w:p>
      <w:pPr>
        <w:pStyle w:val="6"/>
        <w:rPr>
          <w:rFonts w:ascii="宋体" w:hAnsi="宋体"/>
          <w:sz w:val="24"/>
          <w:highlight w:val="none"/>
        </w:rPr>
      </w:pPr>
    </w:p>
    <w:p>
      <w:pPr>
        <w:rPr>
          <w:rFonts w:ascii="宋体" w:hAnsi="宋体"/>
          <w:sz w:val="24"/>
          <w:highlight w:val="none"/>
        </w:rPr>
      </w:pPr>
    </w:p>
    <w:p>
      <w:pPr>
        <w:pStyle w:val="6"/>
        <w:rPr>
          <w:rFonts w:ascii="宋体" w:hAnsi="宋体"/>
          <w:sz w:val="24"/>
          <w:highlight w:val="none"/>
        </w:rPr>
      </w:pPr>
    </w:p>
    <w:p>
      <w:pPr>
        <w:rPr>
          <w:rFonts w:ascii="宋体" w:hAnsi="宋体"/>
          <w:sz w:val="24"/>
          <w:highlight w:val="none"/>
        </w:rPr>
      </w:pPr>
    </w:p>
    <w:p>
      <w:pPr>
        <w:pStyle w:val="6"/>
        <w:rPr>
          <w:rFonts w:ascii="宋体" w:hAnsi="宋体"/>
          <w:sz w:val="24"/>
          <w:highlight w:val="none"/>
        </w:rPr>
      </w:pPr>
    </w:p>
    <w:p>
      <w:pPr>
        <w:rPr>
          <w:rFonts w:ascii="宋体" w:hAnsi="宋体"/>
          <w:sz w:val="24"/>
          <w:highlight w:val="none"/>
        </w:rPr>
      </w:pPr>
    </w:p>
    <w:p>
      <w:pPr>
        <w:pStyle w:val="6"/>
        <w:rPr>
          <w:rFonts w:ascii="宋体" w:hAnsi="宋体"/>
          <w:sz w:val="24"/>
          <w:highlight w:val="none"/>
        </w:rPr>
      </w:pPr>
    </w:p>
    <w:p>
      <w:pPr>
        <w:rPr>
          <w:rFonts w:ascii="宋体" w:hAnsi="宋体"/>
          <w:sz w:val="24"/>
          <w:highlight w:val="none"/>
        </w:rPr>
      </w:pPr>
    </w:p>
    <w:p>
      <w:pPr>
        <w:pStyle w:val="6"/>
        <w:rPr>
          <w:rFonts w:ascii="宋体" w:hAnsi="宋体"/>
          <w:sz w:val="24"/>
          <w:highlight w:val="none"/>
        </w:rPr>
      </w:pPr>
    </w:p>
    <w:p/>
    <w:p>
      <w:pPr>
        <w:rPr>
          <w:rFonts w:ascii="宋体" w:hAnsi="宋体"/>
          <w:sz w:val="24"/>
          <w:highlight w:val="none"/>
        </w:rPr>
      </w:pPr>
    </w:p>
    <w:p>
      <w:pPr>
        <w:pStyle w:val="6"/>
        <w:rPr>
          <w:rFonts w:ascii="宋体" w:hAnsi="宋体"/>
          <w:sz w:val="24"/>
          <w:highlight w:val="none"/>
        </w:rPr>
      </w:pPr>
    </w:p>
    <w:p>
      <w:pPr>
        <w:rPr>
          <w:rFonts w:ascii="宋体" w:hAnsi="宋体"/>
          <w:sz w:val="24"/>
          <w:highlight w:val="none"/>
        </w:rPr>
      </w:pPr>
    </w:p>
    <w:p>
      <w:pPr>
        <w:rPr>
          <w:rFonts w:ascii="宋体" w:hAnsi="宋体"/>
          <w:sz w:val="24"/>
          <w:highlight w:val="none"/>
        </w:rPr>
      </w:pPr>
    </w:p>
    <w:p>
      <w:pPr>
        <w:pStyle w:val="6"/>
        <w:rPr>
          <w:rFonts w:ascii="宋体" w:hAnsi="宋体"/>
          <w:sz w:val="24"/>
          <w:highlight w:val="none"/>
        </w:rPr>
      </w:pPr>
    </w:p>
    <w:p>
      <w:pPr>
        <w:rPr>
          <w:rFonts w:ascii="Times New Roman" w:hAnsi="Times New Roman"/>
          <w:sz w:val="21"/>
        </w:rPr>
      </w:pPr>
    </w:p>
    <w:p>
      <w:pPr>
        <w:jc w:val="center"/>
        <w:rPr>
          <w:rFonts w:ascii="宋体" w:hAnsi="宋体"/>
          <w:sz w:val="24"/>
          <w:highlight w:val="none"/>
        </w:rPr>
      </w:pPr>
    </w:p>
    <w:p>
      <w:pPr>
        <w:jc w:val="center"/>
        <w:rPr>
          <w:rFonts w:ascii="宋体" w:hAnsi="宋体"/>
          <w:sz w:val="24"/>
          <w:highlight w:val="none"/>
        </w:rPr>
      </w:pPr>
    </w:p>
    <w:p>
      <w:pPr>
        <w:jc w:val="center"/>
        <w:rPr>
          <w:rFonts w:hint="eastAsia"/>
          <w:b/>
          <w:bCs/>
          <w:sz w:val="72"/>
          <w:szCs w:val="72"/>
          <w:highlight w:val="none"/>
        </w:rPr>
      </w:pPr>
      <w:r>
        <w:rPr>
          <w:rFonts w:hint="eastAsia"/>
          <w:b/>
          <w:bCs/>
          <w:sz w:val="72"/>
          <w:szCs w:val="72"/>
          <w:highlight w:val="none"/>
        </w:rPr>
        <w:t>二、合同条款及格式</w:t>
      </w:r>
    </w:p>
    <w:p>
      <w:pPr>
        <w:pStyle w:val="2"/>
        <w:rPr>
          <w:rFonts w:hint="eastAsia"/>
          <w:highlight w:val="none"/>
        </w:rPr>
      </w:pPr>
    </w:p>
    <w:p>
      <w:pPr>
        <w:rPr>
          <w:b/>
          <w:bCs/>
          <w:sz w:val="72"/>
          <w:szCs w:val="72"/>
          <w:highlight w:val="none"/>
        </w:rPr>
      </w:pPr>
    </w:p>
    <w:p>
      <w:pPr>
        <w:spacing w:after="156" w:afterLines="50" w:line="360" w:lineRule="auto"/>
        <w:ind w:right="1284"/>
        <w:jc w:val="left"/>
        <w:rPr>
          <w:rFonts w:ascii="宋体" w:hAnsi="宋体"/>
          <w:b/>
          <w:color w:val="000000"/>
          <w:sz w:val="44"/>
          <w:szCs w:val="44"/>
          <w:highlight w:val="none"/>
        </w:rPr>
      </w:pPr>
      <w:r>
        <w:rPr>
          <w:b/>
          <w:bCs/>
          <w:sz w:val="72"/>
          <w:szCs w:val="72"/>
          <w:highlight w:val="none"/>
        </w:rPr>
        <w:br w:type="page"/>
      </w:r>
      <w:bookmarkStart w:id="9" w:name="_Toc2216"/>
      <w:bookmarkStart w:id="10" w:name="_Toc24662"/>
      <w:bookmarkStart w:id="11" w:name="_Toc28126"/>
      <w:bookmarkStart w:id="12" w:name="_Toc9809"/>
      <w:bookmarkStart w:id="13" w:name="_Toc11934"/>
      <w:bookmarkStart w:id="14" w:name="_Toc2945"/>
      <w:bookmarkStart w:id="15" w:name="_Toc19929"/>
      <w:bookmarkStart w:id="16" w:name="_Hlk38978935"/>
    </w:p>
    <w:bookmarkEnd w:id="9"/>
    <w:bookmarkEnd w:id="10"/>
    <w:bookmarkEnd w:id="11"/>
    <w:bookmarkEnd w:id="12"/>
    <w:bookmarkEnd w:id="13"/>
    <w:bookmarkEnd w:id="14"/>
    <w:bookmarkEnd w:id="15"/>
    <w:p>
      <w:pPr>
        <w:keepNext w:val="0"/>
        <w:keepLines w:val="0"/>
        <w:widowControl/>
        <w:suppressLineNumbers w:val="0"/>
        <w:spacing w:line="360" w:lineRule="auto"/>
        <w:ind w:firstLine="0" w:firstLineChars="0"/>
        <w:jc w:val="center"/>
        <w:rPr>
          <w:rFonts w:hint="default" w:ascii="宋体" w:hAnsi="宋体" w:eastAsia="宋体" w:cs="Arial"/>
          <w:b w:val="0"/>
          <w:bCs/>
          <w:color w:val="auto"/>
          <w:spacing w:val="-4"/>
          <w:kern w:val="2"/>
          <w:sz w:val="32"/>
          <w:szCs w:val="32"/>
          <w:highlight w:val="none"/>
          <w:lang w:val="en-US" w:eastAsia="zh-CN" w:bidi="ar"/>
        </w:rPr>
      </w:pPr>
      <w:r>
        <w:rPr>
          <w:rFonts w:hint="default" w:ascii="宋体" w:hAnsi="宋体" w:eastAsia="宋体" w:cs="Arial"/>
          <w:b w:val="0"/>
          <w:bCs/>
          <w:color w:val="auto"/>
          <w:spacing w:val="-4"/>
          <w:kern w:val="2"/>
          <w:sz w:val="32"/>
          <w:szCs w:val="32"/>
          <w:highlight w:val="none"/>
          <w:lang w:val="en-US" w:eastAsia="zh-CN" w:bidi="ar"/>
        </w:rPr>
        <w:t>重庆成渝垫丰武高速公路有限公司</w:t>
      </w:r>
    </w:p>
    <w:p>
      <w:pPr>
        <w:keepNext w:val="0"/>
        <w:keepLines w:val="0"/>
        <w:widowControl/>
        <w:suppressLineNumbers w:val="0"/>
        <w:spacing w:line="360" w:lineRule="auto"/>
        <w:ind w:firstLine="0" w:firstLineChars="0"/>
        <w:jc w:val="center"/>
        <w:rPr>
          <w:rFonts w:hint="default" w:ascii="宋体" w:hAnsi="宋体" w:cs="Arial"/>
          <w:bCs/>
          <w:spacing w:val="-4"/>
          <w:sz w:val="32"/>
          <w:szCs w:val="32"/>
          <w:highlight w:val="none"/>
          <w:lang w:val="en-US"/>
        </w:rPr>
      </w:pPr>
      <w:r>
        <w:rPr>
          <w:rFonts w:hint="eastAsia" w:ascii="宋体" w:hAnsi="宋体" w:cs="Arial"/>
          <w:b w:val="0"/>
          <w:bCs/>
          <w:color w:val="auto"/>
          <w:spacing w:val="-4"/>
          <w:kern w:val="2"/>
          <w:sz w:val="32"/>
          <w:szCs w:val="32"/>
          <w:highlight w:val="none"/>
          <w:lang w:val="en-US" w:eastAsia="zh-CN" w:bidi="ar"/>
        </w:rPr>
        <w:t>造价</w:t>
      </w:r>
      <w:r>
        <w:rPr>
          <w:rFonts w:hint="default" w:ascii="宋体" w:hAnsi="宋体" w:eastAsia="宋体" w:cs="Arial"/>
          <w:b w:val="0"/>
          <w:bCs/>
          <w:color w:val="auto"/>
          <w:spacing w:val="-4"/>
          <w:kern w:val="2"/>
          <w:sz w:val="32"/>
          <w:szCs w:val="32"/>
          <w:highlight w:val="none"/>
          <w:lang w:val="en-US" w:eastAsia="zh-CN" w:bidi="ar"/>
        </w:rPr>
        <w:t>限价咨询服务</w:t>
      </w:r>
    </w:p>
    <w:p>
      <w:pPr>
        <w:jc w:val="center"/>
        <w:rPr>
          <w:rFonts w:hint="eastAsia" w:ascii="宋体" w:hAnsi="宋体"/>
          <w:b/>
          <w:bCs/>
          <w:color w:val="auto"/>
          <w:sz w:val="32"/>
          <w:szCs w:val="32"/>
          <w:highlight w:val="none"/>
        </w:rPr>
      </w:pPr>
    </w:p>
    <w:p>
      <w:pPr>
        <w:spacing w:line="360" w:lineRule="auto"/>
        <w:jc w:val="center"/>
        <w:rPr>
          <w:rFonts w:ascii="宋体" w:hAnsi="宋体" w:cs="Arial"/>
          <w:bCs/>
          <w:spacing w:val="-4"/>
          <w:sz w:val="32"/>
          <w:szCs w:val="32"/>
          <w:highlight w:val="none"/>
        </w:rPr>
      </w:pPr>
    </w:p>
    <w:p>
      <w:pPr>
        <w:spacing w:line="360" w:lineRule="auto"/>
        <w:jc w:val="center"/>
        <w:rPr>
          <w:rFonts w:ascii="宋体" w:hAnsi="宋体" w:cs="Arial"/>
          <w:bCs/>
          <w:spacing w:val="-4"/>
          <w:sz w:val="32"/>
          <w:szCs w:val="32"/>
          <w:highlight w:val="none"/>
        </w:rPr>
      </w:pPr>
    </w:p>
    <w:p>
      <w:pPr>
        <w:pStyle w:val="2"/>
        <w:rPr>
          <w:rFonts w:ascii="宋体" w:hAnsi="宋体" w:cs="Arial"/>
          <w:bCs/>
          <w:spacing w:val="-4"/>
          <w:sz w:val="32"/>
          <w:szCs w:val="32"/>
          <w:highlight w:val="none"/>
        </w:rPr>
      </w:pPr>
    </w:p>
    <w:p/>
    <w:p>
      <w:pPr>
        <w:spacing w:line="360" w:lineRule="auto"/>
        <w:ind w:firstLine="1925" w:firstLineChars="300"/>
        <w:jc w:val="both"/>
        <w:rPr>
          <w:rFonts w:ascii="宋体" w:hAnsi="宋体" w:cs="Arial"/>
          <w:b/>
          <w:bCs/>
          <w:spacing w:val="100"/>
          <w:sz w:val="44"/>
          <w:szCs w:val="44"/>
          <w:highlight w:val="none"/>
        </w:rPr>
      </w:pPr>
      <w:r>
        <w:rPr>
          <w:rFonts w:hint="eastAsia" w:ascii="宋体" w:hAnsi="宋体" w:cs="Arial"/>
          <w:b/>
          <w:bCs/>
          <w:spacing w:val="100"/>
          <w:sz w:val="44"/>
          <w:szCs w:val="44"/>
          <w:highlight w:val="none"/>
          <w:lang w:eastAsia="zh-CN"/>
        </w:rPr>
        <w:t>咨询服务</w:t>
      </w:r>
      <w:r>
        <w:rPr>
          <w:rFonts w:hint="eastAsia" w:ascii="宋体" w:hAnsi="宋体" w:cs="Arial"/>
          <w:b/>
          <w:bCs/>
          <w:spacing w:val="100"/>
          <w:sz w:val="44"/>
          <w:szCs w:val="44"/>
          <w:highlight w:val="none"/>
        </w:rPr>
        <w:t>合同</w:t>
      </w:r>
    </w:p>
    <w:p>
      <w:pPr>
        <w:spacing w:line="360" w:lineRule="auto"/>
        <w:jc w:val="center"/>
        <w:rPr>
          <w:rFonts w:ascii="宋体" w:hAnsi="宋体" w:cs="Arial"/>
          <w:b/>
          <w:bCs/>
          <w:spacing w:val="100"/>
          <w:sz w:val="72"/>
          <w:szCs w:val="72"/>
          <w:highlight w:val="none"/>
        </w:rPr>
      </w:pPr>
    </w:p>
    <w:p>
      <w:pPr>
        <w:spacing w:line="360" w:lineRule="auto"/>
        <w:jc w:val="center"/>
        <w:rPr>
          <w:rFonts w:ascii="仿宋" w:hAnsi="仿宋" w:eastAsia="仿宋" w:cs="Arial"/>
          <w:bCs/>
          <w:spacing w:val="-4"/>
          <w:sz w:val="32"/>
          <w:szCs w:val="32"/>
          <w:highlight w:val="none"/>
        </w:rPr>
      </w:pPr>
    </w:p>
    <w:p>
      <w:pPr>
        <w:spacing w:line="360" w:lineRule="auto"/>
        <w:jc w:val="both"/>
        <w:rPr>
          <w:rFonts w:ascii="仿宋" w:hAnsi="仿宋" w:eastAsia="仿宋" w:cs="Arial"/>
          <w:bCs/>
          <w:spacing w:val="-4"/>
          <w:sz w:val="32"/>
          <w:szCs w:val="32"/>
          <w:highlight w:val="none"/>
        </w:rPr>
      </w:pPr>
    </w:p>
    <w:p>
      <w:pPr>
        <w:spacing w:line="360" w:lineRule="auto"/>
        <w:jc w:val="center"/>
        <w:rPr>
          <w:rFonts w:ascii="仿宋" w:hAnsi="仿宋" w:eastAsia="仿宋" w:cs="Arial"/>
          <w:bCs/>
          <w:spacing w:val="-4"/>
          <w:sz w:val="32"/>
          <w:szCs w:val="32"/>
          <w:highlight w:val="none"/>
        </w:rPr>
      </w:pPr>
    </w:p>
    <w:p>
      <w:pPr>
        <w:pStyle w:val="2"/>
        <w:rPr>
          <w:rFonts w:ascii="仿宋" w:hAnsi="仿宋" w:eastAsia="仿宋" w:cs="Arial"/>
          <w:bCs/>
          <w:spacing w:val="-4"/>
          <w:sz w:val="32"/>
          <w:szCs w:val="32"/>
          <w:highlight w:val="none"/>
        </w:rPr>
      </w:pPr>
    </w:p>
    <w:p>
      <w:pPr>
        <w:rPr>
          <w:rFonts w:ascii="仿宋" w:hAnsi="仿宋" w:eastAsia="仿宋" w:cs="Arial"/>
          <w:bCs/>
          <w:spacing w:val="-4"/>
          <w:sz w:val="32"/>
          <w:szCs w:val="32"/>
          <w:highlight w:val="none"/>
        </w:rPr>
      </w:pPr>
    </w:p>
    <w:p>
      <w:pPr>
        <w:pStyle w:val="2"/>
        <w:rPr>
          <w:rFonts w:ascii="仿宋" w:hAnsi="仿宋" w:eastAsia="仿宋" w:cs="Arial"/>
          <w:bCs/>
          <w:spacing w:val="-4"/>
          <w:sz w:val="32"/>
          <w:szCs w:val="32"/>
          <w:highlight w:val="none"/>
        </w:rPr>
      </w:pPr>
    </w:p>
    <w:p/>
    <w:p>
      <w:pPr>
        <w:spacing w:line="360" w:lineRule="auto"/>
        <w:ind w:firstLine="1120" w:firstLineChars="350"/>
        <w:jc w:val="left"/>
        <w:rPr>
          <w:rFonts w:ascii="仿宋" w:hAnsi="仿宋" w:eastAsia="仿宋" w:cs="Arial"/>
          <w:sz w:val="32"/>
          <w:szCs w:val="32"/>
          <w:highlight w:val="none"/>
        </w:rPr>
      </w:pPr>
    </w:p>
    <w:p>
      <w:pPr>
        <w:spacing w:line="360" w:lineRule="auto"/>
        <w:ind w:firstLine="960" w:firstLineChars="300"/>
        <w:jc w:val="left"/>
        <w:rPr>
          <w:rFonts w:ascii="仿宋" w:hAnsi="仿宋" w:eastAsia="仿宋" w:cs="Arial"/>
          <w:sz w:val="32"/>
          <w:szCs w:val="32"/>
          <w:highlight w:val="none"/>
        </w:rPr>
      </w:pPr>
      <w:r>
        <w:rPr>
          <w:rFonts w:hint="eastAsia" w:ascii="仿宋" w:hAnsi="仿宋" w:eastAsia="仿宋" w:cs="Arial"/>
          <w:sz w:val="32"/>
          <w:szCs w:val="32"/>
          <w:highlight w:val="none"/>
        </w:rPr>
        <w:t>委托人</w:t>
      </w:r>
      <w:r>
        <w:rPr>
          <w:rFonts w:hint="eastAsia" w:ascii="仿宋" w:hAnsi="仿宋" w:eastAsia="仿宋" w:cs="Arial"/>
          <w:sz w:val="32"/>
          <w:szCs w:val="32"/>
          <w:highlight w:val="none"/>
          <w:lang w:eastAsia="zh-CN"/>
        </w:rPr>
        <w:t>（</w:t>
      </w:r>
      <w:r>
        <w:rPr>
          <w:rFonts w:hint="eastAsia" w:ascii="仿宋" w:hAnsi="仿宋" w:eastAsia="仿宋" w:cs="Arial"/>
          <w:sz w:val="32"/>
          <w:szCs w:val="32"/>
          <w:highlight w:val="none"/>
          <w:lang w:val="en-US" w:eastAsia="zh-CN"/>
        </w:rPr>
        <w:t>甲方</w:t>
      </w:r>
      <w:r>
        <w:rPr>
          <w:rFonts w:hint="eastAsia" w:ascii="仿宋" w:hAnsi="仿宋" w:eastAsia="仿宋" w:cs="Arial"/>
          <w:sz w:val="32"/>
          <w:szCs w:val="32"/>
          <w:highlight w:val="none"/>
          <w:lang w:eastAsia="zh-CN"/>
        </w:rPr>
        <w:t>）</w:t>
      </w:r>
      <w:r>
        <w:rPr>
          <w:rFonts w:hint="eastAsia" w:ascii="仿宋" w:hAnsi="仿宋" w:eastAsia="仿宋" w:cs="Arial"/>
          <w:sz w:val="32"/>
          <w:szCs w:val="32"/>
          <w:highlight w:val="none"/>
        </w:rPr>
        <w:t>：重庆成渝垫丰武高速公路有限公司</w:t>
      </w:r>
    </w:p>
    <w:p>
      <w:pPr>
        <w:spacing w:line="360" w:lineRule="auto"/>
        <w:ind w:firstLine="960" w:firstLineChars="300"/>
        <w:jc w:val="left"/>
        <w:rPr>
          <w:rFonts w:ascii="仿宋" w:hAnsi="仿宋" w:eastAsia="仿宋" w:cs="Arial"/>
          <w:sz w:val="32"/>
          <w:szCs w:val="32"/>
          <w:highlight w:val="none"/>
        </w:rPr>
      </w:pPr>
      <w:r>
        <w:rPr>
          <w:rFonts w:hint="eastAsia" w:ascii="仿宋" w:hAnsi="仿宋" w:eastAsia="仿宋" w:cs="Arial"/>
          <w:sz w:val="32"/>
          <w:szCs w:val="32"/>
          <w:highlight w:val="none"/>
        </w:rPr>
        <w:t>受托人</w:t>
      </w:r>
      <w:r>
        <w:rPr>
          <w:rFonts w:hint="eastAsia" w:ascii="仿宋" w:hAnsi="仿宋" w:eastAsia="仿宋" w:cs="Arial"/>
          <w:sz w:val="32"/>
          <w:szCs w:val="32"/>
          <w:highlight w:val="none"/>
          <w:lang w:eastAsia="zh-CN"/>
        </w:rPr>
        <w:t>（</w:t>
      </w:r>
      <w:r>
        <w:rPr>
          <w:rFonts w:hint="eastAsia" w:ascii="仿宋" w:hAnsi="仿宋" w:eastAsia="仿宋" w:cs="Arial"/>
          <w:sz w:val="32"/>
          <w:szCs w:val="32"/>
          <w:highlight w:val="none"/>
          <w:lang w:val="en-US" w:eastAsia="zh-CN"/>
        </w:rPr>
        <w:t>乙方</w:t>
      </w:r>
      <w:r>
        <w:rPr>
          <w:rFonts w:hint="eastAsia" w:ascii="仿宋" w:hAnsi="仿宋" w:eastAsia="仿宋" w:cs="Arial"/>
          <w:sz w:val="32"/>
          <w:szCs w:val="32"/>
          <w:highlight w:val="none"/>
          <w:lang w:eastAsia="zh-CN"/>
        </w:rPr>
        <w:t>）</w:t>
      </w:r>
      <w:r>
        <w:rPr>
          <w:rFonts w:hint="eastAsia" w:ascii="仿宋" w:hAnsi="仿宋" w:eastAsia="仿宋" w:cs="Arial"/>
          <w:sz w:val="32"/>
          <w:szCs w:val="32"/>
          <w:highlight w:val="none"/>
        </w:rPr>
        <w:t>：</w:t>
      </w:r>
    </w:p>
    <w:p>
      <w:pPr>
        <w:spacing w:before="156" w:beforeLines="50" w:line="360" w:lineRule="auto"/>
        <w:jc w:val="center"/>
        <w:rPr>
          <w:rFonts w:hint="eastAsia" w:ascii="仿宋" w:hAnsi="仿宋" w:eastAsia="仿宋" w:cs="Arial"/>
          <w:sz w:val="32"/>
          <w:szCs w:val="32"/>
          <w:highlight w:val="none"/>
        </w:rPr>
      </w:pPr>
      <w:r>
        <w:rPr>
          <w:rFonts w:hint="eastAsia" w:ascii="仿宋" w:hAnsi="仿宋" w:eastAsia="仿宋" w:cs="Arial"/>
          <w:sz w:val="32"/>
          <w:szCs w:val="32"/>
          <w:highlight w:val="none"/>
        </w:rPr>
        <w:t>二〇二</w:t>
      </w:r>
      <w:r>
        <w:rPr>
          <w:rFonts w:hint="eastAsia" w:ascii="仿宋" w:hAnsi="仿宋" w:eastAsia="仿宋" w:cs="Arial"/>
          <w:sz w:val="32"/>
          <w:szCs w:val="32"/>
          <w:highlight w:val="none"/>
          <w:lang w:val="en-US" w:eastAsia="zh-CN"/>
        </w:rPr>
        <w:t>三</w:t>
      </w:r>
      <w:r>
        <w:rPr>
          <w:rFonts w:hint="eastAsia" w:ascii="仿宋" w:hAnsi="仿宋" w:eastAsia="仿宋" w:cs="Arial"/>
          <w:sz w:val="32"/>
          <w:szCs w:val="32"/>
          <w:highlight w:val="none"/>
        </w:rPr>
        <w:t>年</w:t>
      </w:r>
      <w:r>
        <w:rPr>
          <w:rFonts w:hint="eastAsia" w:ascii="仿宋" w:hAnsi="仿宋" w:eastAsia="仿宋" w:cs="Arial"/>
          <w:sz w:val="32"/>
          <w:szCs w:val="32"/>
          <w:highlight w:val="none"/>
          <w:lang w:val="en-US" w:eastAsia="zh-CN"/>
        </w:rPr>
        <w:t>八</w:t>
      </w:r>
      <w:r>
        <w:rPr>
          <w:rFonts w:hint="eastAsia" w:ascii="仿宋" w:hAnsi="仿宋" w:eastAsia="仿宋" w:cs="Arial"/>
          <w:sz w:val="32"/>
          <w:szCs w:val="32"/>
          <w:highlight w:val="none"/>
        </w:rPr>
        <w:t>月</w:t>
      </w:r>
    </w:p>
    <w:p>
      <w:pPr>
        <w:rPr>
          <w:rFonts w:hint="eastAsia" w:ascii="仿宋" w:hAnsi="仿宋" w:eastAsia="仿宋" w:cs="Arial"/>
          <w:sz w:val="32"/>
          <w:szCs w:val="32"/>
          <w:highlight w:val="none"/>
        </w:rPr>
      </w:pPr>
      <w:r>
        <w:rPr>
          <w:rFonts w:hint="eastAsia" w:ascii="仿宋" w:hAnsi="仿宋" w:eastAsia="仿宋" w:cs="Arial"/>
          <w:sz w:val="32"/>
          <w:szCs w:val="32"/>
          <w:highlight w:val="none"/>
        </w:rPr>
        <w:br w:type="page"/>
      </w:r>
    </w:p>
    <w:p>
      <w:pPr>
        <w:spacing w:line="440" w:lineRule="exact"/>
        <w:jc w:val="center"/>
        <w:rPr>
          <w:rFonts w:hint="eastAsia" w:ascii="华文中宋" w:hAnsi="华文中宋" w:eastAsia="华文中宋" w:cs="华文中宋"/>
          <w:b/>
          <w:sz w:val="32"/>
          <w:highlight w:val="none"/>
          <w:lang w:val="en-US" w:eastAsia="zh-CN"/>
        </w:rPr>
      </w:pPr>
      <w:r>
        <w:rPr>
          <w:rFonts w:hint="eastAsia" w:ascii="华文中宋" w:hAnsi="华文中宋" w:eastAsia="华文中宋" w:cs="华文中宋"/>
          <w:b/>
          <w:sz w:val="32"/>
          <w:highlight w:val="none"/>
          <w:lang w:val="en-US" w:eastAsia="zh-CN"/>
        </w:rPr>
        <w:t>重庆成渝垫丰武高速公路有限公司</w:t>
      </w:r>
    </w:p>
    <w:p>
      <w:pPr>
        <w:spacing w:line="440" w:lineRule="exact"/>
        <w:jc w:val="center"/>
        <w:rPr>
          <w:rFonts w:hint="eastAsia" w:ascii="华文中宋" w:hAnsi="华文中宋" w:eastAsia="华文中宋" w:cs="华文中宋"/>
          <w:b/>
          <w:sz w:val="32"/>
          <w:highlight w:val="none"/>
        </w:rPr>
      </w:pPr>
      <w:r>
        <w:rPr>
          <w:rFonts w:hint="eastAsia" w:ascii="华文中宋" w:hAnsi="华文中宋" w:eastAsia="华文中宋" w:cs="华文中宋"/>
          <w:b/>
          <w:sz w:val="32"/>
          <w:highlight w:val="none"/>
          <w:lang w:val="en-US" w:eastAsia="zh-CN"/>
        </w:rPr>
        <w:t>造价限价咨询服务合同协议书</w:t>
      </w:r>
    </w:p>
    <w:p>
      <w:pPr>
        <w:spacing w:line="440" w:lineRule="exact"/>
        <w:ind w:left="420" w:leftChars="200" w:firstLine="641" w:firstLineChars="200"/>
        <w:jc w:val="center"/>
        <w:rPr>
          <w:rFonts w:hint="eastAsia" w:ascii="华文中宋" w:hAnsi="华文中宋" w:eastAsia="华文中宋" w:cs="华文中宋"/>
          <w:b/>
          <w:sz w:val="32"/>
          <w:highlight w:val="none"/>
        </w:rPr>
      </w:pPr>
    </w:p>
    <w:p>
      <w:pPr>
        <w:spacing w:line="440" w:lineRule="exact"/>
        <w:ind w:firstLine="480" w:firstLineChars="200"/>
        <w:rPr>
          <w:rFonts w:ascii="宋体" w:hAnsi="宋体"/>
          <w:sz w:val="24"/>
          <w:highlight w:val="none"/>
          <w:u w:val="single"/>
        </w:rPr>
      </w:pPr>
      <w:r>
        <w:rPr>
          <w:rFonts w:hint="eastAsia" w:ascii="宋体" w:hAnsi="宋体"/>
          <w:sz w:val="24"/>
          <w:highlight w:val="none"/>
        </w:rPr>
        <w:t>委托人</w:t>
      </w:r>
      <w:r>
        <w:rPr>
          <w:rFonts w:hint="eastAsia" w:ascii="宋体" w:hAnsi="宋体"/>
          <w:sz w:val="24"/>
          <w:highlight w:val="none"/>
          <w:lang w:eastAsia="zh-CN"/>
        </w:rPr>
        <w:t>（</w:t>
      </w:r>
      <w:r>
        <w:rPr>
          <w:rFonts w:hint="eastAsia" w:ascii="宋体" w:hAnsi="宋体"/>
          <w:sz w:val="24"/>
          <w:highlight w:val="none"/>
          <w:lang w:val="en-US" w:eastAsia="zh-CN"/>
        </w:rPr>
        <w:t>甲方</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cs="黑体"/>
          <w:b/>
          <w:sz w:val="24"/>
          <w:highlight w:val="none"/>
          <w:u w:val="single"/>
        </w:rPr>
        <w:t>重庆成渝垫丰武高速公路有限公司</w:t>
      </w:r>
    </w:p>
    <w:p>
      <w:pPr>
        <w:spacing w:line="440" w:lineRule="exact"/>
        <w:ind w:firstLine="480" w:firstLineChars="200"/>
        <w:rPr>
          <w:rFonts w:hint="default" w:ascii="宋体" w:hAnsi="宋体"/>
          <w:sz w:val="24"/>
          <w:highlight w:val="none"/>
          <w:u w:val="single"/>
          <w:lang w:val="en-US"/>
        </w:rPr>
      </w:pPr>
      <w:r>
        <w:rPr>
          <w:rFonts w:hint="eastAsia" w:ascii="宋体" w:hAnsi="宋体"/>
          <w:sz w:val="24"/>
          <w:highlight w:val="none"/>
        </w:rPr>
        <w:t>受托人</w:t>
      </w:r>
      <w:r>
        <w:rPr>
          <w:rFonts w:hint="eastAsia" w:ascii="宋体" w:hAnsi="宋体"/>
          <w:sz w:val="24"/>
          <w:highlight w:val="none"/>
          <w:lang w:eastAsia="zh-CN"/>
        </w:rPr>
        <w:t>（</w:t>
      </w:r>
      <w:r>
        <w:rPr>
          <w:rFonts w:hint="eastAsia" w:ascii="宋体" w:hAnsi="宋体"/>
          <w:sz w:val="24"/>
          <w:highlight w:val="none"/>
          <w:lang w:val="en-US" w:eastAsia="zh-CN"/>
        </w:rPr>
        <w:t>乙方</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cs="黑体"/>
          <w:b/>
          <w:sz w:val="24"/>
          <w:highlight w:val="none"/>
          <w:u w:val="single"/>
          <w:lang w:val="en-US" w:eastAsia="zh-CN"/>
        </w:rPr>
        <w:t xml:space="preserve">                            </w:t>
      </w:r>
    </w:p>
    <w:p>
      <w:pPr>
        <w:spacing w:line="440" w:lineRule="exact"/>
        <w:ind w:firstLine="480" w:firstLineChars="200"/>
        <w:rPr>
          <w:rFonts w:ascii="宋体" w:hAnsi="宋体"/>
          <w:sz w:val="24"/>
          <w:highlight w:val="none"/>
        </w:rPr>
      </w:pPr>
      <w:r>
        <w:rPr>
          <w:rFonts w:hint="eastAsia" w:ascii="宋体" w:hAnsi="宋体"/>
          <w:sz w:val="24"/>
          <w:highlight w:val="none"/>
        </w:rPr>
        <w:t>委托人因</w:t>
      </w:r>
      <w:r>
        <w:rPr>
          <w:rFonts w:hint="eastAsia" w:ascii="宋体" w:hAnsi="宋体" w:cs="黑体"/>
          <w:b/>
          <w:sz w:val="24"/>
          <w:highlight w:val="none"/>
          <w:u w:val="single"/>
          <w:lang w:val="en-US" w:eastAsia="zh-CN"/>
        </w:rPr>
        <w:t xml:space="preserve"> 重庆成渝垫丰武高速公路有限公司造价咨询服务</w:t>
      </w:r>
      <w:r>
        <w:rPr>
          <w:rFonts w:hint="eastAsia" w:ascii="宋体" w:hAnsi="宋体"/>
          <w:sz w:val="24"/>
          <w:highlight w:val="none"/>
        </w:rPr>
        <w:t>事宜，依据《中华人民共和国</w:t>
      </w:r>
      <w:r>
        <w:rPr>
          <w:rFonts w:hint="eastAsia" w:ascii="宋体" w:hAnsi="宋体"/>
          <w:sz w:val="24"/>
          <w:highlight w:val="none"/>
          <w:lang w:eastAsia="zh-CN"/>
        </w:rPr>
        <w:t>民法典</w:t>
      </w:r>
      <w:r>
        <w:rPr>
          <w:rFonts w:hint="eastAsia" w:ascii="宋体" w:hAnsi="宋体"/>
          <w:sz w:val="24"/>
          <w:highlight w:val="none"/>
        </w:rPr>
        <w:t>》、《工程造价咨询单位管理办法》及相关法律、法规和重庆市有关规定，经与受托人协商一致，达成如下条款，以资共同遵守。</w:t>
      </w:r>
    </w:p>
    <w:p>
      <w:pPr>
        <w:pStyle w:val="11"/>
        <w:spacing w:before="0" w:beforeAutospacing="0" w:after="0" w:afterAutospacing="0" w:line="440" w:lineRule="exact"/>
        <w:ind w:firstLine="482" w:firstLineChars="200"/>
        <w:rPr>
          <w:color w:val="auto"/>
          <w:highlight w:val="none"/>
          <w:u w:val="single"/>
        </w:rPr>
      </w:pPr>
      <w:r>
        <w:rPr>
          <w:rFonts w:hint="eastAsia"/>
          <w:b/>
          <w:color w:val="auto"/>
          <w:highlight w:val="none"/>
        </w:rPr>
        <w:t>第一条 委托人委托事项</w:t>
      </w:r>
      <w:r>
        <w:rPr>
          <w:rFonts w:hint="eastAsia"/>
          <w:color w:val="auto"/>
          <w:highlight w:val="none"/>
        </w:rPr>
        <w:t>：</w:t>
      </w:r>
    </w:p>
    <w:p>
      <w:pPr>
        <w:spacing w:line="440" w:lineRule="exact"/>
        <w:ind w:firstLine="480" w:firstLineChars="200"/>
        <w:rPr>
          <w:rFonts w:hint="eastAsia" w:ascii="宋体" w:hAnsi="宋体" w:cs="黑体"/>
          <w:b/>
          <w:sz w:val="24"/>
          <w:highlight w:val="none"/>
          <w:u w:val="single"/>
          <w:lang w:val="en-US" w:eastAsia="zh-CN"/>
        </w:rPr>
      </w:pPr>
      <w:r>
        <w:rPr>
          <w:rFonts w:hint="eastAsia" w:ascii="宋体" w:hAnsi="宋体"/>
          <w:sz w:val="24"/>
          <w:highlight w:val="none"/>
        </w:rPr>
        <w:t>（一）</w:t>
      </w:r>
      <w:r>
        <w:rPr>
          <w:rFonts w:hint="eastAsia" w:ascii="宋体" w:hAnsi="宋体"/>
          <w:sz w:val="24"/>
          <w:highlight w:val="none"/>
          <w:lang w:val="en-US" w:eastAsia="zh-CN"/>
        </w:rPr>
        <w:t>项目</w:t>
      </w:r>
      <w:r>
        <w:rPr>
          <w:rFonts w:hint="eastAsia" w:ascii="宋体" w:hAnsi="宋体"/>
          <w:sz w:val="24"/>
          <w:highlight w:val="none"/>
        </w:rPr>
        <w:t>名称：</w:t>
      </w:r>
      <w:r>
        <w:rPr>
          <w:rFonts w:hint="eastAsia" w:ascii="宋体" w:hAnsi="宋体"/>
          <w:b/>
          <w:bCs/>
          <w:sz w:val="24"/>
          <w:highlight w:val="none"/>
          <w:u w:val="single"/>
          <w:lang w:val="en-US" w:eastAsia="zh-CN"/>
        </w:rPr>
        <w:t>重庆成渝垫丰武高速公路有限公司造价咨询服务</w:t>
      </w:r>
      <w:r>
        <w:rPr>
          <w:rFonts w:hint="eastAsia" w:ascii="宋体" w:hAnsi="宋体" w:cs="黑体"/>
          <w:b/>
          <w:bCs/>
          <w:sz w:val="24"/>
          <w:highlight w:val="none"/>
          <w:u w:val="single"/>
          <w:lang w:val="en-US" w:eastAsia="zh-CN"/>
        </w:rPr>
        <w:t>。</w:t>
      </w:r>
    </w:p>
    <w:p>
      <w:pPr>
        <w:spacing w:line="440" w:lineRule="exact"/>
        <w:ind w:firstLine="480" w:firstLineChars="200"/>
        <w:rPr>
          <w:rFonts w:ascii="宋体" w:hAnsi="宋体"/>
          <w:sz w:val="24"/>
          <w:highlight w:val="none"/>
        </w:rPr>
      </w:pPr>
      <w:r>
        <w:rPr>
          <w:rFonts w:hint="eastAsia" w:ascii="宋体" w:hAnsi="宋体"/>
          <w:sz w:val="24"/>
          <w:highlight w:val="none"/>
        </w:rPr>
        <w:t>（二）本合同范围内工程</w:t>
      </w:r>
      <w:r>
        <w:rPr>
          <w:rFonts w:hint="eastAsia" w:ascii="宋体" w:hAnsi="宋体"/>
          <w:sz w:val="24"/>
          <w:highlight w:val="none"/>
          <w:lang w:eastAsia="zh-CN"/>
        </w:rPr>
        <w:t>造价咨询服务</w:t>
      </w:r>
      <w:r>
        <w:rPr>
          <w:rFonts w:hint="eastAsia" w:ascii="宋体" w:hAnsi="宋体"/>
          <w:sz w:val="24"/>
          <w:highlight w:val="none"/>
        </w:rPr>
        <w:t>包括但不限于以下内容：</w:t>
      </w:r>
    </w:p>
    <w:p>
      <w:pPr>
        <w:pStyle w:val="5"/>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①工作内容：为确保</w:t>
      </w:r>
      <w:r>
        <w:rPr>
          <w:rFonts w:hint="eastAsia" w:ascii="宋体" w:hAnsi="宋体" w:cs="宋体"/>
          <w:sz w:val="24"/>
          <w:highlight w:val="none"/>
          <w:lang w:val="en-US" w:eastAsia="zh-CN"/>
        </w:rPr>
        <w:t>甲方</w:t>
      </w:r>
      <w:r>
        <w:rPr>
          <w:rFonts w:hint="eastAsia" w:ascii="宋体" w:hAnsi="宋体" w:cs="宋体"/>
          <w:sz w:val="24"/>
          <w:highlight w:val="none"/>
        </w:rPr>
        <w:t>造价编审工作更加高效、准确，确保整个项目资金投入可控，规范</w:t>
      </w:r>
      <w:r>
        <w:rPr>
          <w:rFonts w:hint="eastAsia" w:ascii="宋体" w:hAnsi="宋体" w:cs="宋体"/>
          <w:sz w:val="24"/>
          <w:highlight w:val="none"/>
          <w:lang w:val="en-US" w:eastAsia="zh-CN"/>
        </w:rPr>
        <w:t>甲方</w:t>
      </w:r>
      <w:r>
        <w:rPr>
          <w:rFonts w:hint="eastAsia" w:ascii="宋体" w:hAnsi="宋体" w:cs="宋体"/>
          <w:sz w:val="24"/>
          <w:highlight w:val="none"/>
        </w:rPr>
        <w:t>造价管理行为，</w:t>
      </w:r>
      <w:r>
        <w:rPr>
          <w:rFonts w:hint="eastAsia" w:ascii="宋体" w:hAnsi="宋体" w:cs="宋体"/>
          <w:sz w:val="24"/>
          <w:highlight w:val="none"/>
          <w:lang w:val="en-US" w:eastAsia="zh-CN"/>
        </w:rPr>
        <w:t>乙方对甲方</w:t>
      </w:r>
      <w:r>
        <w:rPr>
          <w:rFonts w:hint="eastAsia" w:ascii="宋体" w:hAnsi="宋体" w:cs="宋体"/>
          <w:sz w:val="24"/>
          <w:highlight w:val="none"/>
        </w:rPr>
        <w:t>各部门及子公司实施的建筑类（含建筑、市政、园林、安装、装饰、维修）、交通类（含公路、铁路、水电、水运等土木工程）、材料采购、设备采购、咨询及服务等项目（不含已委托的施工监理、中心试验室、全过程跟踪审计）的工程量清单及组价（审核）和招标限价（含公开招标、竞争性比选、竞争性谈判、直接委托等）进行编制和审核工作。</w:t>
      </w:r>
    </w:p>
    <w:p>
      <w:pPr>
        <w:pStyle w:val="5"/>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编制工作内容：预算、工程量清单及组价编制并需出具符合要求的编制结果及报告。</w:t>
      </w:r>
    </w:p>
    <w:p>
      <w:pPr>
        <w:pStyle w:val="5"/>
        <w:spacing w:line="520" w:lineRule="exact"/>
        <w:ind w:firstLine="480" w:firstLineChars="200"/>
        <w:rPr>
          <w:rFonts w:ascii="宋体" w:hAnsi="宋体"/>
          <w:sz w:val="24"/>
          <w:highlight w:val="none"/>
        </w:rPr>
      </w:pPr>
      <w:r>
        <w:rPr>
          <w:rFonts w:hint="eastAsia" w:ascii="宋体" w:hAnsi="宋体" w:cs="宋体"/>
          <w:sz w:val="24"/>
          <w:highlight w:val="none"/>
        </w:rPr>
        <w:t>审核工作内容：咨询单位针对限价计价依据、工程数量、定额套用、材料价格、费率及相关的其他费用等进行重点审核，并对发现问题提出意见和建议，出具符合要求的审核意见及报告，配合检查核对编制单位修改情况，整理完善审查资料。</w:t>
      </w:r>
    </w:p>
    <w:p>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第二条 委托人与受托人的责任、权利、义务</w:t>
      </w:r>
    </w:p>
    <w:p>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（一）委托人的责任、义务</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1.委托人应负责与本合同任务相关的造价咨询业务协调工作，为受托人工作提供外部条件。</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2.委托</w:t>
      </w:r>
      <w:r>
        <w:rPr>
          <w:rFonts w:hint="eastAsia"/>
          <w:color w:val="auto"/>
          <w:szCs w:val="21"/>
          <w:highlight w:val="none"/>
        </w:rPr>
        <w:t>人应按本合同有关规定及时支付咨询服务费。</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3.委托人向受托人提供开展</w:t>
      </w:r>
      <w:r>
        <w:rPr>
          <w:rFonts w:hint="eastAsia"/>
          <w:sz w:val="24"/>
          <w:highlight w:val="none"/>
          <w:lang w:val="en-US" w:eastAsia="zh-CN"/>
        </w:rPr>
        <w:t>重庆成渝垫丰武高速公路有限公司造价咨询服务</w:t>
      </w:r>
      <w:r>
        <w:rPr>
          <w:rFonts w:hint="eastAsia"/>
          <w:color w:val="auto"/>
          <w:highlight w:val="none"/>
        </w:rPr>
        <w:t>工作所需要的资料。</w:t>
      </w:r>
    </w:p>
    <w:p>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（二）委托人的权利</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1.委托人有权向受托人询问工作进展情况及相关的内容。</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2.委托人有权阐述对具体问题的意见和建议、有权对受托人出具的咨询报告进行审查。</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3.当委托人认为咨询专业人员不按咨询合同履行其职责的，委托人有权要求更换咨询专业人员，直至终止合同。</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4.委托人有权对受托人出具的咨询报告或咨询成果提出修改意见。</w:t>
      </w:r>
    </w:p>
    <w:p>
      <w:pPr>
        <w:pStyle w:val="11"/>
        <w:spacing w:before="0" w:beforeAutospacing="0" w:after="0" w:afterAutospacing="0" w:line="440" w:lineRule="exact"/>
        <w:ind w:firstLine="480" w:firstLineChars="200"/>
        <w:rPr>
          <w:color w:val="auto"/>
          <w:highlight w:val="none"/>
        </w:rPr>
      </w:pPr>
      <w:r>
        <w:rPr>
          <w:rFonts w:hint="eastAsia"/>
          <w:color w:val="auto"/>
          <w:szCs w:val="21"/>
          <w:highlight w:val="none"/>
        </w:rPr>
        <w:t>5.受托人的工作进度没有达到委托人的进度计划时，委托人有权提出要求增加咨询服务人员，其费用被认为已包含在合同价格之中。</w:t>
      </w:r>
    </w:p>
    <w:p>
      <w:pPr>
        <w:pStyle w:val="11"/>
        <w:spacing w:before="0" w:beforeAutospacing="0" w:after="0" w:afterAutospacing="0" w:line="440" w:lineRule="exact"/>
        <w:ind w:firstLine="482" w:firstLineChars="200"/>
        <w:rPr>
          <w:color w:val="auto"/>
          <w:highlight w:val="none"/>
        </w:rPr>
      </w:pPr>
      <w:r>
        <w:rPr>
          <w:rStyle w:val="16"/>
          <w:rFonts w:hint="eastAsia"/>
          <w:color w:val="auto"/>
          <w:highlight w:val="none"/>
        </w:rPr>
        <w:t>（三）受托人的责任义务</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1.在</w:t>
      </w:r>
      <w:r>
        <w:rPr>
          <w:rFonts w:hint="eastAsia"/>
          <w:color w:val="auto"/>
          <w:highlight w:val="none"/>
          <w:lang w:val="en-US" w:eastAsia="zh-CN"/>
        </w:rPr>
        <w:t>编制（审核）</w:t>
      </w:r>
      <w:r>
        <w:rPr>
          <w:rFonts w:hint="eastAsia"/>
          <w:color w:val="auto"/>
          <w:highlight w:val="none"/>
        </w:rPr>
        <w:t>招标限价前，受托人应充分了解项目管理模式、实际情况，充分理解委托人的相关要求，提交全面、系统、可行的工作纲领、工作计划及实施细则（编制办法），并在工作过程中充分征询委托人意见和建议。</w:t>
      </w:r>
    </w:p>
    <w:p>
      <w:pPr>
        <w:pStyle w:val="11"/>
        <w:spacing w:before="0" w:beforeAutospacing="0" w:after="0" w:afterAutospacing="0" w:line="440" w:lineRule="exact"/>
        <w:ind w:firstLine="480" w:firstLineChars="200"/>
        <w:rPr>
          <w:color w:val="auto"/>
          <w:highlight w:val="none"/>
        </w:rPr>
      </w:pPr>
      <w:r>
        <w:rPr>
          <w:rFonts w:hint="eastAsia"/>
          <w:color w:val="auto"/>
          <w:highlight w:val="none"/>
          <w:lang w:val="en-US" w:eastAsia="zh-CN"/>
        </w:rPr>
        <w:t>2</w:t>
      </w:r>
      <w:r>
        <w:rPr>
          <w:rFonts w:hint="eastAsia"/>
          <w:color w:val="auto"/>
          <w:highlight w:val="none"/>
        </w:rPr>
        <w:t>.</w:t>
      </w:r>
      <w:r>
        <w:rPr>
          <w:rFonts w:hint="eastAsia"/>
          <w:highlight w:val="none"/>
          <w:lang w:eastAsia="zh-CN"/>
        </w:rPr>
        <w:t>招标限</w:t>
      </w:r>
      <w:r>
        <w:rPr>
          <w:rFonts w:hint="eastAsia"/>
          <w:color w:val="auto"/>
          <w:highlight w:val="none"/>
        </w:rPr>
        <w:t>成果由委托人组织审核，受托人应对编制质量负责。</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4.受托人应负责对委托人相关人员进行咨询成果相关的应用培训，费用由受托人承担。</w:t>
      </w:r>
    </w:p>
    <w:p>
      <w:pPr>
        <w:pStyle w:val="11"/>
        <w:spacing w:before="0" w:beforeAutospacing="0" w:after="0" w:afterAutospacing="0" w:line="440" w:lineRule="exact"/>
        <w:ind w:firstLine="480" w:firstLineChars="200"/>
        <w:rPr>
          <w:color w:val="auto"/>
          <w:szCs w:val="21"/>
          <w:highlight w:val="none"/>
        </w:rPr>
      </w:pPr>
      <w:r>
        <w:rPr>
          <w:rFonts w:hint="eastAsia"/>
          <w:color w:val="auto"/>
          <w:szCs w:val="21"/>
          <w:highlight w:val="none"/>
        </w:rPr>
        <w:t>5.受托人应根据本项目工作的需要，自行搜集或购买委托人提供资料之外的其他资料和需要使用的造价软件。</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6.受托人为实施本合同，应参加相关保险，以使本合同顺利进行。受托人应将全部保险费计入合同报价中，委托人将不另行支付。</w:t>
      </w:r>
    </w:p>
    <w:p>
      <w:pPr>
        <w:pStyle w:val="11"/>
        <w:spacing w:before="0" w:beforeAutospacing="0" w:after="0" w:afterAutospacing="0" w:line="440" w:lineRule="exact"/>
        <w:ind w:firstLine="480" w:firstLineChars="200"/>
        <w:rPr>
          <w:color w:val="auto"/>
          <w:szCs w:val="21"/>
          <w:highlight w:val="none"/>
        </w:rPr>
      </w:pPr>
      <w:r>
        <w:rPr>
          <w:rFonts w:hint="eastAsia"/>
          <w:color w:val="auto"/>
          <w:szCs w:val="21"/>
          <w:highlight w:val="none"/>
        </w:rPr>
        <w:t>7.委托人向受托人提供的所有资料均为保密资料，受托人除在履行本合同义务时可向受雇于受托人的相关研究人员透露外，不能在任何情况下</w:t>
      </w:r>
      <w:r>
        <w:rPr>
          <w:color w:val="auto"/>
          <w:szCs w:val="21"/>
          <w:highlight w:val="none"/>
        </w:rPr>
        <w:t>(</w:t>
      </w:r>
      <w:r>
        <w:rPr>
          <w:rFonts w:hint="eastAsia"/>
          <w:color w:val="auto"/>
          <w:szCs w:val="21"/>
          <w:highlight w:val="none"/>
        </w:rPr>
        <w:t>包括本合同有效期内及之后</w:t>
      </w:r>
      <w:r>
        <w:rPr>
          <w:color w:val="auto"/>
          <w:szCs w:val="21"/>
          <w:highlight w:val="none"/>
        </w:rPr>
        <w:t>)</w:t>
      </w:r>
      <w:r>
        <w:rPr>
          <w:rFonts w:hint="eastAsia"/>
          <w:color w:val="auto"/>
          <w:szCs w:val="21"/>
          <w:highlight w:val="none"/>
        </w:rPr>
        <w:t>向第三者透露。</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8.受托人应对委托人提出的审查修改意见进行反复论证，如正确，受托人要在</w:t>
      </w:r>
      <w:r>
        <w:rPr>
          <w:rFonts w:hint="eastAsia"/>
          <w:color w:val="auto"/>
          <w:highlight w:val="none"/>
          <w:u w:val="single"/>
          <w:lang w:eastAsia="zh-CN"/>
        </w:rPr>
        <w:t>5</w:t>
      </w:r>
      <w:r>
        <w:rPr>
          <w:rFonts w:hint="eastAsia"/>
          <w:color w:val="auto"/>
          <w:highlight w:val="none"/>
        </w:rPr>
        <w:t>日内对其咨询报告或咨询成果做出修改；如不正确，应在</w:t>
      </w:r>
      <w:r>
        <w:rPr>
          <w:rFonts w:hint="eastAsia"/>
          <w:color w:val="auto"/>
          <w:highlight w:val="none"/>
          <w:u w:val="single"/>
          <w:lang w:eastAsia="zh-CN"/>
        </w:rPr>
        <w:t>5</w:t>
      </w:r>
      <w:r>
        <w:rPr>
          <w:rFonts w:hint="eastAsia"/>
          <w:color w:val="auto"/>
          <w:highlight w:val="none"/>
        </w:rPr>
        <w:t>日内说明理由。以确保咨询报告或咨询成果的准确性、合理性。</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9.受托人应当严格遵照委托人的时间要求出具工程造价咨询报告或咨询成果。</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10.受托人应对出具的咨询报告或咨询成果的准确性、合理性和合法性承担一切责任。因受托人的原因导致咨询报告或咨询成果存在瑕疵的或者违法的，受托人应当赔偿委托人的一切损失（包括但不限于咨询费用、差旅费、律师费及其他损失）。</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11.受托人应当全面履行本合同中约定的义务，因受托人的资质、不按期出具咨询报告或咨询成果等原因造成委托人的经济损失，受托人应当赔偿委托人的一切损失（包括但不限于咨询费用、差旅费、律师费及其他损失）。</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12.受托人对委托人提出的问题不能及时核对或答复，导致咨询合同不能履行或者不能按期履行的，受托人应当赔偿委托人的一切损失（包括但不限于咨询费用、差旅费、律师费及其他损失）。</w:t>
      </w:r>
    </w:p>
    <w:p>
      <w:pPr>
        <w:pStyle w:val="11"/>
        <w:spacing w:before="0" w:beforeAutospacing="0" w:after="0" w:afterAutospacing="0" w:line="440" w:lineRule="exact"/>
        <w:ind w:firstLine="482" w:firstLineChars="200"/>
        <w:rPr>
          <w:b/>
          <w:color w:val="auto"/>
          <w:highlight w:val="none"/>
        </w:rPr>
      </w:pPr>
      <w:r>
        <w:rPr>
          <w:rFonts w:hint="eastAsia"/>
          <w:b/>
          <w:color w:val="auto"/>
          <w:highlight w:val="none"/>
        </w:rPr>
        <w:t>（四）受托人的权利</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 xml:space="preserve">委托人在委托的造价咨询业务范围内，授予受托人以下权利： </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 xml:space="preserve">1.受托人在咨询过程中，如委托人提供的资料不明确时可向委托人提出书面报告。 </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 xml:space="preserve">2.受托人在咨询过程中，有权对第三人提出与本咨询业务有关的问题进行核对或查问。 </w:t>
      </w:r>
    </w:p>
    <w:p>
      <w:pPr>
        <w:pStyle w:val="11"/>
        <w:spacing w:before="0" w:beforeAutospacing="0" w:after="0" w:afterAutospacing="0" w:line="440" w:lineRule="exact"/>
        <w:ind w:firstLine="482" w:firstLineChars="200"/>
        <w:rPr>
          <w:rFonts w:hint="eastAsia" w:cs="宋体"/>
          <w:color w:val="auto"/>
          <w:sz w:val="24"/>
          <w:highlight w:val="none"/>
          <w:lang w:val="en-US" w:eastAsia="zh-CN"/>
        </w:rPr>
      </w:pPr>
      <w:r>
        <w:rPr>
          <w:rStyle w:val="16"/>
          <w:rFonts w:hint="eastAsia"/>
          <w:color w:val="auto"/>
          <w:highlight w:val="none"/>
        </w:rPr>
        <w:t>第三条 编制成果</w:t>
      </w:r>
    </w:p>
    <w:p>
      <w:pPr>
        <w:pStyle w:val="11"/>
        <w:spacing w:before="0" w:beforeAutospacing="0" w:after="0" w:afterAutospacing="0" w:line="520" w:lineRule="exact"/>
        <w:ind w:firstLine="480" w:firstLineChars="200"/>
        <w:rPr>
          <w:rFonts w:hint="eastAsia" w:cs="宋体"/>
          <w:color w:val="auto"/>
          <w:sz w:val="24"/>
          <w:highlight w:val="none"/>
          <w:lang w:val="en-US" w:eastAsia="zh-CN"/>
        </w:rPr>
      </w:pPr>
      <w:r>
        <w:rPr>
          <w:rFonts w:hint="eastAsia" w:cs="宋体"/>
          <w:color w:val="auto"/>
          <w:sz w:val="24"/>
          <w:highlight w:val="none"/>
          <w:lang w:val="en-US" w:eastAsia="zh-CN"/>
        </w:rPr>
        <w:t>乙方须约定工作完成时限内向甲方提交成果。执行国家相关法律法规约定的质量标准，对报告的真实性、合法性、完整性负责等。出具合法合规的审核（编制）报告。包括审核送审限价报告的真实性、准确性（必要时需现场核实），是否严格按照相关计价标准或相关管理办法规定编制，以控制成本为目的参考市场价校验合理性。</w:t>
      </w:r>
      <w:r>
        <w:rPr>
          <w:rFonts w:hint="eastAsia" w:cs="宋体"/>
          <w:b/>
          <w:bCs/>
          <w:color w:val="auto"/>
          <w:sz w:val="24"/>
          <w:highlight w:val="none"/>
          <w:lang w:val="en-US" w:eastAsia="zh-CN"/>
        </w:rPr>
        <w:t>不得恶意抬高审核金额，如虚增工程量、重复计价等，如发现此类情况，委托人有权立即终止合同并报相关部门，将咨询人列入高速集团合格供方库黑名单，且咨询服务费不予计算。</w:t>
      </w:r>
    </w:p>
    <w:p>
      <w:pPr>
        <w:pStyle w:val="11"/>
        <w:spacing w:before="0" w:beforeAutospacing="0" w:after="0" w:afterAutospacing="0" w:line="520" w:lineRule="exact"/>
        <w:ind w:firstLine="480" w:firstLineChars="200"/>
        <w:rPr>
          <w:rFonts w:hint="eastAsia" w:cs="宋体"/>
          <w:color w:val="auto"/>
          <w:sz w:val="24"/>
          <w:highlight w:val="none"/>
          <w:lang w:val="en-US" w:eastAsia="zh-CN"/>
        </w:rPr>
      </w:pPr>
      <w:r>
        <w:rPr>
          <w:rFonts w:hint="eastAsia" w:cs="宋体"/>
          <w:color w:val="auto"/>
          <w:sz w:val="24"/>
          <w:highlight w:val="none"/>
          <w:lang w:val="en-US" w:eastAsia="zh-CN"/>
        </w:rPr>
        <w:t>成果文件要求：单个项目委托实施后，</w:t>
      </w:r>
      <w:r>
        <w:rPr>
          <w:rFonts w:hint="eastAsia" w:cs="宋体"/>
          <w:b/>
          <w:bCs/>
          <w:color w:val="auto"/>
          <w:sz w:val="24"/>
          <w:highlight w:val="none"/>
          <w:lang w:val="en-US" w:eastAsia="zh-CN"/>
        </w:rPr>
        <w:t>成果文件须经委托人评审验收合格</w:t>
      </w:r>
      <w:r>
        <w:rPr>
          <w:rFonts w:hint="eastAsia" w:cs="宋体"/>
          <w:color w:val="auto"/>
          <w:sz w:val="24"/>
          <w:highlight w:val="none"/>
          <w:lang w:val="en-US" w:eastAsia="zh-CN"/>
        </w:rPr>
        <w:t>，并按评审意见修编完善后向委托人提交纸质报告书1份、电子光盘1份（含算量软件或计算式）（根据需要，委托人有权要求咨询服务公司增加成果资料份数，乙方应无偿提供）。</w:t>
      </w:r>
    </w:p>
    <w:p>
      <w:pPr>
        <w:pStyle w:val="11"/>
        <w:spacing w:before="0" w:beforeAutospacing="0" w:after="0" w:afterAutospacing="0" w:line="520" w:lineRule="exact"/>
        <w:ind w:firstLine="480" w:firstLineChars="200"/>
        <w:rPr>
          <w:rFonts w:hint="eastAsia" w:cs="宋体"/>
          <w:color w:val="auto"/>
          <w:sz w:val="24"/>
          <w:highlight w:val="none"/>
          <w:lang w:val="en-US" w:eastAsia="zh-CN"/>
        </w:rPr>
      </w:pPr>
      <w:r>
        <w:rPr>
          <w:rFonts w:hint="eastAsia" w:cs="宋体"/>
          <w:color w:val="auto"/>
          <w:sz w:val="24"/>
          <w:highlight w:val="none"/>
          <w:lang w:val="en-US" w:eastAsia="zh-CN"/>
        </w:rPr>
        <w:t>编制报告成果文件内容包含但不限于工程概况、编制范围、编制依据、编制结果（包括：编制金额、造价控制意见、控制指标）、其他说明等。</w:t>
      </w:r>
    </w:p>
    <w:p>
      <w:pPr>
        <w:pStyle w:val="11"/>
        <w:spacing w:before="0" w:beforeAutospacing="0" w:after="0" w:afterAutospacing="0" w:line="520" w:lineRule="exact"/>
        <w:ind w:firstLine="480" w:firstLineChars="200"/>
        <w:rPr>
          <w:color w:val="auto"/>
          <w:highlight w:val="none"/>
        </w:rPr>
      </w:pPr>
      <w:r>
        <w:rPr>
          <w:rFonts w:hint="eastAsia" w:cs="宋体"/>
          <w:color w:val="auto"/>
          <w:sz w:val="24"/>
          <w:highlight w:val="none"/>
          <w:lang w:val="en-US" w:eastAsia="zh-CN"/>
        </w:rPr>
        <w:t>审核报告成果文件内容包含但不限于工程概况、审核范围、审核依据、审核结果（包括：审核意见、初步审定金额、审减（增）情况）、其他说明等。</w:t>
      </w:r>
    </w:p>
    <w:p>
      <w:pPr>
        <w:pStyle w:val="11"/>
        <w:spacing w:before="0" w:beforeAutospacing="0" w:after="0" w:afterAutospacing="0" w:line="440" w:lineRule="exact"/>
        <w:ind w:firstLine="482" w:firstLineChars="200"/>
        <w:rPr>
          <w:rStyle w:val="16"/>
          <w:color w:val="auto"/>
          <w:highlight w:val="none"/>
        </w:rPr>
      </w:pPr>
      <w:r>
        <w:rPr>
          <w:rStyle w:val="16"/>
          <w:rFonts w:hint="eastAsia"/>
          <w:color w:val="auto"/>
          <w:highlight w:val="none"/>
        </w:rPr>
        <w:t>第四条 服务工作周期</w:t>
      </w:r>
    </w:p>
    <w:p>
      <w:pPr>
        <w:pStyle w:val="11"/>
        <w:spacing w:before="0" w:beforeAutospacing="0" w:after="0" w:afterAutospacing="0" w:line="520" w:lineRule="exact"/>
        <w:ind w:firstLine="480" w:firstLineChars="200"/>
        <w:rPr>
          <w:rFonts w:hint="eastAsia"/>
          <w:color w:val="auto"/>
          <w:highlight w:val="none"/>
        </w:rPr>
      </w:pPr>
      <w:r>
        <w:rPr>
          <w:rFonts w:hint="eastAsia" w:ascii="宋体" w:hAnsi="宋体" w:cs="宋体"/>
          <w:color w:val="auto"/>
          <w:sz w:val="24"/>
          <w:highlight w:val="none"/>
          <w:lang w:val="en-US" w:eastAsia="zh-CN"/>
        </w:rPr>
        <w:t>服务期限：自合同签订之日起开始计算2年（第一年服务到期后须经</w:t>
      </w:r>
      <w:r>
        <w:rPr>
          <w:rFonts w:hint="eastAsia" w:cs="宋体"/>
          <w:color w:val="auto"/>
          <w:sz w:val="24"/>
          <w:highlight w:val="none"/>
          <w:lang w:val="en-US" w:eastAsia="zh-CN"/>
        </w:rPr>
        <w:t>甲方</w:t>
      </w:r>
      <w:r>
        <w:rPr>
          <w:rFonts w:hint="eastAsia" w:ascii="宋体" w:hAnsi="宋体" w:cs="宋体"/>
          <w:color w:val="auto"/>
          <w:sz w:val="24"/>
          <w:highlight w:val="none"/>
          <w:lang w:val="en-US" w:eastAsia="zh-CN"/>
        </w:rPr>
        <w:t>考核合格后方可延续第二年服务），累计造价咨询结算服务费用达到90万元后自动终止本合同</w:t>
      </w:r>
      <w:r>
        <w:rPr>
          <w:rFonts w:hint="eastAsia"/>
          <w:color w:val="auto"/>
          <w:highlight w:val="none"/>
        </w:rPr>
        <w:t>。</w:t>
      </w:r>
    </w:p>
    <w:p>
      <w:pPr>
        <w:pStyle w:val="11"/>
        <w:spacing w:before="0" w:beforeAutospacing="0" w:after="0" w:afterAutospacing="0" w:line="440" w:lineRule="exact"/>
        <w:ind w:firstLine="482" w:firstLineChars="200"/>
        <w:rPr>
          <w:rFonts w:hint="default" w:eastAsia="宋体" w:cs="Times New Roman"/>
          <w:b/>
          <w:color w:val="auto"/>
          <w:highlight w:val="none"/>
          <w:lang w:val="en-US" w:eastAsia="zh-CN"/>
        </w:rPr>
      </w:pPr>
      <w:r>
        <w:rPr>
          <w:rStyle w:val="16"/>
          <w:color w:val="auto"/>
          <w:highlight w:val="none"/>
        </w:rPr>
        <w:t>第</w:t>
      </w:r>
      <w:r>
        <w:rPr>
          <w:rStyle w:val="16"/>
          <w:rFonts w:hint="eastAsia"/>
          <w:color w:val="auto"/>
          <w:highlight w:val="none"/>
        </w:rPr>
        <w:t>五</w:t>
      </w:r>
      <w:r>
        <w:rPr>
          <w:rStyle w:val="16"/>
          <w:color w:val="auto"/>
          <w:highlight w:val="none"/>
        </w:rPr>
        <w:t>条</w:t>
      </w:r>
      <w:r>
        <w:rPr>
          <w:rStyle w:val="16"/>
          <w:rFonts w:hint="eastAsia"/>
          <w:color w:val="auto"/>
          <w:highlight w:val="none"/>
        </w:rPr>
        <w:t xml:space="preserve"> 咨询服务费用</w:t>
      </w:r>
      <w:r>
        <w:rPr>
          <w:rStyle w:val="16"/>
          <w:rFonts w:hint="eastAsia"/>
          <w:color w:val="auto"/>
          <w:highlight w:val="none"/>
          <w:lang w:val="en-US" w:eastAsia="zh-CN"/>
        </w:rPr>
        <w:t>及支付方式</w:t>
      </w:r>
    </w:p>
    <w:p>
      <w:pPr>
        <w:pStyle w:val="11"/>
        <w:spacing w:before="0" w:beforeAutospacing="0" w:after="0" w:afterAutospacing="0" w:line="440" w:lineRule="exact"/>
        <w:ind w:firstLine="482" w:firstLineChars="200"/>
        <w:rPr>
          <w:rFonts w:hint="eastAsia"/>
          <w:color w:val="auto"/>
          <w:highlight w:val="none"/>
        </w:rPr>
      </w:pPr>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lang w:val="en-US" w:eastAsia="zh-CN"/>
        </w:rPr>
        <w:t>编制审核服务费</w:t>
      </w:r>
    </w:p>
    <w:p>
      <w:pPr>
        <w:spacing w:line="640" w:lineRule="exact"/>
        <w:ind w:firstLine="480" w:firstLineChars="200"/>
        <w:rPr>
          <w:rFonts w:hint="eastAsia" w:ascii="方正仿宋_GBK" w:hAnsi="方正仿宋_GBK" w:eastAsia="方正仿宋_GBK" w:cs="方正仿宋_GBK"/>
          <w:sz w:val="28"/>
          <w:szCs w:val="28"/>
          <w:highlight w:val="none"/>
        </w:rPr>
      </w:pPr>
      <w:r>
        <w:rPr>
          <w:rFonts w:hint="eastAsia" w:ascii="宋体" w:hAnsi="宋体" w:cs="宋体"/>
          <w:color w:val="auto"/>
          <w:kern w:val="0"/>
          <w:sz w:val="24"/>
          <w:szCs w:val="24"/>
          <w:highlight w:val="none"/>
          <w:lang w:eastAsia="zh-CN"/>
        </w:rPr>
        <w:t>1、</w:t>
      </w:r>
      <w:r>
        <w:rPr>
          <w:rFonts w:hint="eastAsia" w:ascii="宋体" w:hAnsi="宋体" w:eastAsia="宋体" w:cs="宋体"/>
          <w:color w:val="auto"/>
          <w:kern w:val="0"/>
          <w:sz w:val="24"/>
          <w:szCs w:val="24"/>
          <w:highlight w:val="none"/>
        </w:rPr>
        <w:t>本次合同签订的各档费率、金额，详见下表</w:t>
      </w:r>
    </w:p>
    <w:tbl>
      <w:tblPr>
        <w:tblStyle w:val="13"/>
        <w:tblW w:w="9720" w:type="dxa"/>
        <w:jc w:val="center"/>
        <w:tblLayout w:type="fixed"/>
        <w:tblCellMar>
          <w:top w:w="0" w:type="dxa"/>
          <w:left w:w="0" w:type="dxa"/>
          <w:bottom w:w="0" w:type="dxa"/>
          <w:right w:w="0" w:type="dxa"/>
        </w:tblCellMar>
      </w:tblPr>
      <w:tblGrid>
        <w:gridCol w:w="565"/>
        <w:gridCol w:w="1135"/>
        <w:gridCol w:w="1540"/>
        <w:gridCol w:w="1011"/>
        <w:gridCol w:w="992"/>
        <w:gridCol w:w="993"/>
        <w:gridCol w:w="992"/>
        <w:gridCol w:w="1134"/>
        <w:gridCol w:w="672"/>
        <w:gridCol w:w="686"/>
      </w:tblGrid>
      <w:tr>
        <w:tblPrEx>
          <w:tblCellMar>
            <w:top w:w="0" w:type="dxa"/>
            <w:left w:w="0" w:type="dxa"/>
            <w:bottom w:w="0" w:type="dxa"/>
            <w:right w:w="0" w:type="dxa"/>
          </w:tblCellMar>
        </w:tblPrEx>
        <w:trPr>
          <w:trHeight w:val="315" w:hRule="atLeast"/>
          <w:jc w:val="center"/>
        </w:trPr>
        <w:tc>
          <w:tcPr>
            <w:tcW w:w="972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val="en-US" w:eastAsia="zh-CN" w:bidi="ar"/>
              </w:rPr>
              <w:t>造价</w:t>
            </w:r>
            <w:r>
              <w:rPr>
                <w:rFonts w:hint="eastAsia" w:ascii="仿宋_GB2312" w:hAnsi="方正仿宋_GBK" w:eastAsia="仿宋_GB2312" w:cs="方正仿宋_GBK"/>
                <w:kern w:val="0"/>
                <w:szCs w:val="21"/>
                <w:highlight w:val="none"/>
                <w:lang w:bidi="ar"/>
              </w:rPr>
              <w:t>咨询服务项目费率、金额</w:t>
            </w:r>
          </w:p>
        </w:tc>
      </w:tr>
      <w:tr>
        <w:tblPrEx>
          <w:tblCellMar>
            <w:top w:w="0" w:type="dxa"/>
            <w:left w:w="0" w:type="dxa"/>
            <w:bottom w:w="0" w:type="dxa"/>
            <w:right w:w="0" w:type="dxa"/>
          </w:tblCellMar>
        </w:tblPrEx>
        <w:trPr>
          <w:trHeight w:val="315" w:hRule="atLeast"/>
          <w:jc w:val="center"/>
        </w:trPr>
        <w:tc>
          <w:tcPr>
            <w:tcW w:w="5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序号</w:t>
            </w:r>
          </w:p>
        </w:tc>
        <w:tc>
          <w:tcPr>
            <w:tcW w:w="26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收费项目</w:t>
            </w:r>
          </w:p>
        </w:tc>
        <w:tc>
          <w:tcPr>
            <w:tcW w:w="10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计费基数</w:t>
            </w:r>
          </w:p>
        </w:tc>
        <w:tc>
          <w:tcPr>
            <w:tcW w:w="546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费率、金额</w:t>
            </w:r>
          </w:p>
        </w:tc>
      </w:tr>
      <w:tr>
        <w:tblPrEx>
          <w:tblCellMar>
            <w:top w:w="0" w:type="dxa"/>
            <w:left w:w="0" w:type="dxa"/>
            <w:bottom w:w="0" w:type="dxa"/>
            <w:right w:w="0" w:type="dxa"/>
          </w:tblCellMar>
        </w:tblPrEx>
        <w:trPr>
          <w:trHeight w:val="1352" w:hRule="atLeast"/>
          <w:jc w:val="center"/>
        </w:trPr>
        <w:tc>
          <w:tcPr>
            <w:tcW w:w="5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方正仿宋_GBK" w:eastAsia="仿宋_GB2312" w:cs="方正仿宋_GBK"/>
                <w:szCs w:val="21"/>
                <w:highlight w:val="none"/>
              </w:rPr>
            </w:pPr>
          </w:p>
        </w:tc>
        <w:tc>
          <w:tcPr>
            <w:tcW w:w="267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方正仿宋_GBK" w:eastAsia="仿宋_GB2312" w:cs="方正仿宋_GBK"/>
                <w:szCs w:val="21"/>
                <w:highlight w:val="none"/>
              </w:rPr>
            </w:pPr>
          </w:p>
        </w:tc>
        <w:tc>
          <w:tcPr>
            <w:tcW w:w="10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方正仿宋_GBK" w:eastAsia="仿宋_GB2312" w:cs="方正仿宋_GBK"/>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500万元以下</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501-1000万元以内</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1001-5000万元以内</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5001万元-1亿元以内</w:t>
            </w:r>
          </w:p>
        </w:tc>
        <w:tc>
          <w:tcPr>
            <w:tcW w:w="6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10</w:t>
            </w:r>
            <w:r>
              <w:rPr>
                <w:rFonts w:ascii="仿宋_GB2312" w:hAnsi="方正仿宋_GBK" w:eastAsia="仿宋_GB2312" w:cs="方正仿宋_GBK"/>
                <w:kern w:val="0"/>
                <w:szCs w:val="21"/>
                <w:highlight w:val="none"/>
                <w:lang w:bidi="ar"/>
              </w:rPr>
              <w:t>001</w:t>
            </w:r>
            <w:r>
              <w:rPr>
                <w:rFonts w:hint="eastAsia" w:ascii="仿宋_GB2312" w:hAnsi="方正仿宋_GBK" w:eastAsia="仿宋_GB2312" w:cs="方正仿宋_GBK"/>
                <w:kern w:val="0"/>
                <w:szCs w:val="21"/>
                <w:highlight w:val="none"/>
                <w:lang w:bidi="ar"/>
              </w:rPr>
              <w:t>万元-</w:t>
            </w:r>
            <w:r>
              <w:rPr>
                <w:rFonts w:ascii="仿宋_GB2312" w:hAnsi="方正仿宋_GBK" w:eastAsia="仿宋_GB2312" w:cs="方正仿宋_GBK"/>
                <w:kern w:val="0"/>
                <w:szCs w:val="21"/>
                <w:highlight w:val="none"/>
                <w:lang w:bidi="ar"/>
              </w:rPr>
              <w:t>5</w:t>
            </w:r>
            <w:r>
              <w:rPr>
                <w:rFonts w:hint="eastAsia" w:ascii="仿宋_GB2312" w:hAnsi="方正仿宋_GBK" w:eastAsia="仿宋_GB2312" w:cs="方正仿宋_GBK"/>
                <w:kern w:val="0"/>
                <w:szCs w:val="21"/>
                <w:highlight w:val="none"/>
                <w:lang w:bidi="ar"/>
              </w:rPr>
              <w:t>亿元</w:t>
            </w:r>
          </w:p>
        </w:tc>
        <w:tc>
          <w:tcPr>
            <w:tcW w:w="68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szCs w:val="21"/>
                <w:highlight w:val="none"/>
              </w:rPr>
              <w:t>5亿元以上</w:t>
            </w:r>
          </w:p>
        </w:tc>
      </w:tr>
      <w:tr>
        <w:tblPrEx>
          <w:tblCellMar>
            <w:top w:w="0" w:type="dxa"/>
            <w:left w:w="0" w:type="dxa"/>
            <w:bottom w:w="0" w:type="dxa"/>
            <w:right w:w="0" w:type="dxa"/>
          </w:tblCellMar>
        </w:tblPrEx>
        <w:trPr>
          <w:trHeight w:val="818"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1</w:t>
            </w:r>
          </w:p>
        </w:tc>
        <w:tc>
          <w:tcPr>
            <w:tcW w:w="11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工程量清单及组价编制（审核）</w:t>
            </w: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建筑类（含建筑、市政、园林、安装、装饰、维修）</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清单量工程造价(％)</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6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68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方正仿宋_GBK" w:eastAsia="仿宋_GB2312" w:cs="方正仿宋_GBK"/>
                <w:szCs w:val="21"/>
                <w:highlight w:val="none"/>
              </w:rPr>
            </w:pPr>
          </w:p>
        </w:tc>
      </w:tr>
      <w:tr>
        <w:tblPrEx>
          <w:tblCellMar>
            <w:top w:w="0" w:type="dxa"/>
            <w:left w:w="0" w:type="dxa"/>
            <w:bottom w:w="0" w:type="dxa"/>
            <w:right w:w="0" w:type="dxa"/>
          </w:tblCellMar>
        </w:tblPrEx>
        <w:trPr>
          <w:trHeight w:val="1140"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2</w:t>
            </w:r>
          </w:p>
        </w:tc>
        <w:tc>
          <w:tcPr>
            <w:tcW w:w="11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方正仿宋_GBK" w:eastAsia="仿宋_GB2312" w:cs="方正仿宋_GBK"/>
                <w:sz w:val="24"/>
                <w:highlight w:val="none"/>
              </w:rPr>
            </w:pPr>
          </w:p>
        </w:tc>
        <w:tc>
          <w:tcPr>
            <w:tcW w:w="1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交通类（含公路、铁路、水电、水运等土木工程）</w:t>
            </w:r>
          </w:p>
        </w:tc>
        <w:tc>
          <w:tcPr>
            <w:tcW w:w="10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r>
              <w:rPr>
                <w:rFonts w:hint="eastAsia" w:ascii="仿宋_GB2312" w:hAnsi="方正仿宋_GBK" w:eastAsia="仿宋_GB2312" w:cs="方正仿宋_GBK"/>
                <w:kern w:val="0"/>
                <w:szCs w:val="21"/>
                <w:highlight w:val="none"/>
                <w:lang w:bidi="ar"/>
              </w:rPr>
              <w:t>清单量工程造价(％)</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6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szCs w:val="21"/>
                <w:highlight w:val="none"/>
              </w:rPr>
            </w:pPr>
          </w:p>
        </w:tc>
        <w:tc>
          <w:tcPr>
            <w:tcW w:w="68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方正仿宋_GBK" w:eastAsia="仿宋_GB2312" w:cs="方正仿宋_GBK"/>
                <w:szCs w:val="21"/>
                <w:highlight w:val="none"/>
              </w:rPr>
            </w:pPr>
          </w:p>
        </w:tc>
      </w:tr>
      <w:tr>
        <w:tblPrEx>
          <w:tblCellMar>
            <w:top w:w="0" w:type="dxa"/>
            <w:left w:w="0" w:type="dxa"/>
            <w:bottom w:w="0" w:type="dxa"/>
            <w:right w:w="0" w:type="dxa"/>
          </w:tblCellMar>
        </w:tblPrEx>
        <w:trPr>
          <w:trHeight w:val="1140"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kern w:val="0"/>
                <w:szCs w:val="21"/>
                <w:highlight w:val="none"/>
                <w:lang w:bidi="ar"/>
              </w:rPr>
            </w:pPr>
            <w:r>
              <w:rPr>
                <w:rFonts w:ascii="仿宋_GB2312" w:hAnsi="方正仿宋_GBK" w:eastAsia="仿宋_GB2312" w:cs="方正仿宋_GBK"/>
                <w:kern w:val="0"/>
                <w:szCs w:val="21"/>
                <w:highlight w:val="none"/>
                <w:lang w:bidi="ar"/>
              </w:rPr>
              <w:t>3</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方正仿宋_GBK" w:eastAsia="仿宋_GB2312" w:cs="方正仿宋_GBK"/>
                <w:szCs w:val="21"/>
                <w:highlight w:val="none"/>
              </w:rPr>
            </w:pPr>
            <w:r>
              <w:rPr>
                <w:rFonts w:hint="eastAsia" w:ascii="仿宋_GB2312" w:hAnsi="宋体" w:eastAsia="仿宋_GB2312" w:cs="宋体"/>
                <w:kern w:val="0"/>
                <w:szCs w:val="21"/>
                <w:highlight w:val="none"/>
              </w:rPr>
              <w:t>非工程类（如服务类、咨询类、物资等）造价咨询服务</w:t>
            </w:r>
          </w:p>
        </w:tc>
        <w:tc>
          <w:tcPr>
            <w:tcW w:w="80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kern w:val="0"/>
                <w:szCs w:val="21"/>
                <w:highlight w:val="none"/>
                <w:lang w:bidi="ar"/>
              </w:rPr>
            </w:pPr>
            <w:r>
              <w:rPr>
                <w:rFonts w:ascii="仿宋_GB2312" w:hAnsi="方正仿宋_GBK" w:eastAsia="仿宋_GB2312" w:cs="方正仿宋_GBK"/>
                <w:kern w:val="0"/>
                <w:szCs w:val="21"/>
                <w:highlight w:val="none"/>
                <w:lang w:bidi="ar"/>
              </w:rPr>
              <w:t>3000</w:t>
            </w:r>
            <w:r>
              <w:rPr>
                <w:rFonts w:hint="eastAsia" w:ascii="仿宋_GB2312" w:hAnsi="方正仿宋_GBK" w:eastAsia="仿宋_GB2312" w:cs="方正仿宋_GBK"/>
                <w:kern w:val="0"/>
                <w:szCs w:val="21"/>
                <w:highlight w:val="none"/>
                <w:lang w:bidi="ar"/>
              </w:rPr>
              <w:t>元</w:t>
            </w:r>
          </w:p>
        </w:tc>
      </w:tr>
      <w:tr>
        <w:tblPrEx>
          <w:tblCellMar>
            <w:top w:w="0" w:type="dxa"/>
            <w:left w:w="0" w:type="dxa"/>
            <w:bottom w:w="0" w:type="dxa"/>
            <w:right w:w="0" w:type="dxa"/>
          </w:tblCellMar>
        </w:tblPrEx>
        <w:trPr>
          <w:trHeight w:val="1140" w:hRule="atLeast"/>
          <w:jc w:val="center"/>
        </w:trPr>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kern w:val="0"/>
                <w:szCs w:val="21"/>
                <w:highlight w:val="none"/>
                <w:lang w:bidi="ar"/>
              </w:rPr>
            </w:pPr>
            <w:r>
              <w:rPr>
                <w:rFonts w:ascii="仿宋_GB2312" w:hAnsi="方正仿宋_GBK" w:eastAsia="仿宋_GB2312" w:cs="方正仿宋_GBK"/>
                <w:kern w:val="0"/>
                <w:szCs w:val="21"/>
                <w:highlight w:val="none"/>
                <w:lang w:bidi="ar"/>
              </w:rPr>
              <w:t>4</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方正仿宋_GBK" w:eastAsia="仿宋_GB2312" w:cs="方正仿宋_GBK"/>
                <w:szCs w:val="21"/>
                <w:highlight w:val="none"/>
              </w:rPr>
            </w:pPr>
            <w:bookmarkStart w:id="17" w:name="_Hlk69890606"/>
            <w:r>
              <w:rPr>
                <w:rFonts w:hint="eastAsia" w:ascii="仿宋_GB2312" w:hAnsi="宋体" w:eastAsia="仿宋_GB2312" w:cs="宋体"/>
                <w:kern w:val="0"/>
                <w:szCs w:val="21"/>
                <w:highlight w:val="none"/>
              </w:rPr>
              <w:t>非工程类（如服务类、咨询类、物资等）限价编制</w:t>
            </w:r>
            <w:bookmarkEnd w:id="17"/>
          </w:p>
        </w:tc>
        <w:tc>
          <w:tcPr>
            <w:tcW w:w="80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方正仿宋_GBK" w:eastAsia="仿宋_GB2312" w:cs="方正仿宋_GBK"/>
                <w:kern w:val="0"/>
                <w:szCs w:val="21"/>
                <w:highlight w:val="none"/>
                <w:lang w:bidi="ar"/>
              </w:rPr>
            </w:pPr>
            <w:r>
              <w:rPr>
                <w:rFonts w:hint="eastAsia" w:ascii="仿宋_GB2312" w:hAnsi="方正仿宋_GBK" w:eastAsia="仿宋_GB2312" w:cs="方正仿宋_GBK"/>
                <w:kern w:val="0"/>
                <w:szCs w:val="21"/>
                <w:highlight w:val="none"/>
                <w:lang w:bidi="ar"/>
              </w:rPr>
              <w:t>3000元</w:t>
            </w:r>
          </w:p>
        </w:tc>
      </w:tr>
    </w:tbl>
    <w:p>
      <w:pPr>
        <w:spacing w:line="240" w:lineRule="atLeast"/>
        <w:rPr>
          <w:rFonts w:hint="eastAsia" w:ascii="方正仿宋_GBK" w:hAnsi="方正仿宋_GBK" w:eastAsia="方正仿宋_GBK" w:cs="方正仿宋_GBK"/>
          <w:sz w:val="18"/>
          <w:szCs w:val="18"/>
          <w:highlight w:val="none"/>
        </w:rPr>
      </w:pPr>
      <w:r>
        <w:rPr>
          <w:rFonts w:hint="eastAsia" w:ascii="方正仿宋_GBK" w:hAnsi="方正仿宋_GBK" w:eastAsia="方正仿宋_GBK" w:cs="方正仿宋_GBK"/>
          <w:sz w:val="18"/>
          <w:szCs w:val="18"/>
          <w:highlight w:val="none"/>
        </w:rPr>
        <w:t>注：1</w:t>
      </w:r>
      <w:r>
        <w:rPr>
          <w:rFonts w:hint="eastAsia" w:ascii="方正仿宋_GBK" w:hAnsi="方正仿宋_GBK" w:eastAsia="方正仿宋_GBK" w:cs="方正仿宋_GBK"/>
          <w:sz w:val="18"/>
          <w:szCs w:val="18"/>
          <w:highlight w:val="none"/>
          <w:lang w:val="en-US" w:eastAsia="zh-CN"/>
        </w:rPr>
        <w:t>.计费基数1亿元以下</w:t>
      </w:r>
      <w:r>
        <w:rPr>
          <w:rFonts w:hint="eastAsia" w:ascii="方正仿宋_GBK" w:hAnsi="方正仿宋_GBK" w:eastAsia="方正仿宋_GBK" w:cs="方正仿宋_GBK"/>
          <w:sz w:val="18"/>
          <w:szCs w:val="18"/>
          <w:highlight w:val="none"/>
        </w:rPr>
        <w:t>收费按累进分档计取，同项目同类不同专业不进行分别累进</w:t>
      </w:r>
      <w:r>
        <w:rPr>
          <w:rFonts w:hint="eastAsia" w:ascii="方正仿宋_GBK" w:hAnsi="方正仿宋_GBK" w:eastAsia="方正仿宋_GBK" w:cs="方正仿宋_GBK"/>
          <w:sz w:val="18"/>
          <w:szCs w:val="18"/>
          <w:highlight w:val="none"/>
          <w:lang w:eastAsia="zh-CN"/>
        </w:rPr>
        <w:t>；</w:t>
      </w:r>
      <w:r>
        <w:rPr>
          <w:rFonts w:hint="eastAsia" w:ascii="方正仿宋_GBK" w:hAnsi="方正仿宋_GBK" w:eastAsia="方正仿宋_GBK" w:cs="方正仿宋_GBK"/>
          <w:sz w:val="18"/>
          <w:szCs w:val="18"/>
          <w:highlight w:val="none"/>
          <w:lang w:val="en-US" w:eastAsia="zh-CN"/>
        </w:rPr>
        <w:t>计费基数1亿元以上收费按包干金额计取，不累进计算，例如建筑类项目计费基数为2亿元，收费金额为8万元*（1-中标人所报下浮比例）。</w:t>
      </w:r>
    </w:p>
    <w:p>
      <w:pPr>
        <w:numPr>
          <w:ilvl w:val="0"/>
          <w:numId w:val="0"/>
        </w:numPr>
        <w:spacing w:line="240" w:lineRule="atLeast"/>
        <w:ind w:firstLine="360" w:firstLineChars="200"/>
        <w:rPr>
          <w:rFonts w:hint="default" w:eastAsia="方正仿宋_GBK"/>
          <w:lang w:val="en-US" w:eastAsia="zh-CN"/>
        </w:rPr>
      </w:pPr>
      <w:r>
        <w:rPr>
          <w:rFonts w:hint="eastAsia" w:ascii="方正仿宋_GBK" w:hAnsi="方正仿宋_GBK" w:eastAsia="方正仿宋_GBK" w:cs="方正仿宋_GBK"/>
          <w:sz w:val="18"/>
          <w:szCs w:val="18"/>
          <w:highlight w:val="none"/>
          <w:lang w:val="en-US" w:eastAsia="zh-CN"/>
        </w:rPr>
        <w:t>2.</w:t>
      </w:r>
      <w:r>
        <w:rPr>
          <w:rFonts w:hint="eastAsia" w:ascii="方正仿宋_GBK" w:hAnsi="方正仿宋_GBK" w:eastAsia="方正仿宋_GBK" w:cs="方正仿宋_GBK"/>
          <w:sz w:val="18"/>
          <w:szCs w:val="18"/>
          <w:highlight w:val="none"/>
        </w:rPr>
        <w:t>单项委托项目按上述费用计算不足3000元时，按3000元/次包干计取。</w:t>
      </w:r>
    </w:p>
    <w:p>
      <w:pPr>
        <w:adjustRightInd w:val="0"/>
        <w:spacing w:line="480" w:lineRule="exact"/>
        <w:ind w:firstLine="480" w:firstLineChars="200"/>
        <w:rPr>
          <w:rFonts w:hint="eastAsia" w:ascii="宋体" w:hAnsi="宋体" w:eastAsia="宋体" w:cs="宋体"/>
          <w:bCs w:val="0"/>
          <w:color w:val="auto"/>
          <w:kern w:val="0"/>
          <w:sz w:val="24"/>
          <w:szCs w:val="24"/>
          <w:highlight w:val="none"/>
        </w:rPr>
      </w:pPr>
      <w:r>
        <w:rPr>
          <w:rFonts w:hint="eastAsia" w:ascii="宋体" w:hAnsi="宋体" w:cs="宋体"/>
          <w:bCs w:val="0"/>
          <w:color w:val="auto"/>
          <w:kern w:val="0"/>
          <w:sz w:val="24"/>
          <w:szCs w:val="24"/>
          <w:highlight w:val="none"/>
          <w:lang w:eastAsia="zh-CN"/>
        </w:rPr>
        <w:t>2、</w:t>
      </w:r>
      <w:r>
        <w:rPr>
          <w:rFonts w:hint="eastAsia" w:ascii="宋体" w:hAnsi="宋体" w:eastAsia="宋体" w:cs="宋体"/>
          <w:bCs w:val="0"/>
          <w:color w:val="auto"/>
          <w:kern w:val="0"/>
          <w:sz w:val="24"/>
          <w:szCs w:val="24"/>
          <w:highlight w:val="none"/>
        </w:rPr>
        <w:t>最终造价咨询费用=比选人认可的单位工程造价*对应项目限价费率*（1-中标人所报下浮率）。</w:t>
      </w:r>
    </w:p>
    <w:p>
      <w:pPr>
        <w:spacing w:before="0" w:beforeAutospacing="0" w:after="0" w:afterAutospacing="0" w:line="600" w:lineRule="exact"/>
        <w:ind w:firstLine="480" w:firstLineChars="200"/>
        <w:rPr>
          <w:rFonts w:hint="eastAsia"/>
          <w:color w:val="auto"/>
          <w:highlight w:val="none"/>
        </w:rPr>
      </w:pPr>
      <w:r>
        <w:rPr>
          <w:rFonts w:hint="eastAsia" w:ascii="宋体" w:hAnsi="宋体" w:cs="宋体"/>
          <w:bCs w:val="0"/>
          <w:color w:val="auto"/>
          <w:kern w:val="0"/>
          <w:sz w:val="24"/>
          <w:szCs w:val="24"/>
          <w:highlight w:val="none"/>
          <w:lang w:eastAsia="zh-CN"/>
        </w:rPr>
        <w:t>3、</w:t>
      </w:r>
      <w:r>
        <w:rPr>
          <w:rFonts w:hint="eastAsia" w:ascii="宋体" w:hAnsi="宋体" w:eastAsia="宋体" w:cs="宋体"/>
          <w:bCs w:val="0"/>
          <w:color w:val="auto"/>
          <w:kern w:val="0"/>
          <w:sz w:val="24"/>
          <w:szCs w:val="24"/>
          <w:highlight w:val="none"/>
        </w:rPr>
        <w:t>单项委托项目按上述费用计算不足3000元时，以及非工程类造价咨询服务及限价编制，按3000元/次包干计取。</w:t>
      </w:r>
    </w:p>
    <w:p>
      <w:pPr>
        <w:pStyle w:val="11"/>
        <w:spacing w:before="0" w:beforeAutospacing="0" w:after="0" w:afterAutospacing="0" w:line="440" w:lineRule="exact"/>
        <w:ind w:firstLine="482" w:firstLineChars="200"/>
        <w:rPr>
          <w:rFonts w:hint="default" w:eastAsia="宋体"/>
          <w:b/>
          <w:bCs/>
          <w:color w:val="auto"/>
          <w:highlight w:val="none"/>
          <w:lang w:val="en-US" w:eastAsia="zh-CN"/>
        </w:rPr>
      </w:pPr>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lang w:val="en-US" w:eastAsia="zh-CN"/>
        </w:rPr>
        <w:t>支付方式</w:t>
      </w:r>
    </w:p>
    <w:p>
      <w:pPr>
        <w:pStyle w:val="11"/>
        <w:spacing w:before="0" w:beforeAutospacing="0" w:after="0" w:afterAutospacing="0" w:line="440" w:lineRule="exact"/>
        <w:ind w:firstLine="480" w:firstLineChars="200"/>
        <w:rPr>
          <w:rFonts w:hint="eastAsia"/>
          <w:color w:val="auto"/>
          <w:highlight w:val="none"/>
        </w:rPr>
      </w:pPr>
      <w:r>
        <w:rPr>
          <w:rFonts w:hint="eastAsia"/>
          <w:color w:val="auto"/>
          <w:highlight w:val="none"/>
          <w:lang w:val="en-US" w:eastAsia="zh-CN"/>
        </w:rPr>
        <w:t>1、</w:t>
      </w:r>
      <w:r>
        <w:rPr>
          <w:rFonts w:hint="eastAsia"/>
          <w:color w:val="auto"/>
          <w:highlight w:val="none"/>
        </w:rPr>
        <w:t>委托人根据</w:t>
      </w:r>
      <w:r>
        <w:rPr>
          <w:rFonts w:hint="eastAsia"/>
          <w:color w:val="auto"/>
          <w:highlight w:val="none"/>
          <w:lang w:val="en-US" w:eastAsia="zh-CN"/>
        </w:rPr>
        <w:t>半年</w:t>
      </w:r>
      <w:r>
        <w:rPr>
          <w:rFonts w:hint="eastAsia"/>
          <w:color w:val="auto"/>
          <w:highlight w:val="none"/>
        </w:rPr>
        <w:t>考评结果</w:t>
      </w:r>
      <w:r>
        <w:rPr>
          <w:rFonts w:hint="eastAsia"/>
          <w:color w:val="auto"/>
          <w:highlight w:val="none"/>
          <w:lang w:val="en-US" w:eastAsia="zh-CN"/>
        </w:rPr>
        <w:t>和完成的造价咨询服务项目</w:t>
      </w:r>
      <w:r>
        <w:rPr>
          <w:rFonts w:hint="eastAsia"/>
          <w:color w:val="auto"/>
          <w:highlight w:val="none"/>
        </w:rPr>
        <w:t>，每半年支付一次咨询服务费用。</w:t>
      </w:r>
    </w:p>
    <w:p>
      <w:pPr>
        <w:pStyle w:val="11"/>
        <w:spacing w:before="0" w:beforeAutospacing="0" w:after="0" w:afterAutospacing="0" w:line="440" w:lineRule="exact"/>
        <w:ind w:firstLine="480" w:firstLineChars="200"/>
        <w:rPr>
          <w:rFonts w:hint="eastAsia"/>
          <w:color w:val="auto"/>
          <w:highlight w:val="none"/>
          <w:lang w:val="en-US" w:eastAsia="zh-CN"/>
        </w:rPr>
      </w:pPr>
      <w:r>
        <w:rPr>
          <w:rFonts w:hint="eastAsia"/>
          <w:color w:val="auto"/>
          <w:highlight w:val="none"/>
          <w:lang w:val="en-US" w:eastAsia="zh-CN"/>
        </w:rPr>
        <w:t>2、</w:t>
      </w:r>
      <w:r>
        <w:rPr>
          <w:rFonts w:hint="eastAsia"/>
          <w:color w:val="auto"/>
          <w:highlight w:val="none"/>
        </w:rPr>
        <w:t>委托人将按照《委托造价咨询单位考核评价办法》进行过程考核，每半年考评平均分低于85分，该时段审核的咨询服务费按80%计算；低于75分，该时段审核的咨询服务费按60%计算；低于70分，甲方有权立即终止合同，且咨询服务费不予计算。详见附件</w:t>
      </w:r>
      <w:r>
        <w:rPr>
          <w:rFonts w:hint="eastAsia"/>
          <w:color w:val="auto"/>
          <w:highlight w:val="none"/>
          <w:lang w:val="en-US" w:eastAsia="zh-CN"/>
        </w:rPr>
        <w:t>3</w:t>
      </w:r>
      <w:r>
        <w:rPr>
          <w:rFonts w:hint="eastAsia"/>
          <w:color w:val="auto"/>
          <w:highlight w:val="none"/>
        </w:rPr>
        <w:t>、附件</w:t>
      </w:r>
      <w:r>
        <w:rPr>
          <w:rFonts w:hint="eastAsia"/>
          <w:color w:val="auto"/>
          <w:highlight w:val="none"/>
          <w:lang w:val="en-US" w:eastAsia="zh-CN"/>
        </w:rPr>
        <w:t>4。</w:t>
      </w:r>
    </w:p>
    <w:p>
      <w:pPr>
        <w:pStyle w:val="11"/>
        <w:spacing w:before="0" w:beforeAutospacing="0" w:after="0" w:afterAutospacing="0" w:line="440" w:lineRule="exact"/>
        <w:ind w:firstLine="480" w:firstLineChars="200"/>
        <w:rPr>
          <w:rStyle w:val="16"/>
          <w:color w:val="auto"/>
          <w:highlight w:val="none"/>
        </w:rPr>
      </w:pPr>
      <w:r>
        <w:rPr>
          <w:rFonts w:hint="eastAsia"/>
          <w:color w:val="auto"/>
          <w:highlight w:val="none"/>
          <w:lang w:val="en-US" w:eastAsia="zh-CN"/>
        </w:rPr>
        <w:t>3、委托人根据第一年每半年考评结果，第一年年度考评平均分低于80分，甲方有权立即终止合同，不再延续第二年咨询服务。</w:t>
      </w:r>
    </w:p>
    <w:p>
      <w:pPr>
        <w:pStyle w:val="11"/>
        <w:spacing w:before="0" w:beforeAutospacing="0" w:after="0" w:afterAutospacing="0" w:line="440" w:lineRule="exact"/>
        <w:ind w:firstLine="482" w:firstLineChars="200"/>
        <w:rPr>
          <w:color w:val="auto"/>
          <w:highlight w:val="none"/>
        </w:rPr>
      </w:pPr>
      <w:r>
        <w:rPr>
          <w:rStyle w:val="16"/>
          <w:rFonts w:hint="eastAsia"/>
          <w:color w:val="auto"/>
          <w:highlight w:val="none"/>
        </w:rPr>
        <w:t>第六条 合同生效、变更与终止</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（一）本合同自双方法定代表人或授权代表签字并加盖公章之日起生效</w:t>
      </w:r>
      <w:r>
        <w:rPr>
          <w:rFonts w:hint="eastAsia"/>
          <w:color w:val="auto"/>
          <w:highlight w:val="none"/>
          <w:lang w:eastAsia="zh-CN"/>
        </w:rPr>
        <w:t>，</w:t>
      </w:r>
      <w:r>
        <w:rPr>
          <w:rFonts w:hint="eastAsia"/>
          <w:color w:val="auto"/>
          <w:highlight w:val="none"/>
          <w:lang w:val="en-US" w:eastAsia="zh-CN"/>
        </w:rPr>
        <w:t>双方均履行完各自责任和义务后失效</w:t>
      </w:r>
      <w:r>
        <w:rPr>
          <w:rFonts w:hint="eastAsia"/>
          <w:color w:val="auto"/>
          <w:highlight w:val="none"/>
        </w:rPr>
        <w:t>。</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二）由于委托人的原因使受托人工作受到延误以致增加了工作时间的，受托人应当将此情况与可能产生的影响及时书面通知委托人。经委托人同意可顺延服务工作期，但委托人不再另增加额外的咨询酬金及其他费用。</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（三）当事人一方要求变更或解除合同时，则应当在</w:t>
      </w:r>
      <w:r>
        <w:rPr>
          <w:rFonts w:hint="eastAsia"/>
          <w:color w:val="auto"/>
          <w:highlight w:val="none"/>
          <w:u w:val="single"/>
        </w:rPr>
        <w:t>7</w:t>
      </w:r>
      <w:r>
        <w:rPr>
          <w:rFonts w:hint="eastAsia"/>
          <w:color w:val="auto"/>
          <w:highlight w:val="none"/>
        </w:rPr>
        <w:t>日前通知对方；因变更或解除合同使一方遭受损失的，应由责任方负责赔偿。</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（四）变更或解除合同的通知或协议应当采取书面形式，新的协议未达成之前，原合同仍然有效。</w:t>
      </w:r>
    </w:p>
    <w:p>
      <w:pPr>
        <w:pStyle w:val="11"/>
        <w:spacing w:before="0" w:beforeAutospacing="0" w:after="0" w:afterAutospacing="0" w:line="440" w:lineRule="exact"/>
        <w:ind w:firstLine="482" w:firstLineChars="200"/>
        <w:rPr>
          <w:color w:val="auto"/>
          <w:highlight w:val="none"/>
        </w:rPr>
      </w:pPr>
      <w:r>
        <w:rPr>
          <w:rStyle w:val="16"/>
          <w:rFonts w:hint="eastAsia"/>
          <w:color w:val="auto"/>
          <w:highlight w:val="none"/>
        </w:rPr>
        <w:t xml:space="preserve">第七条 合同争议的解决 </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双方在履行合同时发生争议，可以和解或者要求有关主管部门调解。双方不愿和解、调解或者和解、调解不成的，任意一方可向甲方所在地有管辖权的人民法院提起诉讼。</w:t>
      </w:r>
    </w:p>
    <w:p>
      <w:pPr>
        <w:pStyle w:val="11"/>
        <w:spacing w:before="0" w:beforeAutospacing="0" w:after="0" w:afterAutospacing="0" w:line="440" w:lineRule="exact"/>
        <w:ind w:firstLine="482" w:firstLineChars="200"/>
        <w:rPr>
          <w:color w:val="auto"/>
          <w:highlight w:val="none"/>
        </w:rPr>
      </w:pPr>
      <w:r>
        <w:rPr>
          <w:rStyle w:val="16"/>
          <w:rFonts w:hint="eastAsia"/>
          <w:color w:val="auto"/>
          <w:highlight w:val="none"/>
        </w:rPr>
        <w:t>第八条 受托人违约处罚措施</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（一）若因受托人原因延期提交咨询成果资料，逾期将处以人民币</w:t>
      </w:r>
      <w:r>
        <w:rPr>
          <w:rFonts w:hint="eastAsia"/>
          <w:color w:val="auto"/>
          <w:highlight w:val="none"/>
          <w:lang w:val="en-US" w:eastAsia="zh-CN"/>
        </w:rPr>
        <w:t>5</w:t>
      </w:r>
      <w:r>
        <w:rPr>
          <w:rFonts w:hint="eastAsia"/>
          <w:color w:val="auto"/>
          <w:highlight w:val="none"/>
          <w:lang w:eastAsia="zh-CN"/>
        </w:rPr>
        <w:t>00元/天</w:t>
      </w:r>
      <w:r>
        <w:rPr>
          <w:rFonts w:hint="eastAsia"/>
          <w:color w:val="auto"/>
          <w:highlight w:val="none"/>
        </w:rPr>
        <w:t>的违约金，委托人将直接从合同金额中扣除违约金。</w:t>
      </w:r>
    </w:p>
    <w:p>
      <w:pPr>
        <w:pStyle w:val="11"/>
        <w:spacing w:before="0" w:beforeAutospacing="0" w:after="0" w:afterAutospacing="0" w:line="440" w:lineRule="exact"/>
        <w:ind w:firstLine="480" w:firstLineChars="200"/>
        <w:rPr>
          <w:rFonts w:hint="eastAsia"/>
          <w:color w:val="auto"/>
          <w:highlight w:val="none"/>
        </w:rPr>
      </w:pPr>
      <w:r>
        <w:rPr>
          <w:rFonts w:hint="eastAsia"/>
          <w:color w:val="auto"/>
          <w:highlight w:val="none"/>
        </w:rPr>
        <w:t>（二）受托人提交的咨询成果资料未能符合委托人要求，应在4</w:t>
      </w:r>
      <w:r>
        <w:rPr>
          <w:color w:val="auto"/>
          <w:highlight w:val="none"/>
        </w:rPr>
        <w:t>8</w:t>
      </w:r>
      <w:r>
        <w:rPr>
          <w:rFonts w:hint="eastAsia"/>
          <w:color w:val="auto"/>
          <w:highlight w:val="none"/>
        </w:rPr>
        <w:t>小时内进行整改（除委托人允许延期的情况外），逾期将处以人民币</w:t>
      </w:r>
      <w:r>
        <w:rPr>
          <w:rFonts w:hint="eastAsia"/>
          <w:color w:val="auto"/>
          <w:highlight w:val="none"/>
          <w:lang w:val="en-US" w:eastAsia="zh-CN"/>
        </w:rPr>
        <w:t>1</w:t>
      </w:r>
      <w:r>
        <w:rPr>
          <w:rFonts w:hint="eastAsia"/>
          <w:color w:val="auto"/>
          <w:highlight w:val="none"/>
          <w:lang w:eastAsia="zh-CN"/>
        </w:rPr>
        <w:t>000元/次</w:t>
      </w:r>
      <w:r>
        <w:rPr>
          <w:rFonts w:hint="eastAsia"/>
          <w:color w:val="auto"/>
          <w:highlight w:val="none"/>
        </w:rPr>
        <w:t>的违约金，委托人将直接从合同金额扣除违约金。若受托人提交的咨询成果整改逾期处罚超过3次，将直接纳入委托人不合格供应商库。</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（三）</w:t>
      </w:r>
      <w:r>
        <w:rPr>
          <w:rFonts w:hint="eastAsia"/>
          <w:color w:val="auto"/>
          <w:szCs w:val="22"/>
          <w:highlight w:val="none"/>
        </w:rPr>
        <w:t>如果委托人认为已委派的项目负责人或项目其它人员的工作能力和业务水平不称职，需要撤换时，受托人应在接到通知起4</w:t>
      </w:r>
      <w:r>
        <w:rPr>
          <w:color w:val="auto"/>
          <w:szCs w:val="22"/>
          <w:highlight w:val="none"/>
        </w:rPr>
        <w:t>8</w:t>
      </w:r>
      <w:r>
        <w:rPr>
          <w:rFonts w:hint="eastAsia"/>
          <w:color w:val="auto"/>
          <w:szCs w:val="22"/>
          <w:highlight w:val="none"/>
        </w:rPr>
        <w:t>小时内委派经委托人同意的新的项目负责人或其它人员到场。逾期将处以人民币</w:t>
      </w:r>
      <w:r>
        <w:rPr>
          <w:rFonts w:hint="eastAsia"/>
          <w:color w:val="auto"/>
          <w:szCs w:val="22"/>
          <w:highlight w:val="none"/>
          <w:lang w:val="en-US" w:eastAsia="zh-CN"/>
        </w:rPr>
        <w:t>1</w:t>
      </w:r>
      <w:r>
        <w:rPr>
          <w:color w:val="auto"/>
          <w:szCs w:val="22"/>
          <w:highlight w:val="none"/>
        </w:rPr>
        <w:t>000</w:t>
      </w:r>
      <w:r>
        <w:rPr>
          <w:rFonts w:hint="eastAsia"/>
          <w:color w:val="auto"/>
          <w:szCs w:val="22"/>
          <w:highlight w:val="none"/>
        </w:rPr>
        <w:t>元/</w:t>
      </w:r>
      <w:r>
        <w:rPr>
          <w:rFonts w:hint="eastAsia"/>
          <w:color w:val="auto"/>
          <w:szCs w:val="22"/>
          <w:highlight w:val="none"/>
          <w:lang w:eastAsia="zh-CN"/>
        </w:rPr>
        <w:t>（</w:t>
      </w:r>
      <w:r>
        <w:rPr>
          <w:rFonts w:hint="eastAsia"/>
          <w:color w:val="auto"/>
          <w:szCs w:val="22"/>
          <w:highlight w:val="none"/>
        </w:rPr>
        <w:t>人</w:t>
      </w:r>
      <w:r>
        <w:rPr>
          <w:rFonts w:hint="eastAsia" w:ascii="微软雅黑" w:hAnsi="微软雅黑" w:eastAsia="微软雅黑" w:cs="微软雅黑"/>
          <w:color w:val="auto"/>
          <w:szCs w:val="22"/>
          <w:highlight w:val="none"/>
        </w:rPr>
        <w:t>·</w:t>
      </w:r>
      <w:r>
        <w:rPr>
          <w:rFonts w:hint="eastAsia"/>
          <w:color w:val="auto"/>
          <w:szCs w:val="22"/>
          <w:highlight w:val="none"/>
        </w:rPr>
        <w:t>次</w:t>
      </w:r>
      <w:r>
        <w:rPr>
          <w:rFonts w:hint="eastAsia"/>
          <w:color w:val="auto"/>
          <w:szCs w:val="22"/>
          <w:highlight w:val="none"/>
          <w:lang w:eastAsia="zh-CN"/>
        </w:rPr>
        <w:t>）</w:t>
      </w:r>
      <w:r>
        <w:rPr>
          <w:rFonts w:hint="eastAsia"/>
          <w:color w:val="auto"/>
          <w:szCs w:val="22"/>
          <w:highlight w:val="none"/>
        </w:rPr>
        <w:t>的</w:t>
      </w:r>
      <w:r>
        <w:rPr>
          <w:rFonts w:hint="eastAsia"/>
          <w:color w:val="auto"/>
          <w:szCs w:val="22"/>
          <w:highlight w:val="none"/>
          <w:lang w:eastAsia="zh-CN"/>
        </w:rPr>
        <w:t>违约金</w:t>
      </w:r>
      <w:r>
        <w:rPr>
          <w:rFonts w:hint="eastAsia"/>
          <w:color w:val="auto"/>
          <w:szCs w:val="22"/>
          <w:highlight w:val="none"/>
        </w:rPr>
        <w:t>，</w:t>
      </w:r>
      <w:r>
        <w:rPr>
          <w:rFonts w:hint="eastAsia"/>
          <w:color w:val="auto"/>
          <w:highlight w:val="none"/>
        </w:rPr>
        <w:t>委托人将直接从合同金额中扣除违约金。</w:t>
      </w:r>
    </w:p>
    <w:p>
      <w:pPr>
        <w:pStyle w:val="11"/>
        <w:spacing w:before="0" w:beforeAutospacing="0" w:after="0" w:afterAutospacing="0" w:line="440" w:lineRule="exact"/>
        <w:ind w:firstLine="480" w:firstLineChars="200"/>
        <w:rPr>
          <w:color w:val="auto"/>
          <w:szCs w:val="22"/>
          <w:highlight w:val="none"/>
        </w:rPr>
      </w:pPr>
      <w:r>
        <w:rPr>
          <w:rFonts w:hint="eastAsia"/>
          <w:color w:val="auto"/>
          <w:szCs w:val="22"/>
          <w:highlight w:val="none"/>
        </w:rPr>
        <w:t>（四）受托人在合同履行期间不得与</w:t>
      </w:r>
      <w:r>
        <w:rPr>
          <w:rFonts w:hint="eastAsia"/>
          <w:color w:val="auto"/>
          <w:szCs w:val="22"/>
          <w:highlight w:val="none"/>
          <w:lang w:val="en-US" w:eastAsia="zh-CN"/>
        </w:rPr>
        <w:t>相关</w:t>
      </w:r>
      <w:r>
        <w:rPr>
          <w:rFonts w:hint="eastAsia"/>
          <w:color w:val="auto"/>
          <w:szCs w:val="22"/>
          <w:highlight w:val="none"/>
        </w:rPr>
        <w:t>单位相互串通私下商定</w:t>
      </w:r>
      <w:r>
        <w:rPr>
          <w:rFonts w:hint="eastAsia"/>
          <w:color w:val="auto"/>
          <w:szCs w:val="22"/>
          <w:highlight w:val="none"/>
          <w:lang w:val="en-US" w:eastAsia="zh-CN"/>
        </w:rPr>
        <w:t>本合同约定的限价</w:t>
      </w:r>
      <w:r>
        <w:rPr>
          <w:rFonts w:hint="eastAsia"/>
          <w:color w:val="auto"/>
          <w:szCs w:val="22"/>
          <w:highlight w:val="none"/>
        </w:rPr>
        <w:t>事宜，一旦委托人查证受托人存在此种行为，委托人有权随时解除本合同。</w:t>
      </w:r>
    </w:p>
    <w:p>
      <w:pPr>
        <w:pStyle w:val="11"/>
        <w:spacing w:beforeAutospacing="0" w:afterAutospacing="0" w:line="440" w:lineRule="exact"/>
        <w:ind w:firstLine="480" w:firstLineChars="200"/>
        <w:rPr>
          <w:color w:val="auto"/>
          <w:szCs w:val="22"/>
          <w:highlight w:val="none"/>
        </w:rPr>
      </w:pPr>
      <w:r>
        <w:rPr>
          <w:rFonts w:hint="eastAsia"/>
          <w:color w:val="auto"/>
          <w:szCs w:val="22"/>
          <w:highlight w:val="none"/>
        </w:rPr>
        <w:t>（五）受托人有下列情形之一的，委托人不予支付咨询费用，给委托人造成的损失，委托人保留向受托人索赔的权利，触犯法律的将追究法律责任：</w:t>
      </w:r>
    </w:p>
    <w:p>
      <w:pPr>
        <w:pStyle w:val="11"/>
        <w:spacing w:beforeAutospacing="0" w:afterAutospacing="0" w:line="440" w:lineRule="exact"/>
        <w:ind w:firstLine="480" w:firstLineChars="200"/>
        <w:rPr>
          <w:color w:val="auto"/>
          <w:szCs w:val="22"/>
          <w:highlight w:val="none"/>
        </w:rPr>
      </w:pPr>
      <w:r>
        <w:rPr>
          <w:rFonts w:hint="eastAsia"/>
          <w:color w:val="auto"/>
          <w:szCs w:val="22"/>
          <w:highlight w:val="none"/>
        </w:rPr>
        <w:t>1.受托人未执行相关法律、法规和执业规范；</w:t>
      </w:r>
    </w:p>
    <w:p>
      <w:pPr>
        <w:pStyle w:val="11"/>
        <w:spacing w:beforeAutospacing="0" w:afterAutospacing="0" w:line="440" w:lineRule="exact"/>
        <w:ind w:firstLine="480" w:firstLineChars="200"/>
        <w:rPr>
          <w:color w:val="auto"/>
          <w:szCs w:val="22"/>
          <w:highlight w:val="none"/>
        </w:rPr>
      </w:pPr>
      <w:r>
        <w:rPr>
          <w:rFonts w:hint="eastAsia"/>
          <w:color w:val="auto"/>
          <w:szCs w:val="22"/>
          <w:highlight w:val="none"/>
        </w:rPr>
        <w:t>2.受托人或受托人委派的人员与投标单位有串通行为；</w:t>
      </w:r>
    </w:p>
    <w:p>
      <w:pPr>
        <w:pStyle w:val="11"/>
        <w:spacing w:beforeAutospacing="0" w:afterAutospacing="0" w:line="440" w:lineRule="exact"/>
        <w:ind w:firstLine="480" w:firstLineChars="200"/>
        <w:rPr>
          <w:color w:val="auto"/>
          <w:szCs w:val="22"/>
          <w:highlight w:val="none"/>
        </w:rPr>
      </w:pPr>
      <w:r>
        <w:rPr>
          <w:rFonts w:hint="eastAsia"/>
          <w:color w:val="auto"/>
          <w:szCs w:val="22"/>
          <w:highlight w:val="none"/>
        </w:rPr>
        <w:t>3.受托人有法律法规规定的其他违法、违规的情形；</w:t>
      </w:r>
    </w:p>
    <w:p>
      <w:pPr>
        <w:pStyle w:val="11"/>
        <w:spacing w:beforeAutospacing="0" w:afterAutospacing="0" w:line="440" w:lineRule="exact"/>
        <w:ind w:firstLine="480" w:firstLineChars="200"/>
        <w:rPr>
          <w:color w:val="auto"/>
          <w:szCs w:val="22"/>
          <w:highlight w:val="none"/>
        </w:rPr>
      </w:pPr>
      <w:r>
        <w:rPr>
          <w:rFonts w:hint="eastAsia"/>
          <w:color w:val="auto"/>
          <w:szCs w:val="22"/>
          <w:highlight w:val="none"/>
        </w:rPr>
        <w:t>4.受托人不按合同履行责任单方面违约。</w:t>
      </w:r>
    </w:p>
    <w:p>
      <w:pPr>
        <w:pStyle w:val="11"/>
        <w:spacing w:before="0" w:beforeAutospacing="0" w:after="0" w:afterAutospacing="0" w:line="440" w:lineRule="exact"/>
        <w:ind w:firstLine="482" w:firstLineChars="200"/>
        <w:rPr>
          <w:color w:val="auto"/>
          <w:highlight w:val="none"/>
        </w:rPr>
      </w:pPr>
      <w:r>
        <w:rPr>
          <w:rStyle w:val="16"/>
          <w:rFonts w:hint="eastAsia"/>
          <w:color w:val="auto"/>
          <w:highlight w:val="none"/>
        </w:rPr>
        <w:t xml:space="preserve">第九条 其 它 </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（一）如受托人为完成本合同的咨询业务需外聘专家协助，其费用由受托人承担。</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（二）未经委托人的书面同意，受托人不得将本合同约定的权利和义务转让给任何第三人。咨询成果（含电子文档）的所有权归委托人所有。</w:t>
      </w:r>
    </w:p>
    <w:p>
      <w:pPr>
        <w:pStyle w:val="11"/>
        <w:spacing w:before="0" w:beforeAutospacing="0" w:after="0" w:afterAutospacing="0" w:line="440" w:lineRule="exact"/>
        <w:ind w:firstLine="480" w:firstLineChars="200"/>
        <w:rPr>
          <w:color w:val="auto"/>
          <w:highlight w:val="none"/>
        </w:rPr>
      </w:pPr>
      <w:r>
        <w:rPr>
          <w:rFonts w:hint="eastAsia"/>
          <w:color w:val="auto"/>
          <w:highlight w:val="none"/>
        </w:rPr>
        <w:t>（三）受托人不得参与可能与本合同约定的与委托人利益相冲突任何活动。</w:t>
      </w:r>
    </w:p>
    <w:p>
      <w:pPr>
        <w:pStyle w:val="11"/>
        <w:spacing w:before="0" w:beforeAutospacing="0" w:after="0" w:afterAutospacing="0" w:line="440" w:lineRule="exact"/>
        <w:ind w:firstLine="482" w:firstLineChars="200"/>
        <w:rPr>
          <w:color w:val="auto"/>
          <w:highlight w:val="none"/>
        </w:rPr>
      </w:pPr>
      <w:r>
        <w:rPr>
          <w:rFonts w:hint="eastAsia"/>
          <w:b/>
          <w:color w:val="auto"/>
          <w:highlight w:val="none"/>
        </w:rPr>
        <w:t>第十条</w:t>
      </w:r>
      <w:r>
        <w:rPr>
          <w:rFonts w:hint="eastAsia"/>
          <w:color w:val="auto"/>
          <w:highlight w:val="none"/>
        </w:rPr>
        <w:t xml:space="preserve"> 本协议书一式陆份，委托人执肆份，受托人执贰份。</w:t>
      </w:r>
    </w:p>
    <w:p>
      <w:pPr>
        <w:pStyle w:val="11"/>
        <w:spacing w:before="0" w:beforeAutospacing="0" w:after="0" w:afterAutospacing="0" w:line="440" w:lineRule="exact"/>
        <w:ind w:firstLine="482" w:firstLineChars="200"/>
        <w:rPr>
          <w:rFonts w:hint="eastAsia"/>
          <w:color w:val="auto"/>
          <w:highlight w:val="none"/>
          <w:lang w:eastAsia="zh-CN"/>
        </w:rPr>
      </w:pPr>
      <w:r>
        <w:rPr>
          <w:rFonts w:hint="eastAsia"/>
          <w:b/>
          <w:color w:val="auto"/>
          <w:highlight w:val="none"/>
        </w:rPr>
        <w:t>第十</w:t>
      </w:r>
      <w:r>
        <w:rPr>
          <w:rFonts w:hint="eastAsia"/>
          <w:b/>
          <w:color w:val="auto"/>
          <w:highlight w:val="none"/>
          <w:lang w:val="en-US" w:eastAsia="zh-CN"/>
        </w:rPr>
        <w:t>一</w:t>
      </w:r>
      <w:r>
        <w:rPr>
          <w:rFonts w:hint="eastAsia"/>
          <w:b/>
          <w:color w:val="auto"/>
          <w:highlight w:val="none"/>
        </w:rPr>
        <w:t>条</w:t>
      </w:r>
      <w:r>
        <w:rPr>
          <w:rFonts w:hint="eastAsia"/>
          <w:color w:val="auto"/>
          <w:highlight w:val="none"/>
        </w:rPr>
        <w:t xml:space="preserve"> </w:t>
      </w:r>
      <w:r>
        <w:rPr>
          <w:color w:val="auto"/>
          <w:highlight w:val="none"/>
        </w:rPr>
        <w:t>合同未尽事宜，双方另行签订补充协议</w:t>
      </w:r>
      <w:r>
        <w:rPr>
          <w:rFonts w:hint="eastAsia"/>
          <w:color w:val="auto"/>
          <w:highlight w:val="none"/>
        </w:rPr>
        <w:t>，</w:t>
      </w:r>
      <w:r>
        <w:rPr>
          <w:color w:val="auto"/>
          <w:highlight w:val="none"/>
        </w:rPr>
        <w:t>补充协议是合同的组成部分。</w:t>
      </w:r>
      <w:r>
        <w:rPr>
          <w:rFonts w:hint="eastAsia"/>
          <w:color w:val="auto"/>
          <w:highlight w:val="none"/>
          <w:lang w:eastAsia="zh-CN"/>
        </w:rPr>
        <w:t>（</w:t>
      </w:r>
      <w:r>
        <w:rPr>
          <w:rFonts w:hint="eastAsia"/>
          <w:color w:val="auto"/>
          <w:highlight w:val="none"/>
          <w:lang w:val="en-US" w:eastAsia="zh-CN"/>
        </w:rPr>
        <w:t>以下无正文，后附合同签署页</w:t>
      </w:r>
      <w:r>
        <w:rPr>
          <w:rFonts w:hint="eastAsia"/>
          <w:color w:val="auto"/>
          <w:highlight w:val="none"/>
          <w:lang w:eastAsia="zh-CN"/>
        </w:rPr>
        <w:t>）</w:t>
      </w:r>
    </w:p>
    <w:p>
      <w:pPr>
        <w:pStyle w:val="11"/>
        <w:spacing w:before="0" w:beforeAutospacing="0" w:after="0" w:afterAutospacing="0" w:line="440" w:lineRule="exact"/>
        <w:ind w:firstLine="480" w:firstLineChars="200"/>
        <w:rPr>
          <w:rFonts w:hint="eastAsia"/>
          <w:color w:val="auto"/>
          <w:highlight w:val="none"/>
          <w:lang w:eastAsia="zh-CN"/>
        </w:rPr>
      </w:pPr>
      <w:r>
        <w:rPr>
          <w:rFonts w:hint="eastAsia"/>
          <w:color w:val="auto"/>
          <w:highlight w:val="none"/>
          <w:lang w:eastAsia="zh-CN"/>
        </w:rPr>
        <w:t>附件1：主要投入人员汇总表</w:t>
      </w:r>
    </w:p>
    <w:p>
      <w:pPr>
        <w:pStyle w:val="11"/>
        <w:spacing w:before="0" w:beforeAutospacing="0" w:after="0" w:afterAutospacing="0" w:line="440" w:lineRule="exact"/>
        <w:ind w:firstLine="480" w:firstLineChars="200"/>
        <w:rPr>
          <w:rFonts w:hint="eastAsia"/>
          <w:color w:val="auto"/>
          <w:highlight w:val="none"/>
          <w:lang w:eastAsia="zh-CN"/>
        </w:rPr>
      </w:pPr>
      <w:r>
        <w:rPr>
          <w:rFonts w:hint="eastAsia"/>
          <w:color w:val="auto"/>
          <w:highlight w:val="none"/>
          <w:lang w:eastAsia="zh-CN"/>
        </w:rPr>
        <w:t>附件2：造价咨询工作任务单</w:t>
      </w:r>
    </w:p>
    <w:p>
      <w:pPr>
        <w:pStyle w:val="11"/>
        <w:spacing w:before="0" w:beforeAutospacing="0" w:after="0" w:afterAutospacing="0" w:line="440" w:lineRule="exact"/>
        <w:ind w:firstLine="480" w:firstLineChars="200"/>
        <w:rPr>
          <w:rFonts w:hint="eastAsia"/>
          <w:color w:val="auto"/>
          <w:highlight w:val="none"/>
          <w:lang w:eastAsia="zh-CN"/>
        </w:rPr>
      </w:pPr>
      <w:r>
        <w:rPr>
          <w:rFonts w:hint="eastAsia"/>
          <w:color w:val="auto"/>
          <w:highlight w:val="none"/>
          <w:lang w:eastAsia="zh-CN"/>
        </w:rPr>
        <w:t>附件3：造价咨询服务机构考核办法</w:t>
      </w:r>
    </w:p>
    <w:p>
      <w:pPr>
        <w:pStyle w:val="11"/>
        <w:spacing w:before="0" w:beforeAutospacing="0" w:after="0" w:afterAutospacing="0" w:line="440" w:lineRule="exact"/>
        <w:ind w:firstLine="480" w:firstLineChars="200"/>
        <w:rPr>
          <w:rFonts w:hint="eastAsia"/>
          <w:color w:val="auto"/>
          <w:highlight w:val="none"/>
          <w:lang w:eastAsia="zh-CN"/>
        </w:rPr>
      </w:pPr>
      <w:r>
        <w:rPr>
          <w:rFonts w:hint="eastAsia"/>
          <w:color w:val="auto"/>
          <w:highlight w:val="none"/>
          <w:lang w:eastAsia="zh-CN"/>
        </w:rPr>
        <w:t>附件4：造价咨询服务机构季度考核评分表</w:t>
      </w:r>
    </w:p>
    <w:p>
      <w:pPr>
        <w:rPr>
          <w:rFonts w:hint="eastAsia"/>
          <w:color w:val="auto"/>
          <w:highlight w:val="none"/>
        </w:rPr>
      </w:pPr>
    </w:p>
    <w:bookmarkEnd w:id="16"/>
    <w:tbl>
      <w:tblPr>
        <w:tblStyle w:val="14"/>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hint="eastAsia" w:cs="宋体"/>
                <w:b/>
                <w:bCs/>
                <w:highlight w:val="none"/>
                <w:lang w:val="en-US" w:eastAsia="zh-Hans"/>
              </w:rPr>
              <w:t>甲方</w:t>
            </w:r>
            <w:r>
              <w:rPr>
                <w:rFonts w:cs="宋体"/>
                <w:b/>
                <w:bCs/>
                <w:highlight w:val="none"/>
              </w:rPr>
              <w:t>：</w:t>
            </w:r>
            <w:r>
              <w:rPr>
                <w:rFonts w:hint="eastAsia" w:cs="宋体"/>
                <w:b/>
                <w:bCs/>
                <w:highlight w:val="none"/>
              </w:rPr>
              <w:t>重庆成渝垫丰武高速公路有限公司</w:t>
            </w:r>
            <w:r>
              <w:rPr>
                <w:rFonts w:hint="eastAsia" w:cs="宋体"/>
                <w:b/>
                <w:bCs/>
                <w:highlight w:val="none"/>
                <w:lang w:val="en-US" w:eastAsia="zh-CN"/>
              </w:rPr>
              <w:t xml:space="preserve">                     </w:t>
            </w:r>
            <w:r>
              <w:rPr>
                <w:rFonts w:cs="宋体"/>
                <w:highlight w:val="none"/>
              </w:rPr>
              <w:t>（盖章）</w:t>
            </w:r>
          </w:p>
        </w:tc>
        <w:tc>
          <w:tcPr>
            <w:tcW w:w="4559" w:type="dxa"/>
          </w:tcPr>
          <w:p>
            <w:pPr>
              <w:snapToGrid w:val="0"/>
              <w:spacing w:line="440" w:lineRule="exact"/>
              <w:rPr>
                <w:rFonts w:cs="宋体"/>
                <w:b/>
                <w:bCs/>
                <w:highlight w:val="none"/>
              </w:rPr>
            </w:pPr>
            <w:r>
              <w:rPr>
                <w:rFonts w:hint="eastAsia" w:cs="宋体"/>
                <w:b/>
                <w:bCs/>
                <w:highlight w:val="none"/>
                <w:lang w:val="en-US" w:eastAsia="zh-Hans"/>
              </w:rPr>
              <w:t>乙方</w:t>
            </w:r>
            <w:r>
              <w:rPr>
                <w:rFonts w:cs="宋体"/>
                <w:b/>
                <w:bCs/>
                <w:highlight w:val="none"/>
              </w:rPr>
              <w:t>：</w:t>
            </w:r>
          </w:p>
          <w:p>
            <w:pPr>
              <w:snapToGrid w:val="0"/>
              <w:spacing w:line="440" w:lineRule="exact"/>
              <w:ind w:firstLine="2940" w:firstLineChars="1400"/>
              <w:rPr>
                <w:highlight w:val="none"/>
              </w:rPr>
            </w:pPr>
            <w:r>
              <w:rPr>
                <w:rFonts w:cs="宋体"/>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法定代表人                  （签字）</w:t>
            </w:r>
          </w:p>
        </w:tc>
        <w:tc>
          <w:tcPr>
            <w:tcW w:w="4559" w:type="dxa"/>
            <w:vAlign w:val="center"/>
          </w:tcPr>
          <w:p>
            <w:pPr>
              <w:snapToGrid w:val="0"/>
              <w:spacing w:line="440" w:lineRule="exact"/>
              <w:rPr>
                <w:highlight w:val="none"/>
              </w:rPr>
            </w:pPr>
            <w:r>
              <w:rPr>
                <w:rFonts w:cs="宋体"/>
                <w:highlight w:val="none"/>
              </w:rPr>
              <w:t>法定代表人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或其委托代理人：</w:t>
            </w:r>
          </w:p>
        </w:tc>
        <w:tc>
          <w:tcPr>
            <w:tcW w:w="4559" w:type="dxa"/>
            <w:vAlign w:val="center"/>
          </w:tcPr>
          <w:p>
            <w:pPr>
              <w:snapToGrid w:val="0"/>
              <w:spacing w:line="440" w:lineRule="exact"/>
              <w:rPr>
                <w:highlight w:val="none"/>
              </w:rPr>
            </w:pPr>
            <w:r>
              <w:rPr>
                <w:rFonts w:cs="宋体"/>
                <w:highlight w:val="none"/>
              </w:rPr>
              <w:t>或其委托代理人：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联 系 人：</w:t>
            </w:r>
          </w:p>
        </w:tc>
        <w:tc>
          <w:tcPr>
            <w:tcW w:w="4559" w:type="dxa"/>
            <w:vAlign w:val="center"/>
          </w:tcPr>
          <w:p>
            <w:pPr>
              <w:snapToGrid w:val="0"/>
              <w:spacing w:line="440" w:lineRule="exact"/>
              <w:rPr>
                <w:highlight w:val="none"/>
              </w:rPr>
            </w:pPr>
            <w:r>
              <w:rPr>
                <w:rFonts w:cs="宋体"/>
                <w:highlight w:val="none"/>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地    址：</w:t>
            </w:r>
          </w:p>
        </w:tc>
        <w:tc>
          <w:tcPr>
            <w:tcW w:w="4559" w:type="dxa"/>
            <w:vAlign w:val="center"/>
          </w:tcPr>
          <w:p>
            <w:pPr>
              <w:snapToGrid w:val="0"/>
              <w:spacing w:line="440" w:lineRule="exact"/>
              <w:rPr>
                <w:highlight w:val="none"/>
              </w:rPr>
            </w:pPr>
            <w:r>
              <w:rPr>
                <w:rFonts w:cs="宋体"/>
                <w:highlight w:val="none"/>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highlight w:val="none"/>
              </w:rPr>
            </w:pPr>
            <w:r>
              <w:rPr>
                <w:rFonts w:cs="宋体"/>
                <w:highlight w:val="none"/>
              </w:rPr>
              <w:t>邮政编码：</w:t>
            </w:r>
          </w:p>
        </w:tc>
        <w:tc>
          <w:tcPr>
            <w:tcW w:w="4559" w:type="dxa"/>
            <w:vAlign w:val="center"/>
          </w:tcPr>
          <w:p>
            <w:pPr>
              <w:snapToGrid w:val="0"/>
              <w:spacing w:line="440" w:lineRule="exact"/>
              <w:rPr>
                <w:highlight w:val="none"/>
              </w:rPr>
            </w:pPr>
            <w:r>
              <w:rPr>
                <w:rFonts w:cs="宋体"/>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highlight w:val="none"/>
              </w:rPr>
            </w:pPr>
            <w:r>
              <w:rPr>
                <w:rFonts w:cs="宋体"/>
                <w:highlight w:val="none"/>
              </w:rPr>
              <w:t>电    话：</w:t>
            </w:r>
          </w:p>
        </w:tc>
        <w:tc>
          <w:tcPr>
            <w:tcW w:w="4559" w:type="dxa"/>
            <w:vAlign w:val="center"/>
          </w:tcPr>
          <w:p>
            <w:pPr>
              <w:snapToGrid w:val="0"/>
              <w:spacing w:line="440" w:lineRule="exact"/>
              <w:rPr>
                <w:rFonts w:cs="宋体"/>
                <w:highlight w:val="none"/>
              </w:rPr>
            </w:pPr>
            <w:r>
              <w:rPr>
                <w:rFonts w:cs="宋体"/>
                <w:highlight w:val="none"/>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highlight w:val="none"/>
              </w:rPr>
            </w:pPr>
            <w:r>
              <w:rPr>
                <w:rFonts w:cs="宋体"/>
                <w:highlight w:val="none"/>
              </w:rPr>
              <w:t>传    真：</w:t>
            </w:r>
          </w:p>
        </w:tc>
        <w:tc>
          <w:tcPr>
            <w:tcW w:w="4559" w:type="dxa"/>
            <w:vAlign w:val="center"/>
          </w:tcPr>
          <w:p>
            <w:pPr>
              <w:snapToGrid w:val="0"/>
              <w:spacing w:line="440" w:lineRule="exact"/>
              <w:rPr>
                <w:rFonts w:cs="宋体"/>
                <w:highlight w:val="none"/>
              </w:rPr>
            </w:pPr>
            <w:r>
              <w:rPr>
                <w:rFonts w:cs="宋体"/>
                <w:highlight w:val="none"/>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rFonts w:cs="宋体"/>
                <w:highlight w:val="none"/>
              </w:rPr>
            </w:pPr>
            <w:r>
              <w:rPr>
                <w:rFonts w:cs="宋体"/>
                <w:highlight w:val="none"/>
              </w:rPr>
              <w:t>签署日期：   年   月   日</w:t>
            </w:r>
          </w:p>
        </w:tc>
        <w:tc>
          <w:tcPr>
            <w:tcW w:w="4559" w:type="dxa"/>
            <w:vAlign w:val="center"/>
          </w:tcPr>
          <w:p>
            <w:pPr>
              <w:snapToGrid w:val="0"/>
              <w:spacing w:line="440" w:lineRule="exact"/>
              <w:rPr>
                <w:rFonts w:cs="宋体"/>
                <w:highlight w:val="none"/>
              </w:rPr>
            </w:pPr>
            <w:r>
              <w:rPr>
                <w:rFonts w:cs="宋体"/>
                <w:highlight w:val="none"/>
              </w:rPr>
              <w:t>签署日期：    年   月   日</w:t>
            </w:r>
          </w:p>
        </w:tc>
      </w:tr>
    </w:tbl>
    <w:p>
      <w:pPr>
        <w:keepNext/>
        <w:keepLines/>
        <w:spacing w:line="440" w:lineRule="exact"/>
        <w:jc w:val="both"/>
        <w:outlineLvl w:val="0"/>
        <w:rPr>
          <w:rFonts w:hint="eastAsia"/>
          <w:b/>
          <w:bCs/>
          <w:kern w:val="44"/>
          <w:sz w:val="32"/>
          <w:szCs w:val="44"/>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pStyle w:val="2"/>
        <w:rPr>
          <w:rFonts w:hint="eastAsia" w:ascii="方正仿宋_GBK" w:hAnsi="方正仿宋_GBK" w:eastAsia="方正仿宋_GBK" w:cs="方正仿宋_GBK"/>
          <w:kern w:val="0"/>
          <w:sz w:val="28"/>
          <w:szCs w:val="28"/>
          <w:highlight w:val="none"/>
        </w:rPr>
      </w:pPr>
    </w:p>
    <w:p>
      <w:pPr>
        <w:rPr>
          <w:rFonts w:hint="eastAsia" w:ascii="方正仿宋_GBK" w:hAnsi="方正仿宋_GBK" w:eastAsia="方正仿宋_GBK" w:cs="方正仿宋_GBK"/>
          <w:kern w:val="0"/>
          <w:sz w:val="28"/>
          <w:szCs w:val="28"/>
          <w:highlight w:val="none"/>
        </w:rPr>
      </w:pPr>
    </w:p>
    <w:p>
      <w:pPr>
        <w:pStyle w:val="2"/>
        <w:rPr>
          <w:rFonts w:hint="eastAsia" w:ascii="方正仿宋_GBK" w:hAnsi="方正仿宋_GBK" w:eastAsia="方正仿宋_GBK" w:cs="方正仿宋_GBK"/>
          <w:kern w:val="0"/>
          <w:sz w:val="28"/>
          <w:szCs w:val="28"/>
          <w:highlight w:val="none"/>
        </w:rPr>
      </w:pPr>
    </w:p>
    <w:p>
      <w:pPr>
        <w:rPr>
          <w:rFonts w:hint="eastAsia" w:ascii="方正仿宋_GBK" w:hAnsi="方正仿宋_GBK" w:eastAsia="方正仿宋_GBK" w:cs="方正仿宋_GBK"/>
          <w:kern w:val="0"/>
          <w:sz w:val="28"/>
          <w:szCs w:val="28"/>
          <w:highlight w:val="none"/>
        </w:rPr>
      </w:pPr>
    </w:p>
    <w:p>
      <w:pPr>
        <w:pStyle w:val="2"/>
        <w:rPr>
          <w:rFonts w:hint="eastAsia"/>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kern w:val="0"/>
          <w:sz w:val="28"/>
          <w:szCs w:val="28"/>
          <w:highlight w:val="none"/>
        </w:rPr>
      </w:pPr>
    </w:p>
    <w:p>
      <w:pPr>
        <w:spacing w:line="520" w:lineRule="exact"/>
        <w:jc w:val="left"/>
        <w:outlineLvl w:val="3"/>
        <w:rPr>
          <w:rFonts w:hint="eastAsia" w:ascii="方正仿宋_GBK" w:hAnsi="方正仿宋_GBK" w:eastAsia="方正仿宋_GBK" w:cs="方正仿宋_GBK"/>
          <w:sz w:val="28"/>
          <w:szCs w:val="28"/>
          <w:highlight w:val="none"/>
          <w:lang w:bidi="ar"/>
        </w:rPr>
      </w:pPr>
      <w:r>
        <w:rPr>
          <w:rFonts w:hint="eastAsia" w:ascii="方正仿宋_GBK" w:hAnsi="方正仿宋_GBK" w:eastAsia="方正仿宋_GBK" w:cs="方正仿宋_GBK"/>
          <w:kern w:val="0"/>
          <w:sz w:val="28"/>
          <w:szCs w:val="28"/>
          <w:highlight w:val="none"/>
        </w:rPr>
        <w:t>附件1：</w:t>
      </w:r>
      <w:bookmarkStart w:id="18" w:name="_Toc5800_WPSOffice_Level1"/>
    </w:p>
    <w:p>
      <w:pPr>
        <w:autoSpaceDE w:val="0"/>
        <w:autoSpaceDN w:val="0"/>
        <w:adjustRightInd w:val="0"/>
        <w:spacing w:after="200" w:line="276" w:lineRule="auto"/>
        <w:jc w:val="center"/>
        <w:rPr>
          <w:rFonts w:hint="eastAsia" w:ascii="方正小标宋_GBK" w:hAnsi="方正小标宋_GBK" w:eastAsia="方正小标宋_GBK" w:cs="方正小标宋_GBK"/>
          <w:bCs/>
          <w:kern w:val="0"/>
          <w:sz w:val="28"/>
          <w:szCs w:val="28"/>
          <w:highlight w:val="none"/>
        </w:rPr>
      </w:pPr>
      <w:r>
        <w:rPr>
          <w:rFonts w:hint="eastAsia" w:ascii="方正小标宋_GBK" w:hAnsi="方正小标宋_GBK" w:eastAsia="方正小标宋_GBK" w:cs="方正小标宋_GBK"/>
          <w:bCs/>
          <w:kern w:val="0"/>
          <w:sz w:val="30"/>
          <w:szCs w:val="30"/>
          <w:highlight w:val="none"/>
        </w:rPr>
        <w:t>主要投入人员汇总表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432"/>
        <w:gridCol w:w="2371"/>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26" w:type="dxa"/>
            <w:noWrap w:val="0"/>
            <w:vAlign w:val="center"/>
          </w:tcPr>
          <w:p>
            <w:pPr>
              <w:spacing w:line="36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姓名</w:t>
            </w:r>
          </w:p>
        </w:tc>
        <w:tc>
          <w:tcPr>
            <w:tcW w:w="2432" w:type="dxa"/>
            <w:noWrap w:val="0"/>
            <w:vAlign w:val="center"/>
          </w:tcPr>
          <w:p>
            <w:pPr>
              <w:spacing w:line="36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本项目中担任职务</w:t>
            </w: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技术职称</w:t>
            </w: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432"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432"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432"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432"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432"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widowControl/>
              <w:jc w:val="center"/>
              <w:textAlignment w:val="center"/>
              <w:rPr>
                <w:rFonts w:hint="eastAsia" w:ascii="方正仿宋_GBK" w:hAnsi="方正仿宋_GBK" w:eastAsia="方正仿宋_GBK" w:cs="方正仿宋_GBK"/>
                <w:sz w:val="24"/>
                <w:highlight w:val="none"/>
              </w:rPr>
            </w:pPr>
          </w:p>
        </w:tc>
        <w:tc>
          <w:tcPr>
            <w:tcW w:w="2432" w:type="dxa"/>
            <w:noWrap w:val="0"/>
            <w:vAlign w:val="center"/>
          </w:tcPr>
          <w:p>
            <w:pPr>
              <w:widowControl/>
              <w:jc w:val="center"/>
              <w:textAlignment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spacing w:line="360" w:lineRule="exact"/>
              <w:jc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widowControl/>
              <w:jc w:val="center"/>
              <w:textAlignment w:val="center"/>
              <w:rPr>
                <w:rFonts w:hint="eastAsia" w:ascii="方正仿宋_GBK" w:hAnsi="方正仿宋_GBK" w:eastAsia="方正仿宋_GBK" w:cs="方正仿宋_GBK"/>
                <w:sz w:val="24"/>
                <w:highlight w:val="none"/>
              </w:rPr>
            </w:pPr>
          </w:p>
        </w:tc>
        <w:tc>
          <w:tcPr>
            <w:tcW w:w="2432" w:type="dxa"/>
            <w:noWrap w:val="0"/>
            <w:vAlign w:val="center"/>
          </w:tcPr>
          <w:p>
            <w:pPr>
              <w:widowControl/>
              <w:jc w:val="center"/>
              <w:textAlignment w:val="center"/>
              <w:rPr>
                <w:rFonts w:hint="eastAsia" w:ascii="方正仿宋_GBK" w:hAnsi="方正仿宋_GBK" w:eastAsia="方正仿宋_GBK" w:cs="方正仿宋_GBK"/>
                <w:sz w:val="24"/>
                <w:highlight w:val="none"/>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widowControl/>
              <w:jc w:val="center"/>
              <w:textAlignment w:val="center"/>
              <w:rPr>
                <w:rFonts w:hint="eastAsia"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6" w:type="dxa"/>
            <w:noWrap w:val="0"/>
            <w:vAlign w:val="center"/>
          </w:tcPr>
          <w:p>
            <w:pPr>
              <w:widowControl/>
              <w:jc w:val="center"/>
              <w:textAlignment w:val="center"/>
              <w:rPr>
                <w:rFonts w:ascii="仿宋_GB2312" w:hAnsi="等线" w:eastAsia="仿宋_GB2312" w:cs="仿宋_GB2312"/>
                <w:kern w:val="0"/>
                <w:sz w:val="24"/>
                <w:highlight w:val="none"/>
                <w:lang w:bidi="ar"/>
              </w:rPr>
            </w:pPr>
          </w:p>
        </w:tc>
        <w:tc>
          <w:tcPr>
            <w:tcW w:w="2432" w:type="dxa"/>
            <w:noWrap w:val="0"/>
            <w:vAlign w:val="center"/>
          </w:tcPr>
          <w:p>
            <w:pPr>
              <w:widowControl/>
              <w:jc w:val="center"/>
              <w:textAlignment w:val="center"/>
              <w:rPr>
                <w:rFonts w:ascii="仿宋_GB2312" w:hAnsi="等线" w:eastAsia="仿宋_GB2312" w:cs="仿宋_GB2312"/>
                <w:kern w:val="0"/>
                <w:sz w:val="24"/>
                <w:highlight w:val="none"/>
                <w:lang w:bidi="ar"/>
              </w:rPr>
            </w:pPr>
          </w:p>
        </w:tc>
        <w:tc>
          <w:tcPr>
            <w:tcW w:w="2371" w:type="dxa"/>
            <w:noWrap w:val="0"/>
            <w:vAlign w:val="center"/>
          </w:tcPr>
          <w:p>
            <w:pPr>
              <w:spacing w:line="360" w:lineRule="exact"/>
              <w:jc w:val="center"/>
              <w:rPr>
                <w:rFonts w:hint="eastAsia" w:ascii="方正仿宋_GBK" w:hAnsi="方正仿宋_GBK" w:eastAsia="方正仿宋_GBK" w:cs="方正仿宋_GBK"/>
                <w:sz w:val="24"/>
                <w:highlight w:val="none"/>
              </w:rPr>
            </w:pPr>
          </w:p>
        </w:tc>
        <w:tc>
          <w:tcPr>
            <w:tcW w:w="2595" w:type="dxa"/>
            <w:noWrap w:val="0"/>
            <w:vAlign w:val="center"/>
          </w:tcPr>
          <w:p>
            <w:pPr>
              <w:widowControl/>
              <w:jc w:val="center"/>
              <w:textAlignment w:val="center"/>
              <w:rPr>
                <w:rFonts w:hint="eastAsia" w:ascii="方正仿宋_GBK" w:hAnsi="方正仿宋_GBK" w:eastAsia="方正仿宋_GBK" w:cs="方正仿宋_GBK"/>
                <w:sz w:val="24"/>
                <w:highlight w:val="none"/>
              </w:rPr>
            </w:pPr>
          </w:p>
        </w:tc>
      </w:tr>
    </w:tbl>
    <w:p>
      <w:pPr>
        <w:pStyle w:val="2"/>
        <w:rPr>
          <w:rFonts w:hint="eastAsia"/>
          <w:color w:val="auto"/>
          <w:highlight w:val="none"/>
        </w:rPr>
      </w:pPr>
    </w:p>
    <w:p>
      <w:pPr>
        <w:autoSpaceDE w:val="0"/>
        <w:autoSpaceDN w:val="0"/>
        <w:adjustRightInd w:val="0"/>
        <w:spacing w:after="200" w:line="276" w:lineRule="auto"/>
        <w:jc w:val="left"/>
        <w:rPr>
          <w:rFonts w:ascii="方正仿宋_GBK" w:hAnsi="方正仿宋_GBK" w:eastAsia="方正仿宋_GBK" w:cs="方正仿宋_GBK"/>
          <w:sz w:val="28"/>
          <w:szCs w:val="28"/>
          <w:highlight w:val="none"/>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hint="eastAsia" w:ascii="Verdana" w:hAnsi="Verdana" w:eastAsia="黑体"/>
          <w:color w:val="auto"/>
          <w:sz w:val="21"/>
          <w:szCs w:val="20"/>
          <w:highlight w:val="none"/>
          <w:lang w:eastAsia="en-US"/>
        </w:rPr>
      </w:pPr>
    </w:p>
    <w:p>
      <w:pPr>
        <w:autoSpaceDE w:val="0"/>
        <w:autoSpaceDN w:val="0"/>
        <w:adjustRightInd w:val="0"/>
        <w:spacing w:after="200" w:line="276" w:lineRule="auto"/>
        <w:jc w:val="left"/>
        <w:rPr>
          <w:rFonts w:ascii="方正仿宋_GBK" w:hAnsi="方正仿宋_GBK" w:eastAsia="方正仿宋_GBK" w:cs="方正仿宋_GBK"/>
          <w:sz w:val="28"/>
          <w:szCs w:val="28"/>
          <w:highlight w:val="none"/>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ascii="Verdana" w:hAnsi="Verdana" w:eastAsia="黑体"/>
          <w:color w:val="auto"/>
          <w:sz w:val="21"/>
          <w:szCs w:val="20"/>
          <w:highlight w:val="none"/>
          <w:lang w:eastAsia="en-US"/>
        </w:rPr>
      </w:pPr>
    </w:p>
    <w:p>
      <w:pPr>
        <w:pStyle w:val="2"/>
        <w:rPr>
          <w:rFonts w:hint="eastAsia" w:ascii="Verdana" w:hAnsi="Verdana" w:eastAsia="黑体"/>
          <w:color w:val="auto"/>
          <w:sz w:val="21"/>
          <w:szCs w:val="20"/>
          <w:highlight w:val="none"/>
          <w:lang w:eastAsia="en-US"/>
        </w:rPr>
      </w:pPr>
    </w:p>
    <w:p>
      <w:pPr>
        <w:autoSpaceDE w:val="0"/>
        <w:autoSpaceDN w:val="0"/>
        <w:adjustRightInd w:val="0"/>
        <w:spacing w:after="200" w:line="276" w:lineRule="auto"/>
        <w:jc w:val="left"/>
        <w:rPr>
          <w:rFonts w:hint="eastAsia" w:ascii="方正小标宋_GBK" w:hAnsi="宋体" w:eastAsia="方正小标宋_GBK"/>
          <w:sz w:val="44"/>
          <w:szCs w:val="44"/>
          <w:highlight w:val="none"/>
          <w:lang w:bidi="ar"/>
        </w:rPr>
      </w:pPr>
      <w:r>
        <w:rPr>
          <w:rFonts w:hint="eastAsia" w:ascii="方正仿宋_GBK" w:hAnsi="方正仿宋_GBK" w:eastAsia="方正仿宋_GBK" w:cs="方正仿宋_GBK"/>
          <w:sz w:val="28"/>
          <w:szCs w:val="28"/>
          <w:highlight w:val="none"/>
        </w:rPr>
        <w:t>附件2：</w:t>
      </w:r>
    </w:p>
    <w:p>
      <w:pPr>
        <w:spacing w:line="520" w:lineRule="exact"/>
        <w:jc w:val="center"/>
        <w:outlineLvl w:val="3"/>
        <w:rPr>
          <w:bCs/>
          <w:sz w:val="44"/>
          <w:szCs w:val="44"/>
          <w:highlight w:val="none"/>
        </w:rPr>
      </w:pPr>
      <w:r>
        <w:rPr>
          <w:rFonts w:hint="eastAsia" w:ascii="方正小标宋_GBK" w:hAnsi="宋体" w:eastAsia="方正小标宋_GBK"/>
          <w:sz w:val="44"/>
          <w:szCs w:val="44"/>
          <w:highlight w:val="none"/>
          <w:lang w:bidi="ar"/>
        </w:rPr>
        <w:t>造价咨询工作任务单</w:t>
      </w:r>
      <w:bookmarkEnd w:id="18"/>
    </w:p>
    <w:tbl>
      <w:tblPr>
        <w:tblStyle w:val="13"/>
        <w:tblW w:w="9376" w:type="dxa"/>
        <w:tblInd w:w="-315" w:type="dxa"/>
        <w:tblLayout w:type="fixed"/>
        <w:tblCellMar>
          <w:top w:w="0" w:type="dxa"/>
          <w:left w:w="108" w:type="dxa"/>
          <w:bottom w:w="0" w:type="dxa"/>
          <w:right w:w="108" w:type="dxa"/>
        </w:tblCellMar>
      </w:tblPr>
      <w:tblGrid>
        <w:gridCol w:w="2112"/>
        <w:gridCol w:w="1506"/>
        <w:gridCol w:w="1177"/>
        <w:gridCol w:w="488"/>
        <w:gridCol w:w="769"/>
        <w:gridCol w:w="930"/>
        <w:gridCol w:w="443"/>
        <w:gridCol w:w="1951"/>
      </w:tblGrid>
      <w:tr>
        <w:tblPrEx>
          <w:tblCellMar>
            <w:top w:w="0" w:type="dxa"/>
            <w:left w:w="108" w:type="dxa"/>
            <w:bottom w:w="0" w:type="dxa"/>
            <w:right w:w="108" w:type="dxa"/>
          </w:tblCellMar>
        </w:tblPrEx>
        <w:trPr>
          <w:trHeight w:val="64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项目名称</w:t>
            </w:r>
          </w:p>
        </w:tc>
        <w:tc>
          <w:tcPr>
            <w:tcW w:w="7264"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5" w:firstLineChars="9"/>
              <w:jc w:val="left"/>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64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委托单位</w:t>
            </w:r>
          </w:p>
        </w:tc>
        <w:tc>
          <w:tcPr>
            <w:tcW w:w="3171"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default" w:ascii="方正仿宋_GBK" w:hAnsi="方正仿宋_GBK" w:eastAsia="方正仿宋_GBK" w:cs="方正仿宋_GBK"/>
                <w:kern w:val="0"/>
                <w:sz w:val="24"/>
                <w:highlight w:val="none"/>
                <w:lang w:val="en-US" w:eastAsia="zh-CN"/>
              </w:rPr>
            </w:pPr>
            <w:r>
              <w:rPr>
                <w:rFonts w:hint="eastAsia" w:ascii="方正仿宋_GBK" w:hAnsi="方正仿宋_GBK" w:eastAsia="方正仿宋_GBK" w:cs="方正仿宋_GBK"/>
                <w:kern w:val="0"/>
                <w:sz w:val="24"/>
                <w:highlight w:val="none"/>
                <w:lang w:val="en-US" w:eastAsia="zh-CN"/>
              </w:rPr>
              <w:t>重庆成渝垫丰武高速公路有限公司</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1" w:firstLineChars="9"/>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联系人及电话</w:t>
            </w:r>
          </w:p>
        </w:tc>
        <w:tc>
          <w:tcPr>
            <w:tcW w:w="23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5" w:firstLineChars="9"/>
              <w:jc w:val="left"/>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64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咨询单位</w:t>
            </w:r>
          </w:p>
        </w:tc>
        <w:tc>
          <w:tcPr>
            <w:tcW w:w="3171"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1" w:firstLineChars="9"/>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联系人及电话</w:t>
            </w:r>
          </w:p>
        </w:tc>
        <w:tc>
          <w:tcPr>
            <w:tcW w:w="23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5" w:firstLineChars="9"/>
              <w:jc w:val="left"/>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64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编制类型</w:t>
            </w:r>
          </w:p>
        </w:tc>
        <w:tc>
          <w:tcPr>
            <w:tcW w:w="3171"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1" w:firstLineChars="9"/>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□工程造价编制</w:t>
            </w:r>
          </w:p>
          <w:p>
            <w:pPr>
              <w:widowControl/>
              <w:ind w:left="-19" w:leftChars="-9" w:firstLine="21" w:firstLineChars="9"/>
              <w:jc w:val="left"/>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□工程造价审核</w:t>
            </w:r>
          </w:p>
          <w:p>
            <w:pPr>
              <w:widowControl/>
              <w:ind w:left="-19" w:leftChars="-9" w:firstLine="21" w:firstLineChars="9"/>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4"/>
                <w:highlight w:val="none"/>
              </w:rPr>
              <w:t>□其他：</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1" w:firstLineChars="9"/>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委派时间</w:t>
            </w:r>
          </w:p>
        </w:tc>
        <w:tc>
          <w:tcPr>
            <w:tcW w:w="23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5" w:firstLineChars="9"/>
              <w:jc w:val="left"/>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64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约定完成时间</w:t>
            </w:r>
          </w:p>
        </w:tc>
        <w:tc>
          <w:tcPr>
            <w:tcW w:w="3171"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5" w:firstLineChars="9"/>
              <w:jc w:val="left"/>
              <w:rPr>
                <w:rFonts w:hint="eastAsia" w:ascii="方正仿宋_GBK" w:hAnsi="方正仿宋_GBK" w:eastAsia="方正仿宋_GBK" w:cs="方正仿宋_GBK"/>
                <w:kern w:val="0"/>
                <w:sz w:val="28"/>
                <w:szCs w:val="28"/>
                <w:highlight w:val="none"/>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1" w:firstLineChars="9"/>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提交成果时间</w:t>
            </w:r>
          </w:p>
        </w:tc>
        <w:tc>
          <w:tcPr>
            <w:tcW w:w="2394"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25" w:firstLineChars="9"/>
              <w:jc w:val="left"/>
              <w:rPr>
                <w:rFonts w:hint="eastAsia" w:ascii="方正仿宋_GBK" w:hAnsi="方正仿宋_GBK" w:eastAsia="方正仿宋_GBK" w:cs="方正仿宋_GBK"/>
                <w:kern w:val="0"/>
                <w:sz w:val="28"/>
                <w:szCs w:val="28"/>
                <w:highlight w:val="none"/>
              </w:rPr>
            </w:pPr>
          </w:p>
        </w:tc>
      </w:tr>
      <w:tr>
        <w:tblPrEx>
          <w:tblCellMar>
            <w:top w:w="0" w:type="dxa"/>
            <w:left w:w="108" w:type="dxa"/>
            <w:bottom w:w="0" w:type="dxa"/>
            <w:right w:w="108" w:type="dxa"/>
          </w:tblCellMar>
        </w:tblPrEx>
        <w:trPr>
          <w:trHeight w:val="64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273" w:firstLineChars="130"/>
              <w:jc w:val="center"/>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lang w:val="en-US" w:eastAsia="zh-CN"/>
              </w:rPr>
              <w:t>预估造价金额</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8" w:firstLineChars="9"/>
              <w:jc w:val="left"/>
              <w:rPr>
                <w:rFonts w:hint="default" w:ascii="方正仿宋_GBK" w:hAnsi="方正仿宋_GBK" w:eastAsia="方正仿宋_GBK" w:cs="方正仿宋_GBK"/>
                <w:kern w:val="0"/>
                <w:sz w:val="21"/>
                <w:szCs w:val="21"/>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8" w:firstLineChars="9"/>
              <w:jc w:val="left"/>
              <w:rPr>
                <w:rFonts w:hint="default"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kern w:val="0"/>
                <w:sz w:val="21"/>
                <w:szCs w:val="21"/>
                <w:highlight w:val="none"/>
                <w:lang w:val="en-US" w:eastAsia="zh-CN"/>
              </w:rPr>
              <w:t>预估造价咨询金额</w:t>
            </w: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8" w:firstLineChars="9"/>
              <w:jc w:val="left"/>
              <w:rPr>
                <w:rFonts w:hint="eastAsia" w:ascii="方正仿宋_GBK" w:hAnsi="方正仿宋_GBK" w:eastAsia="方正仿宋_GBK" w:cs="方正仿宋_GBK"/>
                <w:kern w:val="0"/>
                <w:sz w:val="21"/>
                <w:szCs w:val="21"/>
                <w:highlight w:val="none"/>
              </w:rPr>
            </w:pPr>
          </w:p>
        </w:tc>
        <w:tc>
          <w:tcPr>
            <w:tcW w:w="1373"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8" w:firstLineChars="9"/>
              <w:jc w:val="left"/>
              <w:rPr>
                <w:rFonts w:hint="default" w:ascii="方正仿宋_GBK" w:hAnsi="方正仿宋_GBK" w:eastAsia="方正仿宋_GBK" w:cs="方正仿宋_GBK"/>
                <w:kern w:val="0"/>
                <w:sz w:val="21"/>
                <w:szCs w:val="21"/>
                <w:highlight w:val="none"/>
                <w:lang w:val="en-US" w:eastAsia="zh-CN" w:bidi="ar-SA"/>
              </w:rPr>
            </w:pPr>
            <w:r>
              <w:rPr>
                <w:rFonts w:hint="eastAsia" w:ascii="方正仿宋_GBK" w:hAnsi="方正仿宋_GBK" w:eastAsia="方正仿宋_GBK" w:cs="方正仿宋_GBK"/>
                <w:kern w:val="0"/>
                <w:sz w:val="21"/>
                <w:szCs w:val="21"/>
                <w:highlight w:val="none"/>
                <w:lang w:val="en-US" w:eastAsia="zh-CN"/>
              </w:rPr>
              <w:t>累计造价咨询金额</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widowControl/>
              <w:ind w:left="-19" w:leftChars="-9" w:firstLine="18" w:firstLineChars="9"/>
              <w:jc w:val="left"/>
              <w:rPr>
                <w:rFonts w:hint="eastAsia" w:ascii="方正仿宋_GBK" w:hAnsi="方正仿宋_GBK" w:eastAsia="方正仿宋_GBK" w:cs="方正仿宋_GBK"/>
                <w:kern w:val="0"/>
                <w:sz w:val="21"/>
                <w:szCs w:val="21"/>
                <w:highlight w:val="none"/>
              </w:rPr>
            </w:pPr>
          </w:p>
        </w:tc>
      </w:tr>
      <w:tr>
        <w:tblPrEx>
          <w:tblCellMar>
            <w:top w:w="0" w:type="dxa"/>
            <w:left w:w="108" w:type="dxa"/>
            <w:bottom w:w="0" w:type="dxa"/>
            <w:right w:w="108" w:type="dxa"/>
          </w:tblCellMar>
        </w:tblPrEx>
        <w:trPr>
          <w:trHeight w:val="2328"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default" w:ascii="方正仿宋_GBK" w:hAnsi="方正仿宋_GBK" w:eastAsia="方正仿宋_GBK" w:cs="方正仿宋_GBK"/>
                <w:kern w:val="0"/>
                <w:sz w:val="24"/>
                <w:highlight w:val="none"/>
                <w:lang w:val="en-US" w:eastAsia="zh-CN"/>
              </w:rPr>
            </w:pPr>
            <w:r>
              <w:rPr>
                <w:rFonts w:hint="eastAsia" w:ascii="方正仿宋_GBK" w:hAnsi="方正仿宋_GBK" w:eastAsia="方正仿宋_GBK" w:cs="方正仿宋_GBK"/>
                <w:kern w:val="0"/>
                <w:sz w:val="24"/>
                <w:highlight w:val="none"/>
                <w:lang w:val="en-US" w:eastAsia="zh-CN"/>
              </w:rPr>
              <w:t>使用部门及子公司意见</w:t>
            </w:r>
          </w:p>
        </w:tc>
        <w:tc>
          <w:tcPr>
            <w:tcW w:w="7264" w:type="dxa"/>
            <w:gridSpan w:val="7"/>
            <w:tcBorders>
              <w:top w:val="single" w:color="auto" w:sz="4" w:space="0"/>
              <w:left w:val="single" w:color="auto" w:sz="4" w:space="0"/>
              <w:bottom w:val="single" w:color="auto" w:sz="4" w:space="0"/>
              <w:right w:val="single" w:color="auto" w:sz="4" w:space="0"/>
            </w:tcBorders>
            <w:noWrap w:val="0"/>
            <w:vAlign w:val="bottom"/>
          </w:tcPr>
          <w:p>
            <w:pPr>
              <w:widowControl/>
              <w:tabs>
                <w:tab w:val="left" w:pos="921"/>
              </w:tabs>
              <w:ind w:left="-1"/>
              <w:jc w:val="center"/>
              <w:rPr>
                <w:rFonts w:hint="eastAsia" w:ascii="方正仿宋_GBK" w:hAnsi="方正仿宋_GBK" w:eastAsia="方正仿宋_GBK" w:cs="方正仿宋_GBK"/>
                <w:kern w:val="0"/>
                <w:sz w:val="18"/>
                <w:szCs w:val="18"/>
                <w:highlight w:val="none"/>
                <w:lang w:eastAsia="zh-CN"/>
              </w:rPr>
            </w:pPr>
          </w:p>
          <w:p>
            <w:pPr>
              <w:widowControl/>
              <w:tabs>
                <w:tab w:val="left" w:pos="921"/>
              </w:tabs>
              <w:ind w:left="-1"/>
              <w:jc w:val="center"/>
              <w:rPr>
                <w:rFonts w:hint="eastAsia" w:ascii="方正仿宋_GBK" w:hAnsi="方正仿宋_GBK" w:eastAsia="方正仿宋_GBK" w:cs="方正仿宋_GBK"/>
                <w:kern w:val="0"/>
                <w:sz w:val="18"/>
                <w:szCs w:val="18"/>
                <w:highlight w:val="none"/>
                <w:lang w:eastAsia="zh-CN"/>
              </w:rPr>
            </w:pPr>
          </w:p>
          <w:p>
            <w:pPr>
              <w:widowControl/>
              <w:tabs>
                <w:tab w:val="left" w:pos="921"/>
              </w:tabs>
              <w:ind w:left="-1"/>
              <w:jc w:val="center"/>
              <w:rPr>
                <w:rFonts w:hint="default" w:ascii="方正仿宋_GBK" w:hAnsi="方正仿宋_GBK" w:eastAsia="方正仿宋_GBK" w:cs="方正仿宋_GBK"/>
                <w:kern w:val="0"/>
                <w:sz w:val="18"/>
                <w:szCs w:val="18"/>
                <w:highlight w:val="none"/>
                <w:lang w:val="en-US" w:eastAsia="zh-CN"/>
              </w:rPr>
            </w:pPr>
            <w:r>
              <w:rPr>
                <w:rFonts w:hint="eastAsia" w:ascii="方正仿宋_GBK" w:hAnsi="方正仿宋_GBK" w:eastAsia="方正仿宋_GBK" w:cs="方正仿宋_GBK"/>
                <w:kern w:val="0"/>
                <w:sz w:val="18"/>
                <w:szCs w:val="18"/>
                <w:highlight w:val="none"/>
                <w:lang w:val="en-US" w:eastAsia="zh-CN"/>
              </w:rPr>
              <w:t xml:space="preserve">           经办人：                    负责人：</w:t>
            </w:r>
          </w:p>
          <w:p>
            <w:pPr>
              <w:widowControl/>
              <w:tabs>
                <w:tab w:val="left" w:pos="1471"/>
              </w:tabs>
              <w:ind w:left="-1"/>
              <w:jc w:val="center"/>
              <w:rPr>
                <w:rFonts w:hint="eastAsia" w:ascii="方正仿宋_GBK" w:hAnsi="方正仿宋_GBK" w:eastAsia="方正仿宋_GBK" w:cs="方正仿宋_GBK"/>
                <w:kern w:val="0"/>
                <w:sz w:val="18"/>
                <w:szCs w:val="18"/>
                <w:highlight w:val="none"/>
                <w:lang w:eastAsia="zh-CN"/>
              </w:rPr>
            </w:pPr>
          </w:p>
        </w:tc>
      </w:tr>
      <w:tr>
        <w:tblPrEx>
          <w:tblCellMar>
            <w:top w:w="0" w:type="dxa"/>
            <w:left w:w="108" w:type="dxa"/>
            <w:bottom w:w="0" w:type="dxa"/>
            <w:right w:w="108" w:type="dxa"/>
          </w:tblCellMar>
        </w:tblPrEx>
        <w:trPr>
          <w:trHeight w:val="1806"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lang w:val="en-US" w:eastAsia="zh-CN"/>
              </w:rPr>
              <w:t>技术合同部</w:t>
            </w:r>
            <w:r>
              <w:rPr>
                <w:rFonts w:hint="eastAsia" w:ascii="方正仿宋_GBK" w:hAnsi="方正仿宋_GBK" w:eastAsia="方正仿宋_GBK" w:cs="方正仿宋_GBK"/>
                <w:kern w:val="0"/>
                <w:sz w:val="24"/>
                <w:highlight w:val="none"/>
              </w:rPr>
              <w:t>意见</w:t>
            </w:r>
          </w:p>
        </w:tc>
        <w:tc>
          <w:tcPr>
            <w:tcW w:w="7264" w:type="dxa"/>
            <w:gridSpan w:val="7"/>
            <w:tcBorders>
              <w:top w:val="single" w:color="auto" w:sz="4" w:space="0"/>
              <w:left w:val="single" w:color="auto" w:sz="4" w:space="0"/>
              <w:bottom w:val="single" w:color="auto" w:sz="4" w:space="0"/>
              <w:right w:val="single" w:color="auto" w:sz="4" w:space="0"/>
            </w:tcBorders>
            <w:noWrap w:val="0"/>
            <w:vAlign w:val="center"/>
          </w:tcPr>
          <w:p>
            <w:pPr>
              <w:widowControl/>
              <w:ind w:left="-1"/>
              <w:jc w:val="left"/>
              <w:rPr>
                <w:rFonts w:hint="eastAsia"/>
              </w:rPr>
            </w:pPr>
          </w:p>
          <w:p>
            <w:pPr>
              <w:rPr>
                <w:rFonts w:hint="eastAsia"/>
                <w:lang w:val="en-US" w:eastAsia="zh-CN"/>
              </w:rPr>
            </w:pPr>
          </w:p>
          <w:p>
            <w:pPr>
              <w:tabs>
                <w:tab w:val="left" w:pos="2371"/>
              </w:tabs>
              <w:jc w:val="left"/>
              <w:rPr>
                <w:rFonts w:hint="eastAsia"/>
                <w:lang w:val="en-US" w:eastAsia="zh-CN"/>
              </w:rPr>
            </w:pPr>
            <w:r>
              <w:rPr>
                <w:rFonts w:hint="eastAsia"/>
                <w:lang w:val="en-US" w:eastAsia="zh-CN"/>
              </w:rPr>
              <w:tab/>
            </w:r>
            <w:r>
              <w:rPr>
                <w:rFonts w:hint="eastAsia" w:ascii="方正仿宋_GBK" w:hAnsi="方正仿宋_GBK" w:eastAsia="方正仿宋_GBK" w:cs="方正仿宋_GBK"/>
                <w:kern w:val="0"/>
                <w:sz w:val="18"/>
                <w:szCs w:val="18"/>
                <w:highlight w:val="none"/>
                <w:lang w:val="en-US" w:eastAsia="zh-CN"/>
              </w:rPr>
              <w:t>经办人：                    负责人：</w:t>
            </w:r>
          </w:p>
        </w:tc>
      </w:tr>
      <w:tr>
        <w:tblPrEx>
          <w:tblCellMar>
            <w:top w:w="0" w:type="dxa"/>
            <w:left w:w="108" w:type="dxa"/>
            <w:bottom w:w="0" w:type="dxa"/>
            <w:right w:w="108" w:type="dxa"/>
          </w:tblCellMar>
        </w:tblPrEx>
        <w:trPr>
          <w:trHeight w:val="9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widowControl/>
              <w:ind w:left="-420" w:leftChars="-200" w:firstLine="312" w:firstLineChars="130"/>
              <w:jc w:val="center"/>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4"/>
                <w:highlight w:val="none"/>
              </w:rPr>
              <w:t>咨询单位签字确认</w:t>
            </w:r>
          </w:p>
        </w:tc>
        <w:tc>
          <w:tcPr>
            <w:tcW w:w="726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kern w:val="0"/>
                <w:sz w:val="28"/>
                <w:szCs w:val="28"/>
                <w:highlight w:val="none"/>
              </w:rPr>
            </w:pPr>
          </w:p>
          <w:p>
            <w:pPr>
              <w:widowControl/>
              <w:ind w:left="-1"/>
              <w:jc w:val="left"/>
              <w:rPr>
                <w:rFonts w:hint="eastAsia" w:ascii="方正仿宋_GBK" w:hAnsi="方正仿宋_GBK" w:eastAsia="方正仿宋_GBK" w:cs="方正仿宋_GBK"/>
                <w:kern w:val="0"/>
                <w:sz w:val="28"/>
                <w:szCs w:val="28"/>
                <w:highlight w:val="none"/>
              </w:rPr>
            </w:pPr>
          </w:p>
        </w:tc>
      </w:tr>
    </w:tbl>
    <w:p>
      <w:pPr>
        <w:rPr>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附件3：</w:t>
      </w:r>
    </w:p>
    <w:p>
      <w:pPr>
        <w:autoSpaceDE w:val="0"/>
        <w:autoSpaceDN w:val="0"/>
        <w:adjustRightInd w:val="0"/>
        <w:spacing w:after="200" w:line="276" w:lineRule="auto"/>
        <w:jc w:val="center"/>
        <w:rPr>
          <w:rFonts w:hint="eastAsia" w:ascii="方正小标宋_GBK" w:hAnsi="方正小标宋_GBK" w:eastAsia="方正小标宋_GBK" w:cs="方正小标宋_GBK"/>
          <w:bCs/>
          <w:kern w:val="0"/>
          <w:sz w:val="30"/>
          <w:szCs w:val="30"/>
          <w:highlight w:val="none"/>
          <w:lang w:val="zh-CN"/>
        </w:rPr>
      </w:pPr>
      <w:r>
        <w:rPr>
          <w:rFonts w:hint="eastAsia" w:ascii="方正小标宋_GBK" w:hAnsi="方正小标宋_GBK" w:eastAsia="方正小标宋_GBK" w:cs="方正小标宋_GBK"/>
          <w:bCs/>
          <w:kern w:val="0"/>
          <w:sz w:val="30"/>
          <w:szCs w:val="30"/>
          <w:highlight w:val="none"/>
          <w:lang w:val="zh-CN"/>
        </w:rPr>
        <w:t>委托造价咨询单位考核评价办法</w:t>
      </w:r>
    </w:p>
    <w:p>
      <w:pPr>
        <w:autoSpaceDE w:val="0"/>
        <w:autoSpaceDN w:val="0"/>
        <w:adjustRightInd w:val="0"/>
        <w:spacing w:after="200" w:line="276" w:lineRule="auto"/>
        <w:ind w:firstLine="555"/>
        <w:jc w:val="left"/>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lang w:val="zh-CN"/>
        </w:rPr>
        <w:t>为加强我</w:t>
      </w:r>
      <w:r>
        <w:rPr>
          <w:rFonts w:hint="eastAsia" w:ascii="方正仿宋_GBK" w:hAnsi="方正仿宋_GBK" w:eastAsia="方正仿宋_GBK" w:cs="方正仿宋_GBK"/>
          <w:kern w:val="0"/>
          <w:sz w:val="28"/>
          <w:szCs w:val="28"/>
          <w:highlight w:val="none"/>
        </w:rPr>
        <w:t>司</w:t>
      </w:r>
      <w:r>
        <w:rPr>
          <w:rFonts w:hint="eastAsia" w:ascii="方正仿宋_GBK" w:hAnsi="方正仿宋_GBK" w:eastAsia="方正仿宋_GBK" w:cs="方正仿宋_GBK"/>
          <w:kern w:val="0"/>
          <w:sz w:val="28"/>
          <w:szCs w:val="28"/>
          <w:highlight w:val="none"/>
          <w:lang w:val="zh-CN"/>
        </w:rPr>
        <w:t>委托审查咨询单位的动态管理，科学评价</w:t>
      </w:r>
      <w:r>
        <w:rPr>
          <w:rFonts w:hint="eastAsia" w:ascii="方正仿宋_GBK" w:hAnsi="方正仿宋_GBK" w:eastAsia="方正仿宋_GBK" w:cs="方正仿宋_GBK"/>
          <w:kern w:val="0"/>
          <w:sz w:val="28"/>
          <w:szCs w:val="28"/>
          <w:highlight w:val="none"/>
        </w:rPr>
        <w:t>咨询</w:t>
      </w:r>
      <w:r>
        <w:rPr>
          <w:rFonts w:hint="eastAsia" w:ascii="方正仿宋_GBK" w:hAnsi="方正仿宋_GBK" w:eastAsia="方正仿宋_GBK" w:cs="方正仿宋_GBK"/>
          <w:kern w:val="0"/>
          <w:sz w:val="28"/>
          <w:szCs w:val="28"/>
          <w:highlight w:val="none"/>
          <w:lang w:val="zh-CN"/>
        </w:rPr>
        <w:t>单位的服务质量和水平，制定本办法。</w:t>
      </w:r>
    </w:p>
    <w:p>
      <w:pPr>
        <w:autoSpaceDE w:val="0"/>
        <w:autoSpaceDN w:val="0"/>
        <w:adjustRightInd w:val="0"/>
        <w:spacing w:after="200" w:line="276" w:lineRule="auto"/>
        <w:ind w:firstLine="555"/>
        <w:jc w:val="left"/>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 xml:space="preserve">第一条 </w:t>
      </w:r>
      <w:r>
        <w:rPr>
          <w:rFonts w:hint="eastAsia" w:ascii="方正仿宋_GBK" w:hAnsi="方正仿宋_GBK" w:eastAsia="方正仿宋_GBK" w:cs="方正仿宋_GBK"/>
          <w:kern w:val="0"/>
          <w:sz w:val="28"/>
          <w:szCs w:val="28"/>
          <w:highlight w:val="none"/>
          <w:lang w:val="zh-CN"/>
        </w:rPr>
        <w:t xml:space="preserve">评价内容及组织形式 </w:t>
      </w:r>
    </w:p>
    <w:p>
      <w:pPr>
        <w:autoSpaceDE w:val="0"/>
        <w:autoSpaceDN w:val="0"/>
        <w:adjustRightInd w:val="0"/>
        <w:spacing w:after="200" w:line="276" w:lineRule="auto"/>
        <w:ind w:firstLine="555"/>
        <w:jc w:val="left"/>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我司</w:t>
      </w:r>
      <w:r>
        <w:rPr>
          <w:rFonts w:hint="eastAsia" w:ascii="方正仿宋_GBK" w:hAnsi="方正仿宋_GBK" w:eastAsia="方正仿宋_GBK" w:cs="方正仿宋_GBK"/>
          <w:kern w:val="0"/>
          <w:sz w:val="28"/>
          <w:szCs w:val="28"/>
          <w:highlight w:val="none"/>
          <w:lang w:val="zh-CN"/>
        </w:rPr>
        <w:t>按照本办法进行过程考核评价。过程考核采用咨询任务完成即进行考核的方式，考核结果实行百分制。过程考核以完成单个审查项目的成果文件质量为依据，从标准化管理、质量管理、人员管理、进度管理、职业道德管理等五方面进行考核（详见附件</w:t>
      </w:r>
      <w:r>
        <w:rPr>
          <w:rFonts w:hint="eastAsia" w:ascii="方正仿宋_GBK" w:hAnsi="方正仿宋_GBK" w:eastAsia="方正仿宋_GBK" w:cs="方正仿宋_GBK"/>
          <w:kern w:val="0"/>
          <w:sz w:val="28"/>
          <w:szCs w:val="28"/>
          <w:highlight w:val="none"/>
        </w:rPr>
        <w:t>4</w:t>
      </w:r>
      <w:r>
        <w:rPr>
          <w:rFonts w:hint="eastAsia" w:ascii="方正仿宋_GBK" w:hAnsi="方正仿宋_GBK" w:eastAsia="方正仿宋_GBK" w:cs="方正仿宋_GBK"/>
          <w:kern w:val="0"/>
          <w:sz w:val="28"/>
          <w:szCs w:val="28"/>
          <w:highlight w:val="none"/>
          <w:lang w:val="zh-CN"/>
        </w:rPr>
        <w:t>）。</w:t>
      </w:r>
    </w:p>
    <w:p>
      <w:pPr>
        <w:autoSpaceDE w:val="0"/>
        <w:autoSpaceDN w:val="0"/>
        <w:adjustRightInd w:val="0"/>
        <w:spacing w:after="200" w:line="276" w:lineRule="auto"/>
        <w:ind w:firstLine="555"/>
        <w:jc w:val="left"/>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 xml:space="preserve">第二条 </w:t>
      </w:r>
      <w:r>
        <w:rPr>
          <w:rFonts w:hint="eastAsia" w:ascii="方正仿宋_GBK" w:hAnsi="方正仿宋_GBK" w:eastAsia="方正仿宋_GBK" w:cs="方正仿宋_GBK"/>
          <w:kern w:val="0"/>
          <w:sz w:val="28"/>
          <w:szCs w:val="28"/>
          <w:highlight w:val="none"/>
          <w:lang w:val="zh-CN"/>
        </w:rPr>
        <w:t>考核结果运用</w:t>
      </w:r>
    </w:p>
    <w:p>
      <w:pPr>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2.1</w:t>
      </w:r>
      <w:r>
        <w:rPr>
          <w:rFonts w:hint="eastAsia" w:ascii="方正仿宋_GBK" w:hAnsi="方正仿宋_GBK" w:eastAsia="方正仿宋_GBK" w:cs="方正仿宋_GBK"/>
          <w:kern w:val="0"/>
          <w:sz w:val="28"/>
          <w:szCs w:val="28"/>
          <w:highlight w:val="none"/>
          <w:lang w:val="zh-CN"/>
        </w:rPr>
        <w:t>对于半年考评低于</w:t>
      </w:r>
      <w:r>
        <w:rPr>
          <w:rFonts w:hint="eastAsia" w:ascii="方正仿宋_GBK" w:hAnsi="方正仿宋_GBK" w:eastAsia="方正仿宋_GBK" w:cs="方正仿宋_GBK"/>
          <w:kern w:val="0"/>
          <w:sz w:val="28"/>
          <w:szCs w:val="28"/>
          <w:highlight w:val="none"/>
        </w:rPr>
        <w:t>85</w:t>
      </w:r>
      <w:r>
        <w:rPr>
          <w:rFonts w:hint="eastAsia" w:ascii="方正仿宋_GBK" w:hAnsi="方正仿宋_GBK" w:eastAsia="方正仿宋_GBK" w:cs="方正仿宋_GBK"/>
          <w:kern w:val="0"/>
          <w:sz w:val="28"/>
          <w:szCs w:val="28"/>
          <w:highlight w:val="none"/>
          <w:lang w:val="zh-CN"/>
        </w:rPr>
        <w:t>分，该时段审核的咨询服务费按80%计算；低于</w:t>
      </w:r>
      <w:r>
        <w:rPr>
          <w:rFonts w:hint="eastAsia" w:ascii="方正仿宋_GBK" w:hAnsi="方正仿宋_GBK" w:eastAsia="方正仿宋_GBK" w:cs="方正仿宋_GBK"/>
          <w:kern w:val="0"/>
          <w:sz w:val="28"/>
          <w:szCs w:val="28"/>
          <w:highlight w:val="none"/>
        </w:rPr>
        <w:t>75</w:t>
      </w:r>
      <w:r>
        <w:rPr>
          <w:rFonts w:hint="eastAsia" w:ascii="方正仿宋_GBK" w:hAnsi="方正仿宋_GBK" w:eastAsia="方正仿宋_GBK" w:cs="方正仿宋_GBK"/>
          <w:kern w:val="0"/>
          <w:sz w:val="28"/>
          <w:szCs w:val="28"/>
          <w:highlight w:val="none"/>
          <w:lang w:val="zh-CN"/>
        </w:rPr>
        <w:t>分，该时段审核的咨询服务费按60%计算；低于70分，委托人有权立即终止合同，且咨询服务费不予计算。</w:t>
      </w:r>
    </w:p>
    <w:p>
      <w:pPr>
        <w:ind w:firstLine="560" w:firstLineChars="200"/>
        <w:rPr>
          <w:rFonts w:hint="eastAsia" w:ascii="方正仿宋_GBK" w:hAnsi="方正仿宋_GBK" w:eastAsia="方正仿宋_GBK" w:cs="方正仿宋_GBK"/>
          <w:kern w:val="0"/>
          <w:sz w:val="28"/>
          <w:szCs w:val="28"/>
          <w:highlight w:val="none"/>
          <w:lang w:val="zh-CN"/>
        </w:rPr>
      </w:pPr>
      <w:r>
        <w:rPr>
          <w:rFonts w:hint="eastAsia" w:ascii="方正仿宋_GBK" w:hAnsi="方正仿宋_GBK" w:eastAsia="方正仿宋_GBK" w:cs="方正仿宋_GBK"/>
          <w:kern w:val="0"/>
          <w:sz w:val="28"/>
          <w:szCs w:val="28"/>
          <w:highlight w:val="none"/>
        </w:rPr>
        <w:t>2.2</w:t>
      </w:r>
      <w:r>
        <w:rPr>
          <w:rFonts w:hint="eastAsia" w:ascii="方正仿宋_GBK" w:hAnsi="方正仿宋_GBK" w:eastAsia="方正仿宋_GBK" w:cs="方正仿宋_GBK"/>
          <w:kern w:val="0"/>
          <w:sz w:val="28"/>
          <w:szCs w:val="28"/>
          <w:highlight w:val="none"/>
          <w:lang w:val="zh-CN"/>
        </w:rPr>
        <w:t>委托人未复审的项目以及全权委托咨询</w:t>
      </w:r>
      <w:r>
        <w:rPr>
          <w:rFonts w:hint="eastAsia" w:ascii="方正仿宋_GBK" w:hAnsi="方正仿宋_GBK" w:eastAsia="方正仿宋_GBK" w:cs="方正仿宋_GBK"/>
          <w:kern w:val="0"/>
          <w:sz w:val="28"/>
          <w:szCs w:val="28"/>
          <w:highlight w:val="none"/>
        </w:rPr>
        <w:t>人</w:t>
      </w:r>
      <w:r>
        <w:rPr>
          <w:rFonts w:hint="eastAsia" w:ascii="方正仿宋_GBK" w:hAnsi="方正仿宋_GBK" w:eastAsia="方正仿宋_GBK" w:cs="方正仿宋_GBK"/>
          <w:kern w:val="0"/>
          <w:sz w:val="28"/>
          <w:szCs w:val="28"/>
          <w:highlight w:val="none"/>
          <w:lang w:val="zh-CN"/>
        </w:rPr>
        <w:t>审核的委托项目，因咨询</w:t>
      </w:r>
      <w:r>
        <w:rPr>
          <w:rFonts w:hint="eastAsia" w:ascii="方正仿宋_GBK" w:hAnsi="方正仿宋_GBK" w:eastAsia="方正仿宋_GBK" w:cs="方正仿宋_GBK"/>
          <w:kern w:val="0"/>
          <w:sz w:val="28"/>
          <w:szCs w:val="28"/>
          <w:highlight w:val="none"/>
        </w:rPr>
        <w:t>人</w:t>
      </w:r>
      <w:r>
        <w:rPr>
          <w:rFonts w:hint="eastAsia" w:ascii="方正仿宋_GBK" w:hAnsi="方正仿宋_GBK" w:eastAsia="方正仿宋_GBK" w:cs="方正仿宋_GBK"/>
          <w:kern w:val="0"/>
          <w:sz w:val="28"/>
          <w:szCs w:val="28"/>
          <w:highlight w:val="none"/>
          <w:lang w:val="zh-CN"/>
        </w:rPr>
        <w:t>的原因导致差错而事后查出问题影响单位资金损失的情况，由咨询</w:t>
      </w:r>
      <w:r>
        <w:rPr>
          <w:rFonts w:hint="eastAsia" w:ascii="方正仿宋_GBK" w:hAnsi="方正仿宋_GBK" w:eastAsia="方正仿宋_GBK" w:cs="方正仿宋_GBK"/>
          <w:kern w:val="0"/>
          <w:sz w:val="28"/>
          <w:szCs w:val="28"/>
          <w:highlight w:val="none"/>
        </w:rPr>
        <w:t>人</w:t>
      </w:r>
      <w:r>
        <w:rPr>
          <w:rFonts w:hint="eastAsia" w:ascii="方正仿宋_GBK" w:hAnsi="方正仿宋_GBK" w:eastAsia="方正仿宋_GBK" w:cs="方正仿宋_GBK"/>
          <w:kern w:val="0"/>
          <w:sz w:val="28"/>
          <w:szCs w:val="28"/>
          <w:highlight w:val="none"/>
          <w:lang w:val="zh-CN"/>
        </w:rPr>
        <w:t>承担相应的赔偿责任，且咨询服务费不予计算，并追究相关人员的责任。</w:t>
      </w:r>
    </w:p>
    <w:p>
      <w:pPr>
        <w:ind w:firstLine="560" w:firstLineChars="200"/>
        <w:rPr>
          <w:rFonts w:hint="eastAsia"/>
          <w:highlight w:val="none"/>
          <w:lang w:val="zh-CN"/>
        </w:rPr>
      </w:pPr>
      <w:r>
        <w:rPr>
          <w:rFonts w:hint="eastAsia" w:ascii="方正仿宋_GBK" w:hAnsi="方正仿宋_GBK" w:eastAsia="方正仿宋_GBK" w:cs="方正仿宋_GBK"/>
          <w:kern w:val="0"/>
          <w:sz w:val="28"/>
          <w:szCs w:val="28"/>
          <w:highlight w:val="none"/>
          <w:lang w:val="en-US" w:eastAsia="zh-CN"/>
        </w:rPr>
        <w:t>2.33、委托人根据第一年每半年考评结果，第一年年度考评平均分低于80分，甲方有权立即终止合同，不再延续第二年咨询服务。</w:t>
      </w:r>
    </w:p>
    <w:p>
      <w:pPr>
        <w:autoSpaceDE w:val="0"/>
        <w:autoSpaceDN w:val="0"/>
        <w:adjustRightInd w:val="0"/>
        <w:spacing w:after="200" w:line="276" w:lineRule="auto"/>
        <w:ind w:firstLine="555"/>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第三条 </w:t>
      </w:r>
      <w:r>
        <w:rPr>
          <w:rFonts w:hint="eastAsia" w:ascii="方正仿宋_GBK" w:hAnsi="方正仿宋_GBK" w:eastAsia="方正仿宋_GBK" w:cs="方正仿宋_GBK"/>
          <w:kern w:val="0"/>
          <w:sz w:val="28"/>
          <w:szCs w:val="28"/>
          <w:highlight w:val="none"/>
          <w:lang w:val="zh-CN"/>
        </w:rPr>
        <w:t>咨询</w:t>
      </w:r>
      <w:r>
        <w:rPr>
          <w:rFonts w:hint="eastAsia" w:ascii="方正仿宋_GBK" w:hAnsi="方正仿宋_GBK" w:eastAsia="方正仿宋_GBK" w:cs="方正仿宋_GBK"/>
          <w:kern w:val="0"/>
          <w:sz w:val="28"/>
          <w:szCs w:val="28"/>
          <w:highlight w:val="none"/>
        </w:rPr>
        <w:t>人</w:t>
      </w:r>
      <w:r>
        <w:rPr>
          <w:rFonts w:hint="eastAsia" w:ascii="方正仿宋_GBK" w:hAnsi="方正仿宋_GBK" w:eastAsia="方正仿宋_GBK" w:cs="方正仿宋_GBK"/>
          <w:kern w:val="0"/>
          <w:sz w:val="28"/>
          <w:szCs w:val="28"/>
          <w:highlight w:val="none"/>
          <w:lang w:val="zh-CN"/>
        </w:rPr>
        <w:t>泄露与本工程相关的保密资料，与利益方串通给公司造成经济损失，委托人有权立即终止合同，由咨询</w:t>
      </w:r>
      <w:r>
        <w:rPr>
          <w:rFonts w:hint="eastAsia" w:ascii="方正仿宋_GBK" w:hAnsi="方正仿宋_GBK" w:eastAsia="方正仿宋_GBK" w:cs="方正仿宋_GBK"/>
          <w:kern w:val="0"/>
          <w:sz w:val="28"/>
          <w:szCs w:val="28"/>
          <w:highlight w:val="none"/>
        </w:rPr>
        <w:t>人</w:t>
      </w:r>
      <w:r>
        <w:rPr>
          <w:rFonts w:hint="eastAsia" w:ascii="方正仿宋_GBK" w:hAnsi="方正仿宋_GBK" w:eastAsia="方正仿宋_GBK" w:cs="方正仿宋_GBK"/>
          <w:kern w:val="0"/>
          <w:sz w:val="28"/>
          <w:szCs w:val="28"/>
          <w:highlight w:val="none"/>
          <w:lang w:val="zh-CN"/>
        </w:rPr>
        <w:t>承担相应的赔偿责任，承担相应的法律责任。</w:t>
      </w: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hint="eastAsia" w:ascii="方正仿宋_GBK" w:hAnsi="方正仿宋_GBK" w:eastAsia="方正仿宋_GBK" w:cs="方正仿宋_GBK"/>
          <w:sz w:val="28"/>
          <w:szCs w:val="28"/>
          <w:highlight w:val="none"/>
        </w:rPr>
      </w:pPr>
    </w:p>
    <w:p>
      <w:pPr>
        <w:autoSpaceDE w:val="0"/>
        <w:autoSpaceDN w:val="0"/>
        <w:adjustRightInd w:val="0"/>
        <w:spacing w:after="200" w:line="276" w:lineRule="auto"/>
        <w:jc w:val="left"/>
        <w:rPr>
          <w:rFonts w:ascii="黑体" w:hAnsi="宋体" w:eastAsia="黑体" w:cs="宋体"/>
          <w:spacing w:val="-4"/>
          <w:kern w:val="0"/>
          <w:sz w:val="32"/>
          <w:szCs w:val="32"/>
          <w:highlight w:val="none"/>
        </w:rPr>
      </w:pPr>
      <w:r>
        <w:rPr>
          <w:rFonts w:hint="eastAsia" w:ascii="方正仿宋_GBK" w:hAnsi="方正仿宋_GBK" w:eastAsia="方正仿宋_GBK" w:cs="方正仿宋_GBK"/>
          <w:sz w:val="28"/>
          <w:szCs w:val="28"/>
          <w:highlight w:val="none"/>
        </w:rPr>
        <w:t>附件4：</w:t>
      </w:r>
    </w:p>
    <w:p>
      <w:pPr>
        <w:widowControl/>
        <w:spacing w:after="156" w:afterLines="50" w:line="600" w:lineRule="exact"/>
        <w:ind w:left="79"/>
        <w:jc w:val="center"/>
        <w:rPr>
          <w:rFonts w:ascii="黑体" w:hAnsi="宋体" w:eastAsia="黑体" w:cs="宋体"/>
          <w:spacing w:val="-4"/>
          <w:kern w:val="0"/>
          <w:sz w:val="32"/>
          <w:szCs w:val="32"/>
          <w:highlight w:val="none"/>
        </w:rPr>
      </w:pPr>
      <w:r>
        <w:rPr>
          <w:rFonts w:hint="eastAsia" w:ascii="黑体" w:hAnsi="宋体" w:eastAsia="黑体" w:cs="宋体"/>
          <w:spacing w:val="-4"/>
          <w:kern w:val="0"/>
          <w:sz w:val="32"/>
          <w:szCs w:val="32"/>
          <w:highlight w:val="none"/>
        </w:rPr>
        <w:t>造价咨询项目考核计分表</w:t>
      </w:r>
    </w:p>
    <w:p>
      <w:pPr>
        <w:widowControl/>
        <w:spacing w:line="360" w:lineRule="auto"/>
        <w:ind w:firstLine="117" w:firstLineChars="49"/>
        <w:jc w:val="left"/>
        <w:rPr>
          <w:rFonts w:ascii="方正仿宋_GBK" w:hAnsi="宋体" w:eastAsia="方正仿宋_GBK" w:cs="宋体"/>
          <w:bCs/>
          <w:kern w:val="0"/>
          <w:sz w:val="24"/>
          <w:highlight w:val="none"/>
        </w:rPr>
      </w:pPr>
      <w:r>
        <w:rPr>
          <w:rFonts w:hint="eastAsia" w:ascii="方正仿宋_GBK" w:hAnsi="宋体" w:eastAsia="方正仿宋_GBK" w:cs="宋体"/>
          <w:bCs/>
          <w:kern w:val="0"/>
          <w:sz w:val="24"/>
          <w:highlight w:val="none"/>
        </w:rPr>
        <w:t>咨询单位： XXX</w:t>
      </w:r>
    </w:p>
    <w:p>
      <w:pPr>
        <w:widowControl/>
        <w:spacing w:line="360" w:lineRule="auto"/>
        <w:ind w:firstLine="117" w:firstLineChars="49"/>
        <w:jc w:val="left"/>
        <w:rPr>
          <w:rFonts w:ascii="方正仿宋_GBK" w:hAnsi="宋体" w:eastAsia="方正仿宋_GBK" w:cs="宋体"/>
          <w:bCs/>
          <w:kern w:val="0"/>
          <w:sz w:val="24"/>
          <w:highlight w:val="none"/>
        </w:rPr>
      </w:pPr>
      <w:r>
        <w:rPr>
          <w:rFonts w:hint="eastAsia" w:ascii="方正仿宋_GBK" w:hAnsi="宋体" w:eastAsia="方正仿宋_GBK" w:cs="宋体"/>
          <w:bCs/>
          <w:kern w:val="0"/>
          <w:sz w:val="24"/>
          <w:highlight w:val="none"/>
        </w:rPr>
        <w:t>项目名称：XXX</w:t>
      </w:r>
    </w:p>
    <w:p>
      <w:pPr>
        <w:widowControl/>
        <w:spacing w:line="360" w:lineRule="auto"/>
        <w:ind w:firstLine="98" w:firstLineChars="49"/>
        <w:jc w:val="left"/>
        <w:rPr>
          <w:rFonts w:ascii="方正仿宋_GBK" w:hAnsi="宋体" w:eastAsia="方正仿宋_GBK" w:cs="宋体"/>
          <w:b/>
          <w:bCs/>
          <w:kern w:val="0"/>
          <w:sz w:val="20"/>
          <w:highlight w:val="none"/>
        </w:rPr>
      </w:pPr>
      <w:r>
        <w:rPr>
          <w:rFonts w:hint="eastAsia" w:ascii="方正仿宋_GBK" w:hAnsi="宋体" w:eastAsia="方正仿宋_GBK" w:cs="宋体"/>
          <w:b/>
          <w:bCs/>
          <w:kern w:val="0"/>
          <w:sz w:val="20"/>
          <w:highlight w:val="non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4833"/>
        <w:gridCol w:w="992"/>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5763" w:type="dxa"/>
            <w:gridSpan w:val="2"/>
            <w:noWrap w:val="0"/>
            <w:vAlign w:val="center"/>
          </w:tcPr>
          <w:p>
            <w:pPr>
              <w:widowControl/>
              <w:jc w:val="center"/>
              <w:rPr>
                <w:rFonts w:ascii="方正仿宋_GBK" w:hAnsi="宋体" w:eastAsia="方正仿宋_GBK" w:cs="宋体"/>
                <w:b/>
                <w:bCs/>
                <w:kern w:val="0"/>
                <w:sz w:val="20"/>
                <w:highlight w:val="none"/>
              </w:rPr>
            </w:pPr>
            <w:r>
              <w:rPr>
                <w:rFonts w:hint="eastAsia" w:ascii="方正仿宋_GBK" w:hAnsi="宋体" w:eastAsia="方正仿宋_GBK" w:cs="宋体"/>
                <w:b/>
                <w:bCs/>
                <w:kern w:val="0"/>
                <w:sz w:val="20"/>
                <w:highlight w:val="none"/>
              </w:rPr>
              <w:t>考    核    内    容    和    指    标</w:t>
            </w:r>
          </w:p>
        </w:tc>
        <w:tc>
          <w:tcPr>
            <w:tcW w:w="992" w:type="dxa"/>
            <w:noWrap w:val="0"/>
            <w:vAlign w:val="center"/>
          </w:tcPr>
          <w:p>
            <w:pPr>
              <w:widowControl/>
              <w:jc w:val="center"/>
              <w:rPr>
                <w:rFonts w:ascii="方正仿宋_GBK" w:hAnsi="宋体" w:eastAsia="方正仿宋_GBK" w:cs="宋体"/>
                <w:b/>
                <w:bCs/>
                <w:kern w:val="0"/>
                <w:sz w:val="20"/>
                <w:highlight w:val="none"/>
              </w:rPr>
            </w:pPr>
            <w:r>
              <w:rPr>
                <w:rFonts w:hint="eastAsia" w:ascii="方正仿宋_GBK" w:hAnsi="宋体" w:eastAsia="方正仿宋_GBK" w:cs="宋体"/>
                <w:b/>
                <w:bCs/>
                <w:kern w:val="0"/>
                <w:sz w:val="20"/>
                <w:highlight w:val="none"/>
              </w:rPr>
              <w:t>得分</w:t>
            </w:r>
          </w:p>
        </w:tc>
        <w:tc>
          <w:tcPr>
            <w:tcW w:w="2406" w:type="dxa"/>
            <w:noWrap w:val="0"/>
            <w:vAlign w:val="center"/>
          </w:tcPr>
          <w:p>
            <w:pPr>
              <w:widowControl/>
              <w:jc w:val="center"/>
              <w:rPr>
                <w:rFonts w:ascii="方正仿宋_GBK" w:hAnsi="宋体" w:eastAsia="方正仿宋_GBK" w:cs="宋体"/>
                <w:b/>
                <w:bCs/>
                <w:kern w:val="0"/>
                <w:sz w:val="20"/>
                <w:highlight w:val="none"/>
              </w:rPr>
            </w:pPr>
            <w:r>
              <w:rPr>
                <w:rFonts w:hint="eastAsia" w:ascii="方正仿宋_GBK" w:hAnsi="宋体" w:eastAsia="方正仿宋_GBK" w:cs="宋体"/>
                <w:b/>
                <w:bCs/>
                <w:kern w:val="0"/>
                <w:sz w:val="20"/>
                <w:highlight w:val="none"/>
              </w:rPr>
              <w:t>扣分情况说明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restart"/>
            <w:noWrap w:val="0"/>
            <w:vAlign w:val="center"/>
          </w:tcPr>
          <w:p>
            <w:pPr>
              <w:widowControl/>
              <w:ind w:left="-113" w:leftChars="-54" w:right="-58"/>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标准化   管理  （15分）</w:t>
            </w: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（1）报告内容（内容完整，条理清晰，格式清楚）8分；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（2）审查依据（计价办法、文号，图名等全面正确）3分；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（3）审查结果（数据正确，分析详实）4分；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restart"/>
            <w:noWrap w:val="0"/>
            <w:vAlign w:val="center"/>
          </w:tcPr>
          <w:p>
            <w:pPr>
              <w:widowControl/>
              <w:ind w:left="-99" w:leftChars="-47" w:right="-84" w:rightChars="-40"/>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xml:space="preserve">质量管理考核  </w:t>
            </w:r>
          </w:p>
          <w:p>
            <w:pPr>
              <w:widowControl/>
              <w:ind w:left="-99" w:leftChars="-47" w:right="-84" w:rightChars="-40"/>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（50分）</w:t>
            </w: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（1）定额套用10分，对定额不能正确理解，定额套用与设计图不符，定额套用不合理，每项次扣1分，最多扣10分；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（2）施工措施方案8分，图纸理解不透，不能合理确定施工方案和辅助工程数量的，每项次扣1分，最多扣8分；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（3）单价5分，工、料、机价格选用不合理，每项次扣1分，最多扣5分；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（4）费率2分，费率选用不合理，每项次扣1分，最多扣2分；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（5）第二、第三部分费用5分，设备单价、费用计算不合理，未能准确掌握相关技术经济政策，每项次扣1分，最多扣5分；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（6）工程量复核5分，未按照设计图纸准确摘取工程量，未能发现明显的设计内容重复及工程数量错误，每项次扣1分，最多扣5分；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restart"/>
            <w:noWrap w:val="0"/>
            <w:vAlign w:val="center"/>
          </w:tcPr>
          <w:p>
            <w:pPr>
              <w:widowControl/>
              <w:ind w:left="-99" w:leftChars="-47" w:right="-84" w:rightChars="-40"/>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xml:space="preserve">质量管理考核  </w:t>
            </w:r>
          </w:p>
          <w:p>
            <w:pPr>
              <w:widowControl/>
              <w:ind w:left="-84" w:leftChars="-40" w:right="-84" w:rightChars="-40"/>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（50分）</w:t>
            </w: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（7）造价指标5分，指标合理，指标偏差严重，每项次扣1分，最多扣5分；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（8）分项工程划分5分，分项工程划分合理，出现偏差每项次扣1分，最多扣5分；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left"/>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（9）信息反馈（其他相关部门发现，审查意见有重大漏项、错项，严重不合理等情况）5分，一次性扣除5分；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restart"/>
            <w:noWrap w:val="0"/>
            <w:vAlign w:val="center"/>
          </w:tcPr>
          <w:p>
            <w:pPr>
              <w:widowControl/>
              <w:ind w:left="-84" w:leftChars="-40" w:right="-141" w:rightChars="-67"/>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人员管理考核</w:t>
            </w:r>
          </w:p>
          <w:p>
            <w:pPr>
              <w:widowControl/>
              <w:ind w:left="-84" w:leftChars="-40" w:right="-141" w:rightChars="-67"/>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（10分）</w:t>
            </w: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（1）项目负责人（工作态度、责任心、沟通协调及时、对发现的问题处理及时）5分；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ind w:left="-84" w:leftChars="-40" w:right="-141" w:rightChars="-67"/>
              <w:jc w:val="center"/>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（2）其他人员（工作态度、责任心、沟通协调及时、对发现的问题处理及时）5分；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restart"/>
            <w:noWrap w:val="0"/>
            <w:vAlign w:val="center"/>
          </w:tcPr>
          <w:p>
            <w:pPr>
              <w:widowControl/>
              <w:ind w:left="-84" w:leftChars="-40" w:right="-141" w:rightChars="-67"/>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xml:space="preserve">进度管理考核  </w:t>
            </w:r>
          </w:p>
          <w:p>
            <w:pPr>
              <w:ind w:left="-84" w:leftChars="-40" w:right="-141" w:rightChars="-67"/>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（10分）</w:t>
            </w: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（1）在项目审查过程中，对存在的问题及时与风控法务部沟通，对风控法务部反馈意见及时处理，每拖延一次扣1分，最多扣5分；</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ind w:left="-84" w:leftChars="-40" w:right="-141" w:rightChars="-67"/>
              <w:jc w:val="center"/>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（2）按照合同约定时间完成成果，每超过1个工作日扣1分，最多扣5分；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restart"/>
            <w:noWrap w:val="0"/>
            <w:vAlign w:val="center"/>
          </w:tcPr>
          <w:p>
            <w:pPr>
              <w:widowControl/>
              <w:jc w:val="center"/>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执业道德管理考核（15分）</w:t>
            </w: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（1）隐瞒问题，不如实反映发现的情况，每发生一次扣5分～10分；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center"/>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（2）偏听</w:t>
            </w:r>
            <w:r>
              <w:rPr>
                <w:rFonts w:hint="eastAsia" w:ascii="方正仿宋_GBK" w:hAnsi="宋体" w:eastAsia="方正仿宋_GBK" w:cs="宋体"/>
                <w:kern w:val="0"/>
                <w:sz w:val="20"/>
                <w:highlight w:val="none"/>
                <w:lang w:eastAsia="zh-CN"/>
              </w:rPr>
              <w:t>比选人</w:t>
            </w:r>
            <w:r>
              <w:rPr>
                <w:rFonts w:hint="eastAsia" w:ascii="方正仿宋_GBK" w:hAnsi="宋体" w:eastAsia="方正仿宋_GBK" w:cs="宋体"/>
                <w:kern w:val="0"/>
                <w:sz w:val="20"/>
                <w:highlight w:val="none"/>
              </w:rPr>
              <w:t>要求，在执业过程中未坚持“公平、公正”的原则，每发生一次扣5分～10分；</w:t>
            </w:r>
          </w:p>
        </w:tc>
        <w:tc>
          <w:tcPr>
            <w:tcW w:w="992" w:type="dxa"/>
            <w:noWrap w:val="0"/>
            <w:vAlign w:val="center"/>
          </w:tcPr>
          <w:p>
            <w:pPr>
              <w:widowControl/>
              <w:jc w:val="left"/>
              <w:rPr>
                <w:rFonts w:ascii="方正仿宋_GBK" w:hAnsi="宋体" w:eastAsia="方正仿宋_GBK" w:cs="宋体"/>
                <w:kern w:val="0"/>
                <w:sz w:val="20"/>
                <w:highlight w:val="none"/>
              </w:rPr>
            </w:pPr>
          </w:p>
        </w:tc>
        <w:tc>
          <w:tcPr>
            <w:tcW w:w="2406" w:type="dxa"/>
            <w:noWrap w:val="0"/>
            <w:vAlign w:val="center"/>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30" w:type="dxa"/>
            <w:vMerge w:val="continue"/>
            <w:noWrap w:val="0"/>
            <w:vAlign w:val="center"/>
          </w:tcPr>
          <w:p>
            <w:pPr>
              <w:widowControl/>
              <w:jc w:val="center"/>
              <w:rPr>
                <w:rFonts w:ascii="方正仿宋_GBK" w:hAnsi="宋体" w:eastAsia="方正仿宋_GBK" w:cs="宋体"/>
                <w:kern w:val="0"/>
                <w:sz w:val="20"/>
                <w:highlight w:val="none"/>
              </w:rPr>
            </w:pPr>
          </w:p>
        </w:tc>
        <w:tc>
          <w:tcPr>
            <w:tcW w:w="4833"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（3）在执业过程中，应廉洁自律。如果收受贿赂，或向第三方泄露相关审查资料，直接认定为不合格。</w:t>
            </w:r>
          </w:p>
        </w:tc>
        <w:tc>
          <w:tcPr>
            <w:tcW w:w="992" w:type="dxa"/>
            <w:noWrap w:val="0"/>
            <w:vAlign w:val="center"/>
          </w:tcPr>
          <w:p>
            <w:pPr>
              <w:widowControl/>
              <w:jc w:val="left"/>
              <w:rPr>
                <w:rFonts w:ascii="方正仿宋_GBK" w:hAnsi="宋体" w:eastAsia="方正仿宋_GBK" w:cs="宋体"/>
                <w:kern w:val="0"/>
                <w:sz w:val="20"/>
                <w:highlight w:val="none"/>
              </w:rPr>
            </w:pPr>
            <w:r>
              <w:rPr>
                <w:rFonts w:hint="eastAsia" w:ascii="方正仿宋_GBK" w:hAnsi="宋体" w:eastAsia="方正仿宋_GBK" w:cs="宋体"/>
                <w:kern w:val="0"/>
                <w:sz w:val="20"/>
                <w:highlight w:val="none"/>
              </w:rPr>
              <w:t>　</w:t>
            </w:r>
          </w:p>
        </w:tc>
        <w:tc>
          <w:tcPr>
            <w:tcW w:w="2406" w:type="dxa"/>
            <w:noWrap w:val="0"/>
            <w:vAlign w:val="top"/>
          </w:tcPr>
          <w:p>
            <w:pPr>
              <w:widowControl/>
              <w:jc w:val="left"/>
              <w:rPr>
                <w:rFonts w:ascii="方正仿宋_GBK" w:hAnsi="宋体" w:eastAsia="方正仿宋_GBK" w:cs="宋体"/>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63" w:type="dxa"/>
            <w:gridSpan w:val="2"/>
            <w:noWrap w:val="0"/>
            <w:vAlign w:val="center"/>
          </w:tcPr>
          <w:p>
            <w:pPr>
              <w:widowControl/>
              <w:jc w:val="center"/>
              <w:rPr>
                <w:rFonts w:ascii="宋体" w:hAnsi="宋体" w:cs="宋体"/>
                <w:kern w:val="0"/>
                <w:sz w:val="20"/>
                <w:highlight w:val="none"/>
              </w:rPr>
            </w:pPr>
            <w:r>
              <w:rPr>
                <w:rFonts w:hint="eastAsia" w:ascii="宋体" w:hAnsi="宋体" w:cs="宋体"/>
                <w:kern w:val="0"/>
                <w:sz w:val="20"/>
                <w:highlight w:val="none"/>
              </w:rPr>
              <w:t>合计</w:t>
            </w:r>
          </w:p>
        </w:tc>
        <w:tc>
          <w:tcPr>
            <w:tcW w:w="992" w:type="dxa"/>
            <w:noWrap w:val="0"/>
            <w:vAlign w:val="center"/>
          </w:tcPr>
          <w:p>
            <w:pPr>
              <w:widowControl/>
              <w:jc w:val="left"/>
              <w:rPr>
                <w:rFonts w:ascii="宋体" w:hAnsi="宋体" w:cs="宋体"/>
                <w:kern w:val="0"/>
                <w:sz w:val="20"/>
                <w:highlight w:val="none"/>
              </w:rPr>
            </w:pPr>
          </w:p>
        </w:tc>
        <w:tc>
          <w:tcPr>
            <w:tcW w:w="2406" w:type="dxa"/>
            <w:noWrap w:val="0"/>
            <w:vAlign w:val="top"/>
          </w:tcPr>
          <w:p>
            <w:pPr>
              <w:widowControl/>
              <w:jc w:val="left"/>
              <w:rPr>
                <w:rFonts w:ascii="宋体" w:hAnsi="宋体" w:cs="宋体"/>
                <w:kern w:val="0"/>
                <w:sz w:val="20"/>
                <w:highlight w:val="none"/>
              </w:rPr>
            </w:pPr>
          </w:p>
        </w:tc>
      </w:tr>
    </w:tbl>
    <w:p>
      <w:pPr>
        <w:keepNext/>
        <w:keepLines/>
        <w:spacing w:line="440" w:lineRule="exact"/>
        <w:jc w:val="both"/>
        <w:outlineLvl w:val="0"/>
        <w:rPr>
          <w:b/>
          <w:bCs/>
          <w:kern w:val="44"/>
          <w:sz w:val="32"/>
          <w:szCs w:val="44"/>
          <w:highlight w:val="none"/>
        </w:rPr>
      </w:pPr>
    </w:p>
    <w:p>
      <w:pPr>
        <w:keepNext/>
        <w:keepLines/>
        <w:spacing w:line="440" w:lineRule="exact"/>
        <w:jc w:val="center"/>
        <w:outlineLvl w:val="0"/>
        <w:rPr>
          <w:b/>
          <w:bCs/>
          <w:kern w:val="44"/>
          <w:sz w:val="32"/>
          <w:szCs w:val="44"/>
          <w:highlight w:val="none"/>
        </w:rPr>
      </w:pPr>
    </w:p>
    <w:p>
      <w:pPr>
        <w:pStyle w:val="2"/>
        <w:rPr>
          <w:b/>
          <w:bCs/>
          <w:kern w:val="44"/>
          <w:sz w:val="32"/>
          <w:szCs w:val="44"/>
          <w:highlight w:val="none"/>
        </w:rPr>
      </w:pPr>
    </w:p>
    <w:p>
      <w:pPr>
        <w:rPr>
          <w:b/>
          <w:bCs/>
          <w:kern w:val="44"/>
          <w:sz w:val="32"/>
          <w:szCs w:val="44"/>
          <w:highlight w:val="none"/>
        </w:rPr>
      </w:pPr>
    </w:p>
    <w:p>
      <w:pPr>
        <w:pStyle w:val="2"/>
        <w:rPr>
          <w:b/>
          <w:bCs/>
          <w:kern w:val="44"/>
          <w:sz w:val="32"/>
          <w:szCs w:val="44"/>
          <w:highlight w:val="none"/>
        </w:rPr>
      </w:pPr>
    </w:p>
    <w:p>
      <w:pPr>
        <w:rPr>
          <w:b/>
          <w:bCs/>
          <w:kern w:val="44"/>
          <w:sz w:val="32"/>
          <w:szCs w:val="44"/>
          <w:highlight w:val="none"/>
        </w:rPr>
      </w:pPr>
    </w:p>
    <w:p>
      <w:pPr>
        <w:pStyle w:val="4"/>
        <w:numPr>
          <w:ilvl w:val="-1"/>
          <w:numId w:val="0"/>
        </w:numPr>
        <w:tabs>
          <w:tab w:val="clear" w:pos="2340"/>
        </w:tabs>
        <w:ind w:left="567" w:firstLine="0"/>
      </w:pPr>
    </w:p>
    <w:p/>
    <w:p>
      <w:pPr>
        <w:pStyle w:val="2"/>
      </w:pPr>
    </w:p>
    <w:p>
      <w:pPr>
        <w:keepNext/>
        <w:keepLines/>
        <w:spacing w:line="440" w:lineRule="exact"/>
        <w:jc w:val="center"/>
        <w:outlineLvl w:val="0"/>
        <w:rPr>
          <w:b/>
          <w:bCs/>
          <w:kern w:val="44"/>
          <w:sz w:val="32"/>
          <w:szCs w:val="44"/>
          <w:highlight w:val="none"/>
        </w:rPr>
      </w:pPr>
      <w:r>
        <w:rPr>
          <w:b/>
          <w:bCs/>
          <w:kern w:val="44"/>
          <w:sz w:val="32"/>
          <w:szCs w:val="44"/>
          <w:highlight w:val="none"/>
        </w:rPr>
        <w:t>廉政合同</w:t>
      </w:r>
    </w:p>
    <w:p>
      <w:pPr>
        <w:autoSpaceDE w:val="0"/>
        <w:autoSpaceDN w:val="0"/>
        <w:spacing w:line="400" w:lineRule="exact"/>
        <w:ind w:firstLine="482"/>
        <w:textAlignment w:val="bottom"/>
        <w:rPr>
          <w:highlight w:val="none"/>
        </w:rPr>
      </w:pPr>
      <w:bookmarkStart w:id="19" w:name="_Toc23426577"/>
      <w:r>
        <w:rPr>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highlight w:val="none"/>
          <w:u w:val="single"/>
        </w:rPr>
        <w:t xml:space="preserve"> </w:t>
      </w:r>
      <w:r>
        <w:rPr>
          <w:rFonts w:hint="eastAsia"/>
          <w:highlight w:val="none"/>
          <w:u w:val="single"/>
          <w:lang w:eastAsia="zh-CN"/>
        </w:rPr>
        <w:t>重庆成渝垫丰武高速公路有限公司</w:t>
      </w:r>
      <w:r>
        <w:rPr>
          <w:highlight w:val="none"/>
          <w:u w:val="single"/>
        </w:rPr>
        <w:t xml:space="preserve"> </w:t>
      </w:r>
      <w:r>
        <w:rPr>
          <w:highlight w:val="none"/>
        </w:rPr>
        <w:t>(</w:t>
      </w:r>
      <w:r>
        <w:rPr>
          <w:rFonts w:hint="eastAsia"/>
          <w:highlight w:val="none"/>
        </w:rPr>
        <w:t>委托人</w:t>
      </w:r>
      <w:r>
        <w:rPr>
          <w:highlight w:val="none"/>
        </w:rPr>
        <w:t>名称，以下简称“</w:t>
      </w:r>
      <w:r>
        <w:rPr>
          <w:rFonts w:hint="eastAsia"/>
          <w:highlight w:val="none"/>
          <w:lang w:eastAsia="zh-CN"/>
        </w:rPr>
        <w:t>成渝垫丰武公司</w:t>
      </w:r>
      <w:r>
        <w:rPr>
          <w:highlight w:val="none"/>
        </w:rPr>
        <w:t>”)与该项目的</w:t>
      </w:r>
      <w:r>
        <w:rPr>
          <w:rFonts w:hint="eastAsia"/>
          <w:highlight w:val="none"/>
        </w:rPr>
        <w:t>服务方</w:t>
      </w:r>
      <w:r>
        <w:rPr>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highlight w:val="none"/>
          <w:u w:val="single"/>
        </w:rPr>
        <w:t>(</w:t>
      </w:r>
      <w:r>
        <w:rPr>
          <w:rFonts w:hint="eastAsia"/>
          <w:highlight w:val="none"/>
        </w:rPr>
        <w:t>服务方</w:t>
      </w:r>
      <w:r>
        <w:rPr>
          <w:highlight w:val="none"/>
        </w:rPr>
        <w:t>名称，以下简称“咨询单位”)，特订立如下合同。</w:t>
      </w:r>
    </w:p>
    <w:p>
      <w:pPr>
        <w:autoSpaceDE w:val="0"/>
        <w:autoSpaceDN w:val="0"/>
        <w:spacing w:line="400" w:lineRule="exact"/>
        <w:ind w:firstLine="482"/>
        <w:textAlignment w:val="bottom"/>
        <w:rPr>
          <w:highlight w:val="none"/>
        </w:rPr>
      </w:pPr>
      <w:r>
        <w:rPr>
          <w:highlight w:val="none"/>
        </w:rPr>
        <w:t>第一条  双方的权利和义务</w:t>
      </w:r>
    </w:p>
    <w:p>
      <w:pPr>
        <w:autoSpaceDE w:val="0"/>
        <w:autoSpaceDN w:val="0"/>
        <w:spacing w:line="400" w:lineRule="exact"/>
        <w:ind w:firstLine="482"/>
        <w:textAlignment w:val="bottom"/>
        <w:rPr>
          <w:highlight w:val="none"/>
        </w:rPr>
      </w:pPr>
      <w:r>
        <w:rPr>
          <w:highlight w:val="none"/>
        </w:rPr>
        <w:t>(一) 严格遵守党的政策规定和国家有关法律、法规及交通运输部的有关规定。</w:t>
      </w:r>
    </w:p>
    <w:p>
      <w:pPr>
        <w:autoSpaceDE w:val="0"/>
        <w:autoSpaceDN w:val="0"/>
        <w:spacing w:line="400" w:lineRule="exact"/>
        <w:ind w:firstLine="482"/>
        <w:textAlignment w:val="bottom"/>
        <w:rPr>
          <w:highlight w:val="none"/>
        </w:rPr>
      </w:pPr>
      <w:r>
        <w:rPr>
          <w:highlight w:val="none"/>
        </w:rPr>
        <w:t>(二) 严格执行</w:t>
      </w:r>
      <w:r>
        <w:rPr>
          <w:rFonts w:hint="eastAsia"/>
          <w:highlight w:val="none"/>
          <w:lang w:eastAsia="zh-CN"/>
        </w:rPr>
        <w:t>重庆成渝垫丰武高速公路有限公司造价咨询服务</w:t>
      </w:r>
      <w:r>
        <w:rPr>
          <w:rFonts w:hint="eastAsia"/>
          <w:highlight w:val="none"/>
        </w:rPr>
        <w:t>工作</w:t>
      </w:r>
      <w:r>
        <w:rPr>
          <w:highlight w:val="none"/>
        </w:rPr>
        <w:t>，自觉按合同办事。</w:t>
      </w:r>
    </w:p>
    <w:p>
      <w:pPr>
        <w:autoSpaceDE w:val="0"/>
        <w:autoSpaceDN w:val="0"/>
        <w:spacing w:line="400" w:lineRule="exact"/>
        <w:ind w:firstLine="482"/>
        <w:textAlignment w:val="bottom"/>
        <w:rPr>
          <w:highlight w:val="none"/>
        </w:rPr>
      </w:pPr>
      <w:r>
        <w:rPr>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400" w:lineRule="exact"/>
        <w:ind w:firstLine="482"/>
        <w:textAlignment w:val="bottom"/>
        <w:rPr>
          <w:highlight w:val="none"/>
        </w:rPr>
      </w:pPr>
      <w:r>
        <w:rPr>
          <w:highlight w:val="none"/>
        </w:rPr>
        <w:t>(四) 建立健全廉政制度，开展廉政教育，设立廉政告示牌，公布举报电话，监督并认真查处违法违纪行为。</w:t>
      </w:r>
    </w:p>
    <w:p>
      <w:pPr>
        <w:autoSpaceDE w:val="0"/>
        <w:autoSpaceDN w:val="0"/>
        <w:spacing w:line="400" w:lineRule="exact"/>
        <w:ind w:firstLine="482"/>
        <w:textAlignment w:val="bottom"/>
        <w:rPr>
          <w:highlight w:val="none"/>
        </w:rPr>
      </w:pPr>
      <w:r>
        <w:rPr>
          <w:highlight w:val="none"/>
        </w:rPr>
        <w:t>(五) 发现对方在业务活动中有违反廉政规定的行为，有及时提醒对方纠正的权利和义务。</w:t>
      </w:r>
    </w:p>
    <w:p>
      <w:pPr>
        <w:autoSpaceDE w:val="0"/>
        <w:autoSpaceDN w:val="0"/>
        <w:spacing w:line="400" w:lineRule="exact"/>
        <w:ind w:firstLine="482"/>
        <w:textAlignment w:val="bottom"/>
        <w:rPr>
          <w:highlight w:val="none"/>
        </w:rPr>
      </w:pPr>
      <w:r>
        <w:rPr>
          <w:highlight w:val="none"/>
        </w:rPr>
        <w:t>(六) 发现对方严重违反本合同义务条款的行为，有向其上级有关部门举报、建议给予处理并要求告知处理结果的权利。</w:t>
      </w:r>
    </w:p>
    <w:p>
      <w:pPr>
        <w:autoSpaceDE w:val="0"/>
        <w:autoSpaceDN w:val="0"/>
        <w:spacing w:line="400" w:lineRule="exact"/>
        <w:ind w:firstLine="482"/>
        <w:textAlignment w:val="bottom"/>
        <w:rPr>
          <w:highlight w:val="none"/>
        </w:rPr>
      </w:pPr>
      <w:r>
        <w:rPr>
          <w:highlight w:val="none"/>
        </w:rPr>
        <w:t xml:space="preserve">第二条  </w:t>
      </w:r>
      <w:r>
        <w:rPr>
          <w:rFonts w:hint="eastAsia"/>
          <w:highlight w:val="none"/>
          <w:lang w:eastAsia="zh-CN"/>
        </w:rPr>
        <w:t>成渝垫丰武公司</w:t>
      </w:r>
      <w:r>
        <w:rPr>
          <w:highlight w:val="none"/>
        </w:rPr>
        <w:t>的义务</w:t>
      </w:r>
    </w:p>
    <w:p>
      <w:pPr>
        <w:autoSpaceDE w:val="0"/>
        <w:autoSpaceDN w:val="0"/>
        <w:spacing w:line="400" w:lineRule="exact"/>
        <w:ind w:firstLine="482"/>
        <w:textAlignment w:val="bottom"/>
        <w:rPr>
          <w:highlight w:val="none"/>
        </w:rPr>
      </w:pPr>
      <w:r>
        <w:rPr>
          <w:highlight w:val="none"/>
        </w:rPr>
        <w:t xml:space="preserve">(一) </w:t>
      </w:r>
      <w:r>
        <w:rPr>
          <w:rFonts w:hint="eastAsia"/>
          <w:highlight w:val="none"/>
          <w:lang w:eastAsia="zh-CN"/>
        </w:rPr>
        <w:t>成渝垫丰武公司</w:t>
      </w:r>
      <w:r>
        <w:rPr>
          <w:highlight w:val="none"/>
        </w:rPr>
        <w:t>及其工作人员不得索要或接受咨询单位的礼金、有价证券和贵重物品，不得在咨询单位报销任何应由</w:t>
      </w:r>
      <w:r>
        <w:rPr>
          <w:rFonts w:hint="eastAsia"/>
          <w:highlight w:val="none"/>
          <w:lang w:eastAsia="zh-CN"/>
        </w:rPr>
        <w:t>成渝垫丰武公司</w:t>
      </w:r>
      <w:r>
        <w:rPr>
          <w:highlight w:val="none"/>
        </w:rPr>
        <w:t>或</w:t>
      </w:r>
      <w:r>
        <w:rPr>
          <w:rFonts w:hint="eastAsia"/>
          <w:highlight w:val="none"/>
          <w:lang w:eastAsia="zh-CN"/>
        </w:rPr>
        <w:t>成渝垫丰武公司</w:t>
      </w:r>
      <w:r>
        <w:rPr>
          <w:highlight w:val="none"/>
        </w:rPr>
        <w:t>工作人员个人支付的费用等。</w:t>
      </w:r>
    </w:p>
    <w:p>
      <w:pPr>
        <w:autoSpaceDE w:val="0"/>
        <w:autoSpaceDN w:val="0"/>
        <w:spacing w:line="400" w:lineRule="exact"/>
        <w:ind w:firstLine="482"/>
        <w:textAlignment w:val="bottom"/>
        <w:rPr>
          <w:highlight w:val="none"/>
        </w:rPr>
      </w:pPr>
      <w:r>
        <w:rPr>
          <w:highlight w:val="none"/>
        </w:rPr>
        <w:t xml:space="preserve">(二) </w:t>
      </w:r>
      <w:r>
        <w:rPr>
          <w:rFonts w:hint="eastAsia"/>
          <w:highlight w:val="none"/>
          <w:lang w:eastAsia="zh-CN"/>
        </w:rPr>
        <w:t>成渝垫丰武公司</w:t>
      </w:r>
      <w:r>
        <w:rPr>
          <w:highlight w:val="none"/>
        </w:rPr>
        <w:t>工作人员不得参加咨询单位安排的超标准宴请和娱乐活动；不得接受咨询单位提供的通信工具、交通工具和高档办公用品等。</w:t>
      </w:r>
    </w:p>
    <w:p>
      <w:pPr>
        <w:autoSpaceDE w:val="0"/>
        <w:autoSpaceDN w:val="0"/>
        <w:spacing w:line="400" w:lineRule="exact"/>
        <w:ind w:firstLine="482"/>
        <w:textAlignment w:val="bottom"/>
        <w:rPr>
          <w:highlight w:val="none"/>
        </w:rPr>
      </w:pPr>
      <w:r>
        <w:rPr>
          <w:highlight w:val="none"/>
        </w:rPr>
        <w:t xml:space="preserve">(三) </w:t>
      </w:r>
      <w:r>
        <w:rPr>
          <w:rFonts w:hint="eastAsia"/>
          <w:highlight w:val="none"/>
          <w:lang w:eastAsia="zh-CN"/>
        </w:rPr>
        <w:t>成渝垫丰武公司</w:t>
      </w:r>
      <w:r>
        <w:rPr>
          <w:highlight w:val="none"/>
        </w:rPr>
        <w:t>及其工作人员不得要求或者接受咨询单位为其住房装修、婚丧嫁娶活动、配偶子女及其亲属的工作安排以及出国出境、旅游等提供方便。</w:t>
      </w:r>
    </w:p>
    <w:p>
      <w:pPr>
        <w:autoSpaceDE w:val="0"/>
        <w:autoSpaceDN w:val="0"/>
        <w:spacing w:line="400" w:lineRule="exact"/>
        <w:ind w:firstLine="482"/>
        <w:textAlignment w:val="bottom"/>
        <w:rPr>
          <w:highlight w:val="none"/>
        </w:rPr>
      </w:pPr>
      <w:r>
        <w:rPr>
          <w:highlight w:val="none"/>
        </w:rPr>
        <w:t xml:space="preserve">(四) </w:t>
      </w:r>
      <w:r>
        <w:rPr>
          <w:rFonts w:hint="eastAsia"/>
          <w:highlight w:val="none"/>
          <w:lang w:eastAsia="zh-CN"/>
        </w:rPr>
        <w:t>成渝垫丰武公司</w:t>
      </w:r>
      <w:r>
        <w:rPr>
          <w:highlight w:val="none"/>
        </w:rPr>
        <w:t>工作人员及其配偶、子女、亲属不得从事与本</w:t>
      </w:r>
      <w:r>
        <w:rPr>
          <w:rFonts w:hint="eastAsia"/>
          <w:highlight w:val="none"/>
        </w:rPr>
        <w:t>服务</w:t>
      </w:r>
      <w:r>
        <w:rPr>
          <w:highlight w:val="none"/>
        </w:rPr>
        <w:t>合同有关的业务等活动。不得以任何理由要求咨询单位和相关单位在</w:t>
      </w:r>
      <w:r>
        <w:rPr>
          <w:rFonts w:hint="eastAsia"/>
          <w:highlight w:val="none"/>
        </w:rPr>
        <w:t>服务</w:t>
      </w:r>
      <w:r>
        <w:rPr>
          <w:highlight w:val="none"/>
        </w:rPr>
        <w:t>中使用某种产品、材料和设备。</w:t>
      </w:r>
    </w:p>
    <w:p>
      <w:pPr>
        <w:autoSpaceDE w:val="0"/>
        <w:autoSpaceDN w:val="0"/>
        <w:spacing w:line="400" w:lineRule="exact"/>
        <w:ind w:firstLine="482"/>
        <w:textAlignment w:val="bottom"/>
        <w:rPr>
          <w:highlight w:val="none"/>
        </w:rPr>
      </w:pPr>
      <w:r>
        <w:rPr>
          <w:highlight w:val="none"/>
        </w:rPr>
        <w:t>第三条  咨询单位的义务</w:t>
      </w:r>
    </w:p>
    <w:p>
      <w:pPr>
        <w:autoSpaceDE w:val="0"/>
        <w:autoSpaceDN w:val="0"/>
        <w:spacing w:line="400" w:lineRule="exact"/>
        <w:ind w:firstLine="482"/>
        <w:textAlignment w:val="bottom"/>
        <w:rPr>
          <w:highlight w:val="none"/>
        </w:rPr>
      </w:pPr>
      <w:r>
        <w:rPr>
          <w:highlight w:val="none"/>
        </w:rPr>
        <w:t>(一) 咨询单位不得以任何理由向</w:t>
      </w:r>
      <w:r>
        <w:rPr>
          <w:rFonts w:hint="eastAsia"/>
          <w:highlight w:val="none"/>
          <w:lang w:eastAsia="zh-CN"/>
        </w:rPr>
        <w:t>成渝垫丰武公司</w:t>
      </w:r>
      <w:r>
        <w:rPr>
          <w:highlight w:val="none"/>
        </w:rPr>
        <w:t>及其工作人员行贿或馈赠礼金、有价证券、贵重礼品。</w:t>
      </w:r>
    </w:p>
    <w:p>
      <w:pPr>
        <w:autoSpaceDE w:val="0"/>
        <w:autoSpaceDN w:val="0"/>
        <w:spacing w:line="400" w:lineRule="exact"/>
        <w:ind w:firstLine="482"/>
        <w:textAlignment w:val="bottom"/>
        <w:rPr>
          <w:highlight w:val="none"/>
        </w:rPr>
      </w:pPr>
      <w:r>
        <w:rPr>
          <w:highlight w:val="none"/>
        </w:rPr>
        <w:t>(二) 咨询单位不得以任何名义为</w:t>
      </w:r>
      <w:r>
        <w:rPr>
          <w:rFonts w:hint="eastAsia"/>
          <w:highlight w:val="none"/>
          <w:lang w:eastAsia="zh-CN"/>
        </w:rPr>
        <w:t>成渝垫丰武公司</w:t>
      </w:r>
      <w:r>
        <w:rPr>
          <w:highlight w:val="none"/>
        </w:rPr>
        <w:t>及其工作人员报销应由</w:t>
      </w:r>
      <w:r>
        <w:rPr>
          <w:rFonts w:hint="eastAsia"/>
          <w:highlight w:val="none"/>
          <w:lang w:eastAsia="zh-CN"/>
        </w:rPr>
        <w:t>成渝垫丰武公司</w:t>
      </w:r>
      <w:r>
        <w:rPr>
          <w:highlight w:val="none"/>
        </w:rPr>
        <w:t>单位或个人支付的任何费用。</w:t>
      </w:r>
    </w:p>
    <w:p>
      <w:pPr>
        <w:autoSpaceDE w:val="0"/>
        <w:autoSpaceDN w:val="0"/>
        <w:spacing w:line="400" w:lineRule="exact"/>
        <w:ind w:firstLine="482"/>
        <w:textAlignment w:val="bottom"/>
        <w:rPr>
          <w:highlight w:val="none"/>
        </w:rPr>
      </w:pPr>
      <w:r>
        <w:rPr>
          <w:highlight w:val="none"/>
        </w:rPr>
        <w:t>(三) 咨询单位不得以任何理由安排</w:t>
      </w:r>
      <w:r>
        <w:rPr>
          <w:rFonts w:hint="eastAsia"/>
          <w:highlight w:val="none"/>
          <w:lang w:eastAsia="zh-CN"/>
        </w:rPr>
        <w:t>成渝垫丰武公司</w:t>
      </w:r>
      <w:r>
        <w:rPr>
          <w:highlight w:val="none"/>
        </w:rPr>
        <w:t>工作人员参加超标准宴请和娱乐活动。</w:t>
      </w:r>
    </w:p>
    <w:p>
      <w:pPr>
        <w:autoSpaceDE w:val="0"/>
        <w:autoSpaceDN w:val="0"/>
        <w:spacing w:line="400" w:lineRule="exact"/>
        <w:ind w:firstLine="482"/>
        <w:textAlignment w:val="bottom"/>
        <w:rPr>
          <w:highlight w:val="none"/>
        </w:rPr>
      </w:pPr>
      <w:r>
        <w:rPr>
          <w:highlight w:val="none"/>
        </w:rPr>
        <w:t>(四) 咨询单位不得为</w:t>
      </w:r>
      <w:r>
        <w:rPr>
          <w:rFonts w:hint="eastAsia"/>
          <w:highlight w:val="none"/>
          <w:lang w:eastAsia="zh-CN"/>
        </w:rPr>
        <w:t>成渝垫丰武公司</w:t>
      </w:r>
      <w:r>
        <w:rPr>
          <w:highlight w:val="none"/>
        </w:rPr>
        <w:t>单位和个人购置或提供通信工具、交通工具和高档办公用品等。</w:t>
      </w:r>
    </w:p>
    <w:p>
      <w:pPr>
        <w:autoSpaceDE w:val="0"/>
        <w:autoSpaceDN w:val="0"/>
        <w:spacing w:line="400" w:lineRule="exact"/>
        <w:ind w:firstLine="482"/>
        <w:textAlignment w:val="bottom"/>
        <w:rPr>
          <w:highlight w:val="none"/>
        </w:rPr>
      </w:pPr>
      <w:r>
        <w:rPr>
          <w:highlight w:val="none"/>
        </w:rPr>
        <w:t>第四条  违约责任</w:t>
      </w:r>
    </w:p>
    <w:p>
      <w:pPr>
        <w:autoSpaceDE w:val="0"/>
        <w:autoSpaceDN w:val="0"/>
        <w:spacing w:line="400" w:lineRule="exact"/>
        <w:ind w:firstLine="482"/>
        <w:textAlignment w:val="bottom"/>
        <w:rPr>
          <w:highlight w:val="none"/>
        </w:rPr>
      </w:pPr>
      <w:r>
        <w:rPr>
          <w:highlight w:val="none"/>
        </w:rPr>
        <w:t xml:space="preserve">(一) </w:t>
      </w:r>
      <w:r>
        <w:rPr>
          <w:rFonts w:hint="eastAsia"/>
          <w:highlight w:val="none"/>
          <w:lang w:eastAsia="zh-CN"/>
        </w:rPr>
        <w:t>成渝垫丰武公司</w:t>
      </w:r>
      <w:r>
        <w:rPr>
          <w:highlight w:val="none"/>
        </w:rPr>
        <w:t>及其工作人员违反本合同第一、二条，按管理权限，依据有关规定给予党纪、政纪或组织处理；涉嫌犯罪的，移交司法机关追究刑事责任；给咨询单位单位造成经济损失的，应予以赔偿。</w:t>
      </w:r>
    </w:p>
    <w:p>
      <w:pPr>
        <w:autoSpaceDE w:val="0"/>
        <w:autoSpaceDN w:val="0"/>
        <w:spacing w:line="400" w:lineRule="exact"/>
        <w:ind w:firstLine="482"/>
        <w:textAlignment w:val="bottom"/>
        <w:rPr>
          <w:highlight w:val="none"/>
        </w:rPr>
      </w:pPr>
      <w:r>
        <w:rPr>
          <w:highlight w:val="none"/>
        </w:rPr>
        <w:t>(二) 咨询单位及其工作人员违反本合同第一、三条，按管理权限，依据有关规定给予党纪、政纪或组织处理；给</w:t>
      </w:r>
      <w:r>
        <w:rPr>
          <w:rFonts w:hint="eastAsia"/>
          <w:highlight w:val="none"/>
          <w:lang w:eastAsia="zh-CN"/>
        </w:rPr>
        <w:t>成渝垫丰武公司</w:t>
      </w:r>
      <w:r>
        <w:rPr>
          <w:highlight w:val="none"/>
        </w:rPr>
        <w:t>单位造成经济损失的，应予以赔偿；情节严重的，</w:t>
      </w:r>
      <w:r>
        <w:rPr>
          <w:rFonts w:hint="eastAsia"/>
          <w:highlight w:val="none"/>
          <w:lang w:eastAsia="zh-CN"/>
        </w:rPr>
        <w:t>成渝垫丰武公司</w:t>
      </w:r>
      <w:r>
        <w:rPr>
          <w:highlight w:val="none"/>
        </w:rPr>
        <w:t>建议交通运输主管部门给予咨询单位一至三年内不得进入其主管的公路建设市场的处罚。</w:t>
      </w:r>
    </w:p>
    <w:p>
      <w:pPr>
        <w:autoSpaceDE w:val="0"/>
        <w:autoSpaceDN w:val="0"/>
        <w:spacing w:line="400" w:lineRule="exact"/>
        <w:ind w:firstLine="482"/>
        <w:textAlignment w:val="bottom"/>
        <w:rPr>
          <w:highlight w:val="none"/>
        </w:rPr>
      </w:pPr>
      <w:r>
        <w:rPr>
          <w:highlight w:val="none"/>
        </w:rPr>
        <w:t>第五条  双方约定：本合同由双方或双方上级单位的纪检监察部门负责监督执行。由</w:t>
      </w:r>
      <w:r>
        <w:rPr>
          <w:rFonts w:hint="eastAsia"/>
          <w:highlight w:val="none"/>
          <w:lang w:eastAsia="zh-CN"/>
        </w:rPr>
        <w:t>成渝垫丰武公司</w:t>
      </w:r>
      <w:r>
        <w:rPr>
          <w:highlight w:val="none"/>
        </w:rPr>
        <w:t>或</w:t>
      </w:r>
      <w:r>
        <w:rPr>
          <w:rFonts w:hint="eastAsia"/>
          <w:highlight w:val="none"/>
          <w:lang w:eastAsia="zh-CN"/>
        </w:rPr>
        <w:t>成渝垫丰武公司</w:t>
      </w:r>
      <w:r>
        <w:rPr>
          <w:highlight w:val="none"/>
        </w:rPr>
        <w:t>上级单位的纪检监察部门约请咨询单位或咨询单位上级单位纪检监察部门对本合同执行情况进行检查，提出在本合同规定范围内的裁定意见。</w:t>
      </w:r>
    </w:p>
    <w:p>
      <w:pPr>
        <w:autoSpaceDE w:val="0"/>
        <w:autoSpaceDN w:val="0"/>
        <w:spacing w:line="400" w:lineRule="exact"/>
        <w:ind w:firstLine="482"/>
        <w:textAlignment w:val="bottom"/>
        <w:rPr>
          <w:highlight w:val="none"/>
        </w:rPr>
      </w:pPr>
      <w:r>
        <w:rPr>
          <w:highlight w:val="none"/>
        </w:rPr>
        <w:t xml:space="preserve">第六条  </w:t>
      </w:r>
      <w:r>
        <w:rPr>
          <w:rFonts w:hint="eastAsia"/>
          <w:highlight w:val="none"/>
        </w:rPr>
        <w:t>自合同签订之日起至并取得水行政主管部门的行政许可文件为止。</w:t>
      </w:r>
      <w:r>
        <w:rPr>
          <w:highlight w:val="none"/>
        </w:rPr>
        <w:t>。</w:t>
      </w:r>
    </w:p>
    <w:p>
      <w:pPr>
        <w:autoSpaceDE w:val="0"/>
        <w:autoSpaceDN w:val="0"/>
        <w:spacing w:line="400" w:lineRule="exact"/>
        <w:ind w:firstLine="482"/>
        <w:textAlignment w:val="bottom"/>
        <w:rPr>
          <w:highlight w:val="none"/>
        </w:rPr>
      </w:pPr>
      <w:r>
        <w:rPr>
          <w:highlight w:val="none"/>
        </w:rPr>
        <w:t>第七条  本合同作为</w:t>
      </w:r>
      <w:r>
        <w:rPr>
          <w:rFonts w:hint="eastAsia"/>
          <w:highlight w:val="none"/>
          <w:lang w:val="en-US" w:eastAsia="zh-CN"/>
        </w:rPr>
        <w:t>重庆成渝垫丰武高速公路有限公司造价咨询服务合同协议书</w:t>
      </w:r>
      <w:r>
        <w:rPr>
          <w:highlight w:val="none"/>
        </w:rPr>
        <w:t>的附件，与</w:t>
      </w:r>
      <w:r>
        <w:rPr>
          <w:rFonts w:hint="eastAsia"/>
          <w:highlight w:val="none"/>
          <w:lang w:eastAsia="zh-CN"/>
        </w:rPr>
        <w:t>重庆成渝垫丰武高速公路有限公司造价咨询服务</w:t>
      </w:r>
      <w:r>
        <w:rPr>
          <w:highlight w:val="none"/>
        </w:rPr>
        <w:t>具有同等的法律效力，经合同双方签署后立即生效。</w:t>
      </w:r>
    </w:p>
    <w:p>
      <w:pPr>
        <w:spacing w:line="400" w:lineRule="exact"/>
        <w:ind w:firstLine="482"/>
        <w:rPr>
          <w:highlight w:val="none"/>
        </w:rPr>
      </w:pPr>
      <w:r>
        <w:rPr>
          <w:highlight w:val="none"/>
        </w:rPr>
        <w:t xml:space="preserve">第八条 </w:t>
      </w:r>
      <w:r>
        <w:rPr>
          <w:rFonts w:hint="eastAsia"/>
          <w:highlight w:val="none"/>
        </w:rPr>
        <w:t>本合同一式陆份，</w:t>
      </w:r>
      <w:r>
        <w:rPr>
          <w:rFonts w:hint="eastAsia"/>
          <w:highlight w:val="none"/>
          <w:lang w:eastAsia="zh-CN"/>
        </w:rPr>
        <w:t>成渝垫丰武公司</w:t>
      </w:r>
      <w:r>
        <w:rPr>
          <w:rFonts w:hint="eastAsia"/>
          <w:highlight w:val="none"/>
        </w:rPr>
        <w:t>执肆份，</w:t>
      </w:r>
      <w:r>
        <w:rPr>
          <w:highlight w:val="none"/>
        </w:rPr>
        <w:t>咨询单位</w:t>
      </w:r>
      <w:r>
        <w:rPr>
          <w:rFonts w:hint="eastAsia"/>
          <w:highlight w:val="none"/>
        </w:rPr>
        <w:t>执贰份</w:t>
      </w:r>
      <w:r>
        <w:rPr>
          <w:highlight w:val="none"/>
        </w:rPr>
        <w:t>。</w:t>
      </w:r>
    </w:p>
    <w:p>
      <w:pPr>
        <w:spacing w:line="400" w:lineRule="exact"/>
        <w:jc w:val="left"/>
        <w:rPr>
          <w:highlight w:val="none"/>
        </w:rPr>
      </w:pPr>
    </w:p>
    <w:p>
      <w:pPr>
        <w:spacing w:line="400" w:lineRule="exact"/>
        <w:rPr>
          <w:highlight w:val="none"/>
        </w:rPr>
      </w:pPr>
      <w:r>
        <w:rPr>
          <w:rFonts w:hint="eastAsia"/>
          <w:highlight w:val="none"/>
        </w:rPr>
        <w:t>（以下无正文）</w:t>
      </w:r>
    </w:p>
    <w:p>
      <w:pPr>
        <w:spacing w:line="400" w:lineRule="exact"/>
        <w:rPr>
          <w:highlight w:val="none"/>
        </w:rPr>
      </w:pPr>
    </w:p>
    <w:p>
      <w:pPr>
        <w:spacing w:line="400" w:lineRule="exact"/>
        <w:rPr>
          <w:highlight w:val="none"/>
        </w:rPr>
      </w:pPr>
      <w:r>
        <w:rPr>
          <w:highlight w:val="none"/>
        </w:rPr>
        <w:t>甲      方：</w:t>
      </w:r>
      <w:r>
        <w:rPr>
          <w:highlight w:val="none"/>
          <w:u w:val="single"/>
        </w:rPr>
        <w:t xml:space="preserve"> </w:t>
      </w:r>
      <w:r>
        <w:rPr>
          <w:rFonts w:hint="eastAsia"/>
          <w:highlight w:val="none"/>
          <w:u w:val="single"/>
          <w:lang w:eastAsia="zh-CN"/>
        </w:rPr>
        <w:t>重庆成渝垫丰武高速公路有限公司</w:t>
      </w:r>
      <w:r>
        <w:rPr>
          <w:highlight w:val="none"/>
          <w:u w:val="single"/>
        </w:rPr>
        <w:t xml:space="preserve"> </w:t>
      </w:r>
    </w:p>
    <w:p>
      <w:pPr>
        <w:spacing w:line="400" w:lineRule="exact"/>
        <w:rPr>
          <w:highlight w:val="none"/>
        </w:rPr>
      </w:pPr>
      <w:r>
        <w:rPr>
          <w:highlight w:val="none"/>
        </w:rPr>
        <w:t>法定代表人</w:t>
      </w:r>
    </w:p>
    <w:p>
      <w:pPr>
        <w:spacing w:line="400" w:lineRule="exact"/>
        <w:rPr>
          <w:highlight w:val="none"/>
        </w:rPr>
      </w:pPr>
      <w:r>
        <w:rPr>
          <w:rFonts w:hint="eastAsia"/>
          <w:highlight w:val="none"/>
        </w:rPr>
        <w:t>或其委托代理人</w:t>
      </w:r>
      <w:r>
        <w:rPr>
          <w:highlight w:val="none"/>
        </w:rPr>
        <w:t xml:space="preserve">： </w:t>
      </w:r>
      <w:r>
        <w:rPr>
          <w:highlight w:val="none"/>
          <w:u w:val="single"/>
        </w:rPr>
        <w:t xml:space="preserve">            </w:t>
      </w:r>
    </w:p>
    <w:p>
      <w:pPr>
        <w:spacing w:line="400" w:lineRule="exact"/>
        <w:rPr>
          <w:highlight w:val="none"/>
        </w:rPr>
      </w:pPr>
    </w:p>
    <w:p>
      <w:pPr>
        <w:spacing w:line="400" w:lineRule="exact"/>
        <w:rPr>
          <w:rFonts w:hint="default" w:eastAsia="宋体"/>
          <w:highlight w:val="none"/>
          <w:lang w:val="en-US" w:eastAsia="zh-CN"/>
        </w:rPr>
      </w:pPr>
      <w:r>
        <w:rPr>
          <w:highlight w:val="none"/>
        </w:rPr>
        <w:t>乙      方：</w:t>
      </w:r>
      <w:r>
        <w:rPr>
          <w:rFonts w:hint="eastAsia"/>
          <w:highlight w:val="none"/>
          <w:u w:val="single"/>
          <w:lang w:val="en-US" w:eastAsia="zh-CN"/>
        </w:rPr>
        <w:t xml:space="preserve">                                  </w:t>
      </w:r>
    </w:p>
    <w:p>
      <w:pPr>
        <w:spacing w:line="400" w:lineRule="exact"/>
        <w:rPr>
          <w:highlight w:val="none"/>
        </w:rPr>
      </w:pPr>
      <w:r>
        <w:rPr>
          <w:highlight w:val="none"/>
        </w:rPr>
        <w:t>法定代表人</w:t>
      </w:r>
    </w:p>
    <w:p>
      <w:pPr>
        <w:spacing w:line="400" w:lineRule="exact"/>
        <w:rPr>
          <w:highlight w:val="none"/>
        </w:rPr>
      </w:pPr>
      <w:r>
        <w:rPr>
          <w:rFonts w:hint="eastAsia"/>
          <w:highlight w:val="none"/>
        </w:rPr>
        <w:t>或其委托代理人</w:t>
      </w:r>
      <w:r>
        <w:rPr>
          <w:highlight w:val="none"/>
        </w:rPr>
        <w:t>：</w:t>
      </w:r>
      <w:r>
        <w:rPr>
          <w:highlight w:val="none"/>
          <w:u w:val="single"/>
        </w:rPr>
        <w:t xml:space="preserve">            </w:t>
      </w:r>
    </w:p>
    <w:p>
      <w:pPr>
        <w:spacing w:line="400" w:lineRule="exact"/>
        <w:rPr>
          <w:highlight w:val="none"/>
        </w:rPr>
      </w:pPr>
    </w:p>
    <w:p>
      <w:pPr>
        <w:autoSpaceDE w:val="0"/>
        <w:autoSpaceDN w:val="0"/>
        <w:spacing w:line="400" w:lineRule="exact"/>
        <w:jc w:val="right"/>
        <w:textAlignment w:val="bottom"/>
        <w:rPr>
          <w:b/>
          <w:spacing w:val="30"/>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pPr>
        <w:keepNext/>
        <w:keepLines/>
        <w:spacing w:line="400" w:lineRule="exact"/>
        <w:jc w:val="center"/>
        <w:outlineLvl w:val="0"/>
        <w:rPr>
          <w:b/>
          <w:bCs/>
          <w:kern w:val="44"/>
          <w:sz w:val="32"/>
          <w:szCs w:val="44"/>
          <w:highlight w:val="none"/>
        </w:rPr>
      </w:pPr>
      <w:r>
        <w:rPr>
          <w:b/>
          <w:bCs/>
          <w:kern w:val="44"/>
          <w:sz w:val="32"/>
          <w:szCs w:val="44"/>
          <w:highlight w:val="none"/>
        </w:rPr>
        <w:br w:type="page"/>
      </w:r>
    </w:p>
    <w:p>
      <w:pPr>
        <w:keepNext/>
        <w:keepLines/>
        <w:spacing w:line="440" w:lineRule="exact"/>
        <w:jc w:val="center"/>
        <w:outlineLvl w:val="0"/>
        <w:rPr>
          <w:b/>
          <w:bCs/>
          <w:kern w:val="44"/>
          <w:sz w:val="32"/>
          <w:szCs w:val="44"/>
          <w:highlight w:val="none"/>
        </w:rPr>
      </w:pPr>
      <w:bookmarkStart w:id="20" w:name="_Toc7202"/>
      <w:r>
        <w:rPr>
          <w:rFonts w:hint="eastAsia"/>
          <w:b/>
          <w:bCs/>
          <w:kern w:val="44"/>
          <w:sz w:val="32"/>
          <w:szCs w:val="44"/>
          <w:highlight w:val="none"/>
        </w:rPr>
        <w:t>安全生产合同</w:t>
      </w:r>
      <w:bookmarkEnd w:id="20"/>
    </w:p>
    <w:p>
      <w:pPr>
        <w:spacing w:line="440" w:lineRule="exact"/>
        <w:rPr>
          <w:rFonts w:cs="等线"/>
          <w:highlight w:val="none"/>
        </w:rPr>
      </w:pPr>
    </w:p>
    <w:p>
      <w:pPr>
        <w:spacing w:line="440" w:lineRule="exact"/>
        <w:rPr>
          <w:rFonts w:hint="eastAsia" w:eastAsia="宋体" w:cs="等线"/>
          <w:highlight w:val="none"/>
          <w:lang w:eastAsia="zh-CN"/>
        </w:rPr>
      </w:pPr>
      <w:r>
        <w:rPr>
          <w:rFonts w:hint="eastAsia" w:cs="等线"/>
          <w:highlight w:val="none"/>
          <w:lang w:val="en-US" w:eastAsia="zh-CN"/>
        </w:rPr>
        <w:t>甲方</w:t>
      </w:r>
      <w:r>
        <w:rPr>
          <w:rFonts w:hint="eastAsia" w:cs="等线"/>
          <w:highlight w:val="none"/>
        </w:rPr>
        <w:t>：</w:t>
      </w:r>
      <w:r>
        <w:rPr>
          <w:rFonts w:hint="eastAsia" w:cs="等线"/>
          <w:highlight w:val="none"/>
          <w:u w:val="single"/>
          <w:lang w:eastAsia="zh-CN"/>
        </w:rPr>
        <w:t>重庆成渝垫丰武高速公路有限公司</w:t>
      </w:r>
    </w:p>
    <w:p>
      <w:pPr>
        <w:spacing w:line="440" w:lineRule="exact"/>
        <w:rPr>
          <w:rFonts w:hint="default" w:eastAsia="宋体" w:cs="等线"/>
          <w:highlight w:val="none"/>
          <w:u w:val="single"/>
          <w:lang w:val="en-US" w:eastAsia="zh-CN"/>
        </w:rPr>
      </w:pPr>
      <w:r>
        <w:rPr>
          <w:rFonts w:hint="eastAsia" w:cs="等线"/>
          <w:highlight w:val="none"/>
          <w:lang w:val="en-US" w:eastAsia="zh-CN"/>
        </w:rPr>
        <w:t>乙方</w:t>
      </w:r>
      <w:r>
        <w:rPr>
          <w:rFonts w:hint="eastAsia" w:cs="等线"/>
          <w:highlight w:val="none"/>
        </w:rPr>
        <w:t>：</w:t>
      </w:r>
      <w:r>
        <w:rPr>
          <w:rFonts w:hint="eastAsia" w:cs="等线"/>
          <w:highlight w:val="none"/>
          <w:u w:val="single"/>
          <w:lang w:val="en-US" w:eastAsia="zh-CN"/>
        </w:rPr>
        <w:t xml:space="preserve">                          </w:t>
      </w:r>
    </w:p>
    <w:p>
      <w:pPr>
        <w:spacing w:line="440" w:lineRule="exact"/>
        <w:rPr>
          <w:highlight w:val="none"/>
        </w:rPr>
      </w:pPr>
    </w:p>
    <w:p>
      <w:pPr>
        <w:spacing w:line="440" w:lineRule="exact"/>
        <w:ind w:firstLine="480"/>
        <w:rPr>
          <w:rFonts w:cs="等线"/>
          <w:highlight w:val="none"/>
        </w:rPr>
      </w:pPr>
      <w:r>
        <w:rPr>
          <w:rFonts w:hint="eastAsia" w:cs="等线"/>
          <w:highlight w:val="none"/>
        </w:rPr>
        <w:t>为了贯彻“安全第一、预防为主”的方针，根据《重庆市招标承包工程安全管理暂行规定》、《民法典》和国家有关规定，为明确《</w:t>
      </w:r>
      <w:r>
        <w:rPr>
          <w:rFonts w:hint="eastAsia"/>
          <w:b/>
          <w:highlight w:val="none"/>
          <w:u w:val="single"/>
          <w:lang w:eastAsia="zh-CN"/>
        </w:rPr>
        <w:t>重庆成渝垫丰武高速公路有限公司造价咨询服务</w:t>
      </w:r>
      <w:r>
        <w:rPr>
          <w:rFonts w:cs="等线"/>
          <w:highlight w:val="none"/>
        </w:rPr>
        <w:t>》中双方的安全生产责任，确保施工(服务）安全。双方签定协议如下：</w:t>
      </w:r>
    </w:p>
    <w:p>
      <w:pPr>
        <w:spacing w:line="440" w:lineRule="exact"/>
        <w:rPr>
          <w:rFonts w:cs="等线"/>
          <w:b/>
          <w:bCs/>
          <w:highlight w:val="none"/>
        </w:rPr>
      </w:pPr>
      <w:r>
        <w:rPr>
          <w:rFonts w:hint="eastAsia" w:cs="等线"/>
          <w:b/>
          <w:bCs/>
          <w:highlight w:val="none"/>
        </w:rPr>
        <w:t>一、</w:t>
      </w:r>
      <w:r>
        <w:rPr>
          <w:rFonts w:hint="eastAsia" w:cs="等线"/>
          <w:b/>
          <w:bCs/>
          <w:highlight w:val="none"/>
          <w:lang w:eastAsia="zh-CN"/>
        </w:rPr>
        <w:t>成渝垫丰武公司</w:t>
      </w:r>
      <w:r>
        <w:rPr>
          <w:rFonts w:hint="eastAsia" w:cs="等线"/>
          <w:b/>
          <w:bCs/>
          <w:highlight w:val="none"/>
        </w:rPr>
        <w:t>职责</w:t>
      </w:r>
    </w:p>
    <w:p>
      <w:pPr>
        <w:spacing w:line="440" w:lineRule="exact"/>
        <w:ind w:firstLine="480"/>
        <w:rPr>
          <w:rFonts w:cs="等线"/>
          <w:highlight w:val="none"/>
        </w:rPr>
      </w:pPr>
      <w:r>
        <w:rPr>
          <w:rFonts w:cs="等线"/>
          <w:highlight w:val="none"/>
        </w:rPr>
        <w:t>1、严格遵守国家有关安全生产的法律法规，认真执行</w:t>
      </w:r>
      <w:r>
        <w:rPr>
          <w:rFonts w:hint="eastAsia" w:cs="等线"/>
          <w:highlight w:val="none"/>
        </w:rPr>
        <w:t>咨询</w:t>
      </w:r>
      <w:r>
        <w:rPr>
          <w:rFonts w:cs="等线"/>
          <w:highlight w:val="none"/>
        </w:rPr>
        <w:t>服务合同中的有关安全要求。</w:t>
      </w:r>
    </w:p>
    <w:p>
      <w:pPr>
        <w:spacing w:line="440" w:lineRule="exact"/>
        <w:ind w:firstLine="480"/>
        <w:rPr>
          <w:rFonts w:cs="等线"/>
          <w:highlight w:val="none"/>
        </w:rPr>
      </w:pPr>
      <w:r>
        <w:rPr>
          <w:rFonts w:cs="等线"/>
          <w:highlight w:val="none"/>
        </w:rPr>
        <w:t>2、按照“安全第一、预防为主”和坚持“管生产必须管安全”的原则进行安全生产管理，做到生产与安全工作同时检查及监管。</w:t>
      </w:r>
    </w:p>
    <w:p>
      <w:pPr>
        <w:spacing w:line="440" w:lineRule="exact"/>
        <w:ind w:firstLine="480"/>
        <w:rPr>
          <w:rFonts w:cs="等线"/>
          <w:highlight w:val="none"/>
        </w:rPr>
      </w:pPr>
      <w:r>
        <w:rPr>
          <w:rFonts w:cs="等线"/>
          <w:highlight w:val="none"/>
        </w:rPr>
        <w:t>3、重要的安全设施必须坚持与主体工程“三同时”的原则，即：同时设计、审批，同时施工，同时投入生产和使用。</w:t>
      </w:r>
    </w:p>
    <w:p>
      <w:pPr>
        <w:spacing w:line="440" w:lineRule="exact"/>
        <w:rPr>
          <w:rFonts w:cs="等线"/>
          <w:b/>
          <w:bCs/>
          <w:highlight w:val="none"/>
        </w:rPr>
      </w:pPr>
      <w:r>
        <w:rPr>
          <w:rFonts w:hint="eastAsia" w:cs="等线"/>
          <w:b/>
          <w:bCs/>
          <w:highlight w:val="none"/>
        </w:rPr>
        <w:t>二、</w:t>
      </w:r>
      <w:r>
        <w:rPr>
          <w:rFonts w:cs="等线"/>
          <w:b/>
          <w:bCs/>
          <w:highlight w:val="none"/>
        </w:rPr>
        <w:t>咨询单位</w:t>
      </w:r>
      <w:r>
        <w:rPr>
          <w:rFonts w:hint="eastAsia" w:cs="等线"/>
          <w:b/>
          <w:bCs/>
          <w:highlight w:val="none"/>
        </w:rPr>
        <w:t>职责</w:t>
      </w:r>
    </w:p>
    <w:p>
      <w:pPr>
        <w:spacing w:line="440" w:lineRule="exact"/>
        <w:ind w:firstLine="480"/>
        <w:rPr>
          <w:rFonts w:cs="等线"/>
          <w:highlight w:val="none"/>
        </w:rPr>
      </w:pPr>
      <w:r>
        <w:rPr>
          <w:rFonts w:cs="等线"/>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cs="等线"/>
          <w:highlight w:val="none"/>
        </w:rPr>
        <w:t>咨询</w:t>
      </w:r>
      <w:r>
        <w:rPr>
          <w:rFonts w:cs="等线"/>
          <w:highlight w:val="none"/>
        </w:rPr>
        <w:t>服务合同中的有关安全要求。</w:t>
      </w:r>
    </w:p>
    <w:p>
      <w:pPr>
        <w:spacing w:line="440" w:lineRule="exact"/>
        <w:ind w:firstLine="480"/>
        <w:rPr>
          <w:rFonts w:cs="等线"/>
          <w:highlight w:val="none"/>
        </w:rPr>
      </w:pPr>
      <w:r>
        <w:rPr>
          <w:rFonts w:cs="等线"/>
          <w:highlight w:val="none"/>
        </w:rPr>
        <w:t>2、坚持“安全第一、预防为主、综合治理”和“党政同责”、“一岗双责”、“管生产必须管安全”的原则，</w:t>
      </w:r>
      <w:r>
        <w:rPr>
          <w:highlight w:val="none"/>
        </w:rPr>
        <w:t>加</w:t>
      </w:r>
      <w:r>
        <w:rPr>
          <w:rFonts w:hint="eastAsia" w:cs="等线"/>
          <w:highlight w:val="none"/>
        </w:rPr>
        <w:t>强安全生产宣传教育，增强全员安全生产意识，有组织有领导地开展安全生产活动。</w:t>
      </w:r>
    </w:p>
    <w:p>
      <w:pPr>
        <w:spacing w:line="440" w:lineRule="exact"/>
        <w:ind w:firstLine="480"/>
        <w:rPr>
          <w:rFonts w:cs="等线"/>
          <w:highlight w:val="none"/>
        </w:rPr>
      </w:pPr>
      <w:r>
        <w:rPr>
          <w:rFonts w:hint="eastAsia" w:cs="等线"/>
          <w:highlight w:val="none"/>
        </w:rPr>
        <w:t>3</w:t>
      </w:r>
      <w:r>
        <w:rPr>
          <w:rFonts w:cs="等线"/>
          <w:highlight w:val="none"/>
        </w:rPr>
        <w:t>、必须按照</w:t>
      </w:r>
      <w:r>
        <w:rPr>
          <w:rFonts w:hint="eastAsia" w:cs="等线"/>
          <w:highlight w:val="none"/>
          <w:lang w:eastAsia="zh-CN"/>
        </w:rPr>
        <w:t>成渝垫丰武公司</w:t>
      </w:r>
      <w:r>
        <w:rPr>
          <w:rFonts w:cs="等线"/>
          <w:highlight w:val="none"/>
        </w:rPr>
        <w:t>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440" w:lineRule="exact"/>
        <w:ind w:firstLine="480"/>
        <w:rPr>
          <w:rFonts w:cs="等线"/>
          <w:highlight w:val="none"/>
        </w:rPr>
      </w:pPr>
      <w:r>
        <w:rPr>
          <w:rFonts w:hint="eastAsia" w:cs="等线"/>
          <w:highlight w:val="none"/>
        </w:rPr>
        <w:t>4</w:t>
      </w:r>
      <w:r>
        <w:rPr>
          <w:rFonts w:cs="等线"/>
          <w:highlight w:val="none"/>
        </w:rPr>
        <w:t>、建立健全安全生产责任制。从本单位派驻的负责人到一般管理人员的安全生产管理系统必须做到纵向到底，一环不漏。</w:t>
      </w:r>
    </w:p>
    <w:p>
      <w:pPr>
        <w:spacing w:line="440" w:lineRule="exact"/>
        <w:ind w:firstLine="480"/>
        <w:rPr>
          <w:rFonts w:cs="等线"/>
          <w:highlight w:val="none"/>
        </w:rPr>
      </w:pPr>
      <w:r>
        <w:rPr>
          <w:rFonts w:hint="eastAsia" w:cs="等线"/>
          <w:highlight w:val="none"/>
        </w:rPr>
        <w:t>5</w:t>
      </w:r>
      <w:r>
        <w:rPr>
          <w:rFonts w:cs="等线"/>
          <w:highlight w:val="none"/>
        </w:rPr>
        <w:t>、咨询单位在任何时候都应采取各种合理的预防措施，防止其员工发生任何违法、违禁、暴力或妨碍治安的行为。</w:t>
      </w:r>
    </w:p>
    <w:p>
      <w:pPr>
        <w:spacing w:line="440" w:lineRule="exact"/>
        <w:ind w:firstLine="480"/>
        <w:rPr>
          <w:rFonts w:cs="等线"/>
          <w:highlight w:val="none"/>
        </w:rPr>
      </w:pPr>
      <w:r>
        <w:rPr>
          <w:rFonts w:hint="eastAsia" w:cs="等线"/>
          <w:highlight w:val="none"/>
        </w:rPr>
        <w:t>6</w:t>
      </w:r>
      <w:r>
        <w:rPr>
          <w:rFonts w:cs="等线"/>
          <w:highlight w:val="none"/>
        </w:rPr>
        <w:t>、负责为所有咨询单位工作人员办理医疗及工伤社会保险，并对现场</w:t>
      </w:r>
      <w:r>
        <w:rPr>
          <w:rFonts w:hint="eastAsia" w:cs="等线"/>
          <w:highlight w:val="none"/>
        </w:rPr>
        <w:t>咨询</w:t>
      </w:r>
      <w:r>
        <w:rPr>
          <w:rFonts w:cs="等线"/>
          <w:highlight w:val="none"/>
        </w:rPr>
        <w:t>服务人员购买必要的人身意外伤害保险，在</w:t>
      </w:r>
      <w:r>
        <w:rPr>
          <w:rFonts w:hint="eastAsia" w:cs="等线"/>
          <w:highlight w:val="none"/>
        </w:rPr>
        <w:t>咨询</w:t>
      </w:r>
      <w:r>
        <w:rPr>
          <w:rFonts w:cs="等线"/>
          <w:highlight w:val="none"/>
        </w:rPr>
        <w:t>服务过程中如发生人身伤亡事故，咨询单位承担全部责任；</w:t>
      </w:r>
    </w:p>
    <w:p>
      <w:pPr>
        <w:spacing w:line="440" w:lineRule="exact"/>
        <w:rPr>
          <w:rFonts w:cs="等线"/>
          <w:b/>
          <w:bCs/>
          <w:highlight w:val="none"/>
        </w:rPr>
      </w:pPr>
      <w:r>
        <w:rPr>
          <w:rFonts w:hint="eastAsia" w:cs="等线"/>
          <w:b/>
          <w:bCs/>
          <w:highlight w:val="none"/>
        </w:rPr>
        <w:t>三、违约责任及处罚条例</w:t>
      </w:r>
    </w:p>
    <w:p>
      <w:pPr>
        <w:spacing w:line="440" w:lineRule="exact"/>
        <w:ind w:firstLine="480"/>
        <w:rPr>
          <w:rFonts w:hint="default" w:eastAsia="宋体" w:cs="等线"/>
          <w:highlight w:val="none"/>
          <w:lang w:val="en-US" w:eastAsia="zh-Hans"/>
        </w:rPr>
      </w:pPr>
      <w:r>
        <w:rPr>
          <w:rFonts w:hint="eastAsia" w:cs="等线"/>
          <w:highlight w:val="none"/>
        </w:rPr>
        <w:t>双方必须严格执行本协议，</w:t>
      </w:r>
      <w:r>
        <w:rPr>
          <w:rFonts w:cs="等线"/>
          <w:highlight w:val="none"/>
        </w:rPr>
        <w:t>咨询单位</w:t>
      </w:r>
      <w:r>
        <w:rPr>
          <w:rFonts w:hint="eastAsia" w:cs="等线"/>
          <w:highlight w:val="none"/>
        </w:rPr>
        <w:t>必须严格按照本协议内容和</w:t>
      </w:r>
      <w:r>
        <w:rPr>
          <w:rFonts w:hint="eastAsia" w:cs="等线"/>
          <w:highlight w:val="none"/>
          <w:lang w:eastAsia="zh-CN"/>
        </w:rPr>
        <w:t>成渝垫丰武公司</w:t>
      </w:r>
      <w:r>
        <w:rPr>
          <w:rFonts w:hint="eastAsia" w:cs="等线"/>
          <w:highlight w:val="none"/>
        </w:rPr>
        <w:t>以及行政主管单位（不涉及路段施工服务单位除外）要求进行安全管理，在咨询服务过程中如有不规范安全行为出现的；或造成事故及人员伤亡的，</w:t>
      </w:r>
      <w:r>
        <w:rPr>
          <w:rFonts w:cs="等线"/>
          <w:highlight w:val="none"/>
        </w:rPr>
        <w:t>咨询单位</w:t>
      </w:r>
      <w:r>
        <w:rPr>
          <w:rFonts w:hint="eastAsia" w:cs="等线"/>
          <w:highlight w:val="none"/>
        </w:rPr>
        <w:t>依法承担法律</w:t>
      </w:r>
      <w:r>
        <w:rPr>
          <w:highlight w:val="none"/>
        </w:rPr>
        <w:t>责任</w:t>
      </w:r>
      <w:r>
        <w:rPr>
          <w:rFonts w:hint="eastAsia"/>
          <w:highlight w:val="none"/>
        </w:rPr>
        <w:t>，并承担</w:t>
      </w:r>
      <w:r>
        <w:rPr>
          <w:rFonts w:hint="eastAsia" w:cs="等线"/>
          <w:highlight w:val="none"/>
        </w:rPr>
        <w:t>一切经济损失及全部责任外，</w:t>
      </w:r>
      <w:r>
        <w:rPr>
          <w:rFonts w:hint="eastAsia" w:cs="等线"/>
          <w:highlight w:val="none"/>
          <w:lang w:eastAsia="zh-CN"/>
        </w:rPr>
        <w:t>成渝垫丰武公司</w:t>
      </w:r>
      <w:r>
        <w:rPr>
          <w:rFonts w:hint="eastAsia" w:cs="等线"/>
          <w:highlight w:val="none"/>
        </w:rPr>
        <w:t>将按照</w:t>
      </w:r>
      <w:commentRangeStart w:id="0"/>
      <w:r>
        <w:rPr>
          <w:rFonts w:hint="eastAsia" w:cs="等线"/>
          <w:highlight w:val="none"/>
        </w:rPr>
        <w:t>公司</w:t>
      </w:r>
      <w:bookmarkStart w:id="21" w:name="_Toc37238414"/>
      <w:bookmarkStart w:id="22" w:name="_Toc15486"/>
      <w:r>
        <w:rPr>
          <w:rFonts w:hint="eastAsia" w:cs="等线"/>
          <w:highlight w:val="none"/>
        </w:rPr>
        <w:t>安全生产违约处罚管理办法</w:t>
      </w:r>
      <w:bookmarkEnd w:id="21"/>
      <w:bookmarkEnd w:id="22"/>
      <w:r>
        <w:rPr>
          <w:rFonts w:hint="eastAsia" w:cs="等线"/>
          <w:highlight w:val="none"/>
        </w:rPr>
        <w:t>执行。</w:t>
      </w:r>
      <w:commentRangeEnd w:id="0"/>
      <w:r>
        <w:commentReference w:id="0"/>
      </w:r>
      <w:r>
        <w:rPr>
          <w:rFonts w:hint="eastAsia"/>
          <w:lang w:eastAsia="zh-Hans"/>
        </w:rPr>
        <w:t>（</w:t>
      </w:r>
      <w:r>
        <w:rPr>
          <w:rFonts w:hint="eastAsia"/>
          <w:lang w:val="en-US" w:eastAsia="zh-Hans"/>
        </w:rPr>
        <w:t>详见本合同附件）</w:t>
      </w:r>
    </w:p>
    <w:p>
      <w:pPr>
        <w:spacing w:line="440" w:lineRule="exact"/>
        <w:rPr>
          <w:rFonts w:cs="等线"/>
          <w:b/>
          <w:bCs/>
          <w:highlight w:val="none"/>
        </w:rPr>
      </w:pPr>
      <w:r>
        <w:rPr>
          <w:rFonts w:hint="eastAsia" w:cs="等线"/>
          <w:b/>
          <w:bCs/>
          <w:highlight w:val="none"/>
        </w:rPr>
        <w:t>四、适用范围</w:t>
      </w:r>
    </w:p>
    <w:p>
      <w:pPr>
        <w:spacing w:line="440" w:lineRule="exact"/>
        <w:rPr>
          <w:rFonts w:cs="等线"/>
          <w:highlight w:val="none"/>
        </w:rPr>
      </w:pPr>
      <w:r>
        <w:rPr>
          <w:rFonts w:cs="等线"/>
          <w:highlight w:val="none"/>
        </w:rPr>
        <w:t xml:space="preserve">    本协议的各项规定适用于双方。如遇有同国家和重庆市的有关法规不符者，按国家和重庆市的有关规定执行。</w:t>
      </w:r>
    </w:p>
    <w:p>
      <w:pPr>
        <w:spacing w:line="440" w:lineRule="exact"/>
        <w:rPr>
          <w:rFonts w:cs="等线"/>
          <w:b/>
          <w:bCs/>
          <w:highlight w:val="none"/>
        </w:rPr>
      </w:pPr>
      <w:r>
        <w:rPr>
          <w:rFonts w:hint="eastAsia" w:cs="等线"/>
          <w:b/>
          <w:bCs/>
          <w:highlight w:val="none"/>
        </w:rPr>
        <w:t>五、争议解决</w:t>
      </w:r>
    </w:p>
    <w:p>
      <w:pPr>
        <w:spacing w:line="440" w:lineRule="exact"/>
        <w:rPr>
          <w:rFonts w:cs="等线"/>
          <w:highlight w:val="none"/>
        </w:rPr>
      </w:pPr>
      <w:r>
        <w:rPr>
          <w:rFonts w:cs="等线"/>
          <w:highlight w:val="none"/>
        </w:rPr>
        <w:t xml:space="preserve">    因本协议发生的争议，由双方协商解决，双方无法协商解决的，可向</w:t>
      </w:r>
      <w:r>
        <w:rPr>
          <w:rFonts w:hint="eastAsia" w:cs="等线"/>
          <w:highlight w:val="none"/>
          <w:lang w:eastAsia="zh-CN"/>
        </w:rPr>
        <w:t>成渝垫丰武公司</w:t>
      </w:r>
      <w:r>
        <w:rPr>
          <w:rFonts w:cs="等线"/>
          <w:highlight w:val="none"/>
        </w:rPr>
        <w:t>住所地有管辖权的法院提起诉讼。</w:t>
      </w:r>
    </w:p>
    <w:p>
      <w:pPr>
        <w:spacing w:line="440" w:lineRule="exact"/>
        <w:rPr>
          <w:rFonts w:cs="等线"/>
          <w:b/>
          <w:bCs/>
          <w:highlight w:val="none"/>
        </w:rPr>
      </w:pPr>
      <w:r>
        <w:rPr>
          <w:rFonts w:hint="eastAsia" w:cs="等线"/>
          <w:b/>
          <w:bCs/>
          <w:highlight w:val="none"/>
        </w:rPr>
        <w:t>六、合同生效与份数</w:t>
      </w:r>
    </w:p>
    <w:p>
      <w:pPr>
        <w:spacing w:line="440" w:lineRule="exact"/>
        <w:ind w:firstLine="480"/>
        <w:rPr>
          <w:rFonts w:cs="等线"/>
          <w:highlight w:val="none"/>
        </w:rPr>
      </w:pPr>
      <w:r>
        <w:rPr>
          <w:rFonts w:hint="eastAsia" w:cs="等线"/>
          <w:highlight w:val="none"/>
        </w:rPr>
        <w:t>本合同一式</w:t>
      </w:r>
      <w:r>
        <w:rPr>
          <w:rFonts w:cs="等线"/>
          <w:highlight w:val="none"/>
          <w:u w:val="single"/>
        </w:rPr>
        <w:t xml:space="preserve"> 陆 </w:t>
      </w:r>
      <w:r>
        <w:rPr>
          <w:rFonts w:hint="eastAsia" w:cs="等线"/>
          <w:highlight w:val="none"/>
        </w:rPr>
        <w:t>份，</w:t>
      </w:r>
      <w:r>
        <w:rPr>
          <w:rFonts w:hint="eastAsia" w:cs="等线"/>
          <w:highlight w:val="none"/>
          <w:lang w:eastAsia="zh-CN"/>
        </w:rPr>
        <w:t>成渝垫丰武公司</w:t>
      </w:r>
      <w:r>
        <w:rPr>
          <w:rFonts w:hint="eastAsia" w:cs="等线"/>
          <w:highlight w:val="none"/>
        </w:rPr>
        <w:t>执</w:t>
      </w:r>
      <w:r>
        <w:rPr>
          <w:rFonts w:cs="等线"/>
          <w:highlight w:val="none"/>
          <w:u w:val="single"/>
        </w:rPr>
        <w:t xml:space="preserve"> 肆 </w:t>
      </w:r>
      <w:r>
        <w:rPr>
          <w:rFonts w:hint="eastAsia" w:cs="等线"/>
          <w:highlight w:val="none"/>
        </w:rPr>
        <w:t>份，</w:t>
      </w:r>
      <w:r>
        <w:rPr>
          <w:rFonts w:cs="等线"/>
          <w:highlight w:val="none"/>
        </w:rPr>
        <w:t>咨询单位</w:t>
      </w:r>
      <w:r>
        <w:rPr>
          <w:rFonts w:hint="eastAsia" w:cs="等线"/>
          <w:highlight w:val="none"/>
        </w:rPr>
        <w:t>执</w:t>
      </w:r>
      <w:r>
        <w:rPr>
          <w:rFonts w:cs="等线"/>
          <w:highlight w:val="none"/>
          <w:u w:val="single"/>
        </w:rPr>
        <w:t xml:space="preserve"> 贰 </w:t>
      </w:r>
      <w:r>
        <w:rPr>
          <w:rFonts w:hint="eastAsia" w:cs="等线"/>
          <w:highlight w:val="none"/>
        </w:rPr>
        <w:t>份。由双方法定代表人或其授权的代理人签署与加盖公章后生效，全部工程竣工验收后失效。</w:t>
      </w:r>
    </w:p>
    <w:p>
      <w:pPr>
        <w:spacing w:line="440" w:lineRule="exact"/>
        <w:rPr>
          <w:rFonts w:cs="等线"/>
          <w:highlight w:val="none"/>
        </w:rPr>
      </w:pPr>
    </w:p>
    <w:p>
      <w:pPr>
        <w:spacing w:line="440" w:lineRule="exact"/>
        <w:ind w:left="7140" w:hanging="7140" w:hangingChars="3400"/>
        <w:rPr>
          <w:rFonts w:hint="eastAsia" w:cs="等线"/>
          <w:highlight w:val="none"/>
          <w:lang w:eastAsia="zh-CN"/>
        </w:rPr>
      </w:pPr>
      <w:r>
        <w:rPr>
          <w:rFonts w:hint="eastAsia" w:cs="等线"/>
          <w:highlight w:val="none"/>
          <w:lang w:eastAsia="zh-CN"/>
        </w:rPr>
        <w:t>成渝垫丰武公司</w:t>
      </w:r>
      <w:r>
        <w:rPr>
          <w:rFonts w:hint="eastAsia" w:cs="等线"/>
          <w:highlight w:val="none"/>
        </w:rPr>
        <w:t>（盖章）：</w:t>
      </w:r>
      <w:r>
        <w:rPr>
          <w:rFonts w:hint="eastAsia" w:cs="等线"/>
          <w:highlight w:val="none"/>
          <w:lang w:val="en-US" w:eastAsia="zh-CN"/>
        </w:rPr>
        <w:t xml:space="preserve">                     </w:t>
      </w:r>
      <w:r>
        <w:rPr>
          <w:rFonts w:cs="等线"/>
          <w:highlight w:val="none"/>
        </w:rPr>
        <w:t>咨询单位</w:t>
      </w:r>
      <w:r>
        <w:rPr>
          <w:rFonts w:hint="eastAsia" w:cs="等线"/>
          <w:highlight w:val="none"/>
        </w:rPr>
        <w:t>（盖章）：</w:t>
      </w:r>
    </w:p>
    <w:p>
      <w:pPr>
        <w:spacing w:line="440" w:lineRule="exact"/>
        <w:ind w:left="7140" w:hanging="7140" w:hangingChars="3400"/>
        <w:rPr>
          <w:rFonts w:hint="default" w:eastAsia="宋体" w:cs="等线"/>
          <w:highlight w:val="none"/>
          <w:lang w:val="en-US" w:eastAsia="zh-CN"/>
        </w:rPr>
      </w:pPr>
      <w:r>
        <w:rPr>
          <w:rFonts w:hint="eastAsia" w:cs="等线"/>
          <w:highlight w:val="none"/>
          <w:lang w:eastAsia="zh-CN"/>
        </w:rPr>
        <w:t>重庆成渝垫丰武高速公路有限公司</w:t>
      </w:r>
      <w:r>
        <w:rPr>
          <w:rFonts w:cs="等线"/>
          <w:highlight w:val="none"/>
        </w:rPr>
        <w:t xml:space="preserve">    </w:t>
      </w:r>
      <w:r>
        <w:rPr>
          <w:rFonts w:hint="eastAsia" w:cs="等线"/>
          <w:highlight w:val="none"/>
          <w:lang w:val="en-US" w:eastAsia="zh-CN"/>
        </w:rPr>
        <w:t xml:space="preserve">                   </w:t>
      </w:r>
    </w:p>
    <w:p>
      <w:pPr>
        <w:spacing w:line="440" w:lineRule="exact"/>
        <w:rPr>
          <w:rFonts w:cs="等线"/>
          <w:highlight w:val="none"/>
        </w:rPr>
      </w:pPr>
      <w:r>
        <w:rPr>
          <w:rFonts w:hint="eastAsia" w:cs="等线"/>
          <w:highlight w:val="none"/>
        </w:rPr>
        <w:t>法人代表</w:t>
      </w:r>
      <w:r>
        <w:rPr>
          <w:rFonts w:cs="等线"/>
          <w:highlight w:val="none"/>
        </w:rPr>
        <w:t xml:space="preserve">                                 </w:t>
      </w:r>
      <w:r>
        <w:rPr>
          <w:rFonts w:hint="eastAsia" w:cs="等线"/>
          <w:highlight w:val="none"/>
          <w:lang w:val="en-US" w:eastAsia="zh-CN"/>
        </w:rPr>
        <w:t xml:space="preserve">   </w:t>
      </w:r>
      <w:r>
        <w:rPr>
          <w:rFonts w:cs="等线"/>
          <w:highlight w:val="none"/>
        </w:rPr>
        <w:t xml:space="preserve"> </w:t>
      </w:r>
      <w:r>
        <w:rPr>
          <w:rFonts w:hint="eastAsia" w:cs="等线"/>
          <w:highlight w:val="none"/>
        </w:rPr>
        <w:t>法人代表</w:t>
      </w:r>
    </w:p>
    <w:p>
      <w:pPr>
        <w:spacing w:line="440" w:lineRule="exact"/>
        <w:rPr>
          <w:rFonts w:cs="等线"/>
          <w:highlight w:val="none"/>
        </w:rPr>
      </w:pPr>
      <w:r>
        <w:rPr>
          <w:rFonts w:hint="eastAsia" w:cs="等线"/>
          <w:highlight w:val="none"/>
        </w:rPr>
        <w:t>或委托代理人：</w:t>
      </w:r>
      <w:r>
        <w:rPr>
          <w:rFonts w:cs="等线"/>
          <w:highlight w:val="none"/>
        </w:rPr>
        <w:t xml:space="preserve">                           </w:t>
      </w:r>
      <w:r>
        <w:rPr>
          <w:rFonts w:hint="eastAsia" w:cs="等线"/>
          <w:highlight w:val="none"/>
          <w:lang w:val="en-US" w:eastAsia="zh-CN"/>
        </w:rPr>
        <w:t xml:space="preserve">  </w:t>
      </w:r>
      <w:r>
        <w:rPr>
          <w:rFonts w:cs="等线"/>
          <w:highlight w:val="none"/>
        </w:rPr>
        <w:t xml:space="preserve">  </w:t>
      </w:r>
      <w:r>
        <w:rPr>
          <w:rFonts w:hint="eastAsia" w:cs="等线"/>
          <w:highlight w:val="none"/>
        </w:rPr>
        <w:t>或委托代理人：</w:t>
      </w:r>
    </w:p>
    <w:p>
      <w:pPr>
        <w:spacing w:line="440" w:lineRule="exact"/>
        <w:rPr>
          <w:highlight w:val="none"/>
        </w:rPr>
      </w:pPr>
      <w:r>
        <w:rPr>
          <w:rFonts w:hint="eastAsia" w:cs="等线"/>
          <w:highlight w:val="none"/>
        </w:rPr>
        <w:t>时间：</w:t>
      </w:r>
      <w:r>
        <w:rPr>
          <w:rFonts w:cs="等线"/>
          <w:highlight w:val="none"/>
        </w:rPr>
        <w:t xml:space="preserve">                                        </w:t>
      </w:r>
      <w:bookmarkEnd w:id="19"/>
    </w:p>
    <w:p>
      <w:pPr>
        <w:rPr>
          <w:highlight w:val="none"/>
        </w:rPr>
      </w:pPr>
    </w:p>
    <w:p>
      <w:pPr>
        <w:rPr>
          <w:highlight w:val="none"/>
        </w:rPr>
      </w:pPr>
    </w:p>
    <w:p>
      <w:pPr>
        <w:pStyle w:val="2"/>
        <w:rPr>
          <w:rFonts w:hint="default"/>
          <w:color w:val="auto"/>
          <w:highlight w:val="none"/>
        </w:rPr>
      </w:pPr>
    </w:p>
    <w:p>
      <w:pPr>
        <w:rPr>
          <w:highlight w:val="none"/>
        </w:rPr>
      </w:pPr>
    </w:p>
    <w:p>
      <w:pPr>
        <w:pStyle w:val="2"/>
        <w:rPr>
          <w:rFonts w:hint="default"/>
          <w:color w:val="auto"/>
          <w:highlight w:val="none"/>
        </w:rPr>
      </w:pPr>
    </w:p>
    <w:p>
      <w:pPr>
        <w:rPr>
          <w:highlight w:val="none"/>
        </w:rPr>
      </w:pPr>
    </w:p>
    <w:p>
      <w:pPr>
        <w:pStyle w:val="2"/>
        <w:rPr>
          <w:rFonts w:hint="default"/>
          <w:color w:val="auto"/>
          <w:highlight w:val="none"/>
        </w:rPr>
      </w:pPr>
    </w:p>
    <w:p>
      <w:pPr>
        <w:rPr>
          <w:highlight w:val="none"/>
        </w:rPr>
      </w:pPr>
    </w:p>
    <w:p>
      <w:pPr>
        <w:jc w:val="center"/>
        <w:rPr>
          <w:b/>
          <w:bCs/>
          <w:sz w:val="72"/>
          <w:szCs w:val="72"/>
          <w:highlight w:val="none"/>
        </w:rPr>
      </w:pPr>
      <w:r>
        <w:rPr>
          <w:b/>
          <w:bCs/>
          <w:sz w:val="72"/>
          <w:szCs w:val="72"/>
          <w:highlight w:val="none"/>
        </w:rPr>
        <w:br w:type="page"/>
      </w:r>
    </w:p>
    <w:p>
      <w:pPr>
        <w:jc w:val="center"/>
        <w:rPr>
          <w:b/>
          <w:bCs/>
          <w:sz w:val="72"/>
          <w:szCs w:val="72"/>
          <w:highlight w:val="none"/>
        </w:rPr>
      </w:pPr>
    </w:p>
    <w:p>
      <w:pPr>
        <w:jc w:val="center"/>
        <w:rPr>
          <w:b/>
          <w:bCs/>
          <w:sz w:val="72"/>
          <w:szCs w:val="72"/>
          <w:highlight w:val="none"/>
        </w:rPr>
      </w:pPr>
    </w:p>
    <w:p>
      <w:pPr>
        <w:jc w:val="center"/>
        <w:rPr>
          <w:b/>
          <w:bCs/>
          <w:sz w:val="72"/>
          <w:szCs w:val="72"/>
          <w:highlight w:val="none"/>
        </w:rPr>
      </w:pPr>
      <w:r>
        <w:rPr>
          <w:rFonts w:hint="eastAsia"/>
          <w:b/>
          <w:bCs/>
          <w:sz w:val="72"/>
          <w:szCs w:val="72"/>
          <w:highlight w:val="none"/>
          <w:lang w:val="en-US" w:eastAsia="zh-CN"/>
        </w:rPr>
        <w:t>三</w:t>
      </w:r>
      <w:r>
        <w:rPr>
          <w:rFonts w:hint="eastAsia"/>
          <w:b/>
          <w:bCs/>
          <w:sz w:val="72"/>
          <w:szCs w:val="72"/>
          <w:highlight w:val="none"/>
        </w:rPr>
        <w:t>、报价文件格式</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keepNext w:val="0"/>
        <w:keepLines w:val="0"/>
        <w:widowControl/>
        <w:suppressLineNumbers w:val="0"/>
        <w:jc w:val="center"/>
        <w:rPr>
          <w:rFonts w:hint="eastAsia" w:ascii="宋体" w:hAnsi="宋体" w:cs="宋体"/>
          <w:b/>
          <w:bCs/>
          <w:color w:val="000000"/>
          <w:kern w:val="0"/>
          <w:sz w:val="31"/>
          <w:szCs w:val="31"/>
          <w:highlight w:val="none"/>
          <w:lang w:val="en-US" w:eastAsia="zh-CN" w:bidi="ar"/>
        </w:rPr>
      </w:pPr>
      <w:r>
        <w:rPr>
          <w:rFonts w:ascii="宋体" w:hAnsi="宋体"/>
          <w:sz w:val="24"/>
          <w:highlight w:val="none"/>
        </w:rPr>
        <w:br w:type="page"/>
      </w:r>
      <w:r>
        <w:rPr>
          <w:rFonts w:hint="eastAsia" w:ascii="宋体" w:hAnsi="宋体" w:cs="宋体"/>
          <w:b/>
          <w:bCs/>
          <w:color w:val="000000"/>
          <w:kern w:val="0"/>
          <w:sz w:val="31"/>
          <w:szCs w:val="31"/>
          <w:highlight w:val="none"/>
          <w:lang w:val="en-US" w:eastAsia="zh-CN" w:bidi="ar"/>
        </w:rPr>
        <w:t>重庆成渝垫丰武高速公路有限公司造价</w:t>
      </w:r>
    </w:p>
    <w:p>
      <w:pPr>
        <w:keepNext w:val="0"/>
        <w:keepLines w:val="0"/>
        <w:widowControl/>
        <w:suppressLineNumbers w:val="0"/>
        <w:jc w:val="center"/>
        <w:rPr>
          <w:rFonts w:hint="eastAsia" w:ascii="宋体" w:hAnsi="宋体" w:cs="宋体"/>
          <w:b/>
          <w:bCs/>
          <w:color w:val="000000"/>
          <w:kern w:val="0"/>
          <w:sz w:val="31"/>
          <w:szCs w:val="31"/>
          <w:highlight w:val="none"/>
          <w:lang w:val="en-US" w:eastAsia="zh-CN" w:bidi="ar"/>
        </w:rPr>
      </w:pPr>
      <w:r>
        <w:rPr>
          <w:rFonts w:hint="eastAsia" w:ascii="宋体" w:hAnsi="宋体" w:cs="宋体"/>
          <w:b/>
          <w:bCs/>
          <w:color w:val="000000"/>
          <w:kern w:val="0"/>
          <w:sz w:val="31"/>
          <w:szCs w:val="31"/>
          <w:highlight w:val="none"/>
          <w:lang w:val="en-US" w:eastAsia="zh-CN" w:bidi="ar"/>
        </w:rPr>
        <w:t>限价咨询服务</w:t>
      </w:r>
    </w:p>
    <w:p>
      <w:pPr>
        <w:pStyle w:val="6"/>
        <w:rPr>
          <w:rFonts w:hint="default"/>
          <w:lang w:val="en-US"/>
        </w:rPr>
      </w:pPr>
    </w:p>
    <w:p>
      <w:pPr>
        <w:adjustRightInd w:val="0"/>
        <w:spacing w:line="315" w:lineRule="atLeast"/>
        <w:jc w:val="left"/>
        <w:textAlignment w:val="baseline"/>
        <w:rPr>
          <w:rFonts w:ascii="黑体" w:hAnsi="黑体" w:eastAsia="黑体" w:cs="黑体"/>
          <w:kern w:val="0"/>
          <w:sz w:val="28"/>
          <w:szCs w:val="20"/>
          <w:highlight w:val="none"/>
        </w:rPr>
      </w:pPr>
    </w:p>
    <w:p>
      <w:pPr>
        <w:adjustRightInd w:val="0"/>
        <w:spacing w:line="315" w:lineRule="atLeast"/>
        <w:jc w:val="left"/>
        <w:textAlignment w:val="baseline"/>
        <w:rPr>
          <w:rFonts w:ascii="黑体" w:hAnsi="黑体" w:eastAsia="黑体" w:cs="黑体"/>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jc w:val="center"/>
        <w:rPr>
          <w:b/>
          <w:bCs/>
          <w:sz w:val="84"/>
          <w:szCs w:val="84"/>
          <w:highlight w:val="none"/>
        </w:rPr>
      </w:pPr>
      <w:r>
        <w:rPr>
          <w:rFonts w:hint="eastAsia"/>
          <w:b/>
          <w:bCs/>
          <w:sz w:val="84"/>
          <w:szCs w:val="84"/>
          <w:highlight w:val="none"/>
          <w:lang w:val="en-US" w:eastAsia="zh-CN"/>
        </w:rPr>
        <w:t>投 标</w:t>
      </w:r>
      <w:r>
        <w:rPr>
          <w:rFonts w:hint="eastAsia"/>
          <w:b/>
          <w:bCs/>
          <w:sz w:val="84"/>
          <w:szCs w:val="84"/>
          <w:highlight w:val="none"/>
        </w:rPr>
        <w:t xml:space="preserve"> 文 件</w:t>
      </w:r>
    </w:p>
    <w:p>
      <w:pPr>
        <w:adjustRightInd w:val="0"/>
        <w:spacing w:before="312" w:beforeLines="100" w:line="315" w:lineRule="atLeast"/>
        <w:jc w:val="center"/>
        <w:textAlignment w:val="baseline"/>
        <w:rPr>
          <w:spacing w:val="20"/>
          <w:kern w:val="0"/>
          <w:sz w:val="32"/>
          <w:szCs w:val="3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center"/>
        <w:textAlignment w:val="baseline"/>
        <w:rPr>
          <w:b/>
          <w:bCs/>
          <w:sz w:val="32"/>
          <w:szCs w:val="32"/>
          <w:highlight w:val="none"/>
        </w:rPr>
      </w:pPr>
    </w:p>
    <w:p>
      <w:pPr>
        <w:adjustRightInd w:val="0"/>
        <w:spacing w:line="315" w:lineRule="atLeast"/>
        <w:jc w:val="center"/>
        <w:textAlignment w:val="baseline"/>
        <w:rPr>
          <w:b/>
          <w:bCs/>
          <w:sz w:val="32"/>
          <w:szCs w:val="32"/>
          <w:highlight w:val="none"/>
        </w:rPr>
      </w:pPr>
    </w:p>
    <w:p>
      <w:pPr>
        <w:adjustRightInd w:val="0"/>
        <w:spacing w:line="315" w:lineRule="atLeast"/>
        <w:jc w:val="center"/>
        <w:textAlignment w:val="baseline"/>
        <w:rPr>
          <w:b/>
          <w:bCs/>
          <w:sz w:val="32"/>
          <w:szCs w:val="32"/>
          <w:highlight w:val="none"/>
        </w:rPr>
      </w:pPr>
    </w:p>
    <w:p>
      <w:pPr>
        <w:adjustRightInd w:val="0"/>
        <w:spacing w:line="315" w:lineRule="atLeast"/>
        <w:jc w:val="center"/>
        <w:textAlignment w:val="baseline"/>
        <w:rPr>
          <w:b/>
          <w:bCs/>
          <w:sz w:val="32"/>
          <w:szCs w:val="32"/>
          <w:highlight w:val="none"/>
        </w:rPr>
      </w:pPr>
      <w:r>
        <w:rPr>
          <w:rFonts w:hint="eastAsia"/>
          <w:b/>
          <w:bCs/>
          <w:sz w:val="32"/>
          <w:szCs w:val="32"/>
          <w:highlight w:val="none"/>
          <w:lang w:eastAsia="zh-CN"/>
        </w:rPr>
        <w:t>报价人</w:t>
      </w:r>
      <w:r>
        <w:rPr>
          <w:b/>
          <w:bCs/>
          <w:sz w:val="32"/>
          <w:szCs w:val="32"/>
          <w:highlight w:val="none"/>
        </w:rPr>
        <w:t>：</w:t>
      </w:r>
      <w:r>
        <w:rPr>
          <w:b/>
          <w:bCs/>
          <w:sz w:val="32"/>
          <w:szCs w:val="32"/>
          <w:highlight w:val="none"/>
          <w:u w:val="single"/>
        </w:rPr>
        <w:t xml:space="preserve">      </w:t>
      </w:r>
      <w:r>
        <w:rPr>
          <w:rFonts w:hint="eastAsia"/>
          <w:b/>
          <w:bCs/>
          <w:sz w:val="32"/>
          <w:szCs w:val="32"/>
          <w:highlight w:val="none"/>
          <w:u w:val="single"/>
        </w:rPr>
        <w:t xml:space="preserve">      </w:t>
      </w:r>
      <w:r>
        <w:rPr>
          <w:b/>
          <w:bCs/>
          <w:sz w:val="32"/>
          <w:szCs w:val="32"/>
          <w:highlight w:val="none"/>
          <w:u w:val="single"/>
        </w:rPr>
        <w:t xml:space="preserve"> （盖单位章）</w:t>
      </w:r>
    </w:p>
    <w:p>
      <w:pPr>
        <w:adjustRightInd w:val="0"/>
        <w:spacing w:line="315" w:lineRule="atLeast"/>
        <w:jc w:val="center"/>
        <w:textAlignment w:val="baseline"/>
        <w:rPr>
          <w:b/>
          <w:bCs/>
          <w:sz w:val="32"/>
          <w:szCs w:val="32"/>
          <w:highlight w:val="none"/>
        </w:rPr>
      </w:pPr>
      <w:r>
        <w:rPr>
          <w:b/>
          <w:bCs/>
          <w:sz w:val="32"/>
          <w:szCs w:val="32"/>
          <w:highlight w:val="none"/>
        </w:rPr>
        <w:t xml:space="preserve">      年     月     日</w:t>
      </w:r>
    </w:p>
    <w:p>
      <w:pPr>
        <w:jc w:val="center"/>
        <w:rPr>
          <w:rFonts w:ascii="黑体" w:hAnsi="黑体" w:eastAsia="黑体"/>
          <w:b/>
          <w:sz w:val="44"/>
          <w:szCs w:val="44"/>
          <w:highlight w:val="none"/>
        </w:rPr>
      </w:pPr>
      <w:bookmarkStart w:id="23" w:name="_Toc152045787"/>
      <w:bookmarkStart w:id="24" w:name="_Toc240180937"/>
      <w:bookmarkStart w:id="25" w:name="_Toc144974856"/>
      <w:bookmarkStart w:id="26" w:name="_Toc152042576"/>
    </w:p>
    <w:p>
      <w:pPr>
        <w:jc w:val="center"/>
        <w:rPr>
          <w:rFonts w:ascii="黑体" w:hAnsi="黑体" w:eastAsia="黑体"/>
          <w:b/>
          <w:sz w:val="44"/>
          <w:szCs w:val="44"/>
          <w:highlight w:val="none"/>
        </w:rPr>
      </w:pPr>
    </w:p>
    <w:p>
      <w:pPr>
        <w:jc w:val="center"/>
        <w:rPr>
          <w:rFonts w:ascii="黑体" w:hAnsi="黑体" w:eastAsia="黑体"/>
          <w:b/>
          <w:sz w:val="44"/>
          <w:szCs w:val="44"/>
          <w:highlight w:val="none"/>
        </w:rPr>
      </w:pPr>
    </w:p>
    <w:p>
      <w:pPr>
        <w:jc w:val="center"/>
        <w:rPr>
          <w:rFonts w:ascii="黑体" w:hAnsi="黑体" w:eastAsia="黑体"/>
          <w:b/>
          <w:sz w:val="44"/>
          <w:szCs w:val="44"/>
          <w:highlight w:val="none"/>
        </w:rPr>
      </w:pPr>
      <w:r>
        <w:rPr>
          <w:rFonts w:hint="eastAsia" w:ascii="黑体" w:hAnsi="黑体" w:eastAsia="黑体"/>
          <w:b/>
          <w:sz w:val="44"/>
          <w:szCs w:val="44"/>
          <w:highlight w:val="none"/>
        </w:rPr>
        <w:t>目    录</w:t>
      </w:r>
    </w:p>
    <w:p>
      <w:pPr>
        <w:rPr>
          <w:rFonts w:ascii="宋体" w:hAnsi="宋体"/>
          <w:highlight w:val="none"/>
        </w:rPr>
      </w:pPr>
    </w:p>
    <w:bookmarkEnd w:id="23"/>
    <w:bookmarkEnd w:id="24"/>
    <w:bookmarkEnd w:id="25"/>
    <w:bookmarkEnd w:id="26"/>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一、商务部分</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（一）投标函</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（二）法定代表人身份证明</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（三）授权委托书</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（四）资格审查资料</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（五）类似业绩汇总表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（六）拟委任人员情况表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A、拟委任的主要人员汇总表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rPr>
        <w:t>B、项目负责人资历表</w:t>
      </w:r>
    </w:p>
    <w:p>
      <w:pPr>
        <w:spacing w:line="52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二</w:t>
      </w:r>
      <w:r>
        <w:rPr>
          <w:rFonts w:hint="eastAsia" w:ascii="宋体" w:hAnsi="宋体"/>
          <w:sz w:val="28"/>
          <w:szCs w:val="28"/>
          <w:highlight w:val="none"/>
        </w:rPr>
        <w:t>、报价部分</w:t>
      </w:r>
    </w:p>
    <w:p>
      <w:pPr>
        <w:spacing w:line="520" w:lineRule="exact"/>
        <w:ind w:firstLine="1120" w:firstLineChars="400"/>
        <w:rPr>
          <w:rFonts w:ascii="宋体" w:hAnsi="宋体"/>
          <w:sz w:val="28"/>
          <w:szCs w:val="28"/>
          <w:highlight w:val="none"/>
        </w:rPr>
      </w:pPr>
      <w:r>
        <w:rPr>
          <w:rFonts w:hint="eastAsia" w:ascii="宋体" w:hAnsi="宋体"/>
          <w:sz w:val="28"/>
          <w:szCs w:val="28"/>
          <w:highlight w:val="none"/>
        </w:rPr>
        <w:t>报价函</w:t>
      </w:r>
    </w:p>
    <w:p>
      <w:pPr>
        <w:spacing w:line="360" w:lineRule="auto"/>
        <w:rPr>
          <w:rFonts w:ascii="宋体" w:hAnsi="宋体"/>
          <w:b/>
          <w:sz w:val="28"/>
          <w:szCs w:val="28"/>
          <w:highlight w:val="none"/>
        </w:rPr>
      </w:pPr>
    </w:p>
    <w:p>
      <w:pPr>
        <w:topLinePunct/>
        <w:spacing w:before="156" w:beforeLines="50" w:after="156" w:afterLines="50" w:line="360" w:lineRule="auto"/>
        <w:outlineLvl w:val="2"/>
        <w:rPr>
          <w:rFonts w:ascii="黑体" w:hAnsi="黑体" w:eastAsia="黑体"/>
          <w:b/>
          <w:sz w:val="24"/>
          <w:highlight w:val="none"/>
        </w:rPr>
      </w:pPr>
    </w:p>
    <w:p>
      <w:pPr>
        <w:topLinePunct/>
        <w:spacing w:before="156" w:beforeLines="50" w:after="156" w:afterLines="50" w:line="360" w:lineRule="auto"/>
        <w:jc w:val="center"/>
        <w:outlineLvl w:val="2"/>
        <w:rPr>
          <w:rFonts w:ascii="黑体" w:hAnsi="黑体" w:eastAsia="黑体"/>
          <w:b/>
          <w:sz w:val="24"/>
          <w:highlight w:val="none"/>
        </w:rPr>
      </w:pPr>
    </w:p>
    <w:p>
      <w:pPr>
        <w:topLinePunct/>
        <w:spacing w:before="156" w:beforeLines="50" w:after="156" w:afterLines="50" w:line="360" w:lineRule="auto"/>
        <w:outlineLvl w:val="2"/>
        <w:rPr>
          <w:rFonts w:ascii="黑体" w:hAnsi="黑体" w:eastAsia="黑体"/>
          <w:b/>
          <w:sz w:val="24"/>
          <w:highlight w:val="none"/>
        </w:rPr>
      </w:pPr>
    </w:p>
    <w:p>
      <w:pPr>
        <w:topLinePunct/>
        <w:spacing w:before="156" w:beforeLines="50" w:after="156" w:afterLines="50" w:line="360" w:lineRule="auto"/>
        <w:outlineLvl w:val="2"/>
        <w:rPr>
          <w:rFonts w:ascii="黑体" w:hAnsi="黑体" w:eastAsia="黑体"/>
          <w:b/>
          <w:sz w:val="24"/>
          <w:highlight w:val="none"/>
        </w:rPr>
      </w:pPr>
    </w:p>
    <w:p>
      <w:pPr>
        <w:topLinePunct/>
        <w:spacing w:before="156" w:beforeLines="50" w:after="156" w:afterLines="50" w:line="360" w:lineRule="auto"/>
        <w:outlineLvl w:val="2"/>
        <w:rPr>
          <w:rFonts w:ascii="黑体" w:hAnsi="黑体" w:eastAsia="黑体"/>
          <w:b/>
          <w:sz w:val="24"/>
          <w:highlight w:val="none"/>
        </w:rPr>
      </w:pPr>
    </w:p>
    <w:p>
      <w:pPr>
        <w:topLinePunct/>
        <w:spacing w:before="156" w:beforeLines="50" w:after="156" w:afterLines="50" w:line="360" w:lineRule="auto"/>
        <w:outlineLvl w:val="2"/>
        <w:rPr>
          <w:rFonts w:ascii="黑体" w:hAnsi="黑体" w:eastAsia="黑体"/>
          <w:b/>
          <w:sz w:val="24"/>
          <w:highlight w:val="none"/>
        </w:rPr>
      </w:pPr>
    </w:p>
    <w:p>
      <w:pPr>
        <w:topLinePunct/>
        <w:spacing w:before="156" w:beforeLines="50" w:after="156" w:afterLines="50" w:line="360" w:lineRule="auto"/>
        <w:outlineLvl w:val="2"/>
        <w:rPr>
          <w:rFonts w:ascii="黑体" w:hAnsi="黑体" w:eastAsia="黑体"/>
          <w:b/>
          <w:sz w:val="24"/>
          <w:highlight w:val="none"/>
        </w:rPr>
      </w:pPr>
    </w:p>
    <w:p>
      <w:pPr>
        <w:topLinePunct/>
        <w:spacing w:before="156" w:beforeLines="50" w:after="156" w:afterLines="50" w:line="360" w:lineRule="auto"/>
        <w:outlineLvl w:val="2"/>
        <w:rPr>
          <w:rFonts w:ascii="黑体" w:hAnsi="黑体" w:eastAsia="黑体"/>
          <w:b/>
          <w:sz w:val="24"/>
          <w:highlight w:val="none"/>
        </w:rPr>
      </w:pPr>
    </w:p>
    <w:bookmarkEnd w:id="6"/>
    <w:bookmarkEnd w:id="7"/>
    <w:bookmarkEnd w:id="8"/>
    <w:p>
      <w:pPr>
        <w:keepNext/>
        <w:spacing w:before="312" w:beforeLines="100" w:line="440" w:lineRule="exact"/>
        <w:jc w:val="center"/>
        <w:outlineLvl w:val="1"/>
        <w:rPr>
          <w:rFonts w:eastAsia="黑体"/>
          <w:b/>
          <w:sz w:val="30"/>
          <w:szCs w:val="30"/>
          <w:highlight w:val="none"/>
        </w:rPr>
      </w:pPr>
      <w:bookmarkStart w:id="27" w:name="_Toc484093464"/>
      <w:bookmarkStart w:id="28" w:name="_Toc443662627"/>
      <w:r>
        <w:rPr>
          <w:rFonts w:hint="eastAsia" w:eastAsia="黑体"/>
          <w:b/>
          <w:sz w:val="30"/>
          <w:szCs w:val="30"/>
          <w:highlight w:val="none"/>
        </w:rPr>
        <w:t>一、商务部分</w:t>
      </w:r>
    </w:p>
    <w:p>
      <w:pPr>
        <w:keepNext/>
        <w:spacing w:before="312" w:beforeLines="100" w:line="440" w:lineRule="exact"/>
        <w:jc w:val="center"/>
        <w:outlineLvl w:val="1"/>
        <w:rPr>
          <w:rFonts w:eastAsia="黑体"/>
          <w:b/>
          <w:sz w:val="30"/>
          <w:szCs w:val="30"/>
          <w:highlight w:val="none"/>
        </w:rPr>
      </w:pPr>
      <w:r>
        <w:rPr>
          <w:rFonts w:hint="eastAsia" w:eastAsia="黑体"/>
          <w:b/>
          <w:sz w:val="30"/>
          <w:szCs w:val="30"/>
          <w:highlight w:val="none"/>
        </w:rPr>
        <w:t>（一）投标函</w:t>
      </w:r>
      <w:bookmarkEnd w:id="27"/>
      <w:bookmarkEnd w:id="28"/>
    </w:p>
    <w:p>
      <w:pPr>
        <w:autoSpaceDE w:val="0"/>
        <w:autoSpaceDN w:val="0"/>
        <w:spacing w:line="360" w:lineRule="auto"/>
        <w:jc w:val="left"/>
        <w:rPr>
          <w:rFonts w:ascii="宋体" w:cs="宋体"/>
          <w:kern w:val="0"/>
          <w:sz w:val="24"/>
          <w:highlight w:val="none"/>
        </w:rPr>
      </w:pPr>
      <w:r>
        <w:rPr>
          <w:rFonts w:hint="eastAsia" w:ascii="宋体" w:hAnsi="宋体" w:cs="宋体"/>
          <w:kern w:val="0"/>
          <w:sz w:val="24"/>
          <w:highlight w:val="none"/>
        </w:rPr>
        <w:t>致</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eastAsia="zh-CN"/>
        </w:rPr>
        <w:t>比选人</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autoSpaceDE w:val="0"/>
        <w:autoSpaceDN w:val="0"/>
        <w:spacing w:line="360" w:lineRule="auto"/>
        <w:ind w:firstLine="480" w:firstLineChars="200"/>
        <w:jc w:val="left"/>
        <w:rPr>
          <w:rFonts w:ascii="宋体" w:hAnsi="宋体" w:cs="宋体"/>
          <w:kern w:val="0"/>
          <w:sz w:val="24"/>
          <w:highlight w:val="none"/>
        </w:rPr>
      </w:pPr>
      <w:r>
        <w:rPr>
          <w:rFonts w:ascii="宋体" w:hAnsi="宋体"/>
          <w:kern w:val="0"/>
          <w:sz w:val="24"/>
          <w:highlight w:val="none"/>
        </w:rPr>
        <w:t>1.</w:t>
      </w:r>
      <w:r>
        <w:rPr>
          <w:rFonts w:hint="eastAsia" w:ascii="宋体" w:hAnsi="宋体" w:cs="宋体"/>
          <w:kern w:val="0"/>
          <w:sz w:val="24"/>
          <w:highlight w:val="none"/>
        </w:rPr>
        <w:t>经研究</w:t>
      </w:r>
      <w:r>
        <w:rPr>
          <w:rFonts w:hint="eastAsia" w:ascii="宋体" w:hAnsi="宋体" w:cs="宋体"/>
          <w:b w:val="0"/>
          <w:bCs w:val="0"/>
          <w:kern w:val="0"/>
          <w:sz w:val="24"/>
          <w:szCs w:val="24"/>
          <w:highlight w:val="none"/>
          <w:u w:val="none"/>
          <w:lang w:val="en-US" w:eastAsia="zh-CN"/>
        </w:rPr>
        <w:t>重庆成渝垫丰武高速公路有限公司造价</w:t>
      </w:r>
      <w:r>
        <w:rPr>
          <w:rFonts w:hint="eastAsia" w:ascii="宋体" w:hAnsi="宋体" w:cs="宋体"/>
          <w:b w:val="0"/>
          <w:bCs w:val="0"/>
          <w:kern w:val="0"/>
          <w:sz w:val="24"/>
          <w:szCs w:val="24"/>
          <w:highlight w:val="none"/>
          <w:u w:val="none"/>
          <w:lang w:eastAsia="zh-CN"/>
        </w:rPr>
        <w:t>咨询服务</w:t>
      </w:r>
      <w:r>
        <w:rPr>
          <w:rFonts w:hint="eastAsia" w:ascii="宋体" w:hAnsi="宋体" w:cs="宋体"/>
          <w:kern w:val="0"/>
          <w:sz w:val="24"/>
          <w:highlight w:val="none"/>
        </w:rPr>
        <w:t>竞争性比选文件的全部内容后，我方愿就上述项目进行投标，其中投标价详见报价函。</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2. </w:t>
      </w:r>
      <w:r>
        <w:rPr>
          <w:rFonts w:hint="eastAsia" w:ascii="宋体" w:hAnsi="宋体" w:cs="宋体"/>
          <w:kern w:val="0"/>
          <w:sz w:val="24"/>
          <w:highlight w:val="none"/>
        </w:rPr>
        <w:t>如果我方中标，我方保证在收到中标通知书规定的期限内与你方签订合同协议书，并在合同协议书所规定的时间内完成通知要求的技术咨询任务。</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3. </w:t>
      </w:r>
      <w:r>
        <w:rPr>
          <w:rFonts w:hint="eastAsia" w:ascii="宋体" w:hAnsi="宋体" w:cs="宋体"/>
          <w:kern w:val="0"/>
          <w:sz w:val="24"/>
          <w:highlight w:val="none"/>
        </w:rPr>
        <w:t>项目负责人姓名：</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性别：</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年龄：</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现任职务：</w:t>
      </w:r>
      <w:r>
        <w:rPr>
          <w:rFonts w:ascii="宋体" w:hAnsi="宋体" w:cs="宋体"/>
          <w:kern w:val="0"/>
          <w:sz w:val="24"/>
          <w:highlight w:val="none"/>
          <w:u w:val="single"/>
        </w:rPr>
        <w:t xml:space="preserve">    </w:t>
      </w:r>
      <w:r>
        <w:rPr>
          <w:rFonts w:hint="eastAsia" w:ascii="宋体" w:hAnsi="宋体" w:cs="宋体"/>
          <w:kern w:val="0"/>
          <w:sz w:val="24"/>
          <w:highlight w:val="none"/>
        </w:rPr>
        <w:t>职称：</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4. </w:t>
      </w:r>
      <w:r>
        <w:rPr>
          <w:rFonts w:hint="eastAsia" w:ascii="宋体" w:hAnsi="宋体" w:cs="宋体"/>
          <w:kern w:val="0"/>
          <w:sz w:val="24"/>
          <w:highlight w:val="none"/>
        </w:rPr>
        <w:t>如果我方中标，我方将按照</w:t>
      </w:r>
      <w:r>
        <w:rPr>
          <w:rFonts w:hint="eastAsia" w:ascii="宋体" w:hAnsi="宋体" w:cs="宋体"/>
          <w:kern w:val="0"/>
          <w:sz w:val="24"/>
          <w:highlight w:val="none"/>
          <w:lang w:val="en-US" w:eastAsia="zh-CN"/>
        </w:rPr>
        <w:t>招标文件</w:t>
      </w:r>
      <w:r>
        <w:rPr>
          <w:rFonts w:hint="eastAsia" w:ascii="宋体" w:hAnsi="宋体" w:cs="宋体"/>
          <w:kern w:val="0"/>
          <w:sz w:val="24"/>
          <w:highlight w:val="none"/>
        </w:rPr>
        <w:t>规定，共同地和分别地承担责任。</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5. </w:t>
      </w:r>
      <w:r>
        <w:rPr>
          <w:rFonts w:hint="eastAsia" w:ascii="宋体" w:hAnsi="宋体" w:cs="宋体"/>
          <w:kern w:val="0"/>
          <w:sz w:val="24"/>
          <w:highlight w:val="none"/>
        </w:rPr>
        <w:t>我方承诺在本投标文件有效期内，本投标函对我方具有约束力，并随时接受中标。</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r>
        <w:rPr>
          <w:rFonts w:ascii="宋体" w:hAnsi="宋体"/>
          <w:kern w:val="0"/>
          <w:sz w:val="24"/>
          <w:highlight w:val="none"/>
        </w:rPr>
        <w:t xml:space="preserve">6. </w:t>
      </w:r>
      <w:r>
        <w:rPr>
          <w:rFonts w:hint="eastAsia" w:ascii="宋体" w:hAnsi="宋体" w:cs="宋体"/>
          <w:kern w:val="0"/>
          <w:sz w:val="24"/>
          <w:highlight w:val="none"/>
        </w:rPr>
        <w:t>在合同协议书正式签署生效之前，本投标函连同你方的中标通知书将构成我们双方之间共同遵守的文件，对双方具有约束力。</w:t>
      </w:r>
      <w:r>
        <w:rPr>
          <w:rFonts w:ascii="宋体" w:hAnsi="宋体" w:cs="宋体"/>
          <w:kern w:val="0"/>
          <w:sz w:val="24"/>
          <w:highlight w:val="none"/>
        </w:rPr>
        <w:t xml:space="preserve"> </w:t>
      </w:r>
    </w:p>
    <w:p>
      <w:pPr>
        <w:autoSpaceDE w:val="0"/>
        <w:autoSpaceDN w:val="0"/>
        <w:spacing w:line="360" w:lineRule="auto"/>
        <w:ind w:firstLine="480" w:firstLineChars="200"/>
        <w:jc w:val="left"/>
        <w:rPr>
          <w:rFonts w:ascii="宋体" w:cs="宋体"/>
          <w:kern w:val="0"/>
          <w:sz w:val="24"/>
          <w:highlight w:val="none"/>
        </w:rPr>
      </w:pPr>
    </w:p>
    <w:p>
      <w:pPr>
        <w:spacing w:line="360" w:lineRule="auto"/>
        <w:ind w:firstLine="4600" w:firstLineChars="2000"/>
        <w:rPr>
          <w:rFonts w:ascii="宋体" w:cs="宋体"/>
          <w:kern w:val="0"/>
          <w:sz w:val="23"/>
          <w:szCs w:val="23"/>
          <w:highlight w:val="none"/>
        </w:rPr>
      </w:pPr>
    </w:p>
    <w:p>
      <w:pPr>
        <w:spacing w:line="360" w:lineRule="auto"/>
        <w:ind w:firstLine="3254" w:firstLineChars="1356"/>
        <w:rPr>
          <w:rFonts w:ascii="宋体" w:cs="宋体"/>
          <w:kern w:val="0"/>
          <w:sz w:val="24"/>
          <w:highlight w:val="none"/>
        </w:rPr>
      </w:pPr>
    </w:p>
    <w:p>
      <w:pPr>
        <w:spacing w:line="360" w:lineRule="auto"/>
        <w:ind w:firstLine="3254" w:firstLineChars="1356"/>
        <w:rPr>
          <w:rFonts w:ascii="宋体"/>
          <w:kern w:val="0"/>
          <w:sz w:val="24"/>
          <w:highlight w:val="none"/>
        </w:rPr>
      </w:pPr>
      <w:r>
        <w:rPr>
          <w:rFonts w:hint="eastAsia" w:ascii="宋体" w:hAnsi="宋体" w:cs="宋体"/>
          <w:kern w:val="0"/>
          <w:sz w:val="24"/>
          <w:highlight w:val="none"/>
          <w:lang w:eastAsia="zh-CN"/>
        </w:rPr>
        <w:t>报价人</w:t>
      </w:r>
      <w:r>
        <w:rPr>
          <w:rFonts w:hint="eastAsia" w:ascii="宋体" w:hAnsi="宋体" w:cs="宋体"/>
          <w:kern w:val="0"/>
          <w:sz w:val="24"/>
          <w:highlight w:val="none"/>
        </w:rPr>
        <w:t>：</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ascii="宋体" w:hAnsi="宋体"/>
          <w:kern w:val="0"/>
          <w:sz w:val="24"/>
          <w:highlight w:val="none"/>
        </w:rPr>
        <w:t>(</w:t>
      </w:r>
      <w:r>
        <w:rPr>
          <w:rFonts w:hint="eastAsia" w:ascii="宋体" w:hAnsi="宋体" w:cs="宋体"/>
          <w:kern w:val="0"/>
          <w:sz w:val="24"/>
          <w:highlight w:val="none"/>
        </w:rPr>
        <w:t>盖单位章</w:t>
      </w:r>
      <w:r>
        <w:rPr>
          <w:rFonts w:ascii="宋体" w:hAnsi="宋体"/>
          <w:kern w:val="0"/>
          <w:sz w:val="24"/>
          <w:highlight w:val="none"/>
        </w:rPr>
        <w:t xml:space="preserve">) </w:t>
      </w:r>
    </w:p>
    <w:p>
      <w:pPr>
        <w:spacing w:line="360" w:lineRule="auto"/>
        <w:ind w:firstLine="3254" w:firstLineChars="1356"/>
        <w:rPr>
          <w:rFonts w:ascii="宋体" w:cs="宋体"/>
          <w:kern w:val="0"/>
          <w:sz w:val="24"/>
          <w:highlight w:val="none"/>
          <w:u w:val="single"/>
        </w:rPr>
      </w:pPr>
      <w:r>
        <w:rPr>
          <w:rFonts w:hint="eastAsia" w:ascii="宋体" w:hAnsi="宋体" w:cs="宋体"/>
          <w:kern w:val="0"/>
          <w:sz w:val="24"/>
          <w:highlight w:val="none"/>
        </w:rPr>
        <w:t>法定代表人或其委托代理人：</w:t>
      </w:r>
      <w:r>
        <w:rPr>
          <w:rFonts w:ascii="宋体" w:hAnsi="宋体" w:cs="宋体"/>
          <w:kern w:val="0"/>
          <w:sz w:val="24"/>
          <w:highlight w:val="none"/>
          <w:u w:val="single"/>
        </w:rPr>
        <w:t xml:space="preserve">      </w:t>
      </w:r>
      <w:r>
        <w:rPr>
          <w:rFonts w:hint="eastAsia" w:ascii="宋体" w:hAnsi="宋体" w:cs="宋体"/>
          <w:kern w:val="0"/>
          <w:sz w:val="24"/>
          <w:highlight w:val="none"/>
        </w:rPr>
        <w:t>（签字）</w:t>
      </w:r>
    </w:p>
    <w:p>
      <w:pPr>
        <w:spacing w:line="360" w:lineRule="auto"/>
        <w:ind w:firstLine="3254" w:firstLineChars="1356"/>
        <w:rPr>
          <w:rFonts w:ascii="宋体" w:cs="宋体"/>
          <w:kern w:val="0"/>
          <w:sz w:val="24"/>
          <w:highlight w:val="none"/>
          <w:u w:val="single"/>
        </w:rPr>
      </w:pPr>
      <w:r>
        <w:rPr>
          <w:rFonts w:hint="eastAsia" w:ascii="宋体" w:hAnsi="宋体" w:cs="宋体"/>
          <w:kern w:val="0"/>
          <w:sz w:val="24"/>
          <w:highlight w:val="none"/>
        </w:rPr>
        <w:t>地址：</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网址：</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电话：</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传真：</w:t>
      </w:r>
      <w:r>
        <w:rPr>
          <w:rFonts w:ascii="宋体" w:hAnsi="宋体" w:cs="宋体"/>
          <w:kern w:val="0"/>
          <w:sz w:val="24"/>
          <w:highlight w:val="none"/>
          <w:u w:val="single"/>
        </w:rPr>
        <w:t xml:space="preserve">                          </w:t>
      </w:r>
    </w:p>
    <w:p>
      <w:pPr>
        <w:spacing w:line="360" w:lineRule="auto"/>
        <w:ind w:firstLine="3254" w:firstLineChars="1356"/>
        <w:rPr>
          <w:rFonts w:ascii="宋体" w:cs="宋体"/>
          <w:kern w:val="0"/>
          <w:sz w:val="24"/>
          <w:highlight w:val="none"/>
        </w:rPr>
      </w:pPr>
      <w:r>
        <w:rPr>
          <w:rFonts w:hint="eastAsia" w:ascii="宋体" w:hAnsi="宋体" w:cs="宋体"/>
          <w:kern w:val="0"/>
          <w:sz w:val="24"/>
          <w:highlight w:val="none"/>
        </w:rPr>
        <w:t>邮政编码：</w:t>
      </w:r>
      <w:r>
        <w:rPr>
          <w:rFonts w:ascii="宋体" w:hAnsi="宋体" w:cs="宋体"/>
          <w:kern w:val="0"/>
          <w:sz w:val="24"/>
          <w:highlight w:val="none"/>
          <w:u w:val="single"/>
        </w:rPr>
        <w:t xml:space="preserve">                      </w:t>
      </w:r>
    </w:p>
    <w:p>
      <w:pPr>
        <w:spacing w:line="360" w:lineRule="auto"/>
        <w:ind w:firstLine="4814" w:firstLineChars="2006"/>
        <w:rPr>
          <w:rFonts w:ascii="宋体" w:hAnsi="宋体" w:cs="宋体"/>
          <w:kern w:val="0"/>
          <w:sz w:val="24"/>
          <w:highlight w:val="none"/>
          <w:u w:val="single"/>
        </w:rPr>
      </w:pPr>
    </w:p>
    <w:p>
      <w:pPr>
        <w:spacing w:line="360" w:lineRule="auto"/>
        <w:ind w:firstLine="4814" w:firstLineChars="2006"/>
        <w:rPr>
          <w:rFonts w:hint="eastAsia" w:ascii="宋体" w:hAnsi="宋体" w:cs="宋体"/>
          <w:kern w:val="0"/>
          <w:sz w:val="24"/>
          <w:highlight w:val="none"/>
        </w:rPr>
      </w:pPr>
      <w:r>
        <w:rPr>
          <w:rFonts w:ascii="宋体" w:hAnsi="宋体" w:cs="宋体"/>
          <w:kern w:val="0"/>
          <w:sz w:val="24"/>
          <w:highlight w:val="none"/>
          <w:u w:val="single"/>
        </w:rPr>
        <w:t xml:space="preserve">      </w:t>
      </w:r>
      <w:r>
        <w:rPr>
          <w:rFonts w:hint="eastAsia" w:ascii="宋体" w:hAnsi="宋体" w:cs="宋体"/>
          <w:kern w:val="0"/>
          <w:sz w:val="24"/>
          <w:highlight w:val="none"/>
        </w:rPr>
        <w:t>年</w:t>
      </w:r>
      <w:r>
        <w:rPr>
          <w:rFonts w:ascii="宋体" w:hAnsi="宋体" w:cs="宋体"/>
          <w:kern w:val="0"/>
          <w:sz w:val="24"/>
          <w:highlight w:val="none"/>
          <w:u w:val="single"/>
        </w:rPr>
        <w:t xml:space="preserve">   </w:t>
      </w:r>
      <w:r>
        <w:rPr>
          <w:rFonts w:ascii="宋体" w:hAnsi="宋体" w:cs="宋体"/>
          <w:kern w:val="0"/>
          <w:sz w:val="24"/>
          <w:highlight w:val="none"/>
        </w:rPr>
        <w:t xml:space="preserve"> </w:t>
      </w:r>
      <w:r>
        <w:rPr>
          <w:rFonts w:hint="eastAsia" w:ascii="宋体" w:hAnsi="宋体" w:cs="宋体"/>
          <w:kern w:val="0"/>
          <w:sz w:val="24"/>
          <w:highlight w:val="none"/>
        </w:rPr>
        <w:t>月</w:t>
      </w:r>
      <w:r>
        <w:rPr>
          <w:rFonts w:ascii="宋体" w:hAnsi="宋体" w:cs="宋体"/>
          <w:kern w:val="0"/>
          <w:sz w:val="24"/>
          <w:highlight w:val="none"/>
          <w:u w:val="single"/>
        </w:rPr>
        <w:t xml:space="preserve">   </w:t>
      </w:r>
      <w:r>
        <w:rPr>
          <w:rFonts w:hint="eastAsia" w:ascii="宋体" w:hAnsi="宋体" w:cs="宋体"/>
          <w:kern w:val="0"/>
          <w:sz w:val="24"/>
          <w:highlight w:val="none"/>
        </w:rPr>
        <w:t>日</w:t>
      </w:r>
    </w:p>
    <w:p>
      <w:pPr>
        <w:spacing w:line="360" w:lineRule="auto"/>
        <w:ind w:firstLine="4814" w:firstLineChars="2006"/>
        <w:rPr>
          <w:rFonts w:hint="eastAsia" w:ascii="宋体" w:hAnsi="宋体" w:cs="宋体"/>
          <w:kern w:val="0"/>
          <w:sz w:val="24"/>
          <w:highlight w:val="none"/>
        </w:rPr>
      </w:pP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rPr>
        <w:t>（二）法定代表人身份证明</w:t>
      </w:r>
    </w:p>
    <w:p>
      <w:pPr>
        <w:spacing w:line="360" w:lineRule="auto"/>
        <w:rPr>
          <w:rFonts w:ascii="宋体" w:hAnsi="宋体"/>
          <w:szCs w:val="21"/>
          <w:highlight w:val="none"/>
        </w:rPr>
      </w:pPr>
      <w:r>
        <w:rPr>
          <w:rFonts w:hint="eastAsia" w:ascii="宋体" w:hAnsi="宋体"/>
          <w:szCs w:val="21"/>
          <w:highlight w:val="none"/>
          <w:lang w:eastAsia="zh-CN"/>
        </w:rPr>
        <w:t>报价人</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Ansi="宋体"/>
          <w:szCs w:val="21"/>
          <w:highlight w:val="none"/>
        </w:rPr>
      </w:pPr>
      <w:r>
        <w:rPr>
          <w:rFonts w:ascii="宋体" w:hAnsi="宋体"/>
          <w:szCs w:val="21"/>
          <w:highlight w:val="none"/>
        </w:rPr>
        <w:t>单位性质：</w:t>
      </w:r>
      <w:r>
        <w:rPr>
          <w:rFonts w:ascii="宋体" w:hAnsi="宋体"/>
          <w:szCs w:val="21"/>
          <w:highlight w:val="none"/>
          <w:u w:val="single"/>
        </w:rPr>
        <w:t xml:space="preserve">                               </w:t>
      </w:r>
      <w:r>
        <w:rPr>
          <w:rFonts w:ascii="宋体" w:hAnsi="宋体"/>
          <w:szCs w:val="21"/>
          <w:highlight w:val="none"/>
        </w:rPr>
        <w:t xml:space="preserve"> </w:t>
      </w:r>
    </w:p>
    <w:p>
      <w:pPr>
        <w:spacing w:line="360" w:lineRule="auto"/>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成立时间：</w:t>
      </w:r>
      <w:r>
        <w:rPr>
          <w:rFonts w:ascii="宋体" w:hAnsi="宋体"/>
          <w:szCs w:val="21"/>
          <w:highlight w:val="none"/>
          <w:u w:val="single"/>
        </w:rPr>
        <w:t xml:space="preserve">         </w:t>
      </w:r>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 xml:space="preserve"> 月</w:t>
      </w:r>
      <w:r>
        <w:rPr>
          <w:rFonts w:ascii="宋体" w:hAnsi="宋体"/>
          <w:szCs w:val="21"/>
          <w:highlight w:val="none"/>
          <w:u w:val="single"/>
        </w:rPr>
        <w:t xml:space="preserve">       </w:t>
      </w:r>
      <w:r>
        <w:rPr>
          <w:rFonts w:ascii="宋体" w:hAnsi="宋体"/>
          <w:szCs w:val="21"/>
          <w:highlight w:val="none"/>
        </w:rPr>
        <w:t xml:space="preserve"> 日</w:t>
      </w:r>
    </w:p>
    <w:p>
      <w:pPr>
        <w:spacing w:line="360" w:lineRule="auto"/>
        <w:rPr>
          <w:rFonts w:ascii="宋体" w:hAnsi="宋体"/>
          <w:szCs w:val="21"/>
          <w:highlight w:val="none"/>
        </w:rPr>
      </w:pPr>
      <w:r>
        <w:rPr>
          <w:rFonts w:ascii="宋体" w:hAnsi="宋体"/>
          <w:szCs w:val="21"/>
          <w:highlight w:val="none"/>
        </w:rPr>
        <w:t>经营期限：</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姓名：</w:t>
      </w:r>
      <w:r>
        <w:rPr>
          <w:rFonts w:hint="eastAsia" w:ascii="宋体" w:hAnsi="宋体"/>
          <w:szCs w:val="21"/>
          <w:highlight w:val="none"/>
          <w:u w:val="single"/>
        </w:rPr>
        <w:t>（法定代表人签字）</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pPr>
        <w:spacing w:line="360" w:lineRule="auto"/>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报价人</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pPr>
        <w:spacing w:line="360" w:lineRule="auto"/>
        <w:ind w:firstLine="420" w:firstLineChars="200"/>
        <w:rPr>
          <w:rFonts w:ascii="宋体" w:hAnsi="宋体"/>
          <w:szCs w:val="21"/>
          <w:highlight w:val="none"/>
        </w:rPr>
      </w:pPr>
      <w:r>
        <w:rPr>
          <w:rFonts w:ascii="宋体" w:hAnsi="宋体"/>
          <w:szCs w:val="21"/>
          <w:highlight w:val="none"/>
        </w:rPr>
        <w:t>特此证明。</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hint="eastAsia" w:ascii="宋体" w:hAnsi="宋体"/>
          <w:szCs w:val="21"/>
          <w:highlight w:val="none"/>
          <w:lang w:eastAsia="zh-CN"/>
        </w:rPr>
        <w:t>报价人</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w:t>
      </w:r>
      <w:r>
        <w:rPr>
          <w:rFonts w:hint="eastAsia" w:ascii="宋体" w:hAnsi="宋体"/>
          <w:szCs w:val="21"/>
          <w:highlight w:val="none"/>
        </w:rPr>
        <w:t>公章</w:t>
      </w:r>
      <w:r>
        <w:rPr>
          <w:rFonts w:ascii="宋体" w:hAnsi="宋体"/>
          <w:szCs w:val="21"/>
          <w:highlight w:val="none"/>
        </w:rPr>
        <w:t>）</w:t>
      </w:r>
    </w:p>
    <w:p>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pPr>
        <w:spacing w:line="360" w:lineRule="auto"/>
        <w:ind w:firstLine="105" w:firstLineChars="50"/>
        <w:rPr>
          <w:rFonts w:ascii="宋体" w:hAnsi="宋体"/>
          <w:szCs w:val="21"/>
          <w:highlight w:val="none"/>
        </w:rPr>
      </w:pPr>
    </w:p>
    <w:p>
      <w:pPr>
        <w:spacing w:line="360" w:lineRule="auto"/>
        <w:ind w:firstLine="105" w:firstLineChars="50"/>
        <w:rPr>
          <w:rFonts w:ascii="宋体" w:hAnsi="宋体"/>
          <w:szCs w:val="21"/>
          <w:highlight w:val="none"/>
        </w:rPr>
      </w:pPr>
    </w:p>
    <w:p>
      <w:pPr>
        <w:spacing w:line="360" w:lineRule="auto"/>
        <w:ind w:left="738" w:hanging="738" w:hangingChars="350"/>
        <w:rPr>
          <w:rFonts w:ascii="宋体" w:hAnsi="宋体"/>
          <w:b/>
          <w:szCs w:val="21"/>
          <w:highlight w:val="none"/>
        </w:rPr>
      </w:pPr>
      <w:r>
        <w:rPr>
          <w:rFonts w:hint="eastAsia" w:ascii="宋体" w:hAnsi="宋体"/>
          <w:b/>
          <w:szCs w:val="21"/>
          <w:highlight w:val="none"/>
        </w:rPr>
        <w:t>注：1. 法定代表人的签字必须是亲笔签字，不得使用印章、签名章或者其它电子制版签名代替；</w:t>
      </w:r>
    </w:p>
    <w:p>
      <w:pPr>
        <w:spacing w:line="360" w:lineRule="auto"/>
        <w:ind w:left="736" w:leftChars="200" w:hanging="316" w:hangingChars="150"/>
        <w:rPr>
          <w:rFonts w:ascii="宋体" w:hAnsi="宋体"/>
          <w:b/>
          <w:szCs w:val="21"/>
          <w:highlight w:val="none"/>
        </w:rPr>
      </w:pPr>
      <w:r>
        <w:rPr>
          <w:rFonts w:hint="eastAsia" w:ascii="宋体" w:hAnsi="宋体"/>
          <w:b/>
          <w:szCs w:val="21"/>
          <w:highlight w:val="none"/>
        </w:rPr>
        <w:t>2. 需附上法定代表人身份证复印件；</w:t>
      </w:r>
    </w:p>
    <w:p>
      <w:pPr>
        <w:spacing w:line="360" w:lineRule="auto"/>
        <w:ind w:left="736" w:leftChars="200" w:hanging="316" w:hangingChars="150"/>
        <w:rPr>
          <w:rFonts w:ascii="宋体" w:hAnsi="宋体"/>
          <w:b/>
          <w:szCs w:val="21"/>
          <w:highlight w:val="none"/>
        </w:rPr>
      </w:pPr>
      <w:r>
        <w:rPr>
          <w:rFonts w:hint="eastAsia" w:ascii="宋体" w:hAnsi="宋体"/>
          <w:b/>
          <w:szCs w:val="21"/>
          <w:highlight w:val="none"/>
        </w:rPr>
        <w:t>3. 如果由</w:t>
      </w:r>
      <w:r>
        <w:rPr>
          <w:rFonts w:hint="eastAsia" w:ascii="宋体" w:hAnsi="宋体"/>
          <w:b/>
          <w:szCs w:val="21"/>
          <w:highlight w:val="none"/>
          <w:lang w:eastAsia="zh-CN"/>
        </w:rPr>
        <w:t>报价人</w:t>
      </w:r>
      <w:r>
        <w:rPr>
          <w:rFonts w:hint="eastAsia" w:ascii="宋体" w:hAnsi="宋体"/>
          <w:b/>
          <w:szCs w:val="21"/>
          <w:highlight w:val="none"/>
        </w:rPr>
        <w:t>的法定代表人签署所有报价文件，则不需提交授权委托书。</w:t>
      </w:r>
    </w:p>
    <w:p>
      <w:pPr>
        <w:spacing w:line="360" w:lineRule="auto"/>
        <w:jc w:val="center"/>
        <w:rPr>
          <w:rFonts w:ascii="宋体" w:hAnsi="宋体"/>
          <w:b/>
          <w:sz w:val="28"/>
          <w:szCs w:val="28"/>
          <w:highlight w:val="none"/>
        </w:rPr>
      </w:pPr>
      <w:r>
        <w:rPr>
          <w:rFonts w:hint="eastAsia" w:ascii="宋体" w:hAnsi="宋体"/>
          <w:b/>
          <w:szCs w:val="21"/>
          <w:highlight w:val="none"/>
        </w:rPr>
        <w:br w:type="page"/>
      </w:r>
      <w:bookmarkStart w:id="29" w:name="_Toc152042581"/>
      <w:bookmarkStart w:id="30" w:name="_Toc144974861"/>
      <w:bookmarkStart w:id="31" w:name="_Toc152045792"/>
      <w:r>
        <w:rPr>
          <w:rFonts w:hint="eastAsia" w:eastAsia="黑体"/>
          <w:b/>
          <w:sz w:val="30"/>
          <w:szCs w:val="30"/>
          <w:highlight w:val="none"/>
        </w:rPr>
        <w:t>（三）授权委托书</w:t>
      </w:r>
      <w:bookmarkEnd w:id="29"/>
      <w:bookmarkEnd w:id="30"/>
      <w:bookmarkEnd w:id="31"/>
    </w:p>
    <w:p>
      <w:pPr>
        <w:spacing w:line="360" w:lineRule="auto"/>
        <w:rPr>
          <w:rFonts w:ascii="宋体" w:hAnsi="宋体"/>
          <w:szCs w:val="21"/>
          <w:highlight w:val="none"/>
        </w:rPr>
      </w:pPr>
    </w:p>
    <w:p>
      <w:pPr>
        <w:topLinePunct/>
        <w:spacing w:line="360" w:lineRule="auto"/>
        <w:ind w:firstLine="420" w:firstLineChars="200"/>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lang w:eastAsia="zh-CN"/>
        </w:rPr>
        <w:t>报价人</w:t>
      </w:r>
      <w:r>
        <w:rPr>
          <w:rFonts w:ascii="宋体" w:hAnsi="宋体"/>
          <w:szCs w:val="21"/>
          <w:highlight w:val="none"/>
        </w:rPr>
        <w:t>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hint="eastAsia" w:ascii="宋体" w:hAnsi="宋体"/>
          <w:b/>
          <w:bCs/>
          <w:szCs w:val="21"/>
          <w:highlight w:val="none"/>
          <w:u w:val="single"/>
          <w:lang w:val="en-US" w:eastAsia="zh-CN"/>
        </w:rPr>
        <w:t>重庆成渝垫丰武高速公路有限公司造价</w:t>
      </w:r>
      <w:r>
        <w:rPr>
          <w:rFonts w:hint="eastAsia" w:ascii="宋体" w:hAnsi="宋体"/>
          <w:b/>
          <w:bCs/>
          <w:szCs w:val="21"/>
          <w:highlight w:val="none"/>
          <w:u w:val="single"/>
          <w:lang w:eastAsia="zh-CN"/>
        </w:rPr>
        <w:t>咨询服务</w:t>
      </w:r>
      <w:r>
        <w:rPr>
          <w:rFonts w:hint="eastAsia" w:ascii="宋体" w:hAnsi="宋体"/>
          <w:b/>
          <w:bCs/>
          <w:szCs w:val="21"/>
          <w:highlight w:val="none"/>
          <w:u w:val="single"/>
        </w:rPr>
        <w:t>竞争性比选文件</w:t>
      </w:r>
      <w:r>
        <w:rPr>
          <w:rFonts w:hint="eastAsia" w:ascii="宋体" w:hAnsi="宋体"/>
          <w:szCs w:val="21"/>
          <w:highlight w:val="none"/>
        </w:rPr>
        <w:t>相关报价资料</w:t>
      </w:r>
      <w:r>
        <w:rPr>
          <w:rFonts w:ascii="宋体" w:hAnsi="宋体"/>
          <w:szCs w:val="21"/>
          <w:highlight w:val="none"/>
        </w:rPr>
        <w:t>、</w:t>
      </w:r>
      <w:r>
        <w:rPr>
          <w:rFonts w:hint="eastAsia" w:ascii="宋体" w:hAnsi="宋体"/>
          <w:szCs w:val="21"/>
          <w:highlight w:val="none"/>
        </w:rPr>
        <w:t>编制</w:t>
      </w:r>
      <w:r>
        <w:rPr>
          <w:rFonts w:ascii="宋体" w:hAnsi="宋体"/>
          <w:szCs w:val="21"/>
          <w:highlight w:val="none"/>
        </w:rPr>
        <w:t>合同和处理有关事宜，其法律后果由我方承担。</w:t>
      </w:r>
    </w:p>
    <w:p>
      <w:pPr>
        <w:spacing w:line="360" w:lineRule="auto"/>
        <w:rPr>
          <w:rFonts w:ascii="宋体" w:hAnsi="宋体"/>
          <w:szCs w:val="21"/>
          <w:highlight w:val="none"/>
        </w:rPr>
      </w:pPr>
      <w:r>
        <w:rPr>
          <w:rFonts w:ascii="宋体" w:hAnsi="宋体"/>
          <w:szCs w:val="21"/>
          <w:highlight w:val="none"/>
        </w:rPr>
        <w:t xml:space="preserve">    委托期限：</w:t>
      </w:r>
      <w:r>
        <w:rPr>
          <w:rFonts w:hint="eastAsia" w:ascii="宋体" w:hAnsi="宋体"/>
          <w:szCs w:val="21"/>
          <w:highlight w:val="none"/>
          <w:u w:val="single"/>
        </w:rPr>
        <w:t>本项目报价有效期内</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ascii="宋体" w:hAnsi="宋体"/>
          <w:szCs w:val="21"/>
          <w:highlight w:val="none"/>
        </w:rPr>
        <w:t>代理人无转委托权。</w:t>
      </w:r>
    </w:p>
    <w:p>
      <w:pPr>
        <w:spacing w:line="360" w:lineRule="auto"/>
        <w:ind w:firstLine="420" w:firstLineChars="200"/>
        <w:rPr>
          <w:rFonts w:ascii="宋体" w:hAnsi="宋体"/>
          <w:szCs w:val="21"/>
          <w:highlight w:val="none"/>
        </w:rPr>
      </w:pPr>
      <w:r>
        <w:rPr>
          <w:rFonts w:hint="eastAsia" w:ascii="宋体" w:hAnsi="宋体"/>
          <w:szCs w:val="21"/>
          <w:highlight w:val="none"/>
        </w:rPr>
        <w:t>附：法定代表人身份证明</w:t>
      </w:r>
    </w:p>
    <w:p>
      <w:pPr>
        <w:spacing w:line="360" w:lineRule="auto"/>
        <w:rPr>
          <w:rFonts w:ascii="宋体" w:hAnsi="宋体"/>
          <w:szCs w:val="21"/>
          <w:highlight w:val="none"/>
        </w:rPr>
      </w:pPr>
    </w:p>
    <w:p>
      <w:pPr>
        <w:spacing w:line="360" w:lineRule="auto"/>
        <w:ind w:firstLine="2520" w:firstLineChars="1200"/>
        <w:rPr>
          <w:rFonts w:ascii="宋体" w:hAnsi="宋体"/>
          <w:szCs w:val="21"/>
          <w:highlight w:val="none"/>
        </w:rPr>
      </w:pPr>
      <w:r>
        <w:rPr>
          <w:rFonts w:hint="eastAsia" w:ascii="宋体" w:hAnsi="宋体"/>
          <w:szCs w:val="21"/>
          <w:highlight w:val="none"/>
          <w:lang w:eastAsia="zh-CN"/>
        </w:rPr>
        <w:t>报价人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（盖单位</w:t>
      </w:r>
      <w:r>
        <w:rPr>
          <w:rFonts w:hint="eastAsia" w:ascii="宋体" w:hAnsi="宋体"/>
          <w:szCs w:val="21"/>
          <w:highlight w:val="none"/>
        </w:rPr>
        <w:t>公</w:t>
      </w:r>
      <w:r>
        <w:rPr>
          <w:rFonts w:ascii="宋体" w:hAnsi="宋体"/>
          <w:szCs w:val="21"/>
          <w:highlight w:val="none"/>
        </w:rPr>
        <w:t>章）</w:t>
      </w:r>
    </w:p>
    <w:p>
      <w:pPr>
        <w:spacing w:line="360" w:lineRule="auto"/>
        <w:ind w:firstLine="2520" w:firstLineChars="1200"/>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（签字）</w:t>
      </w:r>
    </w:p>
    <w:p>
      <w:pPr>
        <w:spacing w:line="360" w:lineRule="auto"/>
        <w:ind w:firstLine="2520" w:firstLineChars="1200"/>
        <w:rPr>
          <w:rFonts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520" w:firstLineChars="1200"/>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（签字） </w:t>
      </w:r>
    </w:p>
    <w:p>
      <w:pPr>
        <w:spacing w:line="360" w:lineRule="auto"/>
        <w:ind w:firstLine="2520" w:firstLineChars="1200"/>
        <w:rPr>
          <w:rFonts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rPr>
          <w:rFonts w:ascii="宋体" w:hAnsi="宋体"/>
          <w:szCs w:val="21"/>
          <w:highlight w:val="none"/>
        </w:rPr>
      </w:pPr>
    </w:p>
    <w:p>
      <w:pPr>
        <w:spacing w:line="360" w:lineRule="auto"/>
        <w:ind w:firstLine="4410" w:firstLineChars="2100"/>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snapToGrid w:val="0"/>
        <w:spacing w:after="120" w:line="360" w:lineRule="auto"/>
        <w:rPr>
          <w:rFonts w:ascii="宋体" w:hAnsi="宋体"/>
          <w:bCs/>
          <w:szCs w:val="21"/>
          <w:highlight w:val="none"/>
        </w:rPr>
      </w:pPr>
    </w:p>
    <w:p>
      <w:pPr>
        <w:snapToGrid w:val="0"/>
        <w:spacing w:after="120" w:line="360" w:lineRule="auto"/>
        <w:rPr>
          <w:rFonts w:ascii="宋体" w:hAnsi="宋体"/>
          <w:bCs/>
          <w:szCs w:val="21"/>
          <w:highlight w:val="none"/>
        </w:rPr>
      </w:pPr>
    </w:p>
    <w:p>
      <w:pPr>
        <w:snapToGrid w:val="0"/>
        <w:spacing w:after="120" w:line="360" w:lineRule="auto"/>
        <w:rPr>
          <w:highlight w:val="none"/>
        </w:rPr>
      </w:pPr>
      <w:r>
        <w:rPr>
          <w:rFonts w:hint="eastAsia" w:ascii="宋体" w:hAnsi="宋体"/>
          <w:b/>
          <w:bCs/>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ascii="宋体" w:hAnsi="宋体"/>
          <w:sz w:val="24"/>
          <w:highlight w:val="none"/>
        </w:rPr>
      </w:pPr>
    </w:p>
    <w:p>
      <w:pPr>
        <w:spacing w:line="360" w:lineRule="auto"/>
        <w:ind w:firstLine="5400" w:firstLineChars="2250"/>
        <w:rPr>
          <w:rFonts w:ascii="宋体" w:hAnsi="宋体"/>
          <w:sz w:val="24"/>
          <w:highlight w:val="none"/>
        </w:rPr>
      </w:pPr>
    </w:p>
    <w:p>
      <w:pPr>
        <w:spacing w:line="360" w:lineRule="auto"/>
        <w:ind w:firstLine="5400" w:firstLineChars="2250"/>
        <w:rPr>
          <w:rFonts w:ascii="宋体" w:hAnsi="宋体"/>
          <w:sz w:val="24"/>
          <w:highlight w:val="none"/>
        </w:rPr>
      </w:pPr>
    </w:p>
    <w:p>
      <w:pPr>
        <w:spacing w:line="360" w:lineRule="auto"/>
        <w:jc w:val="center"/>
        <w:rPr>
          <w:rFonts w:ascii="宋体" w:hAnsi="宋体"/>
          <w:b/>
          <w:szCs w:val="21"/>
          <w:highlight w:val="none"/>
        </w:rPr>
      </w:pPr>
    </w:p>
    <w:p>
      <w:pPr>
        <w:spacing w:line="360" w:lineRule="auto"/>
        <w:jc w:val="center"/>
        <w:rPr>
          <w:rFonts w:ascii="宋体" w:hAnsi="宋体"/>
          <w:b/>
          <w:szCs w:val="21"/>
          <w:highlight w:val="none"/>
        </w:rPr>
      </w:pPr>
    </w:p>
    <w:p>
      <w:pPr>
        <w:spacing w:line="360" w:lineRule="auto"/>
        <w:jc w:val="center"/>
        <w:rPr>
          <w:rFonts w:ascii="宋体" w:hAnsi="宋体"/>
          <w:b/>
          <w:szCs w:val="21"/>
          <w:highlight w:val="none"/>
        </w:rPr>
      </w:pPr>
    </w:p>
    <w:p>
      <w:pPr>
        <w:spacing w:line="360" w:lineRule="auto"/>
        <w:jc w:val="center"/>
        <w:rPr>
          <w:rFonts w:ascii="宋体" w:hAnsi="宋体"/>
          <w:b/>
          <w:szCs w:val="21"/>
          <w:highlight w:val="none"/>
        </w:rPr>
      </w:pP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rPr>
        <w:t>（四）资格审查资料</w:t>
      </w:r>
    </w:p>
    <w:p>
      <w:pPr>
        <w:topLinePunct/>
        <w:spacing w:line="360" w:lineRule="auto"/>
        <w:ind w:firstLine="420" w:firstLineChars="200"/>
        <w:rPr>
          <w:rFonts w:ascii="宋体" w:hAnsi="宋体"/>
          <w:szCs w:val="21"/>
          <w:highlight w:val="none"/>
        </w:rPr>
      </w:pPr>
    </w:p>
    <w:p>
      <w:pPr>
        <w:topLinePunct/>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lang w:eastAsia="zh-CN"/>
        </w:rPr>
        <w:t>报价人</w:t>
      </w:r>
      <w:r>
        <w:rPr>
          <w:rFonts w:hint="eastAsia" w:ascii="宋体" w:hAnsi="宋体"/>
          <w:szCs w:val="21"/>
          <w:highlight w:val="none"/>
        </w:rPr>
        <w:t>营业执照副本</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ind w:firstLine="422" w:firstLineChars="200"/>
        <w:rPr>
          <w:rFonts w:ascii="宋体" w:hAnsi="宋体"/>
          <w:b/>
          <w:bCs/>
          <w:szCs w:val="21"/>
          <w:highlight w:val="none"/>
        </w:rPr>
      </w:pPr>
      <w:r>
        <w:rPr>
          <w:rFonts w:hint="eastAsia" w:ascii="宋体" w:hAnsi="宋体"/>
          <w:b/>
          <w:bCs/>
          <w:szCs w:val="21"/>
          <w:highlight w:val="none"/>
        </w:rPr>
        <w:t>注：</w:t>
      </w:r>
      <w:r>
        <w:rPr>
          <w:rFonts w:hint="eastAsia" w:ascii="宋体" w:hAnsi="宋体"/>
          <w:b/>
          <w:bCs/>
          <w:szCs w:val="21"/>
          <w:highlight w:val="none"/>
          <w:lang w:eastAsia="zh-CN"/>
        </w:rPr>
        <w:t>报价人</w:t>
      </w:r>
      <w:r>
        <w:rPr>
          <w:rFonts w:hint="eastAsia" w:ascii="宋体" w:hAnsi="宋体"/>
          <w:b/>
          <w:bCs/>
          <w:szCs w:val="21"/>
          <w:highlight w:val="none"/>
        </w:rPr>
        <w:t>应提供有效的企业营业执照副本和组织机构代码证副本（按照</w:t>
      </w:r>
      <w:r>
        <w:rPr>
          <w:rFonts w:ascii="宋体" w:hAnsi="宋体"/>
          <w:b/>
          <w:bCs/>
          <w:szCs w:val="21"/>
          <w:highlight w:val="none"/>
        </w:rPr>
        <w:t>“</w:t>
      </w:r>
      <w:r>
        <w:rPr>
          <w:rFonts w:hint="eastAsia" w:ascii="宋体" w:hAnsi="宋体"/>
          <w:b/>
          <w:bCs/>
          <w:szCs w:val="21"/>
          <w:highlight w:val="none"/>
        </w:rPr>
        <w:t>三证合一</w:t>
      </w:r>
      <w:r>
        <w:rPr>
          <w:rFonts w:ascii="宋体" w:hAnsi="宋体"/>
          <w:b/>
          <w:bCs/>
          <w:szCs w:val="21"/>
          <w:highlight w:val="none"/>
        </w:rPr>
        <w:t>”</w:t>
      </w:r>
      <w:r>
        <w:rPr>
          <w:rFonts w:hint="eastAsia" w:ascii="宋体" w:hAnsi="宋体"/>
          <w:b/>
          <w:bCs/>
          <w:szCs w:val="21"/>
          <w:highlight w:val="none"/>
        </w:rPr>
        <w:t>或</w:t>
      </w:r>
      <w:r>
        <w:rPr>
          <w:rFonts w:ascii="宋体" w:hAnsi="宋体"/>
          <w:b/>
          <w:bCs/>
          <w:szCs w:val="21"/>
          <w:highlight w:val="none"/>
        </w:rPr>
        <w:t>“</w:t>
      </w:r>
      <w:r>
        <w:rPr>
          <w:rFonts w:hint="eastAsia" w:ascii="宋体" w:hAnsi="宋体"/>
          <w:b/>
          <w:bCs/>
          <w:szCs w:val="21"/>
          <w:highlight w:val="none"/>
        </w:rPr>
        <w:t>五证合一</w:t>
      </w:r>
      <w:r>
        <w:rPr>
          <w:rFonts w:ascii="宋体" w:hAnsi="宋体"/>
          <w:b/>
          <w:bCs/>
          <w:szCs w:val="21"/>
          <w:highlight w:val="none"/>
        </w:rPr>
        <w:t>”</w:t>
      </w:r>
      <w:r>
        <w:rPr>
          <w:rFonts w:hint="eastAsia" w:ascii="宋体" w:hAnsi="宋体"/>
          <w:b/>
          <w:bCs/>
          <w:szCs w:val="21"/>
          <w:highlight w:val="none"/>
        </w:rPr>
        <w:t>登记制度进行登记的，可仅提供营业执照副本）。资料要求均为清晰可辨的复印件。</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rPr>
        <w:t>（五）类似业绩汇总表</w:t>
      </w:r>
    </w:p>
    <w:tbl>
      <w:tblPr>
        <w:tblStyle w:val="13"/>
        <w:tblW w:w="8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vAlign w:val="center"/>
          </w:tcPr>
          <w:p>
            <w:pPr>
              <w:jc w:val="center"/>
              <w:rPr>
                <w:rFonts w:ascii="宋体" w:hAnsi="宋体"/>
                <w:highlight w:val="none"/>
              </w:rPr>
            </w:pPr>
            <w:r>
              <w:rPr>
                <w:rFonts w:hint="eastAsia" w:ascii="宋体" w:hAnsi="宋体"/>
                <w:highlight w:val="none"/>
              </w:rPr>
              <w:t>业绩名称</w:t>
            </w:r>
          </w:p>
        </w:tc>
        <w:tc>
          <w:tcPr>
            <w:tcW w:w="1559" w:type="dxa"/>
            <w:vAlign w:val="center"/>
          </w:tcPr>
          <w:p>
            <w:pPr>
              <w:jc w:val="center"/>
              <w:rPr>
                <w:rFonts w:ascii="宋体" w:hAnsi="宋体"/>
                <w:highlight w:val="none"/>
              </w:rPr>
            </w:pPr>
            <w:r>
              <w:rPr>
                <w:rFonts w:hint="eastAsia" w:ascii="宋体" w:hAnsi="宋体"/>
                <w:highlight w:val="none"/>
              </w:rPr>
              <w:t>合同金额</w:t>
            </w:r>
          </w:p>
        </w:tc>
        <w:tc>
          <w:tcPr>
            <w:tcW w:w="1843" w:type="dxa"/>
            <w:vAlign w:val="center"/>
          </w:tcPr>
          <w:p>
            <w:pPr>
              <w:jc w:val="center"/>
              <w:rPr>
                <w:rFonts w:ascii="宋体" w:hAnsi="宋体"/>
                <w:highlight w:val="none"/>
              </w:rPr>
            </w:pPr>
            <w:r>
              <w:rPr>
                <w:rFonts w:hint="eastAsia" w:ascii="宋体" w:hAnsi="宋体"/>
                <w:highlight w:val="none"/>
              </w:rPr>
              <w:t>工作内容</w:t>
            </w:r>
          </w:p>
        </w:tc>
        <w:tc>
          <w:tcPr>
            <w:tcW w:w="1843" w:type="dxa"/>
            <w:vAlign w:val="center"/>
          </w:tcPr>
          <w:p>
            <w:pPr>
              <w:jc w:val="center"/>
              <w:rPr>
                <w:rFonts w:ascii="宋体" w:hAnsi="宋体"/>
                <w:highlight w:val="none"/>
              </w:rPr>
            </w:pPr>
            <w:r>
              <w:rPr>
                <w:rFonts w:hint="eastAsia" w:ascii="宋体" w:hAnsi="宋体"/>
                <w:highlight w:val="none"/>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vAlign w:val="center"/>
          </w:tcPr>
          <w:p>
            <w:pPr>
              <w:jc w:val="left"/>
              <w:rPr>
                <w:rFonts w:ascii="宋体" w:hAnsi="宋体"/>
                <w:highlight w:val="none"/>
              </w:rPr>
            </w:pPr>
            <w:r>
              <w:rPr>
                <w:rFonts w:hint="eastAsia" w:ascii="宋体" w:hAnsi="宋体"/>
                <w:highlight w:val="none"/>
              </w:rPr>
              <w:t>1、</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宋体" w:hAnsi="宋体"/>
                <w:highlight w:val="none"/>
              </w:rPr>
            </w:pPr>
            <w:r>
              <w:rPr>
                <w:rFonts w:hint="eastAsia" w:ascii="宋体" w:hAnsi="宋体"/>
                <w:highlight w:val="none"/>
              </w:rPr>
              <w:t>2、</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宋体" w:hAnsi="宋体"/>
                <w:highlight w:val="none"/>
              </w:rPr>
            </w:pPr>
            <w:r>
              <w:rPr>
                <w:rFonts w:hint="eastAsia" w:ascii="宋体" w:hAnsi="宋体"/>
                <w:highlight w:val="none"/>
              </w:rPr>
              <w:t>3、</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宋体" w:hAnsi="宋体"/>
                <w:highlight w:val="none"/>
              </w:rPr>
            </w:pPr>
            <w:r>
              <w:rPr>
                <w:rFonts w:hint="eastAsia" w:ascii="宋体" w:hAnsi="宋体"/>
                <w:highlight w:val="none"/>
              </w:rPr>
              <w:t>...</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宋体" w:hAnsi="宋体"/>
                <w:highlight w:val="none"/>
              </w:rPr>
            </w:pPr>
            <w:r>
              <w:rPr>
                <w:rFonts w:hint="eastAsia" w:ascii="宋体" w:hAnsi="宋体"/>
                <w:highlight w:val="none"/>
              </w:rPr>
              <w:t>...</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宋体" w:hAnsi="宋体"/>
                <w:highlight w:val="none"/>
              </w:rPr>
            </w:pPr>
            <w:r>
              <w:rPr>
                <w:rFonts w:hint="eastAsia" w:ascii="宋体" w:hAnsi="宋体"/>
                <w:highlight w:val="none"/>
              </w:rPr>
              <w:t>...</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vAlign w:val="center"/>
          </w:tcPr>
          <w:p>
            <w:pPr>
              <w:jc w:val="left"/>
              <w:rPr>
                <w:rFonts w:ascii="宋体" w:hAnsi="宋体"/>
                <w:highlight w:val="none"/>
              </w:rPr>
            </w:pPr>
            <w:r>
              <w:rPr>
                <w:rFonts w:hint="eastAsia" w:ascii="宋体" w:hAnsi="宋体"/>
                <w:highlight w:val="none"/>
              </w:rPr>
              <w:t>...</w:t>
            </w:r>
          </w:p>
        </w:tc>
        <w:tc>
          <w:tcPr>
            <w:tcW w:w="1559"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c>
          <w:tcPr>
            <w:tcW w:w="1843" w:type="dxa"/>
            <w:vAlign w:val="center"/>
          </w:tcPr>
          <w:p>
            <w:pPr>
              <w:jc w:val="center"/>
              <w:rPr>
                <w:rFonts w:ascii="宋体" w:hAnsi="宋体"/>
                <w:highlight w:val="none"/>
              </w:rPr>
            </w:pPr>
          </w:p>
        </w:tc>
      </w:tr>
    </w:tbl>
    <w:p>
      <w:pPr>
        <w:spacing w:before="93" w:beforeLines="30" w:line="320" w:lineRule="exact"/>
        <w:rPr>
          <w:rFonts w:ascii="宋体" w:hAnsi="宋体"/>
          <w:szCs w:val="21"/>
          <w:highlight w:val="none"/>
        </w:rPr>
      </w:pPr>
      <w:r>
        <w:rPr>
          <w:rFonts w:hint="eastAsia" w:ascii="宋体" w:hAnsi="宋体"/>
          <w:szCs w:val="21"/>
          <w:highlight w:val="none"/>
        </w:rPr>
        <w:t>注：</w:t>
      </w:r>
      <w:r>
        <w:rPr>
          <w:rFonts w:ascii="宋体" w:hAnsi="宋体"/>
          <w:szCs w:val="21"/>
          <w:highlight w:val="none"/>
        </w:rPr>
        <w:t>1</w:t>
      </w:r>
      <w:r>
        <w:rPr>
          <w:rFonts w:hint="eastAsia" w:ascii="宋体" w:hAnsi="宋体"/>
          <w:szCs w:val="21"/>
          <w:highlight w:val="none"/>
        </w:rPr>
        <w:t>、</w:t>
      </w:r>
      <w:r>
        <w:rPr>
          <w:rFonts w:hint="eastAsia" w:ascii="宋体" w:hAnsi="宋体"/>
          <w:szCs w:val="21"/>
          <w:highlight w:val="none"/>
          <w:lang w:eastAsia="zh-CN"/>
        </w:rPr>
        <w:t>报价人</w:t>
      </w:r>
      <w:r>
        <w:rPr>
          <w:rFonts w:hint="eastAsia" w:ascii="宋体" w:hAnsi="宋体"/>
          <w:szCs w:val="21"/>
          <w:highlight w:val="none"/>
        </w:rPr>
        <w:t>提供</w:t>
      </w:r>
      <w:r>
        <w:rPr>
          <w:rFonts w:hint="eastAsia" w:ascii="宋体" w:hAnsi="宋体"/>
          <w:szCs w:val="21"/>
          <w:highlight w:val="none"/>
          <w:lang w:eastAsia="zh-CN"/>
        </w:rPr>
        <w:t>201</w:t>
      </w:r>
      <w:r>
        <w:rPr>
          <w:rFonts w:hint="eastAsia" w:ascii="宋体" w:hAnsi="宋体"/>
          <w:szCs w:val="21"/>
          <w:highlight w:val="none"/>
          <w:lang w:val="en-US" w:eastAsia="zh-CN"/>
        </w:rPr>
        <w:t>8</w:t>
      </w:r>
      <w:r>
        <w:rPr>
          <w:rFonts w:hint="eastAsia" w:ascii="宋体" w:hAnsi="宋体"/>
          <w:szCs w:val="21"/>
          <w:highlight w:val="none"/>
          <w:lang w:eastAsia="zh-CN"/>
        </w:rPr>
        <w:t>年</w:t>
      </w:r>
      <w:r>
        <w:rPr>
          <w:rFonts w:hint="eastAsia" w:ascii="宋体" w:hAnsi="宋体"/>
          <w:szCs w:val="21"/>
          <w:highlight w:val="none"/>
        </w:rPr>
        <w:t>1月1日至今已完成的类似业绩填入本表中。</w:t>
      </w:r>
    </w:p>
    <w:p>
      <w:pPr>
        <w:spacing w:before="93" w:beforeLines="30" w:line="32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lang w:eastAsia="zh-CN"/>
        </w:rPr>
        <w:t>报价人</w:t>
      </w:r>
      <w:r>
        <w:rPr>
          <w:rFonts w:hint="eastAsia" w:ascii="宋体" w:hAnsi="宋体"/>
          <w:szCs w:val="21"/>
          <w:highlight w:val="none"/>
        </w:rPr>
        <w:t>所附的合同协议书应能反映本文件所要求的各项业绩指标（如道路等级、工作内容等），如不能反映以上业绩指标，则还需附委托人出具的业绩证明材料。且证明材料必须能反映本文件所要求的各项业绩指标。</w:t>
      </w:r>
    </w:p>
    <w:p>
      <w:pPr>
        <w:spacing w:before="93" w:beforeLines="30" w:line="320" w:lineRule="exact"/>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、如近年来，</w:t>
      </w:r>
      <w:r>
        <w:rPr>
          <w:rFonts w:hint="eastAsia" w:ascii="宋体" w:hAnsi="宋体"/>
          <w:szCs w:val="21"/>
          <w:highlight w:val="none"/>
          <w:lang w:eastAsia="zh-CN"/>
        </w:rPr>
        <w:t>报价人</w:t>
      </w:r>
      <w:r>
        <w:rPr>
          <w:rFonts w:hint="eastAsia" w:ascii="宋体" w:hAnsi="宋体"/>
          <w:szCs w:val="21"/>
          <w:highlight w:val="none"/>
        </w:rPr>
        <w:t>法人机构发生合法变更或重组或法人名称变更时，应提供相关部门的合法批件或其他相关证明材料来证明其所附业绩的继承性。</w:t>
      </w:r>
      <w:r>
        <w:rPr>
          <w:rFonts w:ascii="宋体" w:hAnsi="宋体"/>
          <w:szCs w:val="21"/>
          <w:highlight w:val="none"/>
        </w:rPr>
        <w:t xml:space="preserve"> </w:t>
      </w:r>
    </w:p>
    <w:p>
      <w:pPr>
        <w:spacing w:before="93" w:beforeLines="30" w:line="32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、以上文件均应加盖</w:t>
      </w:r>
      <w:r>
        <w:rPr>
          <w:rFonts w:hint="eastAsia" w:ascii="宋体" w:hAnsi="宋体"/>
          <w:szCs w:val="21"/>
          <w:highlight w:val="none"/>
          <w:lang w:eastAsia="zh-CN"/>
        </w:rPr>
        <w:t>报价人</w:t>
      </w:r>
      <w:r>
        <w:rPr>
          <w:rFonts w:hint="eastAsia" w:ascii="宋体" w:hAnsi="宋体"/>
          <w:szCs w:val="21"/>
          <w:highlight w:val="none"/>
        </w:rPr>
        <w:t>公章。</w:t>
      </w:r>
    </w:p>
    <w:p>
      <w:pPr>
        <w:spacing w:line="360" w:lineRule="auto"/>
        <w:rPr>
          <w:rFonts w:ascii="宋体" w:hAnsi="宋体"/>
          <w:sz w:val="24"/>
          <w:highlight w:val="none"/>
        </w:rPr>
      </w:pPr>
    </w:p>
    <w:p>
      <w:pPr>
        <w:keepNext/>
        <w:spacing w:before="312" w:beforeLines="100" w:line="360" w:lineRule="auto"/>
        <w:jc w:val="center"/>
        <w:outlineLvl w:val="1"/>
        <w:rPr>
          <w:rFonts w:eastAsia="黑体"/>
          <w:b/>
          <w:sz w:val="30"/>
          <w:szCs w:val="30"/>
          <w:highlight w:val="none"/>
        </w:rPr>
      </w:pPr>
    </w:p>
    <w:p>
      <w:pPr>
        <w:keepNext/>
        <w:spacing w:before="312" w:beforeLines="100" w:line="360" w:lineRule="auto"/>
        <w:jc w:val="center"/>
        <w:outlineLvl w:val="1"/>
        <w:rPr>
          <w:rFonts w:eastAsia="黑体"/>
          <w:b/>
          <w:sz w:val="30"/>
          <w:szCs w:val="30"/>
          <w:highlight w:val="none"/>
        </w:rPr>
      </w:pPr>
    </w:p>
    <w:p>
      <w:pPr>
        <w:keepNext/>
        <w:spacing w:before="312" w:beforeLines="100" w:line="360" w:lineRule="auto"/>
        <w:jc w:val="center"/>
        <w:outlineLvl w:val="1"/>
        <w:rPr>
          <w:rFonts w:eastAsia="黑体"/>
          <w:b/>
          <w:sz w:val="30"/>
          <w:szCs w:val="30"/>
          <w:highlight w:val="none"/>
        </w:rPr>
      </w:pPr>
    </w:p>
    <w:p>
      <w:pPr>
        <w:keepNext/>
        <w:spacing w:before="312" w:beforeLines="100" w:line="360" w:lineRule="auto"/>
        <w:jc w:val="center"/>
        <w:outlineLvl w:val="1"/>
        <w:rPr>
          <w:rFonts w:eastAsia="黑体"/>
          <w:b/>
          <w:sz w:val="30"/>
          <w:szCs w:val="30"/>
          <w:highlight w:val="none"/>
        </w:rPr>
      </w:pPr>
    </w:p>
    <w:p>
      <w:pPr>
        <w:topLinePunct/>
        <w:spacing w:before="156" w:beforeLines="50" w:after="156" w:afterLines="50" w:line="360" w:lineRule="auto"/>
        <w:jc w:val="center"/>
        <w:outlineLvl w:val="2"/>
        <w:rPr>
          <w:rFonts w:ascii="黑体" w:hAnsi="黑体" w:eastAsia="黑体"/>
          <w:b/>
          <w:sz w:val="24"/>
          <w:highlight w:val="none"/>
        </w:rPr>
      </w:pPr>
    </w:p>
    <w:p>
      <w:pPr>
        <w:topLinePunct/>
        <w:spacing w:before="156" w:beforeLines="50" w:after="156" w:afterLines="50" w:line="360" w:lineRule="auto"/>
        <w:jc w:val="center"/>
        <w:outlineLvl w:val="2"/>
        <w:rPr>
          <w:rFonts w:ascii="黑体" w:hAnsi="黑体" w:eastAsia="黑体"/>
          <w:b/>
          <w:sz w:val="24"/>
          <w:highlight w:val="none"/>
        </w:rPr>
      </w:pPr>
    </w:p>
    <w:p>
      <w:pPr>
        <w:topLinePunct/>
        <w:spacing w:before="156" w:beforeLines="50" w:after="156" w:afterLines="50" w:line="360" w:lineRule="auto"/>
        <w:jc w:val="center"/>
        <w:outlineLvl w:val="2"/>
        <w:rPr>
          <w:rFonts w:ascii="黑体" w:hAnsi="黑体" w:eastAsia="黑体"/>
          <w:b/>
          <w:sz w:val="24"/>
          <w:highlight w:val="none"/>
        </w:rPr>
      </w:pP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rPr>
        <w:t>（六）拟委任人员情况表</w:t>
      </w:r>
    </w:p>
    <w:p>
      <w:pPr>
        <w:topLinePunct/>
        <w:spacing w:before="156" w:beforeLines="50" w:after="156" w:afterLines="50" w:line="360" w:lineRule="auto"/>
        <w:jc w:val="center"/>
        <w:outlineLvl w:val="2"/>
        <w:rPr>
          <w:rFonts w:ascii="黑体" w:hAnsi="黑体" w:eastAsia="黑体"/>
          <w:b/>
          <w:sz w:val="24"/>
          <w:highlight w:val="none"/>
        </w:rPr>
      </w:pPr>
      <w:r>
        <w:rPr>
          <w:rFonts w:hint="eastAsia" w:ascii="黑体" w:hAnsi="黑体" w:eastAsia="黑体"/>
          <w:b/>
          <w:sz w:val="24"/>
          <w:highlight w:val="none"/>
        </w:rPr>
        <w:t>A、拟委任的主要人员汇总表</w:t>
      </w:r>
    </w:p>
    <w:tbl>
      <w:tblPr>
        <w:tblStyle w:val="13"/>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姓名</w:t>
            </w:r>
          </w:p>
        </w:tc>
        <w:tc>
          <w:tcPr>
            <w:tcW w:w="619"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年龄</w:t>
            </w:r>
          </w:p>
        </w:tc>
        <w:tc>
          <w:tcPr>
            <w:tcW w:w="1507"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专业</w:t>
            </w:r>
          </w:p>
        </w:tc>
        <w:tc>
          <w:tcPr>
            <w:tcW w:w="1418"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拟在本项目中担任的职务</w:t>
            </w:r>
          </w:p>
        </w:tc>
        <w:tc>
          <w:tcPr>
            <w:tcW w:w="1979"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技术职称或专业技术执业资格</w:t>
            </w:r>
          </w:p>
        </w:tc>
        <w:tc>
          <w:tcPr>
            <w:tcW w:w="540"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工作年限</w:t>
            </w:r>
          </w:p>
        </w:tc>
        <w:tc>
          <w:tcPr>
            <w:tcW w:w="1308" w:type="dxa"/>
            <w:tcBorders>
              <w:top w:val="single" w:color="auto" w:sz="8" w:space="0"/>
            </w:tcBorders>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sz w:val="24"/>
                <w:highlight w:val="none"/>
              </w:rPr>
            </w:pPr>
          </w:p>
        </w:tc>
        <w:tc>
          <w:tcPr>
            <w:tcW w:w="619" w:type="dxa"/>
            <w:tcMar>
              <w:left w:w="28" w:type="dxa"/>
              <w:right w:w="28" w:type="dxa"/>
            </w:tcMar>
            <w:vAlign w:val="center"/>
          </w:tcPr>
          <w:p>
            <w:pPr>
              <w:jc w:val="center"/>
              <w:rPr>
                <w:rFonts w:ascii="宋体"/>
                <w:sz w:val="24"/>
                <w:highlight w:val="none"/>
              </w:rPr>
            </w:pPr>
          </w:p>
        </w:tc>
        <w:tc>
          <w:tcPr>
            <w:tcW w:w="1507" w:type="dxa"/>
            <w:tcMar>
              <w:left w:w="28" w:type="dxa"/>
              <w:right w:w="28" w:type="dxa"/>
            </w:tcMar>
            <w:vAlign w:val="center"/>
          </w:tcPr>
          <w:p>
            <w:pPr>
              <w:jc w:val="center"/>
              <w:rPr>
                <w:rFonts w:ascii="宋体"/>
                <w:sz w:val="24"/>
                <w:highlight w:val="none"/>
              </w:rPr>
            </w:pPr>
          </w:p>
        </w:tc>
        <w:tc>
          <w:tcPr>
            <w:tcW w:w="1418" w:type="dxa"/>
            <w:tcMar>
              <w:left w:w="28" w:type="dxa"/>
              <w:right w:w="28" w:type="dxa"/>
            </w:tcMar>
            <w:vAlign w:val="center"/>
          </w:tcPr>
          <w:p>
            <w:pPr>
              <w:jc w:val="center"/>
              <w:rPr>
                <w:rFonts w:ascii="宋体"/>
                <w:sz w:val="24"/>
                <w:highlight w:val="none"/>
              </w:rPr>
            </w:pPr>
          </w:p>
        </w:tc>
        <w:tc>
          <w:tcPr>
            <w:tcW w:w="1979" w:type="dxa"/>
            <w:tcMar>
              <w:left w:w="28" w:type="dxa"/>
              <w:right w:w="28" w:type="dxa"/>
            </w:tcMar>
            <w:vAlign w:val="center"/>
          </w:tcPr>
          <w:p>
            <w:pPr>
              <w:jc w:val="center"/>
              <w:rPr>
                <w:rFonts w:ascii="宋体"/>
                <w:sz w:val="24"/>
                <w:highlight w:val="none"/>
              </w:rPr>
            </w:pPr>
          </w:p>
        </w:tc>
        <w:tc>
          <w:tcPr>
            <w:tcW w:w="540" w:type="dxa"/>
            <w:tcMar>
              <w:left w:w="28" w:type="dxa"/>
              <w:right w:w="28" w:type="dxa"/>
            </w:tcMar>
            <w:vAlign w:val="center"/>
          </w:tcPr>
          <w:p>
            <w:pPr>
              <w:jc w:val="center"/>
              <w:rPr>
                <w:rFonts w:ascii="宋体"/>
                <w:sz w:val="24"/>
                <w:highlight w:val="none"/>
              </w:rPr>
            </w:pPr>
          </w:p>
        </w:tc>
        <w:tc>
          <w:tcPr>
            <w:tcW w:w="1308" w:type="dxa"/>
            <w:tcMar>
              <w:left w:w="28" w:type="dxa"/>
              <w:right w:w="28" w:type="dxa"/>
            </w:tcMar>
            <w:vAlign w:val="center"/>
          </w:tcPr>
          <w:p>
            <w:pPr>
              <w:jc w:val="center"/>
              <w:rPr>
                <w:rFonts w:ascii="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宋体"/>
                <w:sz w:val="24"/>
                <w:highlight w:val="none"/>
              </w:rPr>
            </w:pPr>
          </w:p>
        </w:tc>
        <w:tc>
          <w:tcPr>
            <w:tcW w:w="619" w:type="dxa"/>
            <w:tcBorders>
              <w:bottom w:val="single" w:color="auto" w:sz="8" w:space="0"/>
            </w:tcBorders>
            <w:tcMar>
              <w:left w:w="28" w:type="dxa"/>
              <w:right w:w="28" w:type="dxa"/>
            </w:tcMar>
            <w:vAlign w:val="center"/>
          </w:tcPr>
          <w:p>
            <w:pPr>
              <w:jc w:val="center"/>
              <w:rPr>
                <w:rFonts w:ascii="宋体"/>
                <w:sz w:val="24"/>
                <w:highlight w:val="none"/>
              </w:rPr>
            </w:pPr>
          </w:p>
        </w:tc>
        <w:tc>
          <w:tcPr>
            <w:tcW w:w="1507" w:type="dxa"/>
            <w:tcBorders>
              <w:bottom w:val="single" w:color="auto" w:sz="8" w:space="0"/>
            </w:tcBorders>
            <w:tcMar>
              <w:left w:w="28" w:type="dxa"/>
              <w:right w:w="28" w:type="dxa"/>
            </w:tcMar>
            <w:vAlign w:val="center"/>
          </w:tcPr>
          <w:p>
            <w:pPr>
              <w:jc w:val="center"/>
              <w:rPr>
                <w:rFonts w:ascii="宋体"/>
                <w:sz w:val="24"/>
                <w:highlight w:val="none"/>
              </w:rPr>
            </w:pPr>
          </w:p>
        </w:tc>
        <w:tc>
          <w:tcPr>
            <w:tcW w:w="1418" w:type="dxa"/>
            <w:tcBorders>
              <w:bottom w:val="single" w:color="auto" w:sz="8" w:space="0"/>
            </w:tcBorders>
            <w:tcMar>
              <w:left w:w="28" w:type="dxa"/>
              <w:right w:w="28" w:type="dxa"/>
            </w:tcMar>
            <w:vAlign w:val="center"/>
          </w:tcPr>
          <w:p>
            <w:pPr>
              <w:jc w:val="center"/>
              <w:rPr>
                <w:rFonts w:ascii="宋体"/>
                <w:sz w:val="24"/>
                <w:highlight w:val="none"/>
              </w:rPr>
            </w:pPr>
          </w:p>
        </w:tc>
        <w:tc>
          <w:tcPr>
            <w:tcW w:w="1979" w:type="dxa"/>
            <w:tcBorders>
              <w:bottom w:val="single" w:color="auto" w:sz="8" w:space="0"/>
            </w:tcBorders>
            <w:tcMar>
              <w:left w:w="28" w:type="dxa"/>
              <w:right w:w="28" w:type="dxa"/>
            </w:tcMar>
            <w:vAlign w:val="center"/>
          </w:tcPr>
          <w:p>
            <w:pPr>
              <w:jc w:val="center"/>
              <w:rPr>
                <w:rFonts w:ascii="宋体"/>
                <w:sz w:val="24"/>
                <w:highlight w:val="none"/>
              </w:rPr>
            </w:pPr>
          </w:p>
        </w:tc>
        <w:tc>
          <w:tcPr>
            <w:tcW w:w="540" w:type="dxa"/>
            <w:tcBorders>
              <w:bottom w:val="single" w:color="auto" w:sz="8" w:space="0"/>
            </w:tcBorders>
            <w:tcMar>
              <w:left w:w="28" w:type="dxa"/>
              <w:right w:w="28" w:type="dxa"/>
            </w:tcMar>
            <w:vAlign w:val="center"/>
          </w:tcPr>
          <w:p>
            <w:pPr>
              <w:jc w:val="center"/>
              <w:rPr>
                <w:rFonts w:ascii="宋体"/>
                <w:sz w:val="24"/>
                <w:highlight w:val="none"/>
              </w:rPr>
            </w:pPr>
          </w:p>
        </w:tc>
        <w:tc>
          <w:tcPr>
            <w:tcW w:w="1308" w:type="dxa"/>
            <w:tcBorders>
              <w:bottom w:val="single" w:color="auto" w:sz="8" w:space="0"/>
            </w:tcBorders>
            <w:tcMar>
              <w:left w:w="28" w:type="dxa"/>
              <w:right w:w="28" w:type="dxa"/>
            </w:tcMar>
            <w:vAlign w:val="center"/>
          </w:tcPr>
          <w:p>
            <w:pPr>
              <w:jc w:val="center"/>
              <w:rPr>
                <w:rFonts w:ascii="宋体"/>
                <w:sz w:val="24"/>
                <w:highlight w:val="none"/>
              </w:rPr>
            </w:pPr>
          </w:p>
        </w:tc>
      </w:tr>
    </w:tbl>
    <w:p>
      <w:pPr>
        <w:spacing w:line="360" w:lineRule="auto"/>
        <w:rPr>
          <w:rFonts w:ascii="宋体" w:hAnsi="宋体" w:cs="宋体"/>
          <w:kern w:val="0"/>
          <w:szCs w:val="21"/>
          <w:highlight w:val="none"/>
        </w:rPr>
      </w:pPr>
      <w:r>
        <w:rPr>
          <w:rFonts w:hint="eastAsia" w:ascii="宋体" w:hAnsi="宋体" w:cs="宋体"/>
          <w:kern w:val="0"/>
          <w:szCs w:val="21"/>
          <w:highlight w:val="none"/>
        </w:rPr>
        <w:t>注：各</w:t>
      </w:r>
      <w:r>
        <w:rPr>
          <w:rFonts w:hint="eastAsia" w:ascii="宋体" w:hAnsi="宋体" w:cs="宋体"/>
          <w:kern w:val="0"/>
          <w:szCs w:val="21"/>
          <w:highlight w:val="none"/>
          <w:lang w:eastAsia="zh-CN"/>
        </w:rPr>
        <w:t>报价人</w:t>
      </w:r>
      <w:r>
        <w:rPr>
          <w:rFonts w:hint="eastAsia" w:ascii="宋体" w:hAnsi="宋体" w:cs="宋体"/>
          <w:kern w:val="0"/>
          <w:szCs w:val="21"/>
          <w:highlight w:val="none"/>
        </w:rPr>
        <w:t>依据本项目的难易程度，自行考虑。</w:t>
      </w:r>
    </w:p>
    <w:p>
      <w:pPr>
        <w:spacing w:line="360" w:lineRule="auto"/>
        <w:rPr>
          <w:rFonts w:ascii="宋体" w:hAnsi="宋体"/>
          <w:b/>
          <w:sz w:val="28"/>
          <w:szCs w:val="28"/>
          <w:highlight w:val="none"/>
        </w:rPr>
      </w:pPr>
    </w:p>
    <w:p>
      <w:pPr>
        <w:spacing w:line="360" w:lineRule="auto"/>
        <w:rPr>
          <w:rFonts w:ascii="宋体" w:hAnsi="宋体"/>
          <w:b/>
          <w:sz w:val="28"/>
          <w:szCs w:val="28"/>
          <w:highlight w:val="none"/>
        </w:rPr>
      </w:pPr>
    </w:p>
    <w:p>
      <w:pPr>
        <w:spacing w:line="360" w:lineRule="auto"/>
        <w:rPr>
          <w:rFonts w:ascii="宋体" w:hAnsi="宋体"/>
          <w:b/>
          <w:sz w:val="28"/>
          <w:szCs w:val="28"/>
          <w:highlight w:val="none"/>
        </w:rPr>
      </w:pPr>
    </w:p>
    <w:p>
      <w:pPr>
        <w:spacing w:line="360" w:lineRule="auto"/>
        <w:rPr>
          <w:rFonts w:ascii="宋体" w:hAnsi="宋体"/>
          <w:b/>
          <w:sz w:val="28"/>
          <w:szCs w:val="28"/>
          <w:highlight w:val="none"/>
        </w:rPr>
      </w:pPr>
    </w:p>
    <w:p>
      <w:pPr>
        <w:topLinePunct/>
        <w:spacing w:before="156" w:beforeLines="50" w:after="156" w:afterLines="50" w:line="360" w:lineRule="auto"/>
        <w:jc w:val="center"/>
        <w:outlineLvl w:val="2"/>
        <w:rPr>
          <w:rFonts w:ascii="黑体" w:hAnsi="黑体" w:eastAsia="黑体"/>
          <w:b/>
          <w:sz w:val="24"/>
          <w:highlight w:val="none"/>
        </w:rPr>
      </w:pPr>
    </w:p>
    <w:p>
      <w:pPr>
        <w:topLinePunct/>
        <w:spacing w:before="156" w:beforeLines="50" w:after="156" w:afterLines="50" w:line="360" w:lineRule="auto"/>
        <w:jc w:val="center"/>
        <w:outlineLvl w:val="2"/>
        <w:rPr>
          <w:rFonts w:ascii="黑体" w:hAnsi="黑体" w:eastAsia="黑体"/>
          <w:b/>
          <w:sz w:val="24"/>
          <w:highlight w:val="none"/>
        </w:rPr>
      </w:pPr>
      <w:r>
        <w:rPr>
          <w:rFonts w:hint="eastAsia" w:ascii="黑体" w:hAnsi="黑体" w:eastAsia="黑体"/>
          <w:b/>
          <w:sz w:val="24"/>
          <w:highlight w:val="none"/>
        </w:rPr>
        <w:t>B、项目负责人</w:t>
      </w:r>
      <w:r>
        <w:rPr>
          <w:rFonts w:hint="eastAsia" w:ascii="黑体" w:hAnsi="黑体" w:eastAsia="黑体"/>
          <w:b/>
          <w:sz w:val="24"/>
          <w:highlight w:val="none"/>
          <w:lang w:eastAsia="zh-CN"/>
        </w:rPr>
        <w:t>（</w:t>
      </w:r>
      <w:r>
        <w:rPr>
          <w:rFonts w:hint="eastAsia" w:ascii="黑体" w:hAnsi="黑体" w:eastAsia="黑体"/>
          <w:b/>
          <w:sz w:val="24"/>
          <w:highlight w:val="none"/>
          <w:lang w:val="en-US" w:eastAsia="zh-CN"/>
        </w:rPr>
        <w:t>其他人员</w:t>
      </w:r>
      <w:r>
        <w:rPr>
          <w:rFonts w:hint="eastAsia" w:ascii="黑体" w:hAnsi="黑体" w:eastAsia="黑体"/>
          <w:b/>
          <w:sz w:val="24"/>
          <w:highlight w:val="none"/>
          <w:lang w:eastAsia="zh-CN"/>
        </w:rPr>
        <w:t>）</w:t>
      </w:r>
      <w:r>
        <w:rPr>
          <w:rFonts w:hint="eastAsia" w:ascii="黑体" w:hAnsi="黑体" w:eastAsia="黑体"/>
          <w:b/>
          <w:sz w:val="24"/>
          <w:highlight w:val="none"/>
        </w:rPr>
        <w:t>资历表</w:t>
      </w:r>
    </w:p>
    <w:tbl>
      <w:tblPr>
        <w:tblStyle w:val="13"/>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b/>
                <w:color w:val="auto"/>
                <w:highlight w:val="none"/>
              </w:rPr>
            </w:pPr>
            <w:r>
              <w:rPr>
                <w:rFonts w:hAnsi="宋体"/>
                <w:b/>
                <w:color w:val="auto"/>
                <w:highlight w:val="none"/>
              </w:rPr>
              <w:t xml:space="preserve">1. </w:t>
            </w:r>
            <w:r>
              <w:rPr>
                <w:rFonts w:hint="eastAsia" w:hAnsi="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姓名</w:t>
            </w:r>
          </w:p>
        </w:tc>
        <w:tc>
          <w:tcPr>
            <w:tcW w:w="1098" w:type="dxa"/>
            <w:tcMar>
              <w:left w:w="28" w:type="dxa"/>
              <w:right w:w="28" w:type="dxa"/>
            </w:tcMar>
            <w:vAlign w:val="center"/>
          </w:tcPr>
          <w:p>
            <w:pPr>
              <w:pStyle w:val="2"/>
              <w:jc w:val="center"/>
              <w:rPr>
                <w:color w:val="auto"/>
                <w:sz w:val="21"/>
                <w:szCs w:val="21"/>
                <w:highlight w:val="none"/>
              </w:rPr>
            </w:pPr>
          </w:p>
        </w:tc>
        <w:tc>
          <w:tcPr>
            <w:tcW w:w="774"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性别</w:t>
            </w:r>
          </w:p>
        </w:tc>
        <w:tc>
          <w:tcPr>
            <w:tcW w:w="726" w:type="dxa"/>
            <w:tcMar>
              <w:left w:w="28" w:type="dxa"/>
              <w:right w:w="28" w:type="dxa"/>
            </w:tcMar>
            <w:vAlign w:val="center"/>
          </w:tcPr>
          <w:p>
            <w:pPr>
              <w:pStyle w:val="2"/>
              <w:jc w:val="center"/>
              <w:rPr>
                <w:color w:val="auto"/>
                <w:sz w:val="21"/>
                <w:szCs w:val="21"/>
                <w:highlight w:val="none"/>
              </w:rPr>
            </w:pPr>
          </w:p>
        </w:tc>
        <w:tc>
          <w:tcPr>
            <w:tcW w:w="900" w:type="dxa"/>
            <w:gridSpan w:val="2"/>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年龄</w:t>
            </w:r>
          </w:p>
        </w:tc>
        <w:tc>
          <w:tcPr>
            <w:tcW w:w="685" w:type="dxa"/>
            <w:tcMar>
              <w:left w:w="28" w:type="dxa"/>
              <w:right w:w="28" w:type="dxa"/>
            </w:tcMar>
            <w:vAlign w:val="center"/>
          </w:tcPr>
          <w:p>
            <w:pPr>
              <w:pStyle w:val="2"/>
              <w:jc w:val="center"/>
              <w:rPr>
                <w:color w:val="auto"/>
                <w:sz w:val="21"/>
                <w:szCs w:val="21"/>
                <w:highlight w:val="none"/>
              </w:rPr>
            </w:pPr>
          </w:p>
        </w:tc>
        <w:tc>
          <w:tcPr>
            <w:tcW w:w="790"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学位</w:t>
            </w:r>
          </w:p>
        </w:tc>
        <w:tc>
          <w:tcPr>
            <w:tcW w:w="1052" w:type="dxa"/>
            <w:tcMar>
              <w:left w:w="28" w:type="dxa"/>
              <w:right w:w="28" w:type="dxa"/>
            </w:tcMar>
            <w:vAlign w:val="center"/>
          </w:tcPr>
          <w:p>
            <w:pPr>
              <w:pStyle w:val="2"/>
              <w:jc w:val="center"/>
              <w:rPr>
                <w:color w:val="auto"/>
                <w:sz w:val="21"/>
                <w:szCs w:val="21"/>
                <w:highlight w:val="none"/>
              </w:rPr>
            </w:pPr>
          </w:p>
        </w:tc>
        <w:tc>
          <w:tcPr>
            <w:tcW w:w="709"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职称</w:t>
            </w:r>
          </w:p>
        </w:tc>
        <w:tc>
          <w:tcPr>
            <w:tcW w:w="1333" w:type="dxa"/>
            <w:gridSpan w:val="2"/>
            <w:tcMar>
              <w:left w:w="28" w:type="dxa"/>
              <w:right w:w="28" w:type="dxa"/>
            </w:tcMar>
            <w:vAlign w:val="center"/>
          </w:tcPr>
          <w:p>
            <w:pPr>
              <w:pStyle w:val="2"/>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身份</w:t>
            </w:r>
          </w:p>
          <w:p>
            <w:pPr>
              <w:pStyle w:val="2"/>
              <w:jc w:val="center"/>
              <w:rPr>
                <w:color w:val="auto"/>
                <w:sz w:val="21"/>
                <w:szCs w:val="21"/>
                <w:highlight w:val="none"/>
              </w:rPr>
            </w:pPr>
            <w:r>
              <w:rPr>
                <w:rFonts w:hint="eastAsia" w:hAnsi="宋体"/>
                <w:color w:val="auto"/>
                <w:sz w:val="21"/>
                <w:szCs w:val="21"/>
                <w:highlight w:val="none"/>
              </w:rPr>
              <w:t>证号</w:t>
            </w:r>
          </w:p>
        </w:tc>
        <w:tc>
          <w:tcPr>
            <w:tcW w:w="2907" w:type="dxa"/>
            <w:gridSpan w:val="4"/>
            <w:tcMar>
              <w:left w:w="28" w:type="dxa"/>
              <w:right w:w="28" w:type="dxa"/>
            </w:tcMar>
            <w:vAlign w:val="center"/>
          </w:tcPr>
          <w:p>
            <w:pPr>
              <w:pStyle w:val="2"/>
              <w:jc w:val="center"/>
              <w:rPr>
                <w:color w:val="auto"/>
                <w:sz w:val="21"/>
                <w:szCs w:val="21"/>
                <w:highlight w:val="none"/>
              </w:rPr>
            </w:pPr>
          </w:p>
        </w:tc>
        <w:tc>
          <w:tcPr>
            <w:tcW w:w="1276" w:type="dxa"/>
            <w:gridSpan w:val="2"/>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为</w:t>
            </w:r>
            <w:r>
              <w:rPr>
                <w:rFonts w:hint="eastAsia" w:hAnsi="宋体"/>
                <w:color w:val="auto"/>
                <w:sz w:val="21"/>
                <w:szCs w:val="21"/>
                <w:highlight w:val="none"/>
                <w:lang w:eastAsia="zh-CN"/>
              </w:rPr>
              <w:t>报价人</w:t>
            </w:r>
            <w:r>
              <w:rPr>
                <w:rFonts w:hint="eastAsia" w:hAnsi="宋体"/>
                <w:color w:val="auto"/>
                <w:sz w:val="21"/>
                <w:szCs w:val="21"/>
                <w:highlight w:val="none"/>
              </w:rPr>
              <w:t>服务时间</w:t>
            </w:r>
            <w:r>
              <w:rPr>
                <w:rFonts w:hAnsi="宋体"/>
                <w:color w:val="auto"/>
                <w:sz w:val="21"/>
                <w:szCs w:val="21"/>
                <w:highlight w:val="none"/>
              </w:rPr>
              <w:t>(</w:t>
            </w:r>
            <w:r>
              <w:rPr>
                <w:rFonts w:hint="eastAsia" w:hAnsi="宋体"/>
                <w:color w:val="auto"/>
                <w:sz w:val="21"/>
                <w:szCs w:val="21"/>
                <w:highlight w:val="none"/>
              </w:rPr>
              <w:t>年</w:t>
            </w:r>
            <w:r>
              <w:rPr>
                <w:rFonts w:hAnsi="宋体"/>
                <w:color w:val="auto"/>
                <w:sz w:val="21"/>
                <w:szCs w:val="21"/>
                <w:highlight w:val="none"/>
              </w:rPr>
              <w:t>)</w:t>
            </w:r>
          </w:p>
        </w:tc>
        <w:tc>
          <w:tcPr>
            <w:tcW w:w="790" w:type="dxa"/>
            <w:tcMar>
              <w:left w:w="28" w:type="dxa"/>
              <w:right w:w="28" w:type="dxa"/>
            </w:tcMar>
            <w:vAlign w:val="center"/>
          </w:tcPr>
          <w:p>
            <w:pPr>
              <w:pStyle w:val="2"/>
              <w:jc w:val="center"/>
              <w:rPr>
                <w:color w:val="auto"/>
                <w:sz w:val="21"/>
                <w:szCs w:val="21"/>
                <w:highlight w:val="none"/>
              </w:rPr>
            </w:pPr>
          </w:p>
        </w:tc>
        <w:tc>
          <w:tcPr>
            <w:tcW w:w="1052"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宋体"/>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学历</w:t>
            </w:r>
          </w:p>
        </w:tc>
        <w:tc>
          <w:tcPr>
            <w:tcW w:w="8067" w:type="dxa"/>
            <w:gridSpan w:val="11"/>
            <w:tcMar>
              <w:left w:w="28" w:type="dxa"/>
              <w:right w:w="28" w:type="dxa"/>
            </w:tcMar>
            <w:vAlign w:val="center"/>
          </w:tcPr>
          <w:p>
            <w:pPr>
              <w:pStyle w:val="2"/>
              <w:ind w:firstLine="1080" w:firstLineChars="450"/>
              <w:rPr>
                <w:color w:val="auto"/>
                <w:sz w:val="21"/>
                <w:szCs w:val="21"/>
                <w:highlight w:val="none"/>
              </w:rPr>
            </w:pP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 w:val="21"/>
                <w:szCs w:val="21"/>
                <w:highlight w:val="none"/>
              </w:rPr>
              <w:t>年毕业于</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 w:val="21"/>
                <w:szCs w:val="21"/>
                <w:highlight w:val="none"/>
              </w:rPr>
              <w:t>（学校）</w:t>
            </w:r>
            <w:r>
              <w:rPr>
                <w:rFonts w:hAnsi="宋体"/>
                <w:color w:val="auto"/>
                <w:szCs w:val="21"/>
                <w:highlight w:val="none"/>
              </w:rPr>
              <w:t xml:space="preserve"> </w:t>
            </w:r>
            <w:r>
              <w:rPr>
                <w:rFonts w:hAnsi="宋体"/>
                <w:color w:val="auto"/>
                <w:szCs w:val="21"/>
                <w:highlight w:val="none"/>
                <w:u w:val="single"/>
              </w:rPr>
              <w:t xml:space="preserve">      </w:t>
            </w:r>
            <w:r>
              <w:rPr>
                <w:rFonts w:hint="eastAsia" w:hAnsi="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Ansi="宋体"/>
                <w:b/>
                <w:color w:val="auto"/>
                <w:highlight w:val="none"/>
              </w:rPr>
            </w:pPr>
            <w:r>
              <w:rPr>
                <w:rFonts w:hint="eastAsia" w:hAnsi="宋体"/>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
              <w:jc w:val="center"/>
              <w:rPr>
                <w:rFonts w:hAnsi="宋体"/>
                <w:b/>
                <w:color w:val="auto"/>
                <w:highlight w:val="none"/>
              </w:rPr>
            </w:pPr>
          </w:p>
          <w:p>
            <w:pPr>
              <w:pStyle w:val="2"/>
              <w:jc w:val="center"/>
              <w:rPr>
                <w:rFonts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Ansi="宋体"/>
                <w:b/>
                <w:color w:val="auto"/>
                <w:highlight w:val="none"/>
              </w:rPr>
            </w:pPr>
            <w:r>
              <w:rPr>
                <w:rFonts w:hint="eastAsia" w:hAnsi="宋体"/>
                <w:b/>
                <w:color w:val="auto"/>
                <w:highlight w:val="none"/>
              </w:rPr>
              <w:t>3</w:t>
            </w:r>
            <w:r>
              <w:rPr>
                <w:rFonts w:hAnsi="宋体"/>
                <w:b/>
                <w:color w:val="auto"/>
                <w:highlight w:val="none"/>
              </w:rPr>
              <w:t xml:space="preserve">. </w:t>
            </w:r>
            <w:r>
              <w:rPr>
                <w:rFonts w:hint="eastAsia" w:hAnsi="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时间</w:t>
            </w:r>
          </w:p>
        </w:tc>
        <w:tc>
          <w:tcPr>
            <w:tcW w:w="4973" w:type="dxa"/>
            <w:gridSpan w:val="7"/>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负责过的与本项目相关主要业绩（规模、工作内容）</w:t>
            </w:r>
          </w:p>
        </w:tc>
        <w:tc>
          <w:tcPr>
            <w:tcW w:w="2173" w:type="dxa"/>
            <w:gridSpan w:val="3"/>
            <w:tcMar>
              <w:left w:w="28" w:type="dxa"/>
              <w:right w:w="28" w:type="dxa"/>
            </w:tcMar>
            <w:vAlign w:val="center"/>
          </w:tcPr>
          <w:p>
            <w:pPr>
              <w:pStyle w:val="2"/>
              <w:jc w:val="center"/>
              <w:rPr>
                <w:color w:val="auto"/>
                <w:sz w:val="21"/>
                <w:szCs w:val="21"/>
                <w:highlight w:val="none"/>
              </w:rPr>
            </w:pPr>
            <w:r>
              <w:rPr>
                <w:rFonts w:hint="eastAsia" w:hAnsi="宋体"/>
                <w:color w:val="auto"/>
                <w:sz w:val="21"/>
                <w:szCs w:val="21"/>
                <w:highlight w:val="none"/>
              </w:rPr>
              <w:t>该项目中任职</w:t>
            </w:r>
          </w:p>
        </w:tc>
        <w:tc>
          <w:tcPr>
            <w:tcW w:w="921" w:type="dxa"/>
            <w:tcMar>
              <w:left w:w="28" w:type="dxa"/>
              <w:right w:w="28" w:type="dxa"/>
            </w:tcMar>
            <w:vAlign w:val="center"/>
          </w:tcPr>
          <w:p>
            <w:pPr>
              <w:pStyle w:val="2"/>
              <w:jc w:val="both"/>
              <w:rPr>
                <w:color w:val="auto"/>
                <w:sz w:val="21"/>
                <w:szCs w:val="21"/>
                <w:highlight w:val="none"/>
              </w:rPr>
            </w:pPr>
            <w:r>
              <w:rPr>
                <w:rFonts w:hint="eastAsia" w:hAnsi="宋体"/>
                <w:color w:val="auto"/>
                <w:sz w:val="21"/>
                <w:szCs w:val="21"/>
                <w:highlight w:val="none"/>
              </w:rPr>
              <w:t xml:space="preserve"> 备注</w:t>
            </w:r>
            <w:r>
              <w:rPr>
                <w:rFonts w:hAnsi="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宋体"/>
                <w:sz w:val="36"/>
                <w:szCs w:val="36"/>
                <w:highlight w:val="none"/>
              </w:rPr>
            </w:pPr>
          </w:p>
        </w:tc>
        <w:tc>
          <w:tcPr>
            <w:tcW w:w="4973" w:type="dxa"/>
            <w:gridSpan w:val="7"/>
            <w:tcMar>
              <w:left w:w="28" w:type="dxa"/>
              <w:right w:w="28" w:type="dxa"/>
            </w:tcMar>
          </w:tcPr>
          <w:p>
            <w:pPr>
              <w:spacing w:line="360" w:lineRule="auto"/>
              <w:rPr>
                <w:rFonts w:ascii="宋体"/>
                <w:sz w:val="36"/>
                <w:szCs w:val="36"/>
                <w:highlight w:val="none"/>
              </w:rPr>
            </w:pPr>
          </w:p>
        </w:tc>
        <w:tc>
          <w:tcPr>
            <w:tcW w:w="2173" w:type="dxa"/>
            <w:gridSpan w:val="3"/>
            <w:tcMar>
              <w:left w:w="28" w:type="dxa"/>
              <w:right w:w="28" w:type="dxa"/>
            </w:tcMar>
          </w:tcPr>
          <w:p>
            <w:pPr>
              <w:spacing w:line="360" w:lineRule="auto"/>
              <w:rPr>
                <w:rFonts w:ascii="宋体"/>
                <w:sz w:val="36"/>
                <w:szCs w:val="36"/>
                <w:highlight w:val="none"/>
              </w:rPr>
            </w:pPr>
          </w:p>
        </w:tc>
        <w:tc>
          <w:tcPr>
            <w:tcW w:w="921" w:type="dxa"/>
            <w:tcMar>
              <w:left w:w="28" w:type="dxa"/>
              <w:right w:w="28" w:type="dxa"/>
            </w:tcMar>
          </w:tcPr>
          <w:p>
            <w:pPr>
              <w:spacing w:line="360" w:lineRule="auto"/>
              <w:rPr>
                <w:rFonts w:ascii="宋体"/>
                <w:sz w:val="36"/>
                <w:szCs w:val="36"/>
                <w:highlight w:val="none"/>
              </w:rPr>
            </w:pPr>
          </w:p>
        </w:tc>
      </w:tr>
    </w:tbl>
    <w:p>
      <w:pPr>
        <w:topLinePunct/>
        <w:spacing w:before="156" w:beforeLines="50" w:after="156" w:afterLines="50" w:line="360" w:lineRule="auto"/>
        <w:outlineLvl w:val="2"/>
        <w:rPr>
          <w:rFonts w:ascii="宋体" w:hAnsi="宋体"/>
          <w:szCs w:val="21"/>
          <w:highlight w:val="none"/>
        </w:rPr>
      </w:pPr>
      <w:r>
        <w:rPr>
          <w:rFonts w:hint="eastAsia" w:ascii="宋体" w:hAnsi="宋体"/>
          <w:szCs w:val="21"/>
          <w:highlight w:val="none"/>
        </w:rPr>
        <w:t>注：1、本表人员应与“A、拟委任的主要人员汇总表”中所列人员相一致，</w:t>
      </w:r>
    </w:p>
    <w:p>
      <w:pPr>
        <w:pStyle w:val="5"/>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hint="eastAsia" w:ascii="宋体" w:hAnsi="宋体"/>
          <w:szCs w:val="21"/>
          <w:highlight w:val="none"/>
          <w:lang w:eastAsia="zh-CN"/>
        </w:rPr>
        <w:t>报价人</w:t>
      </w:r>
      <w:r>
        <w:rPr>
          <w:rFonts w:hint="eastAsia" w:ascii="宋体" w:hAnsi="宋体"/>
          <w:szCs w:val="21"/>
          <w:highlight w:val="none"/>
        </w:rPr>
        <w:t>需提供相应人员的工作经历，身份证、职称证、造价师注册证书的彩色复印件，并提供委托人出具的项目负责人合同协议书，所附的合同协议书应能反映本文件所要求的各项业绩指标（如道路等级、工作内容等），若无法反映以上业绩指标，</w:t>
      </w:r>
      <w:r>
        <w:rPr>
          <w:rFonts w:hint="eastAsia" w:ascii="宋体" w:hAnsi="宋体"/>
          <w:szCs w:val="21"/>
          <w:highlight w:val="none"/>
          <w:lang w:eastAsia="zh-CN"/>
        </w:rPr>
        <w:t>报价人</w:t>
      </w:r>
      <w:r>
        <w:rPr>
          <w:rFonts w:hint="eastAsia" w:ascii="宋体" w:hAnsi="宋体"/>
          <w:szCs w:val="21"/>
          <w:highlight w:val="none"/>
        </w:rPr>
        <w:t>还需提交业主出具的能反映所要求的各项业绩指标的证明材料，否则其业绩将不予被认定，资格审查不予通过。</w:t>
      </w:r>
    </w:p>
    <w:p>
      <w:pPr>
        <w:spacing w:before="93" w:beforeLines="30"/>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、同时，</w:t>
      </w:r>
      <w:r>
        <w:rPr>
          <w:rFonts w:hint="eastAsia" w:ascii="宋体" w:hAnsi="宋体"/>
          <w:szCs w:val="21"/>
          <w:highlight w:val="none"/>
          <w:lang w:eastAsia="zh-CN"/>
        </w:rPr>
        <w:t>报价人</w:t>
      </w:r>
      <w:r>
        <w:rPr>
          <w:rFonts w:hint="eastAsia" w:ascii="宋体" w:hAnsi="宋体"/>
          <w:szCs w:val="21"/>
          <w:highlight w:val="none"/>
        </w:rPr>
        <w:t>还需提供</w:t>
      </w:r>
      <w:r>
        <w:rPr>
          <w:rFonts w:hint="eastAsia" w:ascii="宋体" w:hAnsi="宋体"/>
          <w:szCs w:val="21"/>
          <w:highlight w:val="none"/>
          <w:lang w:eastAsia="zh-CN"/>
        </w:rPr>
        <w:t>报价人</w:t>
      </w:r>
      <w:r>
        <w:rPr>
          <w:rFonts w:hint="eastAsia" w:ascii="宋体" w:hAnsi="宋体"/>
          <w:szCs w:val="21"/>
          <w:highlight w:val="none"/>
        </w:rPr>
        <w:t>所属社保机构出具的拟委任的项目负责人、造价工程师的社保缴费证明并加盖社保机构单位章（只需附20</w:t>
      </w:r>
      <w:r>
        <w:rPr>
          <w:rFonts w:hint="eastAsia" w:ascii="宋体" w:hAnsi="宋体"/>
          <w:szCs w:val="21"/>
          <w:highlight w:val="none"/>
          <w:lang w:val="en-US" w:eastAsia="zh-CN"/>
        </w:rPr>
        <w:t>22</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月-20</w:t>
      </w:r>
      <w:r>
        <w:rPr>
          <w:rFonts w:hint="eastAsia" w:ascii="宋体" w:hAnsi="宋体"/>
          <w:szCs w:val="21"/>
          <w:highlight w:val="none"/>
          <w:lang w:val="en-US" w:eastAsia="zh-CN"/>
        </w:rPr>
        <w:t>23</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月的即可）或</w:t>
      </w:r>
      <w:r>
        <w:rPr>
          <w:rFonts w:hint="eastAsia" w:ascii="宋体" w:hAnsi="宋体"/>
          <w:szCs w:val="21"/>
          <w:highlight w:val="none"/>
          <w:lang w:eastAsia="zh-CN"/>
        </w:rPr>
        <w:t>报价人</w:t>
      </w:r>
      <w:r>
        <w:rPr>
          <w:rFonts w:hint="eastAsia" w:ascii="宋体" w:hAnsi="宋体"/>
          <w:szCs w:val="21"/>
          <w:highlight w:val="none"/>
        </w:rPr>
        <w:t>注册地的省级交通运输主管部门出具的该</w:t>
      </w:r>
      <w:r>
        <w:rPr>
          <w:rFonts w:hint="eastAsia" w:ascii="宋体" w:hAnsi="宋体"/>
          <w:szCs w:val="21"/>
          <w:highlight w:val="none"/>
          <w:lang w:eastAsia="zh-CN"/>
        </w:rPr>
        <w:t>报价人</w:t>
      </w:r>
      <w:r>
        <w:rPr>
          <w:rFonts w:hint="eastAsia" w:ascii="宋体" w:hAnsi="宋体"/>
          <w:szCs w:val="21"/>
          <w:highlight w:val="none"/>
        </w:rPr>
        <w:t>属事业法人单位尚不具备社保证明材料的证明文件。</w:t>
      </w:r>
    </w:p>
    <w:p>
      <w:pPr>
        <w:spacing w:before="93" w:beforeLines="30"/>
        <w:ind w:firstLine="420" w:firstLineChars="200"/>
        <w:rPr>
          <w:rFonts w:ascii="宋体"/>
          <w:szCs w:val="21"/>
          <w:highlight w:val="none"/>
        </w:rPr>
      </w:pPr>
      <w:r>
        <w:rPr>
          <w:rFonts w:hint="eastAsia" w:ascii="宋体"/>
          <w:szCs w:val="21"/>
          <w:highlight w:val="none"/>
        </w:rPr>
        <w:t>4、以上文件均应加盖</w:t>
      </w:r>
      <w:r>
        <w:rPr>
          <w:rFonts w:hint="eastAsia" w:ascii="宋体"/>
          <w:szCs w:val="21"/>
          <w:highlight w:val="none"/>
          <w:lang w:eastAsia="zh-CN"/>
        </w:rPr>
        <w:t>报价人</w:t>
      </w:r>
      <w:r>
        <w:rPr>
          <w:rFonts w:hint="eastAsia" w:ascii="宋体"/>
          <w:szCs w:val="21"/>
          <w:highlight w:val="none"/>
        </w:rPr>
        <w:t>公章。</w:t>
      </w:r>
    </w:p>
    <w:p>
      <w:pPr>
        <w:keepNext/>
        <w:spacing w:before="312" w:beforeLines="100" w:line="360" w:lineRule="auto"/>
        <w:jc w:val="center"/>
        <w:outlineLvl w:val="1"/>
        <w:rPr>
          <w:rFonts w:eastAsia="黑体"/>
          <w:b/>
          <w:sz w:val="30"/>
          <w:szCs w:val="30"/>
          <w:highlight w:val="none"/>
        </w:rPr>
      </w:pPr>
      <w:r>
        <w:rPr>
          <w:rFonts w:hint="eastAsia" w:eastAsia="黑体"/>
          <w:b/>
          <w:sz w:val="30"/>
          <w:szCs w:val="30"/>
          <w:highlight w:val="none"/>
          <w:lang w:val="en-US" w:eastAsia="zh-CN"/>
        </w:rPr>
        <w:t>二</w:t>
      </w:r>
      <w:r>
        <w:rPr>
          <w:rFonts w:hint="eastAsia" w:eastAsia="黑体"/>
          <w:b/>
          <w:sz w:val="30"/>
          <w:szCs w:val="30"/>
          <w:highlight w:val="none"/>
        </w:rPr>
        <w:t>、报价部分</w:t>
      </w:r>
    </w:p>
    <w:p>
      <w:pPr>
        <w:spacing w:line="360" w:lineRule="auto"/>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lang w:val="en-US" w:eastAsia="zh-CN"/>
        </w:rPr>
        <w:t>1.</w:t>
      </w:r>
      <w:r>
        <w:rPr>
          <w:rFonts w:hint="eastAsia" w:ascii="仿宋_GB2312" w:hAnsi="宋体" w:eastAsia="仿宋_GB2312" w:cs="宋体"/>
          <w:b/>
          <w:bCs/>
          <w:sz w:val="28"/>
          <w:szCs w:val="28"/>
        </w:rPr>
        <w:t>报价函</w:t>
      </w:r>
    </w:p>
    <w:p>
      <w:pPr>
        <w:pStyle w:val="6"/>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重庆成渝垫丰武高速公路有限公司</w:t>
      </w:r>
      <w:r>
        <w:rPr>
          <w:rFonts w:hint="eastAsia" w:ascii="仿宋_GB2312" w:hAnsi="宋体" w:eastAsia="仿宋_GB2312" w:cs="宋体"/>
          <w:sz w:val="28"/>
          <w:szCs w:val="28"/>
        </w:rPr>
        <w:t>：</w:t>
      </w:r>
    </w:p>
    <w:p>
      <w:pPr>
        <w:ind w:firstLine="560" w:firstLineChars="200"/>
        <w:jc w:val="left"/>
        <w:rPr>
          <w:rFonts w:hint="eastAsia" w:ascii="仿宋_GB2312" w:hAnsi="宋体" w:eastAsia="仿宋_GB2312" w:cs="宋体"/>
          <w:sz w:val="28"/>
          <w:szCs w:val="28"/>
        </w:rPr>
      </w:pPr>
      <w:r>
        <w:rPr>
          <w:rFonts w:hint="eastAsia" w:ascii="仿宋_GB2312" w:hAnsi="宋体" w:eastAsia="仿宋_GB2312" w:cs="宋体"/>
          <w:sz w:val="28"/>
          <w:szCs w:val="28"/>
        </w:rPr>
        <w:t>我方已仔细研究了</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sz w:val="28"/>
          <w:szCs w:val="28"/>
        </w:rPr>
        <w:t>竞争性比选文件的全部内容，我方投报的下浮率为</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u w:val="single"/>
        </w:rPr>
        <w:t xml:space="preserve">   </w:t>
      </w:r>
      <w:r>
        <w:rPr>
          <w:rFonts w:hint="eastAsia" w:ascii="仿宋_GB2312" w:hAnsi="宋体" w:eastAsia="仿宋_GB2312" w:cs="宋体"/>
          <w:bCs/>
          <w:sz w:val="28"/>
          <w:szCs w:val="28"/>
        </w:rPr>
        <w:t>（折扣率只能报0至1之间且保留两位的小数，不能报分数或百分数，如可报0.19，但不能报19/100或19%，否则评委现场按四舍五入原则计算，最终取保留两位的小数），该下浮率作为结算审核费</w:t>
      </w:r>
      <w:r>
        <w:rPr>
          <w:rFonts w:hint="eastAsia" w:ascii="仿宋_GB2312" w:hAnsi="宋体" w:eastAsia="仿宋_GB2312" w:cs="宋体"/>
          <w:sz w:val="28"/>
          <w:szCs w:val="28"/>
        </w:rPr>
        <w:t>用的总体下浮率。我方愿承担并完成文件及合同中要求的审核工作。以优质的服务在竞争比选人规定的时期内完成全部工作，在工作过程中，接受竞争比选人的监督、指导，对项目资料严格保密。</w:t>
      </w:r>
    </w:p>
    <w:p>
      <w:pPr>
        <w:pStyle w:val="6"/>
        <w:spacing w:line="360" w:lineRule="auto"/>
        <w:ind w:firstLine="560" w:firstLineChars="200"/>
        <w:rPr>
          <w:rFonts w:hint="eastAsia" w:ascii="仿宋_GB2312" w:hAnsi="宋体" w:eastAsia="仿宋_GB2312" w:cs="宋体"/>
          <w:sz w:val="28"/>
          <w:szCs w:val="28"/>
        </w:rPr>
      </w:pPr>
    </w:p>
    <w:p>
      <w:pPr>
        <w:pStyle w:val="6"/>
        <w:spacing w:line="360" w:lineRule="auto"/>
        <w:ind w:left="598" w:leftChars="285" w:firstLine="910" w:firstLineChars="325"/>
        <w:rPr>
          <w:rFonts w:hint="eastAsia" w:ascii="仿宋_GB2312" w:hAnsi="宋体" w:eastAsia="仿宋_GB2312" w:cs="宋体"/>
          <w:sz w:val="28"/>
          <w:szCs w:val="28"/>
        </w:rPr>
      </w:pPr>
    </w:p>
    <w:p>
      <w:pPr>
        <w:pStyle w:val="6"/>
        <w:spacing w:line="360" w:lineRule="auto"/>
        <w:ind w:firstLine="3220" w:firstLineChars="1150"/>
        <w:rPr>
          <w:rFonts w:hint="eastAsia" w:ascii="仿宋_GB2312" w:hAnsi="宋体" w:eastAsia="仿宋_GB2312" w:cs="宋体"/>
          <w:sz w:val="28"/>
          <w:szCs w:val="28"/>
          <w:u w:val="single"/>
        </w:rPr>
      </w:pPr>
      <w:r>
        <w:rPr>
          <w:rFonts w:hint="eastAsia" w:ascii="仿宋_GB2312" w:hAnsi="宋体" w:eastAsia="仿宋_GB2312" w:cs="宋体"/>
          <w:sz w:val="28"/>
          <w:szCs w:val="28"/>
          <w:lang w:eastAsia="zh-CN"/>
        </w:rPr>
        <w:t>报价人</w:t>
      </w:r>
      <w:r>
        <w:rPr>
          <w:rFonts w:hint="eastAsia" w:ascii="仿宋_GB2312" w:hAnsi="宋体" w:eastAsia="仿宋_GB2312" w:cs="宋体"/>
          <w:sz w:val="28"/>
          <w:szCs w:val="28"/>
        </w:rPr>
        <w:t>：</w:t>
      </w:r>
      <w:r>
        <w:rPr>
          <w:rFonts w:hint="eastAsia" w:ascii="仿宋_GB2312" w:hAnsi="宋体" w:eastAsia="仿宋_GB2312" w:cs="宋体"/>
          <w:sz w:val="28"/>
          <w:szCs w:val="28"/>
          <w:u w:val="single"/>
        </w:rPr>
        <w:t xml:space="preserve"> （填写单位名称并盖单位鲜章）</w:t>
      </w:r>
    </w:p>
    <w:p>
      <w:pPr>
        <w:pStyle w:val="6"/>
        <w:spacing w:line="360" w:lineRule="auto"/>
        <w:ind w:left="598" w:leftChars="285" w:firstLine="3360" w:firstLineChars="1200"/>
        <w:rPr>
          <w:rFonts w:hint="eastAsia" w:ascii="仿宋_GB2312" w:hAnsi="宋体" w:eastAsia="仿宋_GB2312" w:cs="宋体"/>
          <w:sz w:val="28"/>
          <w:szCs w:val="28"/>
        </w:rPr>
      </w:pPr>
    </w:p>
    <w:p>
      <w:pPr>
        <w:pStyle w:val="6"/>
        <w:spacing w:line="360" w:lineRule="auto"/>
        <w:ind w:firstLine="2520" w:firstLineChars="900"/>
        <w:rPr>
          <w:rFonts w:hint="eastAsia" w:ascii="仿宋_GB2312" w:hAnsi="宋体" w:eastAsia="仿宋_GB2312" w:cs="宋体"/>
          <w:sz w:val="28"/>
          <w:szCs w:val="28"/>
          <w:u w:val="single"/>
        </w:rPr>
      </w:pPr>
      <w:r>
        <w:rPr>
          <w:rFonts w:hint="eastAsia" w:ascii="仿宋_GB2312" w:hAnsi="宋体" w:eastAsia="仿宋_GB2312" w:cs="宋体"/>
          <w:sz w:val="28"/>
          <w:szCs w:val="28"/>
        </w:rPr>
        <w:t xml:space="preserve">法定代表人或者委托代理人：  </w:t>
      </w:r>
      <w:r>
        <w:rPr>
          <w:rFonts w:hint="eastAsia" w:ascii="仿宋_GB2312" w:hAnsi="宋体" w:eastAsia="仿宋_GB2312" w:cs="宋体"/>
          <w:sz w:val="28"/>
          <w:szCs w:val="28"/>
          <w:u w:val="single"/>
        </w:rPr>
        <w:t xml:space="preserve">     （签字） </w:t>
      </w:r>
    </w:p>
    <w:p>
      <w:pPr>
        <w:pStyle w:val="6"/>
        <w:spacing w:line="360" w:lineRule="auto"/>
        <w:ind w:left="598" w:leftChars="285"/>
        <w:jc w:val="right"/>
        <w:rPr>
          <w:rFonts w:hint="eastAsia" w:ascii="仿宋_GB2312" w:hAnsi="宋体" w:eastAsia="仿宋_GB2312" w:cs="宋体"/>
          <w:sz w:val="28"/>
          <w:szCs w:val="28"/>
        </w:rPr>
      </w:pPr>
      <w:r>
        <w:rPr>
          <w:rFonts w:hint="eastAsia" w:ascii="仿宋_GB2312" w:hAnsi="宋体" w:eastAsia="仿宋_GB2312" w:cs="宋体"/>
          <w:sz w:val="28"/>
          <w:szCs w:val="28"/>
        </w:rPr>
        <w:t>年   月   日</w:t>
      </w:r>
    </w:p>
    <w:p>
      <w:pPr>
        <w:pStyle w:val="6"/>
        <w:spacing w:line="360" w:lineRule="auto"/>
        <w:ind w:firstLine="2520" w:firstLineChars="900"/>
        <w:rPr>
          <w:rFonts w:hint="eastAsia" w:ascii="仿宋_GB2312" w:hAnsi="宋体" w:eastAsia="仿宋_GB2312" w:cs="宋体"/>
          <w:sz w:val="28"/>
          <w:szCs w:val="28"/>
          <w:u w:val="single"/>
        </w:rPr>
      </w:pPr>
    </w:p>
    <w:p>
      <w:pPr>
        <w:pStyle w:val="6"/>
        <w:spacing w:line="360" w:lineRule="auto"/>
        <w:ind w:firstLine="2520" w:firstLineChars="900"/>
        <w:rPr>
          <w:rFonts w:hint="eastAsia" w:ascii="仿宋_GB2312" w:hAnsi="宋体" w:eastAsia="仿宋_GB2312" w:cs="宋体"/>
          <w:sz w:val="28"/>
          <w:szCs w:val="28"/>
          <w:u w:val="single"/>
        </w:rPr>
      </w:pPr>
    </w:p>
    <w:p>
      <w:pPr>
        <w:spacing w:line="360" w:lineRule="auto"/>
        <w:ind w:firstLine="6746" w:firstLineChars="2400"/>
        <w:rPr>
          <w:rFonts w:ascii="宋体" w:hAnsi="宋体"/>
          <w:b/>
          <w:sz w:val="28"/>
          <w:szCs w:val="28"/>
          <w:highlight w:val="none"/>
        </w:rPr>
      </w:pPr>
    </w:p>
    <w:sectPr>
      <w:footerReference r:id="rId5" w:type="default"/>
      <w:pgSz w:w="11906" w:h="16838"/>
      <w:pgMar w:top="1440" w:right="1800" w:bottom="1135" w:left="1800" w:header="851" w:footer="992" w:gutter="0"/>
      <w:pgNumType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H-hs" w:date="2023-07-11T15:46:05Z" w:initials="">
    <w:p w14:paraId="4B334FF6">
      <w:pPr>
        <w:pStyle w:val="5"/>
        <w:rPr>
          <w:rFonts w:hint="default" w:eastAsia="宋体"/>
          <w:lang w:val="en-US" w:eastAsia="zh-Hans"/>
        </w:rPr>
      </w:pPr>
      <w:r>
        <w:rPr>
          <w:rFonts w:hint="eastAsia"/>
          <w:lang w:val="en-US" w:eastAsia="zh-Hans"/>
        </w:rPr>
        <w:t>请明确具体的管理办法名称，并作为本合同附件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334FF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6366D2"/>
    <w:multiLevelType w:val="singleLevel"/>
    <w:tmpl w:val="236366D2"/>
    <w:lvl w:ilvl="0" w:tentative="0">
      <w:start w:val="1"/>
      <w:numFmt w:val="chineseCounting"/>
      <w:suff w:val="nothing"/>
      <w:lvlText w:val="%1、"/>
      <w:lvlJc w:val="left"/>
      <w:rPr>
        <w:rFonts w:hint="eastAsia"/>
      </w:rPr>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H-hs">
    <w15:presenceInfo w15:providerId="None" w15:userId="GH-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mRmZTRmNzIzNTViMDdmMTU2ZDhjMTM4NmYxMGUifQ=="/>
  </w:docVars>
  <w:rsids>
    <w:rsidRoot w:val="00172A27"/>
    <w:rsid w:val="0001044C"/>
    <w:rsid w:val="00024A21"/>
    <w:rsid w:val="00040339"/>
    <w:rsid w:val="00062E82"/>
    <w:rsid w:val="000A2C22"/>
    <w:rsid w:val="000B0205"/>
    <w:rsid w:val="000B713E"/>
    <w:rsid w:val="000F2EA8"/>
    <w:rsid w:val="00112E8A"/>
    <w:rsid w:val="00121EF3"/>
    <w:rsid w:val="00154C04"/>
    <w:rsid w:val="00172A27"/>
    <w:rsid w:val="001B2CF6"/>
    <w:rsid w:val="001B7638"/>
    <w:rsid w:val="001B7C55"/>
    <w:rsid w:val="001C4355"/>
    <w:rsid w:val="001E01BA"/>
    <w:rsid w:val="001F6740"/>
    <w:rsid w:val="002130C6"/>
    <w:rsid w:val="00214DED"/>
    <w:rsid w:val="00223873"/>
    <w:rsid w:val="00232F33"/>
    <w:rsid w:val="00234B7E"/>
    <w:rsid w:val="00264B23"/>
    <w:rsid w:val="002672A1"/>
    <w:rsid w:val="002813CF"/>
    <w:rsid w:val="002A6B57"/>
    <w:rsid w:val="002B56AF"/>
    <w:rsid w:val="00301D0A"/>
    <w:rsid w:val="0033481E"/>
    <w:rsid w:val="00337A84"/>
    <w:rsid w:val="00341C3C"/>
    <w:rsid w:val="003515B3"/>
    <w:rsid w:val="00374001"/>
    <w:rsid w:val="003743CF"/>
    <w:rsid w:val="00383DA0"/>
    <w:rsid w:val="0039034C"/>
    <w:rsid w:val="003A0F96"/>
    <w:rsid w:val="003B13F8"/>
    <w:rsid w:val="003C4F36"/>
    <w:rsid w:val="003E0111"/>
    <w:rsid w:val="00400167"/>
    <w:rsid w:val="004009F0"/>
    <w:rsid w:val="004557B3"/>
    <w:rsid w:val="00463C81"/>
    <w:rsid w:val="00465F71"/>
    <w:rsid w:val="00470566"/>
    <w:rsid w:val="00471203"/>
    <w:rsid w:val="004759CF"/>
    <w:rsid w:val="0048685D"/>
    <w:rsid w:val="004903AE"/>
    <w:rsid w:val="00490417"/>
    <w:rsid w:val="004C6D39"/>
    <w:rsid w:val="004D4B25"/>
    <w:rsid w:val="004E562C"/>
    <w:rsid w:val="0050040F"/>
    <w:rsid w:val="00516420"/>
    <w:rsid w:val="0053338E"/>
    <w:rsid w:val="005504C8"/>
    <w:rsid w:val="005530A4"/>
    <w:rsid w:val="0056111C"/>
    <w:rsid w:val="00576310"/>
    <w:rsid w:val="005773E8"/>
    <w:rsid w:val="0058383A"/>
    <w:rsid w:val="005A4255"/>
    <w:rsid w:val="005B6AF0"/>
    <w:rsid w:val="005C4B4F"/>
    <w:rsid w:val="005D523E"/>
    <w:rsid w:val="005E728C"/>
    <w:rsid w:val="00600B9B"/>
    <w:rsid w:val="006228FA"/>
    <w:rsid w:val="00632FF6"/>
    <w:rsid w:val="00637F12"/>
    <w:rsid w:val="00643CF8"/>
    <w:rsid w:val="006445B6"/>
    <w:rsid w:val="006468EF"/>
    <w:rsid w:val="0065598B"/>
    <w:rsid w:val="00674969"/>
    <w:rsid w:val="00674F54"/>
    <w:rsid w:val="00687870"/>
    <w:rsid w:val="006A1F9D"/>
    <w:rsid w:val="006D2ABC"/>
    <w:rsid w:val="006D6097"/>
    <w:rsid w:val="006E609F"/>
    <w:rsid w:val="006E72F5"/>
    <w:rsid w:val="006F38B2"/>
    <w:rsid w:val="0071634E"/>
    <w:rsid w:val="00736100"/>
    <w:rsid w:val="00741806"/>
    <w:rsid w:val="00760E8A"/>
    <w:rsid w:val="0076764D"/>
    <w:rsid w:val="007727D7"/>
    <w:rsid w:val="00783AB1"/>
    <w:rsid w:val="00784470"/>
    <w:rsid w:val="00787BA8"/>
    <w:rsid w:val="007956C0"/>
    <w:rsid w:val="007A1FE7"/>
    <w:rsid w:val="007A53F7"/>
    <w:rsid w:val="007B360A"/>
    <w:rsid w:val="007E3228"/>
    <w:rsid w:val="007F477B"/>
    <w:rsid w:val="007F6825"/>
    <w:rsid w:val="00815E36"/>
    <w:rsid w:val="00817CA4"/>
    <w:rsid w:val="00843E6D"/>
    <w:rsid w:val="0085117D"/>
    <w:rsid w:val="00857F3F"/>
    <w:rsid w:val="00887D18"/>
    <w:rsid w:val="008B1D8B"/>
    <w:rsid w:val="008B3911"/>
    <w:rsid w:val="008F208C"/>
    <w:rsid w:val="008F51C5"/>
    <w:rsid w:val="00900299"/>
    <w:rsid w:val="00902A16"/>
    <w:rsid w:val="00923FBA"/>
    <w:rsid w:val="0093249E"/>
    <w:rsid w:val="00945568"/>
    <w:rsid w:val="00956244"/>
    <w:rsid w:val="0096136B"/>
    <w:rsid w:val="00972E4C"/>
    <w:rsid w:val="009861F8"/>
    <w:rsid w:val="00991736"/>
    <w:rsid w:val="009B4DE0"/>
    <w:rsid w:val="009C513F"/>
    <w:rsid w:val="009D534F"/>
    <w:rsid w:val="009E0620"/>
    <w:rsid w:val="009F54C5"/>
    <w:rsid w:val="00A16614"/>
    <w:rsid w:val="00A337EA"/>
    <w:rsid w:val="00A34591"/>
    <w:rsid w:val="00A5252A"/>
    <w:rsid w:val="00A62256"/>
    <w:rsid w:val="00A7342D"/>
    <w:rsid w:val="00A90F1D"/>
    <w:rsid w:val="00AA3C70"/>
    <w:rsid w:val="00AB400A"/>
    <w:rsid w:val="00AC61B4"/>
    <w:rsid w:val="00B14E44"/>
    <w:rsid w:val="00B27040"/>
    <w:rsid w:val="00B3497E"/>
    <w:rsid w:val="00B4276C"/>
    <w:rsid w:val="00B504C7"/>
    <w:rsid w:val="00B717CC"/>
    <w:rsid w:val="00B73250"/>
    <w:rsid w:val="00B7775F"/>
    <w:rsid w:val="00B80E71"/>
    <w:rsid w:val="00BF3769"/>
    <w:rsid w:val="00BF69F8"/>
    <w:rsid w:val="00BF790A"/>
    <w:rsid w:val="00C0254D"/>
    <w:rsid w:val="00C029FF"/>
    <w:rsid w:val="00C035BE"/>
    <w:rsid w:val="00C16722"/>
    <w:rsid w:val="00C25DFB"/>
    <w:rsid w:val="00C36069"/>
    <w:rsid w:val="00C40D0C"/>
    <w:rsid w:val="00C52C9D"/>
    <w:rsid w:val="00C542BA"/>
    <w:rsid w:val="00C55948"/>
    <w:rsid w:val="00C578C8"/>
    <w:rsid w:val="00C67E70"/>
    <w:rsid w:val="00C94776"/>
    <w:rsid w:val="00CF468B"/>
    <w:rsid w:val="00D0336E"/>
    <w:rsid w:val="00D244AD"/>
    <w:rsid w:val="00D35CE8"/>
    <w:rsid w:val="00D4684F"/>
    <w:rsid w:val="00D571C8"/>
    <w:rsid w:val="00D84220"/>
    <w:rsid w:val="00DD7196"/>
    <w:rsid w:val="00DD72FE"/>
    <w:rsid w:val="00DE3B86"/>
    <w:rsid w:val="00DF14F1"/>
    <w:rsid w:val="00DF2DBD"/>
    <w:rsid w:val="00E0168B"/>
    <w:rsid w:val="00E03A88"/>
    <w:rsid w:val="00E15053"/>
    <w:rsid w:val="00E40AA2"/>
    <w:rsid w:val="00E54880"/>
    <w:rsid w:val="00EA1F3D"/>
    <w:rsid w:val="00EB1F6B"/>
    <w:rsid w:val="00EB776F"/>
    <w:rsid w:val="00EC484D"/>
    <w:rsid w:val="00EC4DC9"/>
    <w:rsid w:val="00EF1F64"/>
    <w:rsid w:val="00F06544"/>
    <w:rsid w:val="00F14E37"/>
    <w:rsid w:val="00F47FCC"/>
    <w:rsid w:val="00F537FD"/>
    <w:rsid w:val="00F630F5"/>
    <w:rsid w:val="00F63641"/>
    <w:rsid w:val="00F65DA6"/>
    <w:rsid w:val="00F82C92"/>
    <w:rsid w:val="00F84002"/>
    <w:rsid w:val="00F854F7"/>
    <w:rsid w:val="00F939CF"/>
    <w:rsid w:val="00F9588F"/>
    <w:rsid w:val="00FA2421"/>
    <w:rsid w:val="00FF4132"/>
    <w:rsid w:val="01AD5EE8"/>
    <w:rsid w:val="01B16B3D"/>
    <w:rsid w:val="01C12B5C"/>
    <w:rsid w:val="020B3579"/>
    <w:rsid w:val="02224AF1"/>
    <w:rsid w:val="023A6631"/>
    <w:rsid w:val="0246473B"/>
    <w:rsid w:val="024D1A71"/>
    <w:rsid w:val="025769A0"/>
    <w:rsid w:val="028135D9"/>
    <w:rsid w:val="02B92957"/>
    <w:rsid w:val="02C12626"/>
    <w:rsid w:val="02C47D17"/>
    <w:rsid w:val="02D90C51"/>
    <w:rsid w:val="02F80842"/>
    <w:rsid w:val="02FC3B65"/>
    <w:rsid w:val="03657BAF"/>
    <w:rsid w:val="03676564"/>
    <w:rsid w:val="03AB1543"/>
    <w:rsid w:val="03E84F7E"/>
    <w:rsid w:val="043633A5"/>
    <w:rsid w:val="044403E9"/>
    <w:rsid w:val="047F67CB"/>
    <w:rsid w:val="04846E4C"/>
    <w:rsid w:val="04953893"/>
    <w:rsid w:val="04B749CE"/>
    <w:rsid w:val="04CA7223"/>
    <w:rsid w:val="04E54C98"/>
    <w:rsid w:val="04F10EE2"/>
    <w:rsid w:val="05451C0E"/>
    <w:rsid w:val="05663013"/>
    <w:rsid w:val="05A102EF"/>
    <w:rsid w:val="05C774D7"/>
    <w:rsid w:val="05F12CC8"/>
    <w:rsid w:val="063712A4"/>
    <w:rsid w:val="06AE09E8"/>
    <w:rsid w:val="06BC415C"/>
    <w:rsid w:val="06F516B9"/>
    <w:rsid w:val="070B59DE"/>
    <w:rsid w:val="071213A4"/>
    <w:rsid w:val="0723415E"/>
    <w:rsid w:val="07684DB0"/>
    <w:rsid w:val="079E5D15"/>
    <w:rsid w:val="080359FE"/>
    <w:rsid w:val="082416A8"/>
    <w:rsid w:val="0831561A"/>
    <w:rsid w:val="087F540F"/>
    <w:rsid w:val="089C7828"/>
    <w:rsid w:val="08AA5A4E"/>
    <w:rsid w:val="08E071C2"/>
    <w:rsid w:val="090D71E8"/>
    <w:rsid w:val="09242111"/>
    <w:rsid w:val="09372364"/>
    <w:rsid w:val="093D09F4"/>
    <w:rsid w:val="09D94F26"/>
    <w:rsid w:val="09F0682D"/>
    <w:rsid w:val="0A280AE7"/>
    <w:rsid w:val="0A2959B9"/>
    <w:rsid w:val="0A5E13CA"/>
    <w:rsid w:val="0A9D44AA"/>
    <w:rsid w:val="0B174119"/>
    <w:rsid w:val="0B2F3642"/>
    <w:rsid w:val="0B4E6205"/>
    <w:rsid w:val="0B53788F"/>
    <w:rsid w:val="0B8B2A8B"/>
    <w:rsid w:val="0BBD0935"/>
    <w:rsid w:val="0BEE6A3A"/>
    <w:rsid w:val="0C4330C3"/>
    <w:rsid w:val="0C434945"/>
    <w:rsid w:val="0C7E3754"/>
    <w:rsid w:val="0CA22478"/>
    <w:rsid w:val="0CCF2299"/>
    <w:rsid w:val="0CD40F67"/>
    <w:rsid w:val="0CD578BF"/>
    <w:rsid w:val="0CF92CEC"/>
    <w:rsid w:val="0D10170D"/>
    <w:rsid w:val="0D144DDC"/>
    <w:rsid w:val="0D2152A5"/>
    <w:rsid w:val="0D623840"/>
    <w:rsid w:val="0D8474DB"/>
    <w:rsid w:val="0D8D6A8B"/>
    <w:rsid w:val="0E020F24"/>
    <w:rsid w:val="0E421FC5"/>
    <w:rsid w:val="0E7F4D8E"/>
    <w:rsid w:val="0E8A0A3A"/>
    <w:rsid w:val="0F214E1B"/>
    <w:rsid w:val="0F255673"/>
    <w:rsid w:val="0FC45227"/>
    <w:rsid w:val="0FE74A28"/>
    <w:rsid w:val="104E7646"/>
    <w:rsid w:val="104F2631"/>
    <w:rsid w:val="108171B0"/>
    <w:rsid w:val="108E59ED"/>
    <w:rsid w:val="10DA7ABA"/>
    <w:rsid w:val="10DF45F7"/>
    <w:rsid w:val="10ED4A90"/>
    <w:rsid w:val="10FF016B"/>
    <w:rsid w:val="113A0473"/>
    <w:rsid w:val="115E4DC4"/>
    <w:rsid w:val="118364A1"/>
    <w:rsid w:val="11956199"/>
    <w:rsid w:val="11E16E03"/>
    <w:rsid w:val="12AB3E1B"/>
    <w:rsid w:val="12B44E27"/>
    <w:rsid w:val="12C4064E"/>
    <w:rsid w:val="12D43E99"/>
    <w:rsid w:val="12FE3AE6"/>
    <w:rsid w:val="13007FF0"/>
    <w:rsid w:val="1317017E"/>
    <w:rsid w:val="1387291A"/>
    <w:rsid w:val="13933252"/>
    <w:rsid w:val="139505B5"/>
    <w:rsid w:val="13D61630"/>
    <w:rsid w:val="14A16653"/>
    <w:rsid w:val="151B6729"/>
    <w:rsid w:val="15282A2F"/>
    <w:rsid w:val="15AA5EF7"/>
    <w:rsid w:val="15CB7B70"/>
    <w:rsid w:val="16007AE3"/>
    <w:rsid w:val="16214314"/>
    <w:rsid w:val="1628122F"/>
    <w:rsid w:val="1664270B"/>
    <w:rsid w:val="16894BD5"/>
    <w:rsid w:val="168F266C"/>
    <w:rsid w:val="16B906A7"/>
    <w:rsid w:val="16B97CC3"/>
    <w:rsid w:val="16EF49CE"/>
    <w:rsid w:val="172D2B66"/>
    <w:rsid w:val="173476A9"/>
    <w:rsid w:val="173D1EC6"/>
    <w:rsid w:val="176A4507"/>
    <w:rsid w:val="17F52BAF"/>
    <w:rsid w:val="1865247C"/>
    <w:rsid w:val="18653589"/>
    <w:rsid w:val="186B061D"/>
    <w:rsid w:val="18751E06"/>
    <w:rsid w:val="1884350A"/>
    <w:rsid w:val="18DE1576"/>
    <w:rsid w:val="18FB16A6"/>
    <w:rsid w:val="19532E99"/>
    <w:rsid w:val="19C7781F"/>
    <w:rsid w:val="19CA6622"/>
    <w:rsid w:val="1A045F9A"/>
    <w:rsid w:val="1A1E748A"/>
    <w:rsid w:val="1A232813"/>
    <w:rsid w:val="1A3E77E1"/>
    <w:rsid w:val="1A853B64"/>
    <w:rsid w:val="1AB72519"/>
    <w:rsid w:val="1ABD1938"/>
    <w:rsid w:val="1ACF6B79"/>
    <w:rsid w:val="1B157548"/>
    <w:rsid w:val="1B7A404F"/>
    <w:rsid w:val="1B89181D"/>
    <w:rsid w:val="1BB26D44"/>
    <w:rsid w:val="1BCB7148"/>
    <w:rsid w:val="1C0205D0"/>
    <w:rsid w:val="1C036A17"/>
    <w:rsid w:val="1C1A5A66"/>
    <w:rsid w:val="1C1B099B"/>
    <w:rsid w:val="1C1F58E0"/>
    <w:rsid w:val="1C2D6586"/>
    <w:rsid w:val="1C373BB0"/>
    <w:rsid w:val="1C490B2E"/>
    <w:rsid w:val="1C5924CD"/>
    <w:rsid w:val="1C814CEB"/>
    <w:rsid w:val="1C82155D"/>
    <w:rsid w:val="1C8E1F13"/>
    <w:rsid w:val="1CCE5395"/>
    <w:rsid w:val="1CE11347"/>
    <w:rsid w:val="1CFA5AEB"/>
    <w:rsid w:val="1D0473BE"/>
    <w:rsid w:val="1D2479DC"/>
    <w:rsid w:val="1D943FCC"/>
    <w:rsid w:val="1DA95DE0"/>
    <w:rsid w:val="1DCC290F"/>
    <w:rsid w:val="1DE125DD"/>
    <w:rsid w:val="1E5D01A1"/>
    <w:rsid w:val="1E9E6168"/>
    <w:rsid w:val="1E9F44BF"/>
    <w:rsid w:val="1F0C741E"/>
    <w:rsid w:val="1F4B11ED"/>
    <w:rsid w:val="1FE256A0"/>
    <w:rsid w:val="1FF1128F"/>
    <w:rsid w:val="201529B0"/>
    <w:rsid w:val="20B83C36"/>
    <w:rsid w:val="20BE4977"/>
    <w:rsid w:val="20C932CD"/>
    <w:rsid w:val="20C95D12"/>
    <w:rsid w:val="20E111FD"/>
    <w:rsid w:val="20EB7B70"/>
    <w:rsid w:val="20ED147A"/>
    <w:rsid w:val="212877DC"/>
    <w:rsid w:val="21311098"/>
    <w:rsid w:val="214206F3"/>
    <w:rsid w:val="21CA04A6"/>
    <w:rsid w:val="21CE5CF8"/>
    <w:rsid w:val="21F64E14"/>
    <w:rsid w:val="22064885"/>
    <w:rsid w:val="221018A4"/>
    <w:rsid w:val="2235374B"/>
    <w:rsid w:val="22385BA8"/>
    <w:rsid w:val="225C4CE7"/>
    <w:rsid w:val="22951A22"/>
    <w:rsid w:val="22E73E09"/>
    <w:rsid w:val="22EA0317"/>
    <w:rsid w:val="23221EA4"/>
    <w:rsid w:val="235B1D4F"/>
    <w:rsid w:val="23643A4C"/>
    <w:rsid w:val="239700F3"/>
    <w:rsid w:val="23C24B69"/>
    <w:rsid w:val="23F14C00"/>
    <w:rsid w:val="241C4432"/>
    <w:rsid w:val="247308C1"/>
    <w:rsid w:val="2475570F"/>
    <w:rsid w:val="248D1EF9"/>
    <w:rsid w:val="25AC4D3C"/>
    <w:rsid w:val="25B21D89"/>
    <w:rsid w:val="25CE5EF0"/>
    <w:rsid w:val="262C52AF"/>
    <w:rsid w:val="26300C52"/>
    <w:rsid w:val="263B3460"/>
    <w:rsid w:val="267848B6"/>
    <w:rsid w:val="268D096C"/>
    <w:rsid w:val="26E8637E"/>
    <w:rsid w:val="26FA31CB"/>
    <w:rsid w:val="27452358"/>
    <w:rsid w:val="278E57E1"/>
    <w:rsid w:val="27A25B04"/>
    <w:rsid w:val="27E55837"/>
    <w:rsid w:val="2823264B"/>
    <w:rsid w:val="28242691"/>
    <w:rsid w:val="283A21FD"/>
    <w:rsid w:val="28414E3D"/>
    <w:rsid w:val="28991FD4"/>
    <w:rsid w:val="28B30F22"/>
    <w:rsid w:val="28C20870"/>
    <w:rsid w:val="28FD08A2"/>
    <w:rsid w:val="29006B97"/>
    <w:rsid w:val="292D7B91"/>
    <w:rsid w:val="293E685C"/>
    <w:rsid w:val="29802F8C"/>
    <w:rsid w:val="29C02039"/>
    <w:rsid w:val="29E04C07"/>
    <w:rsid w:val="29E17F39"/>
    <w:rsid w:val="29EB43B7"/>
    <w:rsid w:val="29F81A1B"/>
    <w:rsid w:val="2A0316F0"/>
    <w:rsid w:val="2A4901CA"/>
    <w:rsid w:val="2A537FE9"/>
    <w:rsid w:val="2A6E1B35"/>
    <w:rsid w:val="2AA87B6A"/>
    <w:rsid w:val="2AAF4BEE"/>
    <w:rsid w:val="2AE07E5F"/>
    <w:rsid w:val="2B0F1D0C"/>
    <w:rsid w:val="2B8D4943"/>
    <w:rsid w:val="2B955CBE"/>
    <w:rsid w:val="2BC57E2F"/>
    <w:rsid w:val="2BD63E8C"/>
    <w:rsid w:val="2BDA1B5C"/>
    <w:rsid w:val="2BDE00A4"/>
    <w:rsid w:val="2C115958"/>
    <w:rsid w:val="2C145101"/>
    <w:rsid w:val="2C7B3F92"/>
    <w:rsid w:val="2C7F767E"/>
    <w:rsid w:val="2CA268A4"/>
    <w:rsid w:val="2CBF7624"/>
    <w:rsid w:val="2CC82AFF"/>
    <w:rsid w:val="2CE242A3"/>
    <w:rsid w:val="2CF266C9"/>
    <w:rsid w:val="2D2A125B"/>
    <w:rsid w:val="2DB50DC2"/>
    <w:rsid w:val="2DE8136A"/>
    <w:rsid w:val="2E2D11D5"/>
    <w:rsid w:val="2E8B4CDD"/>
    <w:rsid w:val="2ED12E7D"/>
    <w:rsid w:val="2EDC44BB"/>
    <w:rsid w:val="2EFE359F"/>
    <w:rsid w:val="2F270CC7"/>
    <w:rsid w:val="2F694AE5"/>
    <w:rsid w:val="2F950DC3"/>
    <w:rsid w:val="2FAE6647"/>
    <w:rsid w:val="2FD54DDE"/>
    <w:rsid w:val="2FDC1EFF"/>
    <w:rsid w:val="2FEE2205"/>
    <w:rsid w:val="300A0F62"/>
    <w:rsid w:val="301B45FF"/>
    <w:rsid w:val="30360106"/>
    <w:rsid w:val="308F4E02"/>
    <w:rsid w:val="30987302"/>
    <w:rsid w:val="309C3855"/>
    <w:rsid w:val="30B92740"/>
    <w:rsid w:val="30EC1ACD"/>
    <w:rsid w:val="3116215A"/>
    <w:rsid w:val="316C762B"/>
    <w:rsid w:val="317C1449"/>
    <w:rsid w:val="319C3428"/>
    <w:rsid w:val="325F1CAE"/>
    <w:rsid w:val="3302251A"/>
    <w:rsid w:val="332B3A37"/>
    <w:rsid w:val="333B2C80"/>
    <w:rsid w:val="337A3521"/>
    <w:rsid w:val="337E3332"/>
    <w:rsid w:val="33A660BA"/>
    <w:rsid w:val="33CF1698"/>
    <w:rsid w:val="33F70B52"/>
    <w:rsid w:val="340E45D8"/>
    <w:rsid w:val="344E5898"/>
    <w:rsid w:val="34693D13"/>
    <w:rsid w:val="34745812"/>
    <w:rsid w:val="34AA1663"/>
    <w:rsid w:val="34E9208A"/>
    <w:rsid w:val="353748A4"/>
    <w:rsid w:val="353C756F"/>
    <w:rsid w:val="356045EB"/>
    <w:rsid w:val="35A578C8"/>
    <w:rsid w:val="35BC527D"/>
    <w:rsid w:val="36AF73A8"/>
    <w:rsid w:val="36B87F7F"/>
    <w:rsid w:val="370C24D9"/>
    <w:rsid w:val="372D21D5"/>
    <w:rsid w:val="377B784E"/>
    <w:rsid w:val="380A7EEC"/>
    <w:rsid w:val="38186598"/>
    <w:rsid w:val="382369C8"/>
    <w:rsid w:val="3847703A"/>
    <w:rsid w:val="386E12D3"/>
    <w:rsid w:val="388B7573"/>
    <w:rsid w:val="38B6064B"/>
    <w:rsid w:val="393359FC"/>
    <w:rsid w:val="39571A26"/>
    <w:rsid w:val="39A75284"/>
    <w:rsid w:val="39A84E82"/>
    <w:rsid w:val="3A1A412A"/>
    <w:rsid w:val="3A4952BB"/>
    <w:rsid w:val="3A584072"/>
    <w:rsid w:val="3AA524E0"/>
    <w:rsid w:val="3B0C707A"/>
    <w:rsid w:val="3B284F0D"/>
    <w:rsid w:val="3B917AF1"/>
    <w:rsid w:val="3B9A6759"/>
    <w:rsid w:val="3BAD2C50"/>
    <w:rsid w:val="3BD74A66"/>
    <w:rsid w:val="3BE37985"/>
    <w:rsid w:val="3BF6595B"/>
    <w:rsid w:val="3C871BD0"/>
    <w:rsid w:val="3C9D3692"/>
    <w:rsid w:val="3CBC77C7"/>
    <w:rsid w:val="3CDA6007"/>
    <w:rsid w:val="3CF420F2"/>
    <w:rsid w:val="3D3C7447"/>
    <w:rsid w:val="3DED3A36"/>
    <w:rsid w:val="3E046FAB"/>
    <w:rsid w:val="3E3F1070"/>
    <w:rsid w:val="3E4621D8"/>
    <w:rsid w:val="3E575BA9"/>
    <w:rsid w:val="3E6961C1"/>
    <w:rsid w:val="3E754C3A"/>
    <w:rsid w:val="3E8610A0"/>
    <w:rsid w:val="3E8C7167"/>
    <w:rsid w:val="3EBC2147"/>
    <w:rsid w:val="3EBE2806"/>
    <w:rsid w:val="3EC51EC4"/>
    <w:rsid w:val="3EC75AF7"/>
    <w:rsid w:val="3EDA668E"/>
    <w:rsid w:val="3EFB301E"/>
    <w:rsid w:val="3F1D4D87"/>
    <w:rsid w:val="3F59431E"/>
    <w:rsid w:val="3FE41E2F"/>
    <w:rsid w:val="400C45C3"/>
    <w:rsid w:val="40180FCC"/>
    <w:rsid w:val="4085069A"/>
    <w:rsid w:val="408D7758"/>
    <w:rsid w:val="4153012C"/>
    <w:rsid w:val="415907E8"/>
    <w:rsid w:val="415B3BE7"/>
    <w:rsid w:val="42543683"/>
    <w:rsid w:val="427079AE"/>
    <w:rsid w:val="42C14A50"/>
    <w:rsid w:val="42EA7011"/>
    <w:rsid w:val="4334135C"/>
    <w:rsid w:val="43656ECB"/>
    <w:rsid w:val="43C15173"/>
    <w:rsid w:val="43CD02F2"/>
    <w:rsid w:val="43FF1634"/>
    <w:rsid w:val="4450216F"/>
    <w:rsid w:val="44A24958"/>
    <w:rsid w:val="45094484"/>
    <w:rsid w:val="45404511"/>
    <w:rsid w:val="455461CF"/>
    <w:rsid w:val="45681F4B"/>
    <w:rsid w:val="459459AE"/>
    <w:rsid w:val="459D4D19"/>
    <w:rsid w:val="45CB29FB"/>
    <w:rsid w:val="45D84E3D"/>
    <w:rsid w:val="45E4421C"/>
    <w:rsid w:val="45F2731A"/>
    <w:rsid w:val="462E2BAA"/>
    <w:rsid w:val="46674E3B"/>
    <w:rsid w:val="46822890"/>
    <w:rsid w:val="46972B78"/>
    <w:rsid w:val="46A21347"/>
    <w:rsid w:val="46DC1B8D"/>
    <w:rsid w:val="46F943D4"/>
    <w:rsid w:val="475355C4"/>
    <w:rsid w:val="4799055A"/>
    <w:rsid w:val="47BA32B5"/>
    <w:rsid w:val="47BB62E5"/>
    <w:rsid w:val="47CF6CCA"/>
    <w:rsid w:val="47FD6B6F"/>
    <w:rsid w:val="482B38FE"/>
    <w:rsid w:val="489756C8"/>
    <w:rsid w:val="48DC3065"/>
    <w:rsid w:val="49292F6B"/>
    <w:rsid w:val="49324970"/>
    <w:rsid w:val="49864D18"/>
    <w:rsid w:val="49BA1D51"/>
    <w:rsid w:val="4A182A54"/>
    <w:rsid w:val="4A362453"/>
    <w:rsid w:val="4A3B24EA"/>
    <w:rsid w:val="4A4B1F90"/>
    <w:rsid w:val="4A7F73C4"/>
    <w:rsid w:val="4A87244A"/>
    <w:rsid w:val="4A936BE4"/>
    <w:rsid w:val="4AB56814"/>
    <w:rsid w:val="4AC5741C"/>
    <w:rsid w:val="4AFE1B0B"/>
    <w:rsid w:val="4B154342"/>
    <w:rsid w:val="4B401FB6"/>
    <w:rsid w:val="4B4C5A88"/>
    <w:rsid w:val="4B536EA1"/>
    <w:rsid w:val="4B6508C4"/>
    <w:rsid w:val="4B733448"/>
    <w:rsid w:val="4C4F0864"/>
    <w:rsid w:val="4C8816F8"/>
    <w:rsid w:val="4C8E6B68"/>
    <w:rsid w:val="4C971CEB"/>
    <w:rsid w:val="4CBB18FB"/>
    <w:rsid w:val="4CBF6CF8"/>
    <w:rsid w:val="4CF07720"/>
    <w:rsid w:val="4D016773"/>
    <w:rsid w:val="4D153285"/>
    <w:rsid w:val="4D263C1E"/>
    <w:rsid w:val="4D85719C"/>
    <w:rsid w:val="4D9F1B22"/>
    <w:rsid w:val="4DB11AD5"/>
    <w:rsid w:val="4DE21818"/>
    <w:rsid w:val="4E577A3E"/>
    <w:rsid w:val="4E6F5C8F"/>
    <w:rsid w:val="4E9329EC"/>
    <w:rsid w:val="4EAB13C3"/>
    <w:rsid w:val="4EB32690"/>
    <w:rsid w:val="4ECF58BA"/>
    <w:rsid w:val="4F1428B4"/>
    <w:rsid w:val="4F163F38"/>
    <w:rsid w:val="4F3D401E"/>
    <w:rsid w:val="4F5528AF"/>
    <w:rsid w:val="4F776DD1"/>
    <w:rsid w:val="4F861F63"/>
    <w:rsid w:val="4FA70E8A"/>
    <w:rsid w:val="502E037A"/>
    <w:rsid w:val="503E5EF8"/>
    <w:rsid w:val="505C3A43"/>
    <w:rsid w:val="506E4E9E"/>
    <w:rsid w:val="50C62A39"/>
    <w:rsid w:val="50C63D74"/>
    <w:rsid w:val="513A2F1C"/>
    <w:rsid w:val="513B7238"/>
    <w:rsid w:val="514863D5"/>
    <w:rsid w:val="51641189"/>
    <w:rsid w:val="51B130FF"/>
    <w:rsid w:val="51FA1EEA"/>
    <w:rsid w:val="52A30E59"/>
    <w:rsid w:val="52CD5FB9"/>
    <w:rsid w:val="532F5ABF"/>
    <w:rsid w:val="533217D6"/>
    <w:rsid w:val="534F2472"/>
    <w:rsid w:val="53A02DE7"/>
    <w:rsid w:val="53C02BA8"/>
    <w:rsid w:val="53DA7008"/>
    <w:rsid w:val="544E11FD"/>
    <w:rsid w:val="548E668C"/>
    <w:rsid w:val="54A914CF"/>
    <w:rsid w:val="54E257AA"/>
    <w:rsid w:val="54EB106C"/>
    <w:rsid w:val="551E5DAE"/>
    <w:rsid w:val="552A22CF"/>
    <w:rsid w:val="558A2AFF"/>
    <w:rsid w:val="55A90C3B"/>
    <w:rsid w:val="55D52B52"/>
    <w:rsid w:val="55ED652F"/>
    <w:rsid w:val="560C05CD"/>
    <w:rsid w:val="563C1667"/>
    <w:rsid w:val="568011CA"/>
    <w:rsid w:val="56827AF2"/>
    <w:rsid w:val="56F17570"/>
    <w:rsid w:val="570B3EC6"/>
    <w:rsid w:val="57867C71"/>
    <w:rsid w:val="57B5185B"/>
    <w:rsid w:val="58172C9D"/>
    <w:rsid w:val="583A53E2"/>
    <w:rsid w:val="58527FA9"/>
    <w:rsid w:val="589953BF"/>
    <w:rsid w:val="58A16060"/>
    <w:rsid w:val="58D9628F"/>
    <w:rsid w:val="58E667D7"/>
    <w:rsid w:val="58E96902"/>
    <w:rsid w:val="590A7653"/>
    <w:rsid w:val="594132FD"/>
    <w:rsid w:val="595D7983"/>
    <w:rsid w:val="59787F7D"/>
    <w:rsid w:val="59AA4F33"/>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38733E"/>
    <w:rsid w:val="5B431860"/>
    <w:rsid w:val="5B4E72C4"/>
    <w:rsid w:val="5B56055E"/>
    <w:rsid w:val="5B66725C"/>
    <w:rsid w:val="5B87708A"/>
    <w:rsid w:val="5BC8240A"/>
    <w:rsid w:val="5BD53A7C"/>
    <w:rsid w:val="5BF52180"/>
    <w:rsid w:val="5C1C3D87"/>
    <w:rsid w:val="5C2C7E4D"/>
    <w:rsid w:val="5C521C99"/>
    <w:rsid w:val="5C5B2673"/>
    <w:rsid w:val="5C5E1467"/>
    <w:rsid w:val="5C6747FF"/>
    <w:rsid w:val="5CDA567F"/>
    <w:rsid w:val="5D4C44F5"/>
    <w:rsid w:val="5D564326"/>
    <w:rsid w:val="5D7A622A"/>
    <w:rsid w:val="5D837A5A"/>
    <w:rsid w:val="5DB227F3"/>
    <w:rsid w:val="5DCE38D2"/>
    <w:rsid w:val="5DDD3962"/>
    <w:rsid w:val="5E505FC4"/>
    <w:rsid w:val="5EE53C0F"/>
    <w:rsid w:val="5F1658AC"/>
    <w:rsid w:val="5F3E35C0"/>
    <w:rsid w:val="5F422FB7"/>
    <w:rsid w:val="5F56708C"/>
    <w:rsid w:val="5F5F33BA"/>
    <w:rsid w:val="5F6A7126"/>
    <w:rsid w:val="5F6D2EAE"/>
    <w:rsid w:val="5F7C32D2"/>
    <w:rsid w:val="5F8E15BA"/>
    <w:rsid w:val="5F9003C5"/>
    <w:rsid w:val="5FA027B2"/>
    <w:rsid w:val="6019021B"/>
    <w:rsid w:val="602204E4"/>
    <w:rsid w:val="605950BD"/>
    <w:rsid w:val="60CE627D"/>
    <w:rsid w:val="60E9220F"/>
    <w:rsid w:val="60F0498A"/>
    <w:rsid w:val="610432DE"/>
    <w:rsid w:val="610918C9"/>
    <w:rsid w:val="6141319E"/>
    <w:rsid w:val="616B6787"/>
    <w:rsid w:val="616E010E"/>
    <w:rsid w:val="618046EE"/>
    <w:rsid w:val="61834FEE"/>
    <w:rsid w:val="61A43920"/>
    <w:rsid w:val="61C56933"/>
    <w:rsid w:val="61F151D6"/>
    <w:rsid w:val="62323853"/>
    <w:rsid w:val="62BD4ADF"/>
    <w:rsid w:val="62D97B6B"/>
    <w:rsid w:val="62DE41A3"/>
    <w:rsid w:val="63052E4B"/>
    <w:rsid w:val="630F066A"/>
    <w:rsid w:val="631B345A"/>
    <w:rsid w:val="63383F2E"/>
    <w:rsid w:val="633C193D"/>
    <w:rsid w:val="634B384A"/>
    <w:rsid w:val="639E0904"/>
    <w:rsid w:val="63A46AC0"/>
    <w:rsid w:val="63AD7D45"/>
    <w:rsid w:val="63BB15A7"/>
    <w:rsid w:val="63D17890"/>
    <w:rsid w:val="63E05F68"/>
    <w:rsid w:val="63ED6022"/>
    <w:rsid w:val="63FF3CAE"/>
    <w:rsid w:val="643A28F4"/>
    <w:rsid w:val="64AC5B37"/>
    <w:rsid w:val="64B25556"/>
    <w:rsid w:val="64EE1948"/>
    <w:rsid w:val="65027594"/>
    <w:rsid w:val="65215CF1"/>
    <w:rsid w:val="6524548D"/>
    <w:rsid w:val="652F4BBC"/>
    <w:rsid w:val="6530545F"/>
    <w:rsid w:val="65AC6091"/>
    <w:rsid w:val="65B82967"/>
    <w:rsid w:val="65C02FAC"/>
    <w:rsid w:val="65C76499"/>
    <w:rsid w:val="65CA3782"/>
    <w:rsid w:val="66856E04"/>
    <w:rsid w:val="669E3A6F"/>
    <w:rsid w:val="66FE0E6C"/>
    <w:rsid w:val="673A70DC"/>
    <w:rsid w:val="674771E1"/>
    <w:rsid w:val="67610F4B"/>
    <w:rsid w:val="67631E57"/>
    <w:rsid w:val="67756918"/>
    <w:rsid w:val="678B27F8"/>
    <w:rsid w:val="67AB42A9"/>
    <w:rsid w:val="6828707A"/>
    <w:rsid w:val="682A58ED"/>
    <w:rsid w:val="682C4D01"/>
    <w:rsid w:val="688E00CA"/>
    <w:rsid w:val="6898299E"/>
    <w:rsid w:val="68B50CD7"/>
    <w:rsid w:val="68EE6283"/>
    <w:rsid w:val="68F03FD0"/>
    <w:rsid w:val="696B2818"/>
    <w:rsid w:val="69AC440F"/>
    <w:rsid w:val="69B3041E"/>
    <w:rsid w:val="69D200A3"/>
    <w:rsid w:val="6A012FFC"/>
    <w:rsid w:val="6A1E3900"/>
    <w:rsid w:val="6A2934D4"/>
    <w:rsid w:val="6A3B1EAF"/>
    <w:rsid w:val="6A4753A0"/>
    <w:rsid w:val="6A66522F"/>
    <w:rsid w:val="6A7563B9"/>
    <w:rsid w:val="6A980AFA"/>
    <w:rsid w:val="6BB73573"/>
    <w:rsid w:val="6BDA6A2D"/>
    <w:rsid w:val="6C033C38"/>
    <w:rsid w:val="6C243006"/>
    <w:rsid w:val="6C3F482F"/>
    <w:rsid w:val="6C9B2DE6"/>
    <w:rsid w:val="6CAC3FE4"/>
    <w:rsid w:val="6CB6590F"/>
    <w:rsid w:val="6CB94437"/>
    <w:rsid w:val="6CF2559F"/>
    <w:rsid w:val="6CF330D3"/>
    <w:rsid w:val="6D191821"/>
    <w:rsid w:val="6D621B6B"/>
    <w:rsid w:val="6D7F7F3F"/>
    <w:rsid w:val="6D905D3E"/>
    <w:rsid w:val="6D9654C4"/>
    <w:rsid w:val="6D9A6D87"/>
    <w:rsid w:val="6DBF6671"/>
    <w:rsid w:val="6DD44D98"/>
    <w:rsid w:val="6DE40732"/>
    <w:rsid w:val="6DFD0C5F"/>
    <w:rsid w:val="6E056D37"/>
    <w:rsid w:val="6E4C443F"/>
    <w:rsid w:val="6E665A1F"/>
    <w:rsid w:val="6E9C0EAC"/>
    <w:rsid w:val="6EF324C4"/>
    <w:rsid w:val="6F0657B4"/>
    <w:rsid w:val="6F2A2705"/>
    <w:rsid w:val="6F633226"/>
    <w:rsid w:val="6F9853F0"/>
    <w:rsid w:val="6F9A3299"/>
    <w:rsid w:val="6FF228E7"/>
    <w:rsid w:val="701E2B4A"/>
    <w:rsid w:val="702373F9"/>
    <w:rsid w:val="70645AF1"/>
    <w:rsid w:val="70A7264A"/>
    <w:rsid w:val="70FC35C5"/>
    <w:rsid w:val="71030A1E"/>
    <w:rsid w:val="71494F43"/>
    <w:rsid w:val="717679B0"/>
    <w:rsid w:val="718C7D8C"/>
    <w:rsid w:val="719541EF"/>
    <w:rsid w:val="71A67703"/>
    <w:rsid w:val="71C671F3"/>
    <w:rsid w:val="71F40AB6"/>
    <w:rsid w:val="720D6FA7"/>
    <w:rsid w:val="722B5E4B"/>
    <w:rsid w:val="726232D3"/>
    <w:rsid w:val="72CD2F6D"/>
    <w:rsid w:val="72E2082F"/>
    <w:rsid w:val="72ED5355"/>
    <w:rsid w:val="73091D9D"/>
    <w:rsid w:val="73147801"/>
    <w:rsid w:val="731E0EE4"/>
    <w:rsid w:val="732A49D0"/>
    <w:rsid w:val="733A5B31"/>
    <w:rsid w:val="73675E3C"/>
    <w:rsid w:val="73761055"/>
    <w:rsid w:val="73A64D26"/>
    <w:rsid w:val="73B62645"/>
    <w:rsid w:val="73EB13C3"/>
    <w:rsid w:val="741E64D2"/>
    <w:rsid w:val="74606A40"/>
    <w:rsid w:val="74A43FA1"/>
    <w:rsid w:val="74EA21CA"/>
    <w:rsid w:val="751834E2"/>
    <w:rsid w:val="752A505B"/>
    <w:rsid w:val="754103B0"/>
    <w:rsid w:val="756A0588"/>
    <w:rsid w:val="757E56CF"/>
    <w:rsid w:val="768E1B0E"/>
    <w:rsid w:val="76E426EC"/>
    <w:rsid w:val="78507024"/>
    <w:rsid w:val="786B7FB6"/>
    <w:rsid w:val="78C31053"/>
    <w:rsid w:val="78FB3499"/>
    <w:rsid w:val="793D0080"/>
    <w:rsid w:val="797418B8"/>
    <w:rsid w:val="799C4F8D"/>
    <w:rsid w:val="79A300ED"/>
    <w:rsid w:val="79A91D64"/>
    <w:rsid w:val="79B34C63"/>
    <w:rsid w:val="79DA1BA7"/>
    <w:rsid w:val="7A12137B"/>
    <w:rsid w:val="7A2F3379"/>
    <w:rsid w:val="7B0F21D0"/>
    <w:rsid w:val="7B105D28"/>
    <w:rsid w:val="7B482837"/>
    <w:rsid w:val="7BCA5046"/>
    <w:rsid w:val="7BE84968"/>
    <w:rsid w:val="7BFB6779"/>
    <w:rsid w:val="7C41345D"/>
    <w:rsid w:val="7C874BA1"/>
    <w:rsid w:val="7C984445"/>
    <w:rsid w:val="7CAB3DA1"/>
    <w:rsid w:val="7CBF25E5"/>
    <w:rsid w:val="7D0159FC"/>
    <w:rsid w:val="7D1F7FCC"/>
    <w:rsid w:val="7D45208C"/>
    <w:rsid w:val="7D6D3049"/>
    <w:rsid w:val="7D8E5DBA"/>
    <w:rsid w:val="7DA519E1"/>
    <w:rsid w:val="7DB14D3F"/>
    <w:rsid w:val="7DF5706A"/>
    <w:rsid w:val="7E067225"/>
    <w:rsid w:val="7E1502F1"/>
    <w:rsid w:val="7E277623"/>
    <w:rsid w:val="7E325105"/>
    <w:rsid w:val="7E3E4752"/>
    <w:rsid w:val="7E41783E"/>
    <w:rsid w:val="7EA84440"/>
    <w:rsid w:val="7F32685A"/>
    <w:rsid w:val="7F7731EB"/>
    <w:rsid w:val="7FE25475"/>
    <w:rsid w:val="7FFB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annotation text"/>
    <w:basedOn w:val="1"/>
    <w:link w:val="24"/>
    <w:unhideWhenUsed/>
    <w:qFormat/>
    <w:uiPriority w:val="99"/>
    <w:pPr>
      <w:jc w:val="left"/>
    </w:pPr>
  </w:style>
  <w:style w:type="paragraph" w:styleId="6">
    <w:name w:val="Body Text"/>
    <w:basedOn w:val="1"/>
    <w:next w:val="1"/>
    <w:qFormat/>
    <w:uiPriority w:val="0"/>
    <w:pPr>
      <w:spacing w:after="120"/>
    </w:pPr>
  </w:style>
  <w:style w:type="paragraph" w:styleId="7">
    <w:name w:val="Body Text Indent 2"/>
    <w:basedOn w:val="1"/>
    <w:unhideWhenUsed/>
    <w:qFormat/>
    <w:uiPriority w:val="99"/>
    <w:pPr>
      <w:tabs>
        <w:tab w:val="left" w:pos="1440"/>
      </w:tabs>
      <w:ind w:firstLine="560" w:firstLineChars="200"/>
    </w:pPr>
    <w:rPr>
      <w:rFonts w:ascii="宋体" w:hAnsi="宋体"/>
      <w:sz w:val="28"/>
    </w:rPr>
  </w:style>
  <w:style w:type="paragraph" w:styleId="8">
    <w:name w:val="Balloon Text"/>
    <w:basedOn w:val="1"/>
    <w:link w:val="22"/>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2">
    <w:name w:val="annotation subject"/>
    <w:basedOn w:val="5"/>
    <w:next w:val="5"/>
    <w:link w:val="21"/>
    <w:unhideWhenUsed/>
    <w:qFormat/>
    <w:uiPriority w:val="99"/>
    <w:rPr>
      <w:b/>
      <w:bCs/>
    </w:rPr>
  </w:style>
  <w:style w:type="table" w:styleId="14">
    <w:name w:val="Table Grid"/>
    <w:basedOn w:val="13"/>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cs="Times New Roman"/>
      <w:b/>
    </w:rPr>
  </w:style>
  <w:style w:type="character" w:styleId="17">
    <w:name w:val="FollowedHyperlink"/>
    <w:basedOn w:val="15"/>
    <w:semiHidden/>
    <w:unhideWhenUsed/>
    <w:qFormat/>
    <w:uiPriority w:val="99"/>
    <w:rPr>
      <w:color w:val="003399"/>
      <w:u w:val="none"/>
    </w:rPr>
  </w:style>
  <w:style w:type="character" w:styleId="18">
    <w:name w:val="Hyperlink"/>
    <w:basedOn w:val="15"/>
    <w:unhideWhenUsed/>
    <w:qFormat/>
    <w:uiPriority w:val="99"/>
    <w:rPr>
      <w:color w:val="0000FF"/>
      <w:u w:val="none"/>
    </w:rPr>
  </w:style>
  <w:style w:type="character" w:styleId="19">
    <w:name w:val="annotation reference"/>
    <w:unhideWhenUsed/>
    <w:qFormat/>
    <w:uiPriority w:val="99"/>
    <w:rPr>
      <w:sz w:val="21"/>
      <w:szCs w:val="21"/>
    </w:rPr>
  </w:style>
  <w:style w:type="character" w:customStyle="1" w:styleId="20">
    <w:name w:val="NormalCharacter"/>
    <w:semiHidden/>
    <w:qFormat/>
    <w:uiPriority w:val="0"/>
    <w:rPr>
      <w:rFonts w:ascii="Times New Roman" w:hAnsi="Times New Roman" w:eastAsia="宋体"/>
      <w:kern w:val="2"/>
      <w:sz w:val="21"/>
      <w:szCs w:val="22"/>
      <w:lang w:val="en-US" w:eastAsia="zh-CN" w:bidi="ar-SA"/>
    </w:rPr>
  </w:style>
  <w:style w:type="character" w:customStyle="1" w:styleId="21">
    <w:name w:val="批注主题 字符"/>
    <w:link w:val="12"/>
    <w:semiHidden/>
    <w:qFormat/>
    <w:uiPriority w:val="99"/>
    <w:rPr>
      <w:b/>
      <w:bCs/>
      <w:kern w:val="2"/>
      <w:sz w:val="21"/>
      <w:szCs w:val="24"/>
    </w:rPr>
  </w:style>
  <w:style w:type="character" w:customStyle="1" w:styleId="22">
    <w:name w:val="批注框文本 字符"/>
    <w:link w:val="8"/>
    <w:semiHidden/>
    <w:qFormat/>
    <w:uiPriority w:val="99"/>
    <w:rPr>
      <w:kern w:val="2"/>
      <w:sz w:val="18"/>
      <w:szCs w:val="18"/>
    </w:rPr>
  </w:style>
  <w:style w:type="character" w:customStyle="1" w:styleId="23">
    <w:name w:val="页脚 字符"/>
    <w:link w:val="9"/>
    <w:qFormat/>
    <w:uiPriority w:val="99"/>
    <w:rPr>
      <w:kern w:val="2"/>
      <w:sz w:val="18"/>
      <w:szCs w:val="18"/>
    </w:rPr>
  </w:style>
  <w:style w:type="character" w:customStyle="1" w:styleId="24">
    <w:name w:val="批注文字 字符"/>
    <w:link w:val="5"/>
    <w:qFormat/>
    <w:uiPriority w:val="99"/>
    <w:rPr>
      <w:kern w:val="2"/>
      <w:sz w:val="21"/>
      <w:szCs w:val="24"/>
    </w:rPr>
  </w:style>
  <w:style w:type="character" w:customStyle="1" w:styleId="25">
    <w:name w:val="页眉 字符"/>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10344</Words>
  <Characters>10683</Characters>
  <Lines>59</Lines>
  <Paragraphs>16</Paragraphs>
  <TotalTime>6</TotalTime>
  <ScaleCrop>false</ScaleCrop>
  <LinksUpToDate>false</LinksUpToDate>
  <CharactersWithSpaces>11951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2020-04-13T02:41:00Z</dcterms:created>
  <dc:creator>Administrator</dc:creator>
  <cp:lastModifiedBy>導</cp:lastModifiedBy>
  <cp:lastPrinted>2023-08-15T01:37:00Z</cp:lastPrinted>
  <dcterms:modified xsi:type="dcterms:W3CDTF">2023-08-15T06:20:42Z</dcterms:modified>
  <dc:title>重庆万利万达高速公路有限公司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179BC061C5294449BE4FBE01268EEC9F</vt:lpwstr>
  </property>
</Properties>
</file>