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jc w:val="center"/>
        <w:rPr>
          <w:rFonts w:hint="eastAsia" w:ascii="方正小标宋_GBK" w:hAnsi="方正小标宋_GBK" w:eastAsia="方正小标宋_GBK" w:cs="方正小标宋_GBK"/>
          <w:b w:val="0"/>
          <w:bCs/>
          <w:sz w:val="44"/>
          <w:szCs w:val="44"/>
        </w:rPr>
      </w:pPr>
    </w:p>
    <w:p>
      <w:pPr>
        <w:pStyle w:val="11"/>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重庆</w:t>
      </w:r>
      <w:r>
        <w:rPr>
          <w:rFonts w:hint="eastAsia" w:ascii="方正小标宋_GBK" w:hAnsi="方正小标宋_GBK" w:eastAsia="方正小标宋_GBK" w:cs="方正小标宋_GBK"/>
          <w:b w:val="0"/>
          <w:bCs/>
          <w:sz w:val="44"/>
          <w:szCs w:val="44"/>
          <w:lang w:val="en-US" w:eastAsia="zh-CN"/>
        </w:rPr>
        <w:t>万利万达高速公路有限公司</w:t>
      </w:r>
    </w:p>
    <w:p>
      <w:pPr>
        <w:pStyle w:val="11"/>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车辆保险竞争性询价文件</w:t>
      </w:r>
    </w:p>
    <w:p>
      <w:pPr>
        <w:pStyle w:val="11"/>
        <w:spacing w:line="360" w:lineRule="auto"/>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ind w:firstLine="420"/>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eastAsia" w:ascii="方正小标宋_GBK" w:hAnsi="方正小标宋_GBK" w:eastAsia="方正小标宋_GBK" w:cs="方正小标宋_GBK"/>
          <w:b w:val="0"/>
          <w:bCs/>
          <w:sz w:val="44"/>
          <w:szCs w:val="44"/>
        </w:rPr>
      </w:pPr>
    </w:p>
    <w:p>
      <w:pPr>
        <w:pStyle w:val="11"/>
        <w:jc w:val="center"/>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询价单位：</w:t>
      </w:r>
      <w:r>
        <w:rPr>
          <w:rFonts w:hint="eastAsia" w:ascii="方正仿宋_GBK" w:hAnsi="方正仿宋_GBK" w:eastAsia="方正仿宋_GBK" w:cs="方正仿宋_GBK"/>
          <w:b w:val="0"/>
          <w:bCs/>
          <w:sz w:val="28"/>
          <w:szCs w:val="28"/>
        </w:rPr>
        <w:t>重庆</w:t>
      </w:r>
      <w:r>
        <w:rPr>
          <w:rFonts w:hint="eastAsia" w:ascii="方正仿宋_GBK" w:hAnsi="方正仿宋_GBK" w:eastAsia="方正仿宋_GBK" w:cs="方正仿宋_GBK"/>
          <w:b w:val="0"/>
          <w:bCs/>
          <w:sz w:val="28"/>
          <w:szCs w:val="28"/>
          <w:lang w:val="en-US" w:eastAsia="zh-CN"/>
        </w:rPr>
        <w:t>万利万达高速公路有限公司</w:t>
      </w:r>
    </w:p>
    <w:p>
      <w:pPr>
        <w:pStyle w:val="11"/>
        <w:jc w:val="center"/>
        <w:rPr>
          <w:b/>
          <w:sz w:val="48"/>
          <w:szCs w:val="48"/>
        </w:rPr>
      </w:pPr>
      <w:r>
        <w:rPr>
          <w:rFonts w:hint="eastAsia" w:ascii="方正仿宋_GBK" w:hAnsi="方正仿宋_GBK" w:eastAsia="方正仿宋_GBK" w:cs="方正仿宋_GBK"/>
          <w:b w:val="0"/>
          <w:bCs/>
          <w:sz w:val="28"/>
          <w:szCs w:val="28"/>
        </w:rPr>
        <w:t xml:space="preserve">  2023年</w:t>
      </w:r>
      <w:r>
        <w:rPr>
          <w:rFonts w:hint="eastAsia" w:ascii="方正仿宋_GBK" w:hAnsi="方正仿宋_GBK" w:eastAsia="方正仿宋_GBK" w:cs="方正仿宋_GBK"/>
          <w:b w:val="0"/>
          <w:bCs/>
          <w:sz w:val="28"/>
          <w:szCs w:val="28"/>
          <w:lang w:val="en-US" w:eastAsia="zh-CN"/>
        </w:rPr>
        <w:t>8月</w:t>
      </w:r>
    </w:p>
    <w:p>
      <w:pPr>
        <w:pStyle w:val="11"/>
        <w:keepNext w:val="0"/>
        <w:keepLines w:val="0"/>
        <w:pageBreakBefore w:val="0"/>
        <w:kinsoku/>
        <w:wordWrap/>
        <w:overflowPunct/>
        <w:topLinePunct w:val="0"/>
        <w:bidi w:val="0"/>
        <w:snapToGrid/>
        <w:spacing w:line="560" w:lineRule="exact"/>
        <w:ind w:left="0" w:leftChars="0" w:firstLine="880" w:firstLineChars="20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询价公告</w:t>
      </w:r>
    </w:p>
    <w:p>
      <w:pPr>
        <w:pStyle w:val="11"/>
        <w:keepNext w:val="0"/>
        <w:keepLines w:val="0"/>
        <w:pageBreakBefore w:val="0"/>
        <w:kinsoku/>
        <w:wordWrap/>
        <w:overflowPunct/>
        <w:topLinePunct w:val="0"/>
        <w:bidi w:val="0"/>
        <w:snapToGrid/>
        <w:spacing w:line="560" w:lineRule="exact"/>
        <w:ind w:left="0" w:leftChars="0" w:firstLine="560" w:firstLineChars="200"/>
        <w:textAlignment w:val="auto"/>
        <w:rPr>
          <w:rFonts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各保险公司：</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万利万达高速公路有限公司</w:t>
      </w:r>
      <w:r>
        <w:rPr>
          <w:rFonts w:hint="eastAsia" w:ascii="方正仿宋_GBK" w:hAnsi="方正仿宋_GBK" w:eastAsia="方正仿宋_GBK" w:cs="方正仿宋_GBK"/>
          <w:sz w:val="28"/>
          <w:szCs w:val="28"/>
        </w:rPr>
        <w:t>拟通过竞争性询价选择承保</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现将询价具体内容公布如下：</w:t>
      </w:r>
    </w:p>
    <w:p>
      <w:pPr>
        <w:pStyle w:val="11"/>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项目名称</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重庆万利万达高速公路有限公司车辆保险竞争性询价。</w:t>
      </w:r>
    </w:p>
    <w:p>
      <w:pPr>
        <w:pStyle w:val="11"/>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询价内容</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万利万达高速公路有限公司32辆车的</w:t>
      </w:r>
      <w:r>
        <w:rPr>
          <w:rFonts w:hint="eastAsia" w:ascii="方正仿宋_GBK" w:hAnsi="方正仿宋_GBK" w:eastAsia="方正仿宋_GBK" w:cs="方正仿宋_GBK"/>
          <w:sz w:val="28"/>
          <w:szCs w:val="28"/>
        </w:rPr>
        <w:t>保险及售后服务。</w:t>
      </w:r>
    </w:p>
    <w:p>
      <w:pPr>
        <w:pStyle w:val="11"/>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b w:val="0"/>
          <w:bCs/>
          <w:sz w:val="28"/>
          <w:szCs w:val="28"/>
        </w:rPr>
        <w:t>服务期限</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本项目的服务期限为</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年，签订</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合同。第</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年合同期满，经询价人按照询价文件要求考核合格，可按本次询价要求与中标人续签</w:t>
      </w:r>
      <w:r>
        <w:rPr>
          <w:rFonts w:hint="eastAsia" w:ascii="方正仿宋_GBK" w:hAnsi="方正仿宋_GBK" w:eastAsia="方正仿宋_GBK" w:cs="方正仿宋_GBK"/>
          <w:sz w:val="28"/>
          <w:szCs w:val="28"/>
          <w:lang w:val="en-US" w:eastAsia="zh-CN"/>
        </w:rPr>
        <w:t>后三</w:t>
      </w:r>
      <w:r>
        <w:rPr>
          <w:rFonts w:hint="eastAsia" w:ascii="方正仿宋_GBK" w:hAnsi="方正仿宋_GBK" w:eastAsia="方正仿宋_GBK" w:cs="方正仿宋_GBK"/>
          <w:sz w:val="28"/>
          <w:szCs w:val="28"/>
        </w:rPr>
        <w:t>年度合同，经询价人考核不合格，合同自动终止。报价人在报价前应充分考虑此潜在风险，并承担因此而可能造成的一切经济损失。</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lang w:eastAsia="zh-CN"/>
        </w:rPr>
      </w:pPr>
      <w:r>
        <w:rPr>
          <w:rFonts w:hint="eastAsia" w:ascii="方正楷体_GBK" w:hAnsi="方正楷体_GBK" w:eastAsia="方正楷体_GBK" w:cs="方正楷体_GBK"/>
          <w:b w:val="0"/>
          <w:bCs/>
          <w:sz w:val="28"/>
          <w:szCs w:val="28"/>
          <w:lang w:val="en-US" w:eastAsia="zh-CN"/>
        </w:rPr>
        <w:t>四、报价</w:t>
      </w:r>
      <w:r>
        <w:rPr>
          <w:rFonts w:hint="eastAsia" w:ascii="方正楷体_GBK" w:hAnsi="方正楷体_GBK" w:eastAsia="方正楷体_GBK" w:cs="方正楷体_GBK"/>
          <w:b w:val="0"/>
          <w:bCs/>
          <w:sz w:val="28"/>
          <w:szCs w:val="28"/>
        </w:rPr>
        <w:t>时间及地址</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val="en-US" w:eastAsia="zh-CN"/>
        </w:rPr>
        <w:t>起始</w:t>
      </w:r>
      <w:r>
        <w:rPr>
          <w:rFonts w:hint="eastAsia" w:ascii="方正仿宋_GBK" w:hAnsi="方正仿宋_GBK" w:eastAsia="方正仿宋_GBK" w:cs="方正仿宋_GBK"/>
          <w:sz w:val="28"/>
          <w:szCs w:val="28"/>
        </w:rPr>
        <w:t>时间：2023年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2</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14:00</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val="en-US" w:eastAsia="zh-CN"/>
        </w:rPr>
        <w:t>截止</w:t>
      </w:r>
      <w:r>
        <w:rPr>
          <w:rFonts w:hint="eastAsia" w:ascii="方正仿宋_GBK" w:hAnsi="方正仿宋_GBK" w:eastAsia="方正仿宋_GBK" w:cs="方正仿宋_GBK"/>
          <w:sz w:val="28"/>
          <w:szCs w:val="28"/>
        </w:rPr>
        <w:t>时间：2023年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8</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 xml:space="preserve"> 14:00</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（三）报价地址：</w:t>
      </w:r>
      <w:r>
        <w:rPr>
          <w:rFonts w:hint="eastAsia" w:ascii="方正仿宋_GBK" w:hAnsi="方正仿宋_GBK" w:eastAsia="方正仿宋_GBK" w:cs="方正仿宋_GBK"/>
          <w:sz w:val="28"/>
          <w:szCs w:val="28"/>
          <w:lang w:val="en-US" w:eastAsia="zh-CN"/>
        </w:rPr>
        <w:t>重庆市渝北区银杉路66号1003室</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（四）报价接收人：</w:t>
      </w:r>
      <w:r>
        <w:rPr>
          <w:rFonts w:hint="eastAsia" w:ascii="方正仿宋_GBK" w:hAnsi="方正仿宋_GBK" w:eastAsia="方正仿宋_GBK" w:cs="方正仿宋_GBK"/>
          <w:sz w:val="28"/>
          <w:szCs w:val="28"/>
          <w:lang w:val="en-US" w:eastAsia="zh-CN"/>
        </w:rPr>
        <w:t xml:space="preserve">李沁遥        </w:t>
      </w: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13996351681</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lang w:val="en-US" w:eastAsia="zh-CN"/>
        </w:rPr>
      </w:pPr>
      <w:r>
        <w:rPr>
          <w:rFonts w:hint="eastAsia" w:ascii="方正楷体_GBK" w:hAnsi="方正楷体_GBK" w:eastAsia="方正楷体_GBK" w:cs="方正楷体_GBK"/>
          <w:b w:val="0"/>
          <w:bCs/>
          <w:sz w:val="28"/>
          <w:szCs w:val="28"/>
          <w:lang w:val="en-US" w:eastAsia="zh-CN"/>
        </w:rPr>
        <w:t>五、开标时间及地址</w:t>
      </w:r>
    </w:p>
    <w:p>
      <w:pPr>
        <w:pStyle w:val="11"/>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sz w:val="28"/>
          <w:szCs w:val="28"/>
        </w:rPr>
        <w:t>（一）开标时间：2023年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8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14:30</w:t>
      </w:r>
      <w:bookmarkStart w:id="0" w:name="_GoBack"/>
      <w:bookmarkEnd w:id="0"/>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（二）开标地点：</w:t>
      </w:r>
      <w:r>
        <w:rPr>
          <w:rFonts w:hint="eastAsia" w:ascii="方正仿宋_GBK" w:hAnsi="方正仿宋_GBK" w:eastAsia="方正仿宋_GBK" w:cs="方正仿宋_GBK"/>
          <w:sz w:val="28"/>
          <w:szCs w:val="28"/>
          <w:lang w:val="en-US" w:eastAsia="zh-CN"/>
        </w:rPr>
        <w:t>重庆市渝北区银杉路66号1002室</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lang w:val="en-US" w:eastAsia="zh-CN"/>
        </w:rPr>
      </w:pPr>
      <w:r>
        <w:rPr>
          <w:rFonts w:hint="eastAsia" w:ascii="方正楷体_GBK" w:hAnsi="方正楷体_GBK" w:eastAsia="方正楷体_GBK" w:cs="方正楷体_GBK"/>
          <w:b w:val="0"/>
          <w:bCs/>
          <w:sz w:val="28"/>
          <w:szCs w:val="28"/>
          <w:lang w:val="en-US" w:eastAsia="zh-CN"/>
        </w:rPr>
        <w:t>六、资格要求</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（一）具有中华人民共和国经营保险业务许可证。</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（二）报价人在中华人民共和国境内注册，注册资金在40亿以上，经营范围在中华人民共和国境内的财产保险公司且在渝设立有省市级分公司。</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（三）核心偿付能力充足率不低于150%（以会计师事务所出具的</w:t>
      </w:r>
      <w:r>
        <w:rPr>
          <w:rFonts w:hint="eastAsia" w:ascii="方正仿宋_GBK" w:hAnsi="方正仿宋_GBK" w:eastAsia="方正仿宋_GBK" w:cs="方正仿宋_GBK"/>
          <w:sz w:val="28"/>
          <w:szCs w:val="28"/>
          <w:lang w:val="en-US" w:eastAsia="zh-CN"/>
        </w:rPr>
        <w:t>2022</w:t>
      </w:r>
      <w:r>
        <w:rPr>
          <w:rFonts w:hint="eastAsia" w:ascii="方正仿宋_GBK" w:hAnsi="方正仿宋_GBK" w:eastAsia="方正仿宋_GBK" w:cs="方正仿宋_GBK"/>
          <w:sz w:val="28"/>
          <w:szCs w:val="28"/>
        </w:rPr>
        <w:t>年度审计报告中偿付能力数据为准）。</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rPr>
        <w:t>（四）</w:t>
      </w:r>
      <w:r>
        <w:rPr>
          <w:rFonts w:hint="eastAsia" w:ascii="方正仿宋_GBK" w:hAnsi="方正仿宋_GBK" w:eastAsia="方正仿宋_GBK" w:cs="方正仿宋_GBK"/>
          <w:sz w:val="28"/>
          <w:szCs w:val="28"/>
          <w:shd w:val="clear" w:color="auto" w:fill="FFFFFF"/>
        </w:rPr>
        <w:t>本次比选不接受联合体报价。</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七、联系方式</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单位名称：重庆万利万达高速公路有限公司</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联系地址：重庆市渝北区银杉路66号</w:t>
      </w:r>
      <w:r>
        <w:rPr>
          <w:rFonts w:hint="eastAsia" w:ascii="方正仿宋_GBK" w:hAnsi="方正仿宋_GBK" w:eastAsia="方正仿宋_GBK" w:cs="方正仿宋_GBK"/>
          <w:sz w:val="28"/>
          <w:szCs w:val="28"/>
          <w:lang w:val="en-US" w:eastAsia="zh-CN"/>
        </w:rPr>
        <w:t>1003室</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李沁遥</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13996351681</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xml:space="preserve">      高速集团网址：</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"http://www.cegc.com.cn/" </w:instrText>
      </w:r>
      <w:r>
        <w:rPr>
          <w:rFonts w:hint="eastAsia" w:ascii="方正仿宋_GBK" w:hAnsi="方正仿宋_GBK" w:eastAsia="方正仿宋_GBK" w:cs="方正仿宋_GBK"/>
          <w:sz w:val="28"/>
          <w:szCs w:val="28"/>
        </w:rPr>
        <w:fldChar w:fldCharType="separate"/>
      </w:r>
      <w:r>
        <w:rPr>
          <w:rStyle w:val="9"/>
          <w:rFonts w:hint="eastAsia" w:ascii="方正仿宋_GBK" w:hAnsi="方正仿宋_GBK" w:eastAsia="方正仿宋_GBK" w:cs="方正仿宋_GBK"/>
          <w:sz w:val="28"/>
          <w:szCs w:val="28"/>
        </w:rPr>
        <w:t>http://www.cegc.com.cn/</w:t>
      </w:r>
      <w:r>
        <w:rPr>
          <w:rStyle w:val="9"/>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p>
      <w:pPr>
        <w:pStyle w:val="11"/>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重庆万利万达高速公路有限公司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2023年</w:t>
      </w:r>
      <w:r>
        <w:rPr>
          <w:rFonts w:hint="eastAsia" w:ascii="方正仿宋_GBK" w:hAnsi="方正仿宋_GBK" w:eastAsia="方正仿宋_GBK" w:cs="方正仿宋_GBK"/>
          <w:sz w:val="28"/>
          <w:szCs w:val="28"/>
          <w:lang w:val="en-US" w:eastAsia="zh-CN"/>
        </w:rPr>
        <w:t xml:space="preserve">7月12日            </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leftChars="0" w:firstLine="562" w:firstLineChars="200"/>
        <w:jc w:val="center"/>
        <w:textAlignment w:val="auto"/>
      </w:pPr>
      <w:r>
        <w:rPr>
          <w:rFonts w:hint="eastAsia" w:ascii="方正仿宋_GBK" w:hAnsi="方正仿宋_GBK" w:eastAsia="方正仿宋_GBK" w:cs="方正仿宋_GBK"/>
          <w:b/>
          <w:sz w:val="28"/>
          <w:szCs w:val="28"/>
        </w:rPr>
        <w:br w:type="page"/>
      </w:r>
      <w:r>
        <w:rPr>
          <w:rFonts w:hint="eastAsia" w:ascii="方正小标宋_GBK" w:hAnsi="方正小标宋_GBK" w:eastAsia="方正小标宋_GBK" w:cs="方正小标宋_GBK"/>
          <w:b w:val="0"/>
          <w:bCs/>
          <w:sz w:val="44"/>
          <w:szCs w:val="44"/>
        </w:rPr>
        <w:t>报价人须知</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一、险种要求</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万利万达高速公路有限公司</w:t>
      </w:r>
      <w:r>
        <w:rPr>
          <w:rFonts w:hint="eastAsia" w:ascii="方正仿宋_GBK" w:hAnsi="方正仿宋_GBK" w:eastAsia="方正仿宋_GBK" w:cs="方正仿宋_GBK"/>
          <w:sz w:val="28"/>
          <w:szCs w:val="28"/>
        </w:rPr>
        <w:t>车辆保险各项要求如下：</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（一）车辆损失险；</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（二）第三者责任险（</w:t>
      </w:r>
      <w:r>
        <w:rPr>
          <w:rFonts w:hint="eastAsia" w:ascii="方正仿宋_GBK" w:hAnsi="方正仿宋_GBK" w:eastAsia="方正仿宋_GBK" w:cs="方正仿宋_GBK"/>
          <w:sz w:val="28"/>
          <w:szCs w:val="28"/>
          <w:lang w:val="en-US" w:eastAsia="zh-CN"/>
        </w:rPr>
        <w:t>200</w:t>
      </w:r>
      <w:r>
        <w:rPr>
          <w:rFonts w:hint="eastAsia" w:ascii="方正仿宋_GBK" w:hAnsi="方正仿宋_GBK" w:eastAsia="方正仿宋_GBK" w:cs="方正仿宋_GBK"/>
          <w:sz w:val="28"/>
          <w:szCs w:val="28"/>
        </w:rPr>
        <w:t>万）；</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（三）车内人员险，</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万元/座（按车辆行驶证核载人数为准）；</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四）车上人员每座50万身故残疾+25万医疗+救护车费用给付1000元+住院津贴100元/天</w:t>
      </w:r>
      <w:r>
        <w:rPr>
          <w:rFonts w:hint="eastAsia" w:ascii="方正仿宋_GBK" w:hAnsi="方正仿宋_GBK" w:eastAsia="方正仿宋_GBK" w:cs="方正仿宋_GBK"/>
          <w:sz w:val="28"/>
          <w:szCs w:val="28"/>
        </w:rPr>
        <w:t>（按车辆行驶证核载人数为准）</w:t>
      </w:r>
      <w:r>
        <w:rPr>
          <w:rFonts w:hint="eastAsia" w:ascii="方正仿宋_GBK" w:hAnsi="方正仿宋_GBK" w:eastAsia="方正仿宋_GBK" w:cs="方正仿宋_GBK"/>
          <w:sz w:val="28"/>
          <w:szCs w:val="28"/>
          <w:lang w:eastAsia="zh-CN"/>
        </w:rPr>
        <w:t>；</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（五）交强险；</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（六）车船税；</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（七）车损险、第三者责任险及车上人员责任条款；</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（八）交强险、车船税不计入单车保费报价，按国家标准加收。</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二、车辆保险报价技术要求</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（一）报价人应派专员负责我公司理赔及购买保险事宜。</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（二）在发生交通事故后经物价局或者报价人核定的全部</w:t>
      </w:r>
      <w:r>
        <w:rPr>
          <w:rFonts w:hint="eastAsia" w:ascii="方正仿宋_GBK" w:hAnsi="方正仿宋_GBK" w:eastAsia="方正仿宋_GBK" w:cs="方正仿宋_GBK"/>
          <w:sz w:val="28"/>
          <w:szCs w:val="28"/>
          <w:lang w:val="en-US" w:eastAsia="zh-CN"/>
        </w:rPr>
        <w:t>残值</w:t>
      </w:r>
      <w:r>
        <w:rPr>
          <w:rFonts w:hint="eastAsia" w:ascii="方正仿宋_GBK" w:hAnsi="方正仿宋_GBK" w:eastAsia="方正仿宋_GBK" w:cs="方正仿宋_GBK"/>
          <w:sz w:val="28"/>
          <w:szCs w:val="28"/>
        </w:rPr>
        <w:t>费用由报价人自行承担。</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（三）若发生有诉讼和争议的交通事故，由报价人派法律顾问及专人协调处理，不收取投保方任何费用。</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（四）事故赔偿时间</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若交通事故中有人伤，报价人需在收集齐资料后7日内完成赔付工作。</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若交通事故中没有人伤，报价人需在收集齐资料后5日内完成赔付工作。</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3.小额单方事故按照快处流程进行理赔。</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（五）车辆投保当年未出险，次年保费按国家相关规定下调。</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三、评选办法</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（一）由询价人成立</w:t>
      </w:r>
      <w:r>
        <w:rPr>
          <w:rFonts w:hint="eastAsia" w:ascii="方正仿宋_GBK" w:hAnsi="方正仿宋_GBK" w:eastAsia="方正仿宋_GBK" w:cs="方正仿宋_GBK"/>
          <w:sz w:val="28"/>
          <w:szCs w:val="28"/>
          <w:lang w:val="en-US" w:eastAsia="zh-CN"/>
        </w:rPr>
        <w:t>评审</w:t>
      </w:r>
      <w:r>
        <w:rPr>
          <w:rFonts w:hint="eastAsia" w:ascii="方正仿宋_GBK" w:hAnsi="方正仿宋_GBK" w:eastAsia="方正仿宋_GBK" w:cs="方正仿宋_GBK"/>
          <w:sz w:val="28"/>
          <w:szCs w:val="28"/>
        </w:rPr>
        <w:t>小组，对资质、报价、商务技术响应等进行综合性评价，报价评分满分100分。其中，</w:t>
      </w:r>
      <w:r>
        <w:rPr>
          <w:rFonts w:hint="eastAsia" w:ascii="方正仿宋_GBK" w:hAnsi="方正仿宋_GBK" w:eastAsia="方正仿宋_GBK" w:cs="方正仿宋_GBK"/>
          <w:b/>
          <w:bCs/>
          <w:sz w:val="28"/>
          <w:szCs w:val="28"/>
        </w:rPr>
        <w:t>经济报价占50分</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
          <w:bCs/>
          <w:sz w:val="28"/>
          <w:szCs w:val="28"/>
        </w:rPr>
        <w:t>商务技术占50分</w:t>
      </w:r>
      <w:r>
        <w:rPr>
          <w:rFonts w:hint="eastAsia" w:ascii="方正仿宋_GBK" w:hAnsi="方正仿宋_GBK" w:eastAsia="方正仿宋_GBK" w:cs="方正仿宋_GBK"/>
          <w:sz w:val="28"/>
          <w:szCs w:val="28"/>
        </w:rPr>
        <w:t>。资质部分为一票否决，报价人若未响应招标文件服务范围和技术要求，不参加商务技术评分。询价人对询价文件拥有最终解释权。</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当报价人少于3个时，将邀请符合资质且报价较低的报价人进行合同谈判。</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（二）评</w:t>
      </w:r>
      <w:r>
        <w:rPr>
          <w:rFonts w:hint="eastAsia" w:ascii="方正仿宋_GBK" w:hAnsi="方正仿宋_GBK" w:eastAsia="方正仿宋_GBK" w:cs="方正仿宋_GBK"/>
          <w:sz w:val="28"/>
          <w:szCs w:val="28"/>
        </w:rPr>
        <w:t>比</w:t>
      </w:r>
      <w:r>
        <w:rPr>
          <w:rFonts w:ascii="方正仿宋_GBK" w:hAnsi="方正仿宋_GBK" w:eastAsia="方正仿宋_GBK" w:cs="方正仿宋_GBK"/>
          <w:sz w:val="28"/>
          <w:szCs w:val="28"/>
        </w:rPr>
        <w:t>细则</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pPr>
      <w:r>
        <w:rPr>
          <w:rFonts w:ascii="方正仿宋_GBK" w:hAnsi="方正仿宋_GBK" w:eastAsia="方正仿宋_GBK" w:cs="方正仿宋_GBK"/>
          <w:sz w:val="28"/>
          <w:szCs w:val="28"/>
        </w:rPr>
        <w:t>1. 报价部分，满分</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0分，具体评分细则如下：</w:t>
      </w:r>
    </w:p>
    <w:tbl>
      <w:tblPr>
        <w:tblStyle w:val="7"/>
        <w:tblW w:w="89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804"/>
        <w:gridCol w:w="1581"/>
        <w:gridCol w:w="696"/>
        <w:gridCol w:w="58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70" w:hRule="atLeast"/>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hint="eastAsia" w:ascii="方正黑体_GBK" w:hAnsi="方正黑体_GBK" w:eastAsia="方正黑体_GBK" w:cs="方正黑体_GBK"/>
                <w:color w:val="000000"/>
                <w:sz w:val="24"/>
                <w:szCs w:val="24"/>
                <w:lang w:val="en-US" w:eastAsia="zh-CN"/>
              </w:rPr>
              <w:t>序</w:t>
            </w:r>
            <w:r>
              <w:rPr>
                <w:rFonts w:ascii="方正黑体_GBK" w:hAnsi="方正黑体_GBK" w:eastAsia="方正黑体_GBK" w:cs="方正黑体_GBK"/>
                <w:color w:val="000000"/>
                <w:sz w:val="24"/>
                <w:szCs w:val="24"/>
              </w:rPr>
              <w:t>号</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ascii="方正黑体_GBK" w:hAnsi="方正黑体_GBK" w:eastAsia="方正黑体_GBK" w:cs="方正黑体_GBK"/>
                <w:color w:val="000000"/>
                <w:sz w:val="24"/>
                <w:szCs w:val="24"/>
              </w:rPr>
              <w:t>评分项目</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hint="eastAsia" w:ascii="方正黑体_GBK" w:hAnsi="方正黑体_GBK" w:eastAsia="方正黑体_GBK" w:cs="方正黑体_GBK"/>
                <w:color w:val="000000"/>
                <w:sz w:val="24"/>
                <w:szCs w:val="24"/>
                <w:lang w:val="en-US" w:eastAsia="zh-CN"/>
              </w:rPr>
              <w:t>总</w:t>
            </w:r>
            <w:r>
              <w:rPr>
                <w:rFonts w:ascii="方正黑体_GBK" w:hAnsi="方正黑体_GBK" w:eastAsia="方正黑体_GBK" w:cs="方正黑体_GBK"/>
                <w:color w:val="000000"/>
                <w:sz w:val="24"/>
                <w:szCs w:val="24"/>
              </w:rPr>
              <w:t>分</w:t>
            </w:r>
          </w:p>
        </w:tc>
        <w:tc>
          <w:tcPr>
            <w:tcW w:w="586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z w:val="24"/>
                <w:szCs w:val="24"/>
              </w:rPr>
            </w:pPr>
            <w:r>
              <w:rPr>
                <w:rFonts w:ascii="方正黑体_GBK" w:hAnsi="方正黑体_GBK" w:eastAsia="方正黑体_GBK" w:cs="方正黑体_GBK"/>
                <w:color w:val="000000"/>
                <w:sz w:val="24"/>
                <w:szCs w:val="24"/>
              </w:rPr>
              <w:t>评分标准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095" w:hRule="atLeast"/>
        </w:trPr>
        <w:tc>
          <w:tcPr>
            <w:tcW w:w="80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商业险（车损险、三者险、乘座险），交强险</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50</w:t>
            </w:r>
          </w:p>
        </w:tc>
        <w:tc>
          <w:tcPr>
            <w:tcW w:w="586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按商业险的折扣（自主定价系数）报价，</w:t>
            </w:r>
            <w:r>
              <w:rPr>
                <w:rFonts w:hint="eastAsia" w:ascii="方正仿宋_GBK" w:hAnsi="方正仿宋_GBK" w:eastAsia="方正仿宋_GBK" w:cs="方正仿宋_GBK"/>
                <w:b/>
                <w:bCs/>
                <w:color w:val="000000"/>
                <w:sz w:val="24"/>
                <w:szCs w:val="24"/>
              </w:rPr>
              <w:t>有效的投标报价中的最低折扣为评标基准价</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折扣</w:t>
            </w:r>
            <w:r>
              <w:rPr>
                <w:rFonts w:hint="eastAsia" w:ascii="方正仿宋_GBK" w:hAnsi="方正仿宋_GBK" w:eastAsia="方正仿宋_GBK" w:cs="方正仿宋_GBK"/>
                <w:color w:val="000000"/>
                <w:sz w:val="24"/>
                <w:szCs w:val="24"/>
              </w:rPr>
              <w:t>每高于</w:t>
            </w:r>
            <w:r>
              <w:rPr>
                <w:rFonts w:hint="eastAsia" w:ascii="方正仿宋_GBK" w:hAnsi="方正仿宋_GBK" w:eastAsia="方正仿宋_GBK" w:cs="方正仿宋_GBK"/>
                <w:color w:val="000000"/>
                <w:sz w:val="24"/>
                <w:szCs w:val="24"/>
                <w:lang w:val="en-US" w:eastAsia="zh-CN"/>
              </w:rPr>
              <w:t>评标基准价</w:t>
            </w:r>
            <w:r>
              <w:rPr>
                <w:rFonts w:hint="eastAsia" w:ascii="方正仿宋_GBK" w:hAnsi="方正仿宋_GBK" w:eastAsia="方正仿宋_GBK" w:cs="方正仿宋_GBK"/>
                <w:color w:val="000000"/>
                <w:sz w:val="24"/>
                <w:szCs w:val="24"/>
              </w:rPr>
              <w:t>1%扣0.5分，以此类推。</w:t>
            </w:r>
          </w:p>
        </w:tc>
      </w:tr>
    </w:tbl>
    <w:p>
      <w:pPr>
        <w:pStyle w:val="11"/>
        <w:keepNext w:val="0"/>
        <w:keepLines w:val="0"/>
        <w:pageBreakBefore w:val="0"/>
        <w:kinsoku/>
        <w:wordWrap/>
        <w:overflowPunct/>
        <w:topLinePunct w:val="0"/>
        <w:autoSpaceDE/>
        <w:autoSpaceDN/>
        <w:bidi w:val="0"/>
        <w:adjustRightInd/>
        <w:snapToGrid/>
        <w:spacing w:line="560" w:lineRule="exact"/>
        <w:ind w:left="0" w:leftChars="0" w:firstLine="440" w:firstLineChars="200"/>
        <w:jc w:val="both"/>
        <w:textAlignment w:val="auto"/>
      </w:pP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pPr>
      <w:r>
        <w:rPr>
          <w:rFonts w:ascii="方正仿宋_GBK" w:hAnsi="方正仿宋_GBK" w:eastAsia="方正仿宋_GBK" w:cs="方正仿宋_GBK"/>
          <w:sz w:val="28"/>
          <w:szCs w:val="28"/>
        </w:rPr>
        <w:t>2. 商务技术部分，满分</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0分，具体评分细则如下：</w:t>
      </w:r>
    </w:p>
    <w:tbl>
      <w:tblPr>
        <w:tblStyle w:val="7"/>
        <w:tblW w:w="89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801"/>
        <w:gridCol w:w="1586"/>
        <w:gridCol w:w="696"/>
        <w:gridCol w:w="3306"/>
        <w:gridCol w:w="25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7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序号</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评分项目</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lang w:val="en-US" w:eastAsia="zh-CN"/>
              </w:rPr>
              <w:t>总</w:t>
            </w:r>
            <w:r>
              <w:rPr>
                <w:rFonts w:hint="eastAsia" w:ascii="方正黑体_GBK" w:hAnsi="方正黑体_GBK" w:eastAsia="方正黑体_GBK" w:cs="方正黑体_GBK"/>
                <w:color w:val="000000"/>
                <w:sz w:val="24"/>
                <w:szCs w:val="24"/>
              </w:rPr>
              <w:t>分</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评分标准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000000"/>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095"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核心偿付能力充足率</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根据参选人总公司202</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年核心偿付能力充足率由高到低排名，第一名得10分，第二名得7分，第三名得4分，第四名得1分，第五名及以后不得分。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color w:val="000000"/>
                <w:sz w:val="24"/>
                <w:szCs w:val="24"/>
              </w:rPr>
              <w:t>报价人需提供202</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年第四季度经审计的核心偿付能力报告复印件(加盖本单位鲜章)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分支机构设立</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sz w:val="24"/>
                <w:szCs w:val="24"/>
              </w:rPr>
              <w:t>参选人在渝的分支机构在</w:t>
            </w:r>
            <w:r>
              <w:rPr>
                <w:rFonts w:hint="eastAsia" w:ascii="方正仿宋_GBK" w:hAnsi="方正仿宋_GBK" w:eastAsia="方正仿宋_GBK" w:cs="方正仿宋_GBK"/>
                <w:color w:val="000000"/>
                <w:sz w:val="24"/>
                <w:szCs w:val="24"/>
                <w:lang w:val="en-US" w:eastAsia="zh-CN"/>
              </w:rPr>
              <w:t>40</w:t>
            </w:r>
            <w:r>
              <w:rPr>
                <w:rFonts w:hint="eastAsia" w:ascii="方正仿宋_GBK" w:hAnsi="方正仿宋_GBK" w:eastAsia="方正仿宋_GBK" w:cs="方正仿宋_GBK"/>
                <w:color w:val="000000"/>
                <w:sz w:val="24"/>
                <w:szCs w:val="24"/>
              </w:rPr>
              <w:t>个以上的得10分；在</w:t>
            </w:r>
            <w:r>
              <w:rPr>
                <w:rFonts w:hint="eastAsia" w:ascii="方正仿宋_GBK" w:hAnsi="方正仿宋_GBK" w:eastAsia="方正仿宋_GBK" w:cs="方正仿宋_GBK"/>
                <w:color w:val="000000"/>
                <w:sz w:val="24"/>
                <w:szCs w:val="24"/>
                <w:lang w:val="en-US" w:eastAsia="zh-CN"/>
              </w:rPr>
              <w:t>30</w:t>
            </w:r>
            <w:r>
              <w:rPr>
                <w:rFonts w:hint="eastAsia" w:ascii="方正仿宋_GBK" w:hAnsi="方正仿宋_GBK" w:eastAsia="方正仿宋_GBK" w:cs="方正仿宋_GBK"/>
                <w:color w:val="000000"/>
                <w:sz w:val="24"/>
                <w:szCs w:val="24"/>
              </w:rPr>
              <w:t>个至</w:t>
            </w:r>
            <w:r>
              <w:rPr>
                <w:rFonts w:hint="eastAsia" w:ascii="方正仿宋_GBK" w:hAnsi="方正仿宋_GBK" w:eastAsia="方正仿宋_GBK" w:cs="方正仿宋_GBK"/>
                <w:color w:val="000000"/>
                <w:sz w:val="24"/>
                <w:szCs w:val="24"/>
                <w:lang w:val="en-US" w:eastAsia="zh-CN"/>
              </w:rPr>
              <w:t>40</w:t>
            </w:r>
            <w:r>
              <w:rPr>
                <w:rFonts w:hint="eastAsia" w:ascii="方正仿宋_GBK" w:hAnsi="方正仿宋_GBK" w:eastAsia="方正仿宋_GBK" w:cs="方正仿宋_GBK"/>
                <w:color w:val="000000"/>
                <w:sz w:val="24"/>
                <w:szCs w:val="24"/>
              </w:rPr>
              <w:t>个（含）的得7分；在20个至</w:t>
            </w:r>
            <w:r>
              <w:rPr>
                <w:rFonts w:hint="eastAsia" w:ascii="方正仿宋_GBK" w:hAnsi="方正仿宋_GBK" w:eastAsia="方正仿宋_GBK" w:cs="方正仿宋_GBK"/>
                <w:color w:val="000000"/>
                <w:sz w:val="24"/>
                <w:szCs w:val="24"/>
                <w:lang w:val="en-US" w:eastAsia="zh-CN"/>
              </w:rPr>
              <w:t>30</w:t>
            </w:r>
            <w:r>
              <w:rPr>
                <w:rFonts w:hint="eastAsia" w:ascii="方正仿宋_GBK" w:hAnsi="方正仿宋_GBK" w:eastAsia="方正仿宋_GBK" w:cs="方正仿宋_GBK"/>
                <w:color w:val="000000"/>
                <w:sz w:val="24"/>
                <w:szCs w:val="24"/>
              </w:rPr>
              <w:t>个（含）的得4分；在</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个至20个（含）的得1分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w:t>
            </w:r>
            <w:r>
              <w:rPr>
                <w:rFonts w:hint="eastAsia" w:ascii="方正仿宋_GBK" w:hAnsi="方正仿宋_GBK" w:eastAsia="方正仿宋_GBK" w:cs="方正仿宋_GBK"/>
                <w:color w:val="000000"/>
                <w:sz w:val="24"/>
                <w:szCs w:val="24"/>
                <w:lang w:val="en-US" w:eastAsia="zh-CN"/>
              </w:rPr>
              <w:t>10个以下的不得分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若是在万州、开州、酉阳没有分支机构的，一个地点没有分支机构的扣2分。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888888"/>
                <w:sz w:val="24"/>
                <w:szCs w:val="24"/>
                <w:lang w:eastAsia="zh-CN"/>
              </w:rPr>
            </w:pPr>
            <w:r>
              <w:rPr>
                <w:rFonts w:hint="eastAsia" w:ascii="方正仿宋_GBK" w:hAnsi="方正仿宋_GBK" w:eastAsia="方正仿宋_GBK" w:cs="方正仿宋_GBK"/>
                <w:color w:val="000000"/>
                <w:sz w:val="24"/>
                <w:szCs w:val="24"/>
              </w:rPr>
              <w:t>报价人需提供营业执照复印件(加盖本单位鲜章)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095"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分类监管评级</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lang w:val="en-US" w:eastAsia="zh-CN"/>
              </w:rPr>
              <w:t>4</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报价人总公司202</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每个</w:t>
            </w:r>
            <w:r>
              <w:rPr>
                <w:rFonts w:hint="eastAsia" w:ascii="方正仿宋_GBK" w:hAnsi="方正仿宋_GBK" w:eastAsia="方正仿宋_GBK" w:cs="方正仿宋_GBK"/>
                <w:color w:val="000000"/>
                <w:sz w:val="24"/>
                <w:szCs w:val="24"/>
              </w:rPr>
              <w:t>季度分类监管评级情况，其中每个季度获得1个A得1分，1个B得0.5分，1个C不得分。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报价人需提供</w:t>
            </w:r>
            <w:r>
              <w:rPr>
                <w:rFonts w:hint="eastAsia" w:ascii="方正仿宋_GBK" w:hAnsi="方正仿宋_GBK" w:eastAsia="方正仿宋_GBK" w:cs="方正仿宋_GBK"/>
                <w:color w:val="000000"/>
                <w:sz w:val="24"/>
                <w:szCs w:val="24"/>
                <w:lang w:val="en-US" w:eastAsia="zh-CN"/>
              </w:rPr>
              <w:t>2022年</w:t>
            </w:r>
            <w:r>
              <w:rPr>
                <w:rFonts w:hint="eastAsia" w:ascii="方正仿宋_GBK" w:hAnsi="方正仿宋_GBK" w:eastAsia="方正仿宋_GBK" w:cs="方正仿宋_GBK"/>
                <w:color w:val="000000"/>
                <w:sz w:val="24"/>
                <w:szCs w:val="24"/>
              </w:rPr>
              <w:t>总公司在中国银行保险监督管理委员会监管信息系统中风险综合评级的截图(加盖本单位鲜章)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4</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车险承保业绩</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lang w:val="en-US" w:eastAsia="zh-CN"/>
              </w:rPr>
              <w:t>3</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报价人201</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-202</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年承保过重庆市</w:t>
            </w:r>
            <w:r>
              <w:rPr>
                <w:rFonts w:hint="eastAsia" w:ascii="方正仿宋_GBK" w:hAnsi="方正仿宋_GBK" w:eastAsia="方正仿宋_GBK" w:cs="方正仿宋_GBK"/>
                <w:color w:val="000000"/>
                <w:sz w:val="24"/>
                <w:szCs w:val="24"/>
                <w:lang w:val="en-US" w:eastAsia="zh-CN"/>
              </w:rPr>
              <w:t>市级政府机关、市级事业单位、市级重点国有</w:t>
            </w:r>
            <w:r>
              <w:rPr>
                <w:rFonts w:hint="eastAsia" w:ascii="方正仿宋_GBK" w:hAnsi="方正仿宋_GBK" w:eastAsia="方正仿宋_GBK" w:cs="方正仿宋_GBK"/>
                <w:color w:val="000000"/>
                <w:sz w:val="24"/>
                <w:szCs w:val="24"/>
              </w:rPr>
              <w:t>企业公务车保险业务，有1个得1分，最多得5分，不满足得0分。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报价人需提供签订的合同或车辆保险保单复印件并加盖报价人公章。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诚信经营</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参选人及在渝所属分支机构在2021年1月1日至2021年12月31日期间，受到重庆银保监局（原重庆保监局）及其上级部门书面处罚情况，以出具书面处罚决定书时间为准。以5分为标准，按书面处罚单位次数扣分；单位未受处罚的得5分；单位受处罚1次的扣1分；单位受处罚2次扣2分；单位受处罚3次扣3分；单位受处罚4次扣4分；单位受处罚5次（含）以上的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报价人需提供银保监行政（或其机构、部门）依照其合法权限发布的公告（文件）或平台系统查询内容（加盖报价人公章）。若无处罚，报价人需提供书面说明并加盖报价人公章。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6</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组织保障</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报价人为确保本方案实施：</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报价人成立了领导小组，且成员分工明确</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方案优秀得2分，良好得1分，一般、差的或者没有提供的得0分</w:t>
            </w:r>
            <w:r>
              <w:rPr>
                <w:rFonts w:hint="eastAsia" w:ascii="方正仿宋_GBK" w:hAnsi="方正仿宋_GBK" w:eastAsia="方正仿宋_GBK" w:cs="方正仿宋_GBK"/>
                <w:color w:val="000000"/>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领导小组下设工作小组且成员分工明确</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有方案细则得1分，没有方案提供的得0分。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报价人需提供文字方案并加盖报价人公章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7</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承保服务</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根据报价人提供的上门服务承诺打分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有承诺细则得1分，未提供得0分</w:t>
            </w:r>
            <w:r>
              <w:rPr>
                <w:rFonts w:hint="eastAsia" w:ascii="方正仿宋_GBK" w:hAnsi="方正仿宋_GBK" w:eastAsia="方正仿宋_GBK" w:cs="方正仿宋_GBK"/>
                <w:color w:val="000000"/>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根据报价人提供的服务时效承诺打分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有细则得1分，没有提供的得0分。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报价人需提供文字方案并加盖报价人公章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8</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理赔服务</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针对本项目建立完善、有效的理赔服务体系并建立绿色报案通道。对专项建立的理赔体系完善程度、索赔资料要求的合理程度，以及查勘和理赔时效性进行评价，在1—2分之间评分</w:t>
            </w:r>
            <w:r>
              <w:rPr>
                <w:rFonts w:hint="eastAsia" w:ascii="方正仿宋_GBK" w:hAnsi="方正仿宋_GBK" w:eastAsia="方正仿宋_GBK" w:cs="方正仿宋_GBK"/>
                <w:color w:val="000000"/>
                <w:sz w:val="24"/>
                <w:szCs w:val="24"/>
                <w:lang w:eastAsia="zh-CN"/>
              </w:rPr>
              <w:t>。</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报价人需提供文字方案并加盖报价人公章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00"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9</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预付赔款</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w:t>
            </w:r>
          </w:p>
        </w:tc>
        <w:tc>
          <w:tcPr>
            <w:tcW w:w="330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根据理赔服务承诺中预赔款支付比例和时效高低水平进行评分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最优得3分，其次得2分，最后得1分。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报价人需提供文字方案并加盖报价人公章</w:t>
            </w:r>
            <w:r>
              <w:rPr>
                <w:rFonts w:hint="eastAsia" w:ascii="方正仿宋_GBK" w:hAnsi="方正仿宋_GBK" w:eastAsia="方正仿宋_GBK" w:cs="方正仿宋_GBK"/>
                <w:color w:val="00000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26" w:hRule="atLeast"/>
        </w:trPr>
        <w:tc>
          <w:tcPr>
            <w:tcW w:w="801"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w:t>
            </w:r>
          </w:p>
        </w:tc>
        <w:tc>
          <w:tcPr>
            <w:tcW w:w="158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特色服务</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w:t>
            </w:r>
          </w:p>
        </w:tc>
        <w:tc>
          <w:tcPr>
            <w:tcW w:w="3306"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报价人承诺提供给询价人的其他特色服务</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询价人评审小组根据报价人所提服务内容进行研判对比打分，在1-8分之间评分。</w:t>
            </w:r>
          </w:p>
        </w:tc>
        <w:tc>
          <w:tcPr>
            <w:tcW w:w="2552"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报价人需提供文字方案并加盖报价人公章</w:t>
            </w:r>
            <w:r>
              <w:rPr>
                <w:rFonts w:hint="eastAsia" w:ascii="方正仿宋_GBK" w:hAnsi="方正仿宋_GBK" w:eastAsia="方正仿宋_GBK" w:cs="方正仿宋_GBK"/>
                <w:color w:val="000000"/>
                <w:sz w:val="24"/>
                <w:szCs w:val="24"/>
                <w:lang w:eastAsia="zh-CN"/>
              </w:rPr>
              <w:t>。</w:t>
            </w:r>
          </w:p>
        </w:tc>
      </w:tr>
    </w:tbl>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p>
      <w:pPr>
        <w:pStyle w:val="11"/>
        <w:keepNext w:val="0"/>
        <w:keepLines w:val="0"/>
        <w:pageBreakBefore w:val="0"/>
        <w:kinsoku/>
        <w:wordWrap/>
        <w:overflowPunct/>
        <w:topLinePunct w:val="0"/>
        <w:autoSpaceDE/>
        <w:autoSpaceDN/>
        <w:bidi w:val="0"/>
        <w:adjustRightInd/>
        <w:snapToGrid/>
        <w:spacing w:line="560" w:lineRule="exact"/>
        <w:ind w:left="0" w:leftChars="0" w:firstLine="560" w:firstLineChars="200"/>
        <w:jc w:val="both"/>
        <w:textAlignment w:val="auto"/>
        <w:rPr>
          <w:sz w:val="28"/>
          <w:szCs w:val="28"/>
        </w:rPr>
      </w:pPr>
      <w:r>
        <w:rPr>
          <w:rFonts w:hint="eastAsia" w:ascii="方正仿宋_GBK" w:hAnsi="方正仿宋_GBK" w:eastAsia="方正仿宋_GBK" w:cs="方正仿宋_GBK"/>
          <w:sz w:val="28"/>
          <w:szCs w:val="28"/>
        </w:rPr>
        <w:t>上述评标细则中所涉及到的报价人提供的材料，报价人必须认真分类并装订成册，做好标识以方便评选小组逐条对应评估，综合得分最高者中 选。报价人提供的证明材料如为复印件须加盖报价人公章。未提供相关证明材料的，视同没有，将影响评选小组对其报价文件的评分。</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sz w:val="28"/>
          <w:szCs w:val="28"/>
        </w:rPr>
        <w:t>四、报价文件的密封与标记</w:t>
      </w:r>
    </w:p>
    <w:p>
      <w:pPr>
        <w:pStyle w:val="23"/>
        <w:keepNext w:val="0"/>
        <w:keepLines w:val="0"/>
        <w:pageBreakBefore w:val="0"/>
        <w:kinsoku/>
        <w:wordWrap/>
        <w:overflowPunct/>
        <w:topLinePunct w:val="0"/>
        <w:bidi w:val="0"/>
        <w:snapToGrid/>
        <w:spacing w:line="560" w:lineRule="exact"/>
        <w:ind w:left="0" w:leftChars="0" w:firstLine="560" w:firstLineChars="200"/>
        <w:textAlignment w:val="auto"/>
      </w:pPr>
      <w:r>
        <w:rPr>
          <w:rFonts w:hint="eastAsia" w:ascii="方正仿宋_GBK" w:hAnsi="方正仿宋_GBK" w:eastAsia="方正仿宋_GBK" w:cs="方正仿宋_GBK"/>
          <w:sz w:val="28"/>
          <w:szCs w:val="28"/>
        </w:rPr>
        <w:t>报价</w:t>
      </w:r>
      <w:r>
        <w:rPr>
          <w:rFonts w:ascii="方正仿宋_GBK" w:hAnsi="方正仿宋_GBK" w:eastAsia="方正仿宋_GBK" w:cs="方正仿宋_GBK"/>
          <w:sz w:val="28"/>
          <w:szCs w:val="28"/>
        </w:rPr>
        <w:t>文件</w:t>
      </w:r>
      <w:r>
        <w:rPr>
          <w:rFonts w:hint="eastAsia" w:ascii="方正仿宋_GBK" w:hAnsi="方正仿宋_GBK" w:eastAsia="方正仿宋_GBK" w:cs="方正仿宋_GBK"/>
          <w:sz w:val="28"/>
          <w:szCs w:val="28"/>
        </w:rPr>
        <w:t>一正一副封装在</w:t>
      </w:r>
      <w:r>
        <w:rPr>
          <w:rFonts w:ascii="方正仿宋_GBK" w:hAnsi="方正仿宋_GBK" w:eastAsia="方正仿宋_GBK" w:cs="方正仿宋_GBK"/>
          <w:sz w:val="28"/>
          <w:szCs w:val="28"/>
        </w:rPr>
        <w:t>1个密封袋，封口应加贴密封条并盖报价人</w:t>
      </w:r>
      <w:r>
        <w:rPr>
          <w:rFonts w:hint="eastAsia" w:ascii="方正仿宋_GBK" w:hAnsi="方正仿宋_GBK" w:eastAsia="方正仿宋_GBK" w:cs="方正仿宋_GBK"/>
          <w:sz w:val="28"/>
          <w:szCs w:val="28"/>
        </w:rPr>
        <w:t>公</w:t>
      </w:r>
      <w:r>
        <w:rPr>
          <w:rFonts w:ascii="方正仿宋_GBK" w:hAnsi="方正仿宋_GBK" w:eastAsia="方正仿宋_GBK" w:cs="方正仿宋_GBK"/>
          <w:sz w:val="28"/>
          <w:szCs w:val="28"/>
        </w:rPr>
        <w:t>章，</w:t>
      </w:r>
      <w:r>
        <w:rPr>
          <w:rFonts w:hint="eastAsia" w:ascii="方正仿宋_GBK" w:hAnsi="宋体" w:eastAsia="方正仿宋_GBK"/>
          <w:color w:val="auto"/>
          <w:kern w:val="2"/>
          <w:sz w:val="28"/>
          <w:szCs w:val="28"/>
        </w:rPr>
        <w:t>封套上写明：重庆</w:t>
      </w:r>
      <w:r>
        <w:rPr>
          <w:rFonts w:hint="eastAsia" w:ascii="方正仿宋_GBK" w:hAnsi="宋体" w:eastAsia="方正仿宋_GBK"/>
          <w:color w:val="auto"/>
          <w:kern w:val="2"/>
          <w:sz w:val="28"/>
          <w:szCs w:val="28"/>
          <w:lang w:val="en-US" w:eastAsia="zh-CN"/>
        </w:rPr>
        <w:t>万利万达高速公路有限公司</w:t>
      </w:r>
      <w:r>
        <w:rPr>
          <w:rFonts w:hint="eastAsia" w:ascii="方正仿宋_GBK" w:hAnsi="宋体" w:eastAsia="方正仿宋_GBK"/>
          <w:color w:val="auto"/>
          <w:kern w:val="2"/>
          <w:sz w:val="28"/>
          <w:szCs w:val="28"/>
        </w:rPr>
        <w:t>车辆保险服务采购项目竞争性比选响应文件</w:t>
      </w:r>
      <w:r>
        <w:rPr>
          <w:rFonts w:ascii="方正仿宋_GBK" w:hAnsi="方正仿宋_GBK" w:eastAsia="方正仿宋_GBK" w:cs="方正仿宋_GBK"/>
          <w:sz w:val="28"/>
          <w:szCs w:val="28"/>
        </w:rPr>
        <w:t>。未密封的</w:t>
      </w:r>
      <w:r>
        <w:rPr>
          <w:rFonts w:hint="eastAsia" w:ascii="方正仿宋_GBK" w:hAnsi="方正仿宋_GBK" w:eastAsia="方正仿宋_GBK" w:cs="方正仿宋_GBK"/>
          <w:sz w:val="28"/>
          <w:szCs w:val="28"/>
        </w:rPr>
        <w:t>报价</w:t>
      </w:r>
      <w:r>
        <w:rPr>
          <w:rFonts w:ascii="方正仿宋_GBK" w:hAnsi="方正仿宋_GBK" w:eastAsia="方正仿宋_GBK" w:cs="方正仿宋_GBK"/>
          <w:sz w:val="28"/>
          <w:szCs w:val="28"/>
        </w:rPr>
        <w:t>文件将不予签收。</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sz w:val="28"/>
          <w:szCs w:val="28"/>
        </w:rPr>
        <w:t>五、报价文件的组成</w:t>
      </w:r>
    </w:p>
    <w:p>
      <w:pPr>
        <w:pStyle w:val="11"/>
        <w:keepNext w:val="0"/>
        <w:keepLines w:val="0"/>
        <w:pageBreakBefore w:val="0"/>
        <w:kinsoku/>
        <w:wordWrap/>
        <w:overflowPunct/>
        <w:topLinePunct w:val="0"/>
        <w:bidi w:val="0"/>
        <w:snapToGrid/>
        <w:spacing w:line="560" w:lineRule="exact"/>
        <w:ind w:left="0" w:leftChars="0" w:firstLine="560" w:firstLineChars="200"/>
        <w:textAlignment w:val="auto"/>
      </w:pPr>
      <w:r>
        <w:rPr>
          <w:rFonts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rPr>
        <w:t>报价</w:t>
      </w:r>
      <w:r>
        <w:rPr>
          <w:rFonts w:ascii="方正仿宋_GBK" w:hAnsi="方正仿宋_GBK" w:eastAsia="方正仿宋_GBK" w:cs="方正仿宋_GBK"/>
          <w:sz w:val="28"/>
          <w:szCs w:val="28"/>
        </w:rPr>
        <w:t>函部分</w:t>
      </w:r>
    </w:p>
    <w:p>
      <w:pPr>
        <w:pStyle w:val="11"/>
        <w:keepNext w:val="0"/>
        <w:keepLines w:val="0"/>
        <w:pageBreakBefore w:val="0"/>
        <w:kinsoku/>
        <w:wordWrap/>
        <w:overflowPunct/>
        <w:topLinePunct w:val="0"/>
        <w:bidi w:val="0"/>
        <w:snapToGrid/>
        <w:spacing w:line="560" w:lineRule="exact"/>
        <w:ind w:left="0" w:leftChars="0" w:firstLine="560" w:firstLineChars="200"/>
        <w:textAlignment w:val="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（二）商务技术部分</w:t>
      </w: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hint="eastAsia" w:ascii="方正仿宋_GBK" w:hAnsi="宋体" w:eastAsia="方正仿宋_GBK"/>
          <w:b/>
          <w:kern w:val="2"/>
          <w:sz w:val="28"/>
          <w:szCs w:val="28"/>
        </w:rPr>
      </w:pPr>
      <w:r>
        <w:rPr>
          <w:rFonts w:hint="eastAsia" w:ascii="方正仿宋_GBK" w:hAnsi="宋体" w:eastAsia="方正仿宋_GBK"/>
          <w:b/>
          <w:kern w:val="2"/>
          <w:sz w:val="28"/>
          <w:szCs w:val="28"/>
        </w:rPr>
        <w:t>注：以</w:t>
      </w:r>
      <w:r>
        <w:rPr>
          <w:rFonts w:hint="eastAsia" w:ascii="方正仿宋_GBK" w:hAnsi="宋体" w:eastAsia="方正仿宋_GBK"/>
          <w:b/>
          <w:bCs/>
          <w:kern w:val="2"/>
          <w:sz w:val="28"/>
          <w:szCs w:val="28"/>
        </w:rPr>
        <w:t>上所有文件均须逐页加盖报价人的公章</w:t>
      </w:r>
      <w:r>
        <w:rPr>
          <w:rFonts w:hint="eastAsia" w:ascii="方正仿宋_GBK" w:hAnsi="宋体" w:eastAsia="方正仿宋_GBK"/>
          <w:b/>
          <w:kern w:val="2"/>
          <w:sz w:val="28"/>
          <w:szCs w:val="28"/>
        </w:rPr>
        <w:t>，格式见附件。</w:t>
      </w:r>
    </w:p>
    <w:p>
      <w:pPr>
        <w:pStyle w:val="11"/>
        <w:keepNext w:val="0"/>
        <w:keepLines w:val="0"/>
        <w:pageBreakBefore w:val="0"/>
        <w:kinsoku/>
        <w:wordWrap/>
        <w:overflowPunct/>
        <w:topLinePunct w:val="0"/>
        <w:bidi w:val="0"/>
        <w:snapToGrid/>
        <w:spacing w:line="560" w:lineRule="exact"/>
        <w:ind w:left="0" w:leftChars="0" w:firstLine="560" w:firstLineChars="200"/>
        <w:textAlignment w:val="auto"/>
      </w:pPr>
      <w:r>
        <w:rPr>
          <w:rFonts w:ascii="方正仿宋_GBK" w:hAnsi="方正仿宋_GBK" w:eastAsia="方正仿宋_GBK" w:cs="方正仿宋_GBK"/>
          <w:sz w:val="28"/>
          <w:szCs w:val="28"/>
        </w:rPr>
        <w:t>附件：负责人身份证明、委托书、</w:t>
      </w:r>
      <w:r>
        <w:rPr>
          <w:rFonts w:hint="eastAsia" w:ascii="方正仿宋_GBK" w:hAnsi="方正仿宋_GBK" w:eastAsia="方正仿宋_GBK" w:cs="方正仿宋_GBK"/>
          <w:sz w:val="28"/>
          <w:szCs w:val="28"/>
        </w:rPr>
        <w:t>报价</w:t>
      </w:r>
      <w:r>
        <w:rPr>
          <w:rFonts w:ascii="方正仿宋_GBK" w:hAnsi="方正仿宋_GBK" w:eastAsia="方正仿宋_GBK" w:cs="方正仿宋_GBK"/>
          <w:sz w:val="28"/>
          <w:szCs w:val="28"/>
        </w:rPr>
        <w:t>函模版</w:t>
      </w: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ind w:left="0" w:leftChars="0" w:firstLine="562" w:firstLineChars="200"/>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keepNext w:val="0"/>
        <w:keepLines w:val="0"/>
        <w:pageBreakBefore w:val="0"/>
        <w:kinsoku/>
        <w:wordWrap/>
        <w:overflowPunct/>
        <w:topLinePunct w:val="0"/>
        <w:bidi w:val="0"/>
        <w:snapToGrid/>
        <w:spacing w:line="560" w:lineRule="exact"/>
        <w:textAlignment w:val="auto"/>
        <w:rPr>
          <w:rFonts w:ascii="仿宋" w:hAnsi="仿宋" w:eastAsia="仿宋" w:cs="仿宋"/>
          <w:b/>
          <w:sz w:val="28"/>
          <w:szCs w:val="28"/>
        </w:rPr>
      </w:pPr>
    </w:p>
    <w:p>
      <w:pPr>
        <w:pStyle w:val="11"/>
        <w:spacing w:line="360" w:lineRule="auto"/>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sz w:val="28"/>
          <w:szCs w:val="28"/>
        </w:rPr>
        <w:t>附件：</w:t>
      </w:r>
    </w:p>
    <w:p>
      <w:pPr>
        <w:pStyle w:val="11"/>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ascii="方正小标宋_GBK" w:hAnsi="方正小标宋_GBK" w:eastAsia="方正小标宋_GBK" w:cs="方正小标宋_GBK"/>
          <w:b w:val="0"/>
          <w:bCs/>
          <w:sz w:val="44"/>
          <w:szCs w:val="44"/>
        </w:rPr>
        <w:t>负责人身份证明</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报价人名称：</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（报价</w:t>
      </w:r>
      <w:r>
        <w:rPr>
          <w:rFonts w:hint="eastAsia" w:ascii="方正仿宋_GBK" w:hAnsi="方正仿宋_GBK" w:eastAsia="方正仿宋_GBK" w:cs="方正仿宋_GBK"/>
          <w:sz w:val="28"/>
          <w:szCs w:val="28"/>
          <w:u w:val="single"/>
          <w:lang w:val="en-US" w:eastAsia="zh-CN"/>
        </w:rPr>
        <w:t>单位</w:t>
      </w:r>
      <w:r>
        <w:rPr>
          <w:rFonts w:hint="eastAsia" w:ascii="方正仿宋_GBK" w:hAnsi="方正仿宋_GBK" w:eastAsia="方正仿宋_GBK" w:cs="方正仿宋_GBK"/>
          <w:sz w:val="28"/>
          <w:szCs w:val="28"/>
          <w:u w:val="single"/>
        </w:rPr>
        <w:t>名称）</w:t>
      </w:r>
      <w:r>
        <w:rPr>
          <w:rFonts w:hint="eastAsia" w:ascii="方正仿宋_GBK" w:hAnsi="方正仿宋_GBK" w:eastAsia="方正仿宋_GBK" w:cs="方正仿宋_GBK"/>
          <w:sz w:val="28"/>
          <w:szCs w:val="28"/>
        </w:rPr>
        <w:t>的负责人。</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p>
    <w:tbl>
      <w:tblPr>
        <w:tblStyle w:val="7"/>
        <w:tblW w:w="79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950"/>
        <w:gridCol w:w="39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733" w:hRule="atLeast"/>
          <w:jc w:val="center"/>
        </w:trPr>
        <w:tc>
          <w:tcPr>
            <w:tcW w:w="39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此处贴负责人居民身份证正反面复印件</w:t>
            </w:r>
          </w:p>
        </w:tc>
        <w:tc>
          <w:tcPr>
            <w:tcW w:w="39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w:t>
            </w:r>
            <w:r>
              <w:rPr>
                <w:rFonts w:hint="eastAsia" w:ascii="方正仿宋_GBK" w:hAnsi="方正仿宋_GBK" w:eastAsia="方正仿宋_GBK" w:cs="方正仿宋_GBK"/>
                <w:sz w:val="28"/>
                <w:szCs w:val="28"/>
                <w:lang w:val="en-US" w:eastAsia="zh-CN"/>
              </w:rPr>
              <w:t>委托代理人</w:t>
            </w:r>
            <w:r>
              <w:rPr>
                <w:rFonts w:hint="eastAsia" w:ascii="方正仿宋_GBK" w:hAnsi="方正仿宋_GBK" w:eastAsia="方正仿宋_GBK" w:cs="方正仿宋_GBK"/>
                <w:sz w:val="28"/>
                <w:szCs w:val="28"/>
              </w:rPr>
              <w:t>居民身份证正反面复印件</w:t>
            </w:r>
          </w:p>
        </w:tc>
      </w:tr>
    </w:tbl>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562" w:firstLineChars="200"/>
        <w:jc w:val="both"/>
        <w:textAlignment w:val="auto"/>
        <w:rPr>
          <w:rFonts w:hint="eastAsia" w:ascii="方正仿宋_GBK" w:hAnsi="方正仿宋_GBK" w:eastAsia="方正仿宋_GBK" w:cs="方正仿宋_GBK"/>
          <w:b/>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方正仿宋_GBK" w:hAnsi="方正仿宋_GBK" w:eastAsia="方正仿宋_GBK" w:cs="方正仿宋_GBK"/>
          <w:b w:val="0"/>
          <w:bCs/>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_GBK" w:hAnsi="方正小标宋_GBK" w:eastAsia="方正小标宋_GBK" w:cs="方正小标宋_GBK"/>
          <w:b w:val="0"/>
          <w:bCs/>
          <w:sz w:val="44"/>
          <w:szCs w:val="44"/>
        </w:rPr>
      </w:pPr>
    </w:p>
    <w:p>
      <w:pPr>
        <w:pStyle w:val="11"/>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小标宋_GBK" w:hAnsi="方正小标宋_GBK" w:eastAsia="方正小标宋_GBK" w:cs="方正小标宋_GBK"/>
          <w:b w:val="0"/>
          <w:bCs/>
          <w:sz w:val="44"/>
          <w:szCs w:val="44"/>
        </w:rPr>
        <w:t>授权委托书</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名称）的负责人，现委托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（姓 名）为我方代理人。代理人根据授权，以我方名义签署、澄清、说明、补正、递交、撤回、 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（项目名称）报价文件、签订合同和处理有关事宜， 其法律后果由我方承担。</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代理人无转委托权。</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附：负责人身份证复印件。</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（盖单位公章）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（签字）</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（签字）</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rPr>
        <w:t xml:space="preserve">  </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w:t>
      </w:r>
    </w:p>
    <w:p>
      <w:pPr>
        <w:pStyle w:val="11"/>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tbl>
      <w:tblPr>
        <w:tblStyle w:val="7"/>
        <w:tblW w:w="821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862"/>
        <w:gridCol w:w="43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080" w:hRule="atLeast"/>
          <w:jc w:val="center"/>
        </w:trPr>
        <w:tc>
          <w:tcPr>
            <w:tcW w:w="386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此处贴负责人居民身份证正反面复印件</w:t>
            </w:r>
          </w:p>
        </w:tc>
        <w:tc>
          <w:tcPr>
            <w:tcW w:w="4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此处贴委托代理人居民身份证正反面复印件</w:t>
            </w:r>
          </w:p>
        </w:tc>
      </w:tr>
    </w:tbl>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负责人参加报价活动并签署文件的不需要授权委托书，只需提供负责人身份证明；非负责人参加报价活动及签署文件的除提供负责人身份证明外还须提供授权委托书。</w:t>
      </w:r>
    </w:p>
    <w:p>
      <w:pPr>
        <w:pStyle w:val="11"/>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负责人身份证明及授权委托书原件需另手持一份。</w:t>
      </w:r>
    </w:p>
    <w:p>
      <w:pPr>
        <w:pStyle w:val="11"/>
        <w:keepNext w:val="0"/>
        <w:keepLines w:val="0"/>
        <w:pageBreakBefore w:val="0"/>
        <w:kinsoku/>
        <w:wordWrap/>
        <w:overflowPunct/>
        <w:topLinePunct w:val="0"/>
        <w:bidi w:val="0"/>
        <w:snapToGrid/>
        <w:spacing w:line="560" w:lineRule="exact"/>
        <w:ind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报价函</w:t>
      </w:r>
    </w:p>
    <w:p>
      <w:pPr>
        <w:keepNext w:val="0"/>
        <w:keepLines w:val="0"/>
        <w:pageBreakBefore w:val="0"/>
        <w:kinsoku/>
        <w:wordWrap/>
        <w:overflowPunct/>
        <w:topLinePunct w:val="0"/>
        <w:bidi w:val="0"/>
        <w:snapToGrid/>
        <w:spacing w:line="560" w:lineRule="exact"/>
        <w:ind w:right="0"/>
        <w:jc w:val="left"/>
        <w:textAlignment w:val="auto"/>
        <w:rPr>
          <w:rFonts w:hint="eastAsia" w:ascii="方正仿宋_GBK" w:hAnsi="方正仿宋_GBK" w:eastAsia="方正仿宋_GBK" w:cs="方正仿宋_GBK"/>
          <w:snapToGrid w:val="0"/>
          <w:sz w:val="28"/>
          <w:szCs w:val="28"/>
          <w:lang w:val="en-US" w:eastAsia="zh-CN"/>
        </w:rPr>
      </w:pPr>
    </w:p>
    <w:p>
      <w:pPr>
        <w:keepNext w:val="0"/>
        <w:keepLines w:val="0"/>
        <w:pageBreakBefore w:val="0"/>
        <w:kinsoku/>
        <w:wordWrap/>
        <w:overflowPunct/>
        <w:topLinePunct w:val="0"/>
        <w:bidi w:val="0"/>
        <w:snapToGrid/>
        <w:spacing w:line="560" w:lineRule="exact"/>
        <w:ind w:right="0"/>
        <w:jc w:val="left"/>
        <w:textAlignment w:val="auto"/>
        <w:rPr>
          <w:rFonts w:hint="eastAsia" w:ascii="方正仿宋_GBK" w:hAnsi="方正仿宋_GBK" w:eastAsia="方正仿宋_GBK" w:cs="方正仿宋_GBK"/>
          <w:snapToGrid w:val="0"/>
          <w:sz w:val="28"/>
          <w:szCs w:val="28"/>
          <w:u w:val="single"/>
        </w:rPr>
      </w:pPr>
      <w:r>
        <w:rPr>
          <w:rFonts w:hint="eastAsia" w:ascii="方正仿宋_GBK" w:hAnsi="方正仿宋_GBK" w:eastAsia="方正仿宋_GBK" w:cs="方正仿宋_GBK"/>
          <w:snapToGrid w:val="0"/>
          <w:sz w:val="28"/>
          <w:szCs w:val="28"/>
          <w:lang w:val="en-US" w:eastAsia="zh-CN"/>
        </w:rPr>
        <w:t>重庆万利万达高速公路有限公司</w:t>
      </w:r>
      <w:r>
        <w:rPr>
          <w:rFonts w:hint="eastAsia" w:ascii="方正仿宋_GBK" w:hAnsi="方正仿宋_GBK" w:eastAsia="方正仿宋_GBK" w:cs="方正仿宋_GBK"/>
          <w:snapToGrid w:val="0"/>
          <w:sz w:val="28"/>
          <w:szCs w:val="28"/>
        </w:rPr>
        <w:t xml:space="preserve">：             </w:t>
      </w:r>
      <w:r>
        <w:rPr>
          <w:rFonts w:hint="eastAsia" w:ascii="方正仿宋_GBK" w:hAnsi="方正仿宋_GBK" w:eastAsia="方正仿宋_GBK" w:cs="方正仿宋_GBK"/>
          <w:snapToGrid w:val="0"/>
          <w:sz w:val="28"/>
          <w:szCs w:val="28"/>
          <w:u w:val="single"/>
        </w:rPr>
        <w:t xml:space="preserve">                        </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lang w:eastAsia="zh-CN"/>
        </w:rPr>
      </w:pPr>
      <w:r>
        <w:rPr>
          <w:rFonts w:hint="eastAsia" w:ascii="方正仿宋_GBK" w:hAnsi="方正仿宋_GBK" w:eastAsia="方正仿宋_GBK" w:cs="方正仿宋_GBK"/>
          <w:snapToGrid w:val="0"/>
          <w:sz w:val="28"/>
          <w:szCs w:val="28"/>
        </w:rPr>
        <w:t>我方已仔细研究了</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 xml:space="preserve">       </w:t>
      </w:r>
      <w:r>
        <w:rPr>
          <w:rFonts w:hint="eastAsia" w:ascii="方正仿宋_GBK" w:hAnsi="方正仿宋_GBK" w:eastAsia="方正仿宋_GBK" w:cs="方正仿宋_GBK"/>
          <w:snapToGrid w:val="0"/>
          <w:sz w:val="28"/>
          <w:szCs w:val="28"/>
          <w:u w:val="single"/>
        </w:rPr>
        <w:t xml:space="preserve">       （项目名称）</w:t>
      </w:r>
      <w:r>
        <w:rPr>
          <w:rFonts w:hint="eastAsia" w:ascii="方正仿宋_GBK" w:hAnsi="方正仿宋_GBK" w:eastAsia="方正仿宋_GBK" w:cs="方正仿宋_GBK"/>
          <w:snapToGrid w:val="0"/>
          <w:sz w:val="28"/>
          <w:szCs w:val="28"/>
        </w:rPr>
        <w:t>比选文件的全部内容，商业险自主定价系数为：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 xml:space="preserve">  </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w:t>
      </w:r>
      <w:r>
        <w:rPr>
          <w:rFonts w:hint="eastAsia" w:ascii="方正仿宋_GBK" w:hAnsi="方正仿宋_GBK" w:eastAsia="方正仿宋_GBK" w:cs="方正仿宋_GBK"/>
          <w:snapToGrid w:val="0"/>
          <w:sz w:val="28"/>
          <w:szCs w:val="28"/>
          <w:u w:val="single"/>
        </w:rPr>
        <w:t>）</w:t>
      </w:r>
      <w:r>
        <w:rPr>
          <w:rFonts w:hint="eastAsia" w:ascii="方正仿宋_GBK" w:hAnsi="方正仿宋_GBK" w:eastAsia="方正仿宋_GBK" w:cs="方正仿宋_GBK"/>
          <w:snapToGrid w:val="0"/>
          <w:sz w:val="28"/>
          <w:szCs w:val="28"/>
          <w:u w:val="single"/>
          <w:lang w:eastAsia="zh-CN"/>
        </w:rPr>
        <w:t>。</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一、交强险保费：</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交强险保费条款费率按《中国银保监会关于调整交强险责任限额和费率浮动系数的公告》（2020年9月9日）的规定执行。</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二、机动车商业险：</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商业车险保费=基准保费×费率调整系数</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1.基准保费=基准纯风险保费/（1-附加费用率）；其中，基准纯风险保费为投保各主险与附加险基准纯风险保费之和</w:t>
      </w:r>
      <w:r>
        <w:rPr>
          <w:rFonts w:hint="eastAsia" w:ascii="方正仿宋_GBK" w:hAnsi="方正仿宋_GBK" w:eastAsia="方正仿宋_GBK" w:cs="方正仿宋_GBK"/>
          <w:snapToGrid w:val="0"/>
          <w:sz w:val="28"/>
          <w:szCs w:val="28"/>
          <w:lang w:eastAsia="zh-CN"/>
        </w:rPr>
        <w:t>，</w:t>
      </w:r>
      <w:r>
        <w:rPr>
          <w:rFonts w:hint="eastAsia" w:ascii="方正仿宋_GBK" w:hAnsi="方正仿宋_GBK" w:eastAsia="方正仿宋_GBK" w:cs="方正仿宋_GBK"/>
          <w:snapToGrid w:val="0"/>
          <w:sz w:val="28"/>
          <w:szCs w:val="28"/>
          <w:lang w:val="en-US" w:eastAsia="zh-CN"/>
        </w:rPr>
        <w:t>附加费用率为保险公司核算保单成本的费率</w:t>
      </w:r>
      <w:r>
        <w:rPr>
          <w:rFonts w:hint="eastAsia" w:ascii="方正仿宋_GBK" w:hAnsi="方正仿宋_GBK" w:eastAsia="方正仿宋_GBK" w:cs="方正仿宋_GBK"/>
          <w:snapToGrid w:val="0"/>
          <w:sz w:val="28"/>
          <w:szCs w:val="28"/>
        </w:rPr>
        <w:t>。</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2.费率调整系数=</w:t>
      </w:r>
      <w:r>
        <w:rPr>
          <w:rFonts w:hint="eastAsia" w:ascii="方正仿宋_GBK" w:hAnsi="方正仿宋_GBK" w:eastAsia="方正仿宋_GBK" w:cs="方正仿宋_GBK"/>
          <w:snapToGrid w:val="0"/>
          <w:sz w:val="28"/>
          <w:szCs w:val="28"/>
          <w:lang w:val="en-US" w:eastAsia="zh-CN"/>
        </w:rPr>
        <w:t>商业险</w:t>
      </w:r>
      <w:r>
        <w:rPr>
          <w:rFonts w:hint="eastAsia" w:ascii="方正仿宋_GBK" w:hAnsi="方正仿宋_GBK" w:eastAsia="方正仿宋_GBK" w:cs="方正仿宋_GBK"/>
          <w:snapToGrid w:val="0"/>
          <w:sz w:val="28"/>
          <w:szCs w:val="28"/>
        </w:rPr>
        <w:t>自主定价系数×无赔款优待系数（NCD）。</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注:商业车险自主定价系数以银保监机构最新要求为准，投保车辆当年未出险</w:t>
      </w:r>
      <w:r>
        <w:rPr>
          <w:rFonts w:hint="eastAsia" w:ascii="方正仿宋_GBK" w:hAnsi="方正仿宋_GBK" w:eastAsia="方正仿宋_GBK" w:cs="方正仿宋_GBK"/>
          <w:snapToGrid w:val="0"/>
          <w:sz w:val="28"/>
          <w:szCs w:val="28"/>
          <w:lang w:eastAsia="zh-CN"/>
        </w:rPr>
        <w:t>，</w:t>
      </w:r>
      <w:r>
        <w:rPr>
          <w:rFonts w:hint="eastAsia" w:ascii="方正仿宋_GBK" w:hAnsi="方正仿宋_GBK" w:eastAsia="方正仿宋_GBK" w:cs="方正仿宋_GBK"/>
          <w:snapToGrid w:val="0"/>
          <w:sz w:val="28"/>
          <w:szCs w:val="28"/>
        </w:rPr>
        <w:t>次年保费浮动系数按国家相关规定下调。</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三、我方承诺在报价有效期内不修改、撤销参选文件。</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四、我方在此声明，所递交的参选文件及有关资料内容完整、真实和准确。</w:t>
      </w:r>
    </w:p>
    <w:p>
      <w:pPr>
        <w:keepNext w:val="0"/>
        <w:keepLines w:val="0"/>
        <w:pageBreakBefore w:val="0"/>
        <w:kinsoku/>
        <w:wordWrap/>
        <w:overflowPunct/>
        <w:topLinePunct w:val="0"/>
        <w:bidi w:val="0"/>
        <w:snapToGrid/>
        <w:spacing w:line="560" w:lineRule="exact"/>
        <w:ind w:left="0" w:right="0" w:firstLine="560" w:firstLineChars="200"/>
        <w:jc w:val="left"/>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五、在合同协议书正式签署生效之前，本报价书连同你方的中选通知书将构成我们双方之间共同遵守的文件，对双方具有约束力。</w:t>
      </w:r>
    </w:p>
    <w:p>
      <w:pPr>
        <w:keepNext w:val="0"/>
        <w:keepLines w:val="0"/>
        <w:pageBreakBefore w:val="0"/>
        <w:tabs>
          <w:tab w:val="left" w:pos="2340"/>
          <w:tab w:val="left" w:pos="7140"/>
          <w:tab w:val="left" w:pos="7560"/>
          <w:tab w:val="left" w:pos="8820"/>
        </w:tabs>
        <w:kinsoku/>
        <w:wordWrap/>
        <w:overflowPunct/>
        <w:topLinePunct w:val="0"/>
        <w:autoSpaceDE w:val="0"/>
        <w:autoSpaceDN w:val="0"/>
        <w:bidi w:val="0"/>
        <w:adjustRightInd w:val="0"/>
        <w:snapToGrid/>
        <w:spacing w:line="560" w:lineRule="exact"/>
        <w:ind w:left="0" w:right="0" w:firstLine="560" w:firstLineChars="200"/>
        <w:textAlignment w:val="auto"/>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报价人：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（盖单位公章）</w:t>
      </w:r>
      <w:r>
        <w:rPr>
          <w:rFonts w:hint="eastAsia" w:ascii="方正仿宋_GBK" w:hAnsi="方正仿宋_GBK" w:eastAsia="方正仿宋_GBK" w:cs="方正仿宋_GBK"/>
          <w:snapToGrid w:val="0"/>
          <w:w w:val="200"/>
          <w:sz w:val="28"/>
          <w:szCs w:val="28"/>
          <w:u w:val="single"/>
        </w:rPr>
        <w:t xml:space="preserve">               </w:t>
      </w:r>
    </w:p>
    <w:p>
      <w:pPr>
        <w:keepNext w:val="0"/>
        <w:keepLines w:val="0"/>
        <w:pageBreakBefore w:val="0"/>
        <w:tabs>
          <w:tab w:val="left" w:pos="8300"/>
        </w:tabs>
        <w:kinsoku/>
        <w:wordWrap/>
        <w:overflowPunct/>
        <w:topLinePunct w:val="0"/>
        <w:autoSpaceDE w:val="0"/>
        <w:autoSpaceDN w:val="0"/>
        <w:bidi w:val="0"/>
        <w:adjustRightInd w:val="0"/>
        <w:snapToGrid/>
        <w:spacing w:line="560" w:lineRule="exact"/>
        <w:ind w:left="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lang w:val="en-US" w:eastAsia="zh-CN"/>
        </w:rPr>
        <w:t xml:space="preserve">     </w:t>
      </w:r>
      <w:r>
        <w:rPr>
          <w:rFonts w:hint="eastAsia" w:ascii="方正仿宋_GBK" w:hAnsi="方正仿宋_GBK" w:eastAsia="方正仿宋_GBK" w:cs="方正仿宋_GBK"/>
          <w:snapToGrid w:val="0"/>
          <w:sz w:val="28"/>
          <w:szCs w:val="28"/>
        </w:rPr>
        <w:t>年</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w w:val="200"/>
          <w:sz w:val="28"/>
          <w:szCs w:val="28"/>
          <w:u w:val="single"/>
          <w:lang w:val="en-US" w:eastAsia="zh-CN"/>
        </w:rPr>
        <w:t xml:space="preserve">     </w:t>
      </w:r>
      <w:r>
        <w:rPr>
          <w:rFonts w:hint="eastAsia" w:ascii="方正仿宋_GBK" w:hAnsi="方正仿宋_GBK" w:eastAsia="方正仿宋_GBK" w:cs="方正仿宋_GBK"/>
          <w:snapToGrid w:val="0"/>
          <w:sz w:val="28"/>
          <w:szCs w:val="28"/>
        </w:rPr>
        <w:t>月</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w w:val="200"/>
          <w:sz w:val="28"/>
          <w:szCs w:val="28"/>
          <w:u w:val="single"/>
          <w:lang w:val="en-US" w:eastAsia="zh-CN"/>
        </w:rPr>
        <w:t xml:space="preserve">     </w:t>
      </w:r>
      <w:r>
        <w:rPr>
          <w:rFonts w:hint="eastAsia" w:ascii="方正仿宋_GBK" w:hAnsi="方正仿宋_GBK" w:eastAsia="方正仿宋_GBK" w:cs="方正仿宋_GBK"/>
          <w:snapToGrid w:val="0"/>
          <w:sz w:val="28"/>
          <w:szCs w:val="28"/>
        </w:rPr>
        <w:t>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6A8682"/>
    <w:multiLevelType w:val="singleLevel"/>
    <w:tmpl w:val="6C6A86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945639"/>
    <w:rsid w:val="00045091"/>
    <w:rsid w:val="00046BEB"/>
    <w:rsid w:val="00057E8C"/>
    <w:rsid w:val="000702CB"/>
    <w:rsid w:val="000E5FF1"/>
    <w:rsid w:val="000F3AD6"/>
    <w:rsid w:val="00110705"/>
    <w:rsid w:val="0014500A"/>
    <w:rsid w:val="001B6E15"/>
    <w:rsid w:val="001C166C"/>
    <w:rsid w:val="001F2C9C"/>
    <w:rsid w:val="0020106A"/>
    <w:rsid w:val="002100CD"/>
    <w:rsid w:val="00212B0C"/>
    <w:rsid w:val="00232FC8"/>
    <w:rsid w:val="00235FDF"/>
    <w:rsid w:val="00236F9C"/>
    <w:rsid w:val="002502DC"/>
    <w:rsid w:val="00256316"/>
    <w:rsid w:val="002753D1"/>
    <w:rsid w:val="00293D5B"/>
    <w:rsid w:val="002B7BF1"/>
    <w:rsid w:val="002D720B"/>
    <w:rsid w:val="002E0B15"/>
    <w:rsid w:val="002E7D4E"/>
    <w:rsid w:val="0030674E"/>
    <w:rsid w:val="003210E8"/>
    <w:rsid w:val="00336471"/>
    <w:rsid w:val="003514E4"/>
    <w:rsid w:val="00363028"/>
    <w:rsid w:val="003A09E4"/>
    <w:rsid w:val="003D1B1D"/>
    <w:rsid w:val="00482296"/>
    <w:rsid w:val="00497816"/>
    <w:rsid w:val="004B0CD6"/>
    <w:rsid w:val="004B616D"/>
    <w:rsid w:val="004C629E"/>
    <w:rsid w:val="004E08EE"/>
    <w:rsid w:val="004E5B22"/>
    <w:rsid w:val="00502077"/>
    <w:rsid w:val="00515B5F"/>
    <w:rsid w:val="00531D0C"/>
    <w:rsid w:val="00552A11"/>
    <w:rsid w:val="005807D3"/>
    <w:rsid w:val="005832D0"/>
    <w:rsid w:val="005964CE"/>
    <w:rsid w:val="005A1B15"/>
    <w:rsid w:val="005A2020"/>
    <w:rsid w:val="005A628E"/>
    <w:rsid w:val="005C762A"/>
    <w:rsid w:val="00604DF4"/>
    <w:rsid w:val="00610911"/>
    <w:rsid w:val="00647F0B"/>
    <w:rsid w:val="006E35BD"/>
    <w:rsid w:val="006F6A00"/>
    <w:rsid w:val="00701638"/>
    <w:rsid w:val="00702D87"/>
    <w:rsid w:val="007059C7"/>
    <w:rsid w:val="007313F2"/>
    <w:rsid w:val="00753527"/>
    <w:rsid w:val="00774714"/>
    <w:rsid w:val="00785B2B"/>
    <w:rsid w:val="007A4E3C"/>
    <w:rsid w:val="007D2772"/>
    <w:rsid w:val="00825415"/>
    <w:rsid w:val="00875C6B"/>
    <w:rsid w:val="008A62B2"/>
    <w:rsid w:val="008D233B"/>
    <w:rsid w:val="008D49F2"/>
    <w:rsid w:val="008E1015"/>
    <w:rsid w:val="00916022"/>
    <w:rsid w:val="00945639"/>
    <w:rsid w:val="009712A5"/>
    <w:rsid w:val="00982693"/>
    <w:rsid w:val="00984155"/>
    <w:rsid w:val="00A01BFB"/>
    <w:rsid w:val="00A42489"/>
    <w:rsid w:val="00A6314B"/>
    <w:rsid w:val="00A701E6"/>
    <w:rsid w:val="00A96309"/>
    <w:rsid w:val="00AB5D8D"/>
    <w:rsid w:val="00B01FBD"/>
    <w:rsid w:val="00B1551F"/>
    <w:rsid w:val="00B4128F"/>
    <w:rsid w:val="00B553E6"/>
    <w:rsid w:val="00B56693"/>
    <w:rsid w:val="00B8616A"/>
    <w:rsid w:val="00BB0BCC"/>
    <w:rsid w:val="00BB24CA"/>
    <w:rsid w:val="00BB4A56"/>
    <w:rsid w:val="00BD23B3"/>
    <w:rsid w:val="00BF0897"/>
    <w:rsid w:val="00C42756"/>
    <w:rsid w:val="00C65B4B"/>
    <w:rsid w:val="00C66AC6"/>
    <w:rsid w:val="00CC65DF"/>
    <w:rsid w:val="00CE7BFC"/>
    <w:rsid w:val="00D00FF1"/>
    <w:rsid w:val="00D11C95"/>
    <w:rsid w:val="00D31225"/>
    <w:rsid w:val="00D56B39"/>
    <w:rsid w:val="00DA1450"/>
    <w:rsid w:val="00E14207"/>
    <w:rsid w:val="00E14997"/>
    <w:rsid w:val="00E4243E"/>
    <w:rsid w:val="00E5739D"/>
    <w:rsid w:val="00E93AB8"/>
    <w:rsid w:val="00EA0DA0"/>
    <w:rsid w:val="00EB6C74"/>
    <w:rsid w:val="00EC6FDE"/>
    <w:rsid w:val="00F00066"/>
    <w:rsid w:val="00F17D60"/>
    <w:rsid w:val="00F32ADE"/>
    <w:rsid w:val="00F825E8"/>
    <w:rsid w:val="00F92256"/>
    <w:rsid w:val="00FA18FA"/>
    <w:rsid w:val="00FA3166"/>
    <w:rsid w:val="02171C7A"/>
    <w:rsid w:val="054E0D23"/>
    <w:rsid w:val="07173C1D"/>
    <w:rsid w:val="0A521449"/>
    <w:rsid w:val="15D242B5"/>
    <w:rsid w:val="17BB37B4"/>
    <w:rsid w:val="1B4F71E2"/>
    <w:rsid w:val="1C615F74"/>
    <w:rsid w:val="1CEA4AD1"/>
    <w:rsid w:val="1D0334E8"/>
    <w:rsid w:val="310559B8"/>
    <w:rsid w:val="37DE0902"/>
    <w:rsid w:val="38FB618B"/>
    <w:rsid w:val="3A98536F"/>
    <w:rsid w:val="3D226F00"/>
    <w:rsid w:val="3E396A38"/>
    <w:rsid w:val="3ED04B73"/>
    <w:rsid w:val="40F03B15"/>
    <w:rsid w:val="413870CC"/>
    <w:rsid w:val="41892680"/>
    <w:rsid w:val="41CE0D2C"/>
    <w:rsid w:val="47C75F0C"/>
    <w:rsid w:val="4A0A510F"/>
    <w:rsid w:val="4B823190"/>
    <w:rsid w:val="4BD57C15"/>
    <w:rsid w:val="4E5450E4"/>
    <w:rsid w:val="4E787F6B"/>
    <w:rsid w:val="4FB84E80"/>
    <w:rsid w:val="52392176"/>
    <w:rsid w:val="663A5C1F"/>
    <w:rsid w:val="680B464A"/>
    <w:rsid w:val="6B651679"/>
    <w:rsid w:val="6BA103BE"/>
    <w:rsid w:val="6F9A2598"/>
    <w:rsid w:val="706E4C57"/>
    <w:rsid w:val="72A51C89"/>
    <w:rsid w:val="73FC5A92"/>
    <w:rsid w:val="75CC41D0"/>
    <w:rsid w:val="76073A15"/>
    <w:rsid w:val="791D04F3"/>
    <w:rsid w:val="7C3A1854"/>
    <w:rsid w:val="7CA10985"/>
    <w:rsid w:val="7D2C2936"/>
    <w:rsid w:val="7D466F15"/>
    <w:rsid w:val="7FB5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雅黑" w:hAnsi="微软雅黑" w:eastAsia="微软雅黑" w:cs="微软雅黑"/>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微软雅黑" w:hAnsi="微软雅黑" w:eastAsia="微软雅黑" w:cs="微软雅黑"/>
      <w:sz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Calibri" w:hAnsi="Calibri" w:eastAsia="宋体" w:cs="Times New Roman"/>
      <w:b/>
      <w:bCs/>
      <w:caps/>
      <w:sz w:val="20"/>
    </w:rPr>
  </w:style>
  <w:style w:type="paragraph" w:styleId="3">
    <w:name w:val="annotation text"/>
    <w:basedOn w:val="1"/>
    <w:qFormat/>
    <w:uiPriority w:val="0"/>
    <w:pPr>
      <w:jc w:val="left"/>
    </w:pPr>
  </w:style>
  <w:style w:type="paragraph" w:styleId="4">
    <w:name w:val="Balloon Text"/>
    <w:basedOn w:val="1"/>
    <w:link w:val="19"/>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styleId="10">
    <w:name w:val="annotation reference"/>
    <w:basedOn w:val="8"/>
    <w:qFormat/>
    <w:uiPriority w:val="0"/>
    <w:rPr>
      <w:sz w:val="21"/>
      <w:szCs w:val="21"/>
    </w:rPr>
  </w:style>
  <w:style w:type="paragraph" w:customStyle="1" w:styleId="11">
    <w:name w:val="石墨文档正文"/>
    <w:qFormat/>
    <w:uiPriority w:val="0"/>
    <w:rPr>
      <w:rFonts w:ascii="微软雅黑" w:hAnsi="微软雅黑" w:eastAsia="微软雅黑" w:cs="微软雅黑"/>
      <w:sz w:val="22"/>
      <w:szCs w:val="22"/>
      <w:lang w:val="en-US" w:eastAsia="zh-CN" w:bidi="ar-SA"/>
    </w:rPr>
  </w:style>
  <w:style w:type="paragraph" w:customStyle="1" w:styleId="12">
    <w:name w:val="石墨文档标题"/>
    <w:next w:val="11"/>
    <w:unhideWhenUsed/>
    <w:qFormat/>
    <w:uiPriority w:val="9"/>
    <w:pPr>
      <w:spacing w:before="260" w:after="260"/>
      <w:outlineLvl w:val="0"/>
    </w:pPr>
    <w:rPr>
      <w:rFonts w:ascii="微软雅黑" w:hAnsi="微软雅黑" w:eastAsia="微软雅黑" w:cs="微软雅黑"/>
      <w:b/>
      <w:bCs/>
      <w:sz w:val="40"/>
      <w:szCs w:val="40"/>
      <w:lang w:val="en-US" w:eastAsia="zh-CN" w:bidi="ar-SA"/>
    </w:rPr>
  </w:style>
  <w:style w:type="paragraph" w:customStyle="1" w:styleId="13">
    <w:name w:val="石墨文档副标题"/>
    <w:qFormat/>
    <w:uiPriority w:val="0"/>
    <w:pPr>
      <w:spacing w:before="260" w:after="260"/>
    </w:pPr>
    <w:rPr>
      <w:rFonts w:ascii="微软雅黑" w:hAnsi="微软雅黑" w:eastAsia="微软雅黑" w:cs="微软雅黑"/>
      <w:color w:val="888888"/>
      <w:sz w:val="36"/>
      <w:szCs w:val="36"/>
      <w:lang w:val="en-US" w:eastAsia="zh-CN" w:bidi="ar-SA"/>
    </w:rPr>
  </w:style>
  <w:style w:type="paragraph" w:customStyle="1" w:styleId="14">
    <w:name w:val="石墨文档标题 1"/>
    <w:next w:val="11"/>
    <w:unhideWhenUsed/>
    <w:qFormat/>
    <w:uiPriority w:val="9"/>
    <w:pPr>
      <w:spacing w:before="260" w:after="260"/>
      <w:outlineLvl w:val="0"/>
    </w:pPr>
    <w:rPr>
      <w:rFonts w:ascii="微软雅黑" w:hAnsi="微软雅黑" w:eastAsia="微软雅黑" w:cs="微软雅黑"/>
      <w:b/>
      <w:bCs/>
      <w:sz w:val="32"/>
      <w:szCs w:val="32"/>
      <w:lang w:val="en-US" w:eastAsia="zh-CN" w:bidi="ar-SA"/>
    </w:rPr>
  </w:style>
  <w:style w:type="paragraph" w:customStyle="1" w:styleId="15">
    <w:name w:val="石墨文档标题 2"/>
    <w:next w:val="11"/>
    <w:unhideWhenUsed/>
    <w:qFormat/>
    <w:uiPriority w:val="9"/>
    <w:pPr>
      <w:spacing w:before="260" w:after="260"/>
      <w:outlineLvl w:val="1"/>
    </w:pPr>
    <w:rPr>
      <w:rFonts w:ascii="微软雅黑" w:hAnsi="微软雅黑" w:eastAsia="微软雅黑" w:cs="微软雅黑"/>
      <w:b/>
      <w:bCs/>
      <w:sz w:val="28"/>
      <w:szCs w:val="28"/>
      <w:lang w:val="en-US" w:eastAsia="zh-CN" w:bidi="ar-SA"/>
    </w:rPr>
  </w:style>
  <w:style w:type="paragraph" w:customStyle="1" w:styleId="16">
    <w:name w:val="石墨文档标题 3"/>
    <w:next w:val="11"/>
    <w:unhideWhenUsed/>
    <w:qFormat/>
    <w:uiPriority w:val="9"/>
    <w:pPr>
      <w:spacing w:before="260" w:after="260"/>
      <w:outlineLvl w:val="2"/>
    </w:pPr>
    <w:rPr>
      <w:rFonts w:ascii="微软雅黑" w:hAnsi="微软雅黑" w:eastAsia="微软雅黑" w:cs="微软雅黑"/>
      <w:b/>
      <w:bCs/>
      <w:sz w:val="26"/>
      <w:szCs w:val="26"/>
      <w:lang w:val="en-US" w:eastAsia="zh-CN" w:bidi="ar-SA"/>
    </w:rPr>
  </w:style>
  <w:style w:type="paragraph" w:customStyle="1" w:styleId="17">
    <w:name w:val="石墨文档标题 4"/>
    <w:next w:val="11"/>
    <w:unhideWhenUsed/>
    <w:qFormat/>
    <w:uiPriority w:val="9"/>
    <w:pPr>
      <w:spacing w:before="260" w:after="260"/>
      <w:outlineLvl w:val="3"/>
    </w:pPr>
    <w:rPr>
      <w:rFonts w:ascii="微软雅黑" w:hAnsi="微软雅黑" w:eastAsia="微软雅黑" w:cs="微软雅黑"/>
      <w:b/>
      <w:bCs/>
      <w:sz w:val="24"/>
      <w:szCs w:val="24"/>
      <w:lang w:val="en-US" w:eastAsia="zh-CN" w:bidi="ar-SA"/>
    </w:rPr>
  </w:style>
  <w:style w:type="paragraph" w:customStyle="1" w:styleId="18">
    <w:name w:val="石墨文档引用"/>
    <w:qFormat/>
    <w:uiPriority w:val="0"/>
    <w:pPr>
      <w:pBdr>
        <w:left w:val="single" w:color="F0F0F0" w:sz="30" w:space="10"/>
      </w:pBdr>
    </w:pPr>
    <w:rPr>
      <w:rFonts w:ascii="微软雅黑" w:hAnsi="微软雅黑" w:eastAsia="微软雅黑" w:cs="微软雅黑"/>
      <w:color w:val="ADADAD"/>
      <w:sz w:val="22"/>
      <w:lang w:val="en-US" w:eastAsia="zh-CN" w:bidi="ar-SA"/>
    </w:rPr>
  </w:style>
  <w:style w:type="character" w:customStyle="1" w:styleId="19">
    <w:name w:val="批注框文本 Char"/>
    <w:basedOn w:val="8"/>
    <w:link w:val="4"/>
    <w:qFormat/>
    <w:uiPriority w:val="0"/>
    <w:rPr>
      <w:sz w:val="18"/>
      <w:szCs w:val="18"/>
    </w:rPr>
  </w:style>
  <w:style w:type="paragraph" w:customStyle="1" w:styleId="20">
    <w:name w:val="列出段落1"/>
    <w:basedOn w:val="1"/>
    <w:unhideWhenUsed/>
    <w:qFormat/>
    <w:uiPriority w:val="99"/>
    <w:pPr>
      <w:ind w:firstLine="420" w:firstLineChars="200"/>
    </w:pPr>
  </w:style>
  <w:style w:type="character" w:customStyle="1" w:styleId="21">
    <w:name w:val="页眉 Char"/>
    <w:basedOn w:val="8"/>
    <w:link w:val="6"/>
    <w:qFormat/>
    <w:uiPriority w:val="0"/>
    <w:rPr>
      <w:sz w:val="18"/>
      <w:szCs w:val="18"/>
    </w:rPr>
  </w:style>
  <w:style w:type="character" w:customStyle="1" w:styleId="22">
    <w:name w:val="页脚 Char"/>
    <w:basedOn w:val="8"/>
    <w:link w:val="5"/>
    <w:qFormat/>
    <w:uiPriority w:val="0"/>
    <w:rPr>
      <w:sz w:val="18"/>
      <w:szCs w:val="18"/>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690</Words>
  <Characters>3939</Characters>
  <Lines>32</Lines>
  <Paragraphs>9</Paragraphs>
  <TotalTime>26</TotalTime>
  <ScaleCrop>false</ScaleCrop>
  <LinksUpToDate>false</LinksUpToDate>
  <CharactersWithSpaces>4620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2020-07-05T14:46:00Z</dcterms:created>
  <dc:creator> </dc:creator>
  <cp:lastModifiedBy>李沁遥</cp:lastModifiedBy>
  <cp:lastPrinted>2023-02-15T06:41:00Z</cp:lastPrinted>
  <dcterms:modified xsi:type="dcterms:W3CDTF">2023-08-01T06:26:56Z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FA8A8F47EA7447CDA6A3452D6A6BC15D</vt:lpwstr>
  </property>
</Properties>
</file>