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asciiTheme="minorEastAsia" w:hAnsiTheme="minorEastAsia" w:eastAsiaTheme="minorEastAsia"/>
          <w:b/>
          <w:bCs/>
          <w:kern w:val="0"/>
          <w:sz w:val="52"/>
          <w:szCs w:val="52"/>
          <w:highlight w:val="none"/>
          <w:lang w:eastAsia="zh-CN"/>
        </w:rPr>
      </w:pPr>
      <w:r>
        <w:rPr>
          <w:rFonts w:hint="eastAsia" w:cs="宋体" w:asciiTheme="minorEastAsia" w:hAnsiTheme="minorEastAsia" w:eastAsiaTheme="minorEastAsia"/>
          <w:b/>
          <w:bCs/>
          <w:kern w:val="0"/>
          <w:sz w:val="52"/>
          <w:szCs w:val="52"/>
          <w:highlight w:val="none"/>
        </w:rPr>
        <w:t>重庆</w:t>
      </w:r>
      <w:r>
        <w:rPr>
          <w:rFonts w:hint="eastAsia" w:cs="宋体" w:asciiTheme="minorEastAsia" w:hAnsiTheme="minorEastAsia" w:eastAsiaTheme="minorEastAsia"/>
          <w:b/>
          <w:bCs/>
          <w:kern w:val="0"/>
          <w:sz w:val="52"/>
          <w:szCs w:val="52"/>
          <w:highlight w:val="none"/>
          <w:lang w:val="en-US" w:eastAsia="zh-CN"/>
        </w:rPr>
        <w:t>高速文化传媒股份有限公司</w:t>
      </w:r>
    </w:p>
    <w:p>
      <w:pPr>
        <w:jc w:val="center"/>
        <w:rPr>
          <w:rFonts w:hint="default" w:asciiTheme="minorEastAsia" w:hAnsiTheme="minorEastAsia" w:eastAsiaTheme="minorEastAsia"/>
          <w:szCs w:val="21"/>
          <w:highlight w:val="none"/>
          <w:lang w:val="en-US"/>
        </w:rPr>
      </w:pPr>
      <w:bookmarkStart w:id="1" w:name="_GoBack"/>
      <w:bookmarkEnd w:id="1"/>
      <w:r>
        <w:rPr>
          <w:rFonts w:hint="eastAsia" w:cs="宋体" w:asciiTheme="minorEastAsia" w:hAnsiTheme="minorEastAsia" w:eastAsiaTheme="minorEastAsia"/>
          <w:b/>
          <w:bCs/>
          <w:kern w:val="0"/>
          <w:sz w:val="52"/>
          <w:szCs w:val="52"/>
          <w:highlight w:val="none"/>
          <w:lang w:val="en-US" w:eastAsia="zh-CN"/>
        </w:rPr>
        <w:t>智博会设计及装修项目</w:t>
      </w:r>
    </w:p>
    <w:p>
      <w:pPr>
        <w:rPr>
          <w:rFonts w:asciiTheme="minorEastAsia" w:hAnsiTheme="minorEastAsia" w:eastAsiaTheme="minorEastAsia"/>
          <w:szCs w:val="21"/>
          <w:highlight w:val="none"/>
        </w:rPr>
      </w:pPr>
    </w:p>
    <w:p>
      <w:pPr>
        <w:rPr>
          <w:rFonts w:asciiTheme="minorEastAsia" w:hAnsiTheme="minorEastAsia" w:eastAsiaTheme="minorEastAsia"/>
          <w:szCs w:val="21"/>
          <w:highlight w:val="none"/>
        </w:rPr>
      </w:pPr>
    </w:p>
    <w:p>
      <w:pPr>
        <w:rPr>
          <w:rFonts w:asciiTheme="minorEastAsia" w:hAnsiTheme="minorEastAsia" w:eastAsiaTheme="minorEastAsia"/>
          <w:szCs w:val="21"/>
          <w:highlight w:val="none"/>
        </w:rPr>
      </w:pPr>
    </w:p>
    <w:p>
      <w:pPr>
        <w:jc w:val="center"/>
        <w:rPr>
          <w:rFonts w:asciiTheme="minorEastAsia" w:hAnsiTheme="minorEastAsia" w:eastAsiaTheme="minorEastAsia"/>
          <w:b/>
          <w:spacing w:val="20"/>
          <w:sz w:val="72"/>
          <w:szCs w:val="72"/>
          <w:highlight w:val="none"/>
        </w:rPr>
      </w:pPr>
      <w:r>
        <w:rPr>
          <w:rFonts w:hint="eastAsia" w:asciiTheme="minorEastAsia" w:hAnsiTheme="minorEastAsia" w:eastAsiaTheme="minorEastAsia"/>
          <w:b/>
          <w:spacing w:val="20"/>
          <w:sz w:val="72"/>
          <w:szCs w:val="72"/>
          <w:highlight w:val="none"/>
        </w:rPr>
        <w:t>竞</w:t>
      </w:r>
    </w:p>
    <w:p>
      <w:pPr>
        <w:jc w:val="center"/>
        <w:rPr>
          <w:rFonts w:asciiTheme="minorEastAsia" w:hAnsiTheme="minorEastAsia" w:eastAsiaTheme="minorEastAsia"/>
          <w:b/>
          <w:spacing w:val="20"/>
          <w:sz w:val="72"/>
          <w:szCs w:val="72"/>
          <w:highlight w:val="none"/>
        </w:rPr>
      </w:pPr>
      <w:r>
        <w:rPr>
          <w:rFonts w:hint="eastAsia" w:asciiTheme="minorEastAsia" w:hAnsiTheme="minorEastAsia" w:eastAsiaTheme="minorEastAsia"/>
          <w:b/>
          <w:spacing w:val="20"/>
          <w:sz w:val="72"/>
          <w:szCs w:val="72"/>
          <w:highlight w:val="none"/>
        </w:rPr>
        <w:t>争</w:t>
      </w:r>
    </w:p>
    <w:p>
      <w:pPr>
        <w:jc w:val="center"/>
        <w:rPr>
          <w:rFonts w:asciiTheme="minorEastAsia" w:hAnsiTheme="minorEastAsia" w:eastAsiaTheme="minorEastAsia"/>
          <w:b/>
          <w:spacing w:val="20"/>
          <w:sz w:val="72"/>
          <w:szCs w:val="72"/>
          <w:highlight w:val="none"/>
        </w:rPr>
      </w:pPr>
      <w:r>
        <w:rPr>
          <w:rFonts w:hint="eastAsia" w:asciiTheme="minorEastAsia" w:hAnsiTheme="minorEastAsia" w:eastAsiaTheme="minorEastAsia"/>
          <w:b/>
          <w:spacing w:val="20"/>
          <w:sz w:val="72"/>
          <w:szCs w:val="72"/>
          <w:highlight w:val="none"/>
        </w:rPr>
        <w:t>性</w:t>
      </w:r>
    </w:p>
    <w:p>
      <w:pPr>
        <w:jc w:val="center"/>
        <w:rPr>
          <w:rFonts w:asciiTheme="minorEastAsia" w:hAnsiTheme="minorEastAsia" w:eastAsiaTheme="minorEastAsia"/>
          <w:b/>
          <w:spacing w:val="20"/>
          <w:sz w:val="72"/>
          <w:szCs w:val="72"/>
          <w:highlight w:val="none"/>
        </w:rPr>
      </w:pPr>
      <w:r>
        <w:rPr>
          <w:rFonts w:hint="eastAsia" w:asciiTheme="minorEastAsia" w:hAnsiTheme="minorEastAsia" w:eastAsiaTheme="minorEastAsia"/>
          <w:b/>
          <w:spacing w:val="20"/>
          <w:sz w:val="72"/>
          <w:szCs w:val="72"/>
          <w:highlight w:val="none"/>
        </w:rPr>
        <w:t>比</w:t>
      </w:r>
    </w:p>
    <w:p>
      <w:pPr>
        <w:jc w:val="center"/>
        <w:rPr>
          <w:rFonts w:asciiTheme="minorEastAsia" w:hAnsiTheme="minorEastAsia" w:eastAsiaTheme="minorEastAsia"/>
          <w:b/>
          <w:spacing w:val="20"/>
          <w:sz w:val="72"/>
          <w:szCs w:val="72"/>
          <w:highlight w:val="none"/>
        </w:rPr>
      </w:pPr>
      <w:r>
        <w:rPr>
          <w:rFonts w:hint="eastAsia" w:asciiTheme="minorEastAsia" w:hAnsiTheme="minorEastAsia" w:eastAsiaTheme="minorEastAsia"/>
          <w:b/>
          <w:spacing w:val="20"/>
          <w:sz w:val="72"/>
          <w:szCs w:val="72"/>
          <w:highlight w:val="none"/>
        </w:rPr>
        <w:t>选</w:t>
      </w:r>
    </w:p>
    <w:p>
      <w:pPr>
        <w:jc w:val="center"/>
        <w:rPr>
          <w:rFonts w:hint="eastAsia" w:asciiTheme="minorEastAsia" w:hAnsiTheme="minorEastAsia" w:eastAsiaTheme="minorEastAsia"/>
          <w:b/>
          <w:spacing w:val="20"/>
          <w:sz w:val="72"/>
          <w:szCs w:val="72"/>
          <w:highlight w:val="none"/>
          <w:lang w:val="en-US" w:eastAsia="zh-CN"/>
        </w:rPr>
      </w:pPr>
      <w:r>
        <w:rPr>
          <w:rFonts w:hint="eastAsia" w:asciiTheme="minorEastAsia" w:hAnsiTheme="minorEastAsia" w:eastAsiaTheme="minorEastAsia"/>
          <w:b/>
          <w:spacing w:val="20"/>
          <w:sz w:val="72"/>
          <w:szCs w:val="72"/>
          <w:highlight w:val="none"/>
          <w:lang w:val="en-US" w:eastAsia="zh-CN"/>
        </w:rPr>
        <w:t>文</w:t>
      </w:r>
      <w:r>
        <w:rPr>
          <w:rFonts w:hint="eastAsia" w:asciiTheme="minorEastAsia" w:hAnsiTheme="minorEastAsia" w:eastAsiaTheme="minorEastAsia"/>
          <w:b/>
          <w:spacing w:val="20"/>
          <w:sz w:val="72"/>
          <w:szCs w:val="72"/>
          <w:highlight w:val="none"/>
          <w:lang w:val="en-US" w:eastAsia="zh-CN"/>
        </w:rPr>
        <w:br w:type="textWrapping"/>
      </w:r>
      <w:r>
        <w:rPr>
          <w:rFonts w:hint="eastAsia" w:asciiTheme="minorEastAsia" w:hAnsiTheme="minorEastAsia" w:eastAsiaTheme="minorEastAsia"/>
          <w:b/>
          <w:spacing w:val="20"/>
          <w:sz w:val="72"/>
          <w:szCs w:val="72"/>
          <w:highlight w:val="none"/>
          <w:lang w:val="en-US" w:eastAsia="zh-CN"/>
        </w:rPr>
        <w:t>件</w:t>
      </w:r>
    </w:p>
    <w:p>
      <w:pPr>
        <w:rPr>
          <w:rFonts w:asciiTheme="minorEastAsia" w:hAnsiTheme="minorEastAsia" w:eastAsiaTheme="minorEastAsia"/>
          <w:szCs w:val="21"/>
          <w:highlight w:val="none"/>
        </w:rPr>
      </w:pPr>
    </w:p>
    <w:p>
      <w:pPr>
        <w:rPr>
          <w:rFonts w:asciiTheme="minorEastAsia" w:hAnsiTheme="minorEastAsia" w:eastAsiaTheme="minorEastAsia"/>
          <w:szCs w:val="21"/>
          <w:highlight w:val="none"/>
        </w:rPr>
      </w:pPr>
    </w:p>
    <w:p>
      <w:pPr>
        <w:rPr>
          <w:rFonts w:asciiTheme="minorEastAsia" w:hAnsiTheme="minorEastAsia" w:eastAsiaTheme="minorEastAsia"/>
          <w:szCs w:val="21"/>
          <w:highlight w:val="none"/>
        </w:rPr>
      </w:pPr>
    </w:p>
    <w:p>
      <w:pPr>
        <w:rPr>
          <w:rFonts w:asciiTheme="minorEastAsia" w:hAnsiTheme="minorEastAsia" w:eastAsiaTheme="minorEastAsia"/>
          <w:szCs w:val="21"/>
          <w:highlight w:val="none"/>
        </w:rPr>
      </w:pPr>
    </w:p>
    <w:p>
      <w:pPr>
        <w:jc w:val="center"/>
        <w:rPr>
          <w:rFonts w:asciiTheme="minorEastAsia" w:hAnsiTheme="minorEastAsia" w:eastAsiaTheme="minorEastAsia"/>
          <w:spacing w:val="100"/>
          <w:szCs w:val="21"/>
          <w:highlight w:val="none"/>
        </w:rPr>
      </w:pPr>
    </w:p>
    <w:p>
      <w:pPr>
        <w:jc w:val="center"/>
        <w:rPr>
          <w:rFonts w:asciiTheme="minorEastAsia" w:hAnsiTheme="minorEastAsia" w:eastAsiaTheme="minorEastAsia"/>
          <w:spacing w:val="100"/>
          <w:szCs w:val="21"/>
          <w:highlight w:val="none"/>
        </w:rPr>
      </w:pPr>
    </w:p>
    <w:p>
      <w:pPr>
        <w:pStyle w:val="7"/>
        <w:snapToGrid w:val="0"/>
        <w:ind w:left="0" w:leftChars="0" w:firstLine="0" w:firstLineChars="0"/>
        <w:jc w:val="center"/>
        <w:rPr>
          <w:rFonts w:asciiTheme="minorEastAsia" w:hAnsiTheme="minorEastAsia" w:eastAsiaTheme="minorEastAsia"/>
          <w:sz w:val="32"/>
          <w:szCs w:val="32"/>
          <w:highlight w:val="none"/>
        </w:rPr>
      </w:pPr>
      <w:r>
        <w:rPr>
          <w:rFonts w:hint="eastAsia" w:asciiTheme="minorEastAsia" w:hAnsiTheme="minorEastAsia"/>
          <w:sz w:val="32"/>
          <w:szCs w:val="32"/>
          <w:highlight w:val="none"/>
          <w:lang w:val="en-US" w:eastAsia="zh-CN"/>
        </w:rPr>
        <w:t>比选人</w:t>
      </w:r>
      <w:r>
        <w:rPr>
          <w:rFonts w:hint="eastAsia" w:asciiTheme="minorEastAsia" w:hAnsiTheme="minorEastAsia" w:eastAsiaTheme="minorEastAsia"/>
          <w:sz w:val="32"/>
          <w:szCs w:val="32"/>
          <w:highlight w:val="none"/>
        </w:rPr>
        <w:t>：重庆</w:t>
      </w:r>
      <w:r>
        <w:rPr>
          <w:rFonts w:hint="eastAsia" w:asciiTheme="minorEastAsia" w:hAnsiTheme="minorEastAsia" w:eastAsiaTheme="minorEastAsia"/>
          <w:sz w:val="32"/>
          <w:szCs w:val="32"/>
          <w:highlight w:val="none"/>
          <w:lang w:val="en-US" w:eastAsia="zh-CN"/>
        </w:rPr>
        <w:t>高速文化传媒股份有限公司</w:t>
      </w:r>
    </w:p>
    <w:p>
      <w:pPr>
        <w:pStyle w:val="7"/>
        <w:snapToGrid w:val="0"/>
        <w:ind w:left="0" w:leftChars="0" w:firstLine="0" w:firstLineChars="0"/>
        <w:jc w:val="center"/>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2023年</w:t>
      </w:r>
      <w:r>
        <w:rPr>
          <w:rFonts w:hint="eastAsia" w:asciiTheme="minorEastAsia" w:hAnsiTheme="minorEastAsia" w:eastAsiaTheme="minorEastAsia"/>
          <w:sz w:val="32"/>
          <w:szCs w:val="32"/>
          <w:highlight w:val="none"/>
          <w:lang w:val="en-US" w:eastAsia="zh-CN"/>
        </w:rPr>
        <w:t>8</w:t>
      </w:r>
      <w:r>
        <w:rPr>
          <w:rFonts w:hint="eastAsia" w:asciiTheme="minorEastAsia" w:hAnsiTheme="minorEastAsia" w:eastAsiaTheme="minorEastAsia"/>
          <w:sz w:val="32"/>
          <w:szCs w:val="32"/>
          <w:highlight w:val="none"/>
        </w:rPr>
        <w:t>月</w:t>
      </w:r>
    </w:p>
    <w:p>
      <w:pPr>
        <w:pStyle w:val="2"/>
        <w:spacing w:before="0" w:after="0" w:line="460" w:lineRule="exact"/>
        <w:rPr>
          <w:rFonts w:ascii="方正小标宋_GBK" w:eastAsia="方正小标宋_GBK" w:hAnsiTheme="minorEastAsia"/>
          <w:b w:val="0"/>
          <w:spacing w:val="10"/>
          <w:sz w:val="44"/>
          <w:szCs w:val="44"/>
          <w:highlight w:val="none"/>
        </w:rPr>
      </w:pPr>
      <w:r>
        <w:rPr>
          <w:rFonts w:asciiTheme="minorEastAsia" w:hAnsiTheme="minorEastAsia" w:eastAsiaTheme="minorEastAsia"/>
          <w:b w:val="0"/>
          <w:sz w:val="44"/>
          <w:szCs w:val="44"/>
          <w:highlight w:val="none"/>
        </w:rPr>
        <w:br w:type="page"/>
      </w:r>
      <w:r>
        <w:rPr>
          <w:rFonts w:hint="eastAsia" w:ascii="方正小标宋_GBK" w:eastAsia="方正小标宋_GBK" w:hAnsiTheme="minorEastAsia"/>
          <w:b w:val="0"/>
          <w:spacing w:val="10"/>
          <w:sz w:val="44"/>
          <w:szCs w:val="44"/>
          <w:highlight w:val="none"/>
        </w:rPr>
        <w:t>竞争性比选公告</w:t>
      </w:r>
    </w:p>
    <w:p>
      <w:pPr>
        <w:spacing w:line="460" w:lineRule="exact"/>
        <w:rPr>
          <w:rFonts w:ascii="宋体" w:hAnsi="宋体"/>
          <w:b/>
          <w:sz w:val="32"/>
          <w:szCs w:val="32"/>
          <w:highlight w:val="none"/>
        </w:rPr>
      </w:pPr>
    </w:p>
    <w:p>
      <w:pPr>
        <w:spacing w:line="460" w:lineRule="exact"/>
        <w:rPr>
          <w:rFonts w:ascii="宋体" w:hAnsi="宋体"/>
          <w:b/>
          <w:sz w:val="32"/>
          <w:szCs w:val="32"/>
          <w:highlight w:val="none"/>
        </w:rPr>
      </w:pPr>
      <w:r>
        <w:rPr>
          <w:rFonts w:hint="eastAsia" w:ascii="宋体" w:hAnsi="宋体"/>
          <w:b/>
          <w:sz w:val="32"/>
          <w:szCs w:val="32"/>
          <w:highlight w:val="none"/>
        </w:rPr>
        <w:t>一、比选项目</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本竞争性比选项目为</w:t>
      </w:r>
      <w:r>
        <w:rPr>
          <w:rFonts w:hint="eastAsia" w:ascii="宋体" w:hAnsi="宋体" w:cs="宋体"/>
          <w:szCs w:val="21"/>
          <w:highlight w:val="none"/>
          <w:lang w:val="en-US" w:eastAsia="zh-CN"/>
        </w:rPr>
        <w:t>智博会设计及装修施工单位选择</w:t>
      </w:r>
      <w:r>
        <w:rPr>
          <w:rFonts w:hint="eastAsia" w:ascii="宋体" w:hAnsi="宋体" w:cs="宋体"/>
          <w:szCs w:val="21"/>
          <w:highlight w:val="none"/>
        </w:rPr>
        <w:t>，</w:t>
      </w:r>
      <w:r>
        <w:rPr>
          <w:rFonts w:hint="eastAsia" w:ascii="宋体" w:hAnsi="宋体" w:cs="宋体"/>
          <w:szCs w:val="21"/>
          <w:highlight w:val="none"/>
          <w:lang w:val="en-US" w:eastAsia="zh-CN"/>
        </w:rPr>
        <w:t>比选</w:t>
      </w:r>
      <w:r>
        <w:rPr>
          <w:rFonts w:hint="eastAsia" w:ascii="宋体" w:hAnsi="宋体" w:cs="宋体"/>
          <w:szCs w:val="21"/>
          <w:highlight w:val="none"/>
        </w:rPr>
        <w:t>人为重庆</w:t>
      </w:r>
      <w:r>
        <w:rPr>
          <w:rFonts w:hint="eastAsia" w:ascii="宋体" w:hAnsi="宋体" w:cs="宋体"/>
          <w:szCs w:val="21"/>
          <w:highlight w:val="none"/>
          <w:lang w:val="en-US" w:eastAsia="zh-CN"/>
        </w:rPr>
        <w:t>高速文化传媒股份有限公司</w:t>
      </w:r>
      <w:r>
        <w:rPr>
          <w:rFonts w:hint="eastAsia" w:ascii="宋体" w:hAnsi="宋体" w:cs="宋体"/>
          <w:szCs w:val="21"/>
          <w:highlight w:val="none"/>
        </w:rPr>
        <w:t>，该项目已具备比选条件，现对该项目进行竞争性比选。</w:t>
      </w:r>
    </w:p>
    <w:p>
      <w:pPr>
        <w:spacing w:line="460" w:lineRule="exact"/>
        <w:rPr>
          <w:rFonts w:ascii="宋体" w:hAnsi="宋体"/>
          <w:b/>
          <w:sz w:val="32"/>
          <w:szCs w:val="32"/>
          <w:highlight w:val="none"/>
        </w:rPr>
      </w:pPr>
      <w:r>
        <w:rPr>
          <w:rFonts w:hint="eastAsia" w:ascii="宋体" w:hAnsi="宋体"/>
          <w:b/>
          <w:sz w:val="32"/>
          <w:szCs w:val="32"/>
          <w:highlight w:val="none"/>
        </w:rPr>
        <w:t>二、项目概况</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（一）、项目地点：重庆市。</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（二）、项目概况：</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lang w:val="en-US" w:eastAsia="zh-CN"/>
        </w:rPr>
        <w:t>承建</w:t>
      </w:r>
      <w:r>
        <w:rPr>
          <w:rFonts w:hint="eastAsia" w:ascii="宋体" w:hAnsi="宋体" w:cs="宋体"/>
          <w:szCs w:val="21"/>
          <w:highlight w:val="none"/>
        </w:rPr>
        <w:t>2023年度</w:t>
      </w:r>
      <w:r>
        <w:rPr>
          <w:rFonts w:hint="eastAsia" w:ascii="宋体" w:hAnsi="宋体" w:cs="宋体"/>
          <w:szCs w:val="21"/>
          <w:highlight w:val="none"/>
          <w:lang w:val="en-US" w:eastAsia="zh-CN"/>
        </w:rPr>
        <w:t>智博会线</w:t>
      </w:r>
      <w:r>
        <w:rPr>
          <w:rFonts w:hint="eastAsia" w:ascii="宋体" w:hAnsi="宋体" w:cs="宋体"/>
          <w:szCs w:val="21"/>
          <w:highlight w:val="none"/>
        </w:rPr>
        <w:t>下展览</w:t>
      </w:r>
      <w:r>
        <w:rPr>
          <w:rFonts w:hint="eastAsia" w:ascii="宋体" w:hAnsi="宋体" w:cs="宋体"/>
          <w:szCs w:val="21"/>
          <w:highlight w:val="none"/>
          <w:lang w:val="en-US" w:eastAsia="zh-CN"/>
        </w:rPr>
        <w:t>重庆高速集团展位设计及装修施工</w:t>
      </w:r>
      <w:r>
        <w:rPr>
          <w:rFonts w:hint="eastAsia" w:ascii="宋体" w:hAnsi="宋体" w:cs="宋体"/>
          <w:szCs w:val="21"/>
          <w:highlight w:val="none"/>
        </w:rPr>
        <w:t>，展位面积</w:t>
      </w:r>
      <w:r>
        <w:rPr>
          <w:rFonts w:hint="eastAsia" w:ascii="宋体" w:hAnsi="宋体" w:cs="宋体"/>
          <w:szCs w:val="21"/>
          <w:highlight w:val="none"/>
          <w:lang w:val="en-US" w:eastAsia="zh-CN"/>
        </w:rPr>
        <w:t>400</w:t>
      </w:r>
      <w:r>
        <w:rPr>
          <w:rFonts w:hint="eastAsia" w:ascii="宋体" w:hAnsi="宋体" w:cs="宋体"/>
          <w:szCs w:val="21"/>
          <w:highlight w:val="none"/>
        </w:rPr>
        <w:t>平方米，展览重点突出“数字高速，智绘未来”，展示</w:t>
      </w:r>
      <w:r>
        <w:rPr>
          <w:rFonts w:hint="eastAsia" w:ascii="宋体" w:hAnsi="宋体" w:cs="宋体"/>
          <w:szCs w:val="21"/>
          <w:highlight w:val="none"/>
          <w:lang w:val="en-US" w:eastAsia="zh-CN"/>
        </w:rPr>
        <w:t>重庆高速</w:t>
      </w:r>
      <w:r>
        <w:rPr>
          <w:rFonts w:hint="eastAsia" w:ascii="宋体" w:hAnsi="宋体" w:cs="宋体"/>
          <w:szCs w:val="21"/>
          <w:highlight w:val="none"/>
        </w:rPr>
        <w:t>集团</w:t>
      </w:r>
      <w:r>
        <w:rPr>
          <w:rFonts w:hint="eastAsia" w:ascii="宋体" w:hAnsi="宋体" w:cs="宋体"/>
          <w:szCs w:val="21"/>
          <w:highlight w:val="none"/>
          <w:lang w:val="en-US" w:eastAsia="zh-CN"/>
        </w:rPr>
        <w:t>智慧发展</w:t>
      </w:r>
      <w:r>
        <w:rPr>
          <w:rFonts w:hint="eastAsia" w:ascii="宋体" w:hAnsi="宋体" w:cs="宋体"/>
          <w:szCs w:val="21"/>
          <w:highlight w:val="none"/>
        </w:rPr>
        <w:t>整体风貌。</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本次围绕近年来集团在高速公路建设、管养、服务等方面的数字化应用和展望，选取与车、路、新能源、信息服务相关的具体参展项目，借助</w:t>
      </w:r>
      <w:r>
        <w:rPr>
          <w:rFonts w:hint="eastAsia" w:ascii="宋体" w:hAnsi="宋体" w:cs="宋体"/>
          <w:szCs w:val="21"/>
          <w:highlight w:val="none"/>
          <w:lang w:val="en-US" w:eastAsia="zh-CN"/>
        </w:rPr>
        <w:t>智博会</w:t>
      </w:r>
      <w:r>
        <w:rPr>
          <w:rFonts w:hint="eastAsia" w:ascii="宋体" w:hAnsi="宋体" w:cs="宋体"/>
          <w:szCs w:val="21"/>
          <w:highlight w:val="none"/>
        </w:rPr>
        <w:t>平台寻求、挖掘与参展央企等优秀企业合作的机会。</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（三）、服务内容：本项目为2023年度</w:t>
      </w:r>
      <w:r>
        <w:rPr>
          <w:rFonts w:hint="eastAsia" w:ascii="宋体" w:hAnsi="宋体" w:cs="宋体"/>
          <w:szCs w:val="21"/>
          <w:highlight w:val="none"/>
          <w:lang w:val="en-US" w:eastAsia="zh-CN"/>
        </w:rPr>
        <w:t>智博会</w:t>
      </w:r>
      <w:r>
        <w:rPr>
          <w:rFonts w:hint="eastAsia" w:ascii="宋体" w:hAnsi="宋体" w:cs="宋体"/>
          <w:szCs w:val="21"/>
          <w:highlight w:val="none"/>
        </w:rPr>
        <w:t>线下参展服务，展示内容主要由以下项目和产品组成，并根据最终布展设计方案进行相应调整，以达到集中展示近年来在智能化应用方面取得的成果，提升集团公众形象，扩大对外影响，促进开发合作：</w:t>
      </w:r>
    </w:p>
    <w:p>
      <w:pPr>
        <w:spacing w:line="460" w:lineRule="exact"/>
        <w:ind w:firstLine="420" w:firstLineChars="200"/>
        <w:outlineLvl w:val="0"/>
        <w:rPr>
          <w:rFonts w:hint="eastAsia" w:ascii="宋体" w:hAnsi="宋体" w:cs="宋体"/>
          <w:szCs w:val="21"/>
          <w:highlight w:val="none"/>
        </w:rPr>
      </w:pPr>
      <w:bookmarkStart w:id="0" w:name="_Hlk140243433"/>
      <w:r>
        <w:rPr>
          <w:rFonts w:hint="eastAsia" w:ascii="宋体" w:hAnsi="宋体" w:cs="宋体"/>
          <w:szCs w:val="21"/>
          <w:highlight w:val="none"/>
        </w:rPr>
        <w:t>集团展台计划约400平方米，面积初步规划为主宣传区40平方，展示区280平方，互动区80平方。</w:t>
      </w:r>
    </w:p>
    <w:bookmarkEnd w:id="0"/>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lang w:val="en-US" w:eastAsia="zh-CN"/>
        </w:rPr>
        <w:t>一、</w:t>
      </w:r>
      <w:r>
        <w:rPr>
          <w:rFonts w:hint="eastAsia" w:ascii="宋体" w:hAnsi="宋体" w:cs="宋体"/>
          <w:szCs w:val="21"/>
          <w:highlight w:val="none"/>
        </w:rPr>
        <w:t>主宣传区（40平方）</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数字高速宣传片，集团最新宣传片轮播。</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lang w:val="en-US" w:eastAsia="zh-CN"/>
        </w:rPr>
        <w:t>二、</w:t>
      </w:r>
      <w:r>
        <w:rPr>
          <w:rFonts w:hint="eastAsia" w:ascii="宋体" w:hAnsi="宋体" w:cs="宋体"/>
          <w:szCs w:val="21"/>
          <w:highlight w:val="none"/>
        </w:rPr>
        <w:t>展示宣传区</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本区域主要是通过实物、视频、软件系统等展示重庆高速近期数字建设成果。</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1.山水城渝快行（智慧服务）（50平方）</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内容：快速通行，一键救援、快速处置，12122。</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形式：山水城宣传片，路网服务数字化应用图文、视频（智慧服务，“山水城·渝快行”）。</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2.数字高速公路（智能网联）（40平方）</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内容：数字高速方案，数字底座，云控平台。</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形式：数字高速解决方案图文，云控平台（可操作展示）重庆高速全网数字底座（视频），</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3.交能融合（80平方）</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内容：宣传视频，交能融合解决方案（图文），平台演示，充电设施（实物陈列）</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形式：视频，平台，实物，图文ppt</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4.成渝双城·交通融合大数据（30平方）</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内容：集团运营数据展示，双圈数据分析（结合路网、运营商、公共大数据资源开发川渝数据展示，包括双圈人、车、物要素流动分析，通过高速车流量分析双圈空间特征，高速公路与社会经济发展相关分析，双圈高速通行路径分析等四个主题。）</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形式：大屏数据展示</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5.创新产品（40平方）</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内容：交通感知大模型宣传视频，高速公路智能运维，包括数字养护站和机电运维系统展示，数字化采集设备（实物陈列，包括无人机、激光雷达、智慧基站等）。</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形式：视频、系统、实物陈列+图文介绍。</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6.智能建造（40平方）</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内容：建设领域成果展示，包括电子沙盘规划展示，建设管理平台、智能建造两区三厂、绿色建造理念等。</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形式：宣传片、系统视频、图文展板。</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lang w:val="en-US" w:eastAsia="zh-CN"/>
        </w:rPr>
        <w:t>三、</w:t>
      </w:r>
      <w:r>
        <w:rPr>
          <w:rFonts w:hint="eastAsia" w:ascii="宋体" w:hAnsi="宋体" w:cs="宋体"/>
          <w:szCs w:val="21"/>
          <w:highlight w:val="none"/>
        </w:rPr>
        <w:t>互动区</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本区域为展厅体验区域，集中考虑用户互动体验，以现场搭建模拟系统为主，辅助视频、图文等方式进行介绍。主要项目为：</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1.智能自助车道（50平方）</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搭建无人智能收费车道主要设施，模拟用户通行收费站出入口，体验无人收费车道发卡、收卡、支付、票据打印等功能，宣传重庆高速路网快速、便捷的无人收费车道。</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出口入口各一套收费设施，入口设备旁边放一块图文展板介绍车道功能，出入口之间放一快屏做一键救援系统展示，屏下方系统介绍及二维码展板</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2.渝智行APP（30平方）</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通过触摸屏互动，展示渝智行APP，体验用户一键式线上ETC业务办理及高速出行服务，包括伴随式高速路径规划、导航、一键救援、路况提醒等个性化服务。参观者下载“渝智行”平台或线上成功申办ETC</w:t>
      </w:r>
    </w:p>
    <w:p>
      <w:pPr>
        <w:spacing w:line="460" w:lineRule="exact"/>
        <w:rPr>
          <w:rFonts w:ascii="宋体" w:hAnsi="宋体"/>
          <w:b/>
          <w:sz w:val="32"/>
          <w:szCs w:val="32"/>
          <w:highlight w:val="none"/>
        </w:rPr>
      </w:pPr>
      <w:r>
        <w:rPr>
          <w:rFonts w:hint="eastAsia" w:ascii="宋体" w:hAnsi="宋体"/>
          <w:b/>
          <w:sz w:val="32"/>
          <w:szCs w:val="32"/>
          <w:highlight w:val="none"/>
        </w:rPr>
        <w:t>三、工作内容</w:t>
      </w:r>
    </w:p>
    <w:p>
      <w:pPr>
        <w:spacing w:line="460" w:lineRule="exact"/>
        <w:ind w:firstLine="420" w:firstLineChars="200"/>
        <w:outlineLvl w:val="0"/>
        <w:rPr>
          <w:rFonts w:hint="default" w:ascii="宋体" w:hAnsi="宋体" w:eastAsia="宋体" w:cs="宋体"/>
          <w:szCs w:val="21"/>
          <w:highlight w:val="none"/>
          <w:lang w:val="en-US" w:eastAsia="zh-CN"/>
        </w:rPr>
      </w:pPr>
      <w:r>
        <w:rPr>
          <w:rFonts w:hint="eastAsia" w:ascii="宋体" w:hAnsi="宋体" w:cs="宋体"/>
          <w:szCs w:val="21"/>
          <w:highlight w:val="none"/>
        </w:rPr>
        <w:t>（一）开展展台</w:t>
      </w:r>
      <w:r>
        <w:rPr>
          <w:rFonts w:hint="eastAsia" w:ascii="宋体" w:hAnsi="宋体" w:cs="宋体"/>
          <w:szCs w:val="21"/>
          <w:highlight w:val="none"/>
          <w:lang w:val="en-US" w:eastAsia="zh-CN"/>
        </w:rPr>
        <w:t>设计及</w:t>
      </w:r>
      <w:r>
        <w:rPr>
          <w:rFonts w:hint="eastAsia" w:ascii="宋体" w:hAnsi="宋体" w:cs="宋体"/>
          <w:szCs w:val="21"/>
          <w:highlight w:val="none"/>
        </w:rPr>
        <w:t>装修工作</w:t>
      </w:r>
      <w:r>
        <w:rPr>
          <w:rFonts w:hint="eastAsia" w:ascii="宋体" w:hAnsi="宋体" w:cs="宋体"/>
          <w:szCs w:val="21"/>
          <w:highlight w:val="none"/>
          <w:lang w:eastAsia="zh-CN"/>
        </w:rPr>
        <w:t>（</w:t>
      </w:r>
      <w:r>
        <w:rPr>
          <w:rFonts w:hint="eastAsia" w:ascii="宋体" w:hAnsi="宋体" w:cs="宋体"/>
          <w:szCs w:val="21"/>
          <w:highlight w:val="none"/>
          <w:lang w:val="en-US" w:eastAsia="zh-CN"/>
        </w:rPr>
        <w:t>含撤展）</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根据重庆</w:t>
      </w:r>
      <w:r>
        <w:rPr>
          <w:rFonts w:hint="eastAsia" w:ascii="宋体" w:hAnsi="宋体" w:cs="宋体"/>
          <w:szCs w:val="21"/>
          <w:highlight w:val="none"/>
          <w:lang w:val="en-US" w:eastAsia="zh-CN"/>
        </w:rPr>
        <w:t>高速文化传媒股份有限公司要求展开特装展台设计工作</w:t>
      </w:r>
      <w:r>
        <w:rPr>
          <w:rFonts w:hint="eastAsia" w:ascii="宋体" w:hAnsi="宋体" w:cs="宋体"/>
          <w:szCs w:val="21"/>
          <w:highlight w:val="none"/>
        </w:rPr>
        <w:t>，</w:t>
      </w:r>
      <w:r>
        <w:rPr>
          <w:rFonts w:hint="eastAsia" w:ascii="宋体" w:hAnsi="宋体" w:cs="宋体"/>
          <w:szCs w:val="21"/>
          <w:highlight w:val="none"/>
          <w:lang w:val="en-US" w:eastAsia="zh-CN"/>
        </w:rPr>
        <w:t>在规定的时间内完成装修搭建。</w:t>
      </w:r>
      <w:r>
        <w:rPr>
          <w:rFonts w:hint="eastAsia" w:ascii="宋体" w:hAnsi="宋体" w:cs="宋体"/>
          <w:szCs w:val="21"/>
          <w:highlight w:val="none"/>
        </w:rPr>
        <w:t>提供参展期间展台所需各项设备（我集团参展展品除外）</w:t>
      </w:r>
      <w:r>
        <w:rPr>
          <w:rFonts w:hint="eastAsia" w:ascii="宋体" w:hAnsi="宋体" w:cs="宋体"/>
          <w:szCs w:val="21"/>
          <w:highlight w:val="none"/>
          <w:lang w:eastAsia="zh-CN"/>
        </w:rPr>
        <w:t>。</w:t>
      </w:r>
      <w:r>
        <w:rPr>
          <w:rFonts w:hint="eastAsia" w:ascii="宋体" w:hAnsi="宋体" w:cs="宋体"/>
          <w:szCs w:val="21"/>
          <w:highlight w:val="none"/>
          <w:lang w:val="en-US" w:eastAsia="zh-CN"/>
        </w:rPr>
        <w:t>展会结束后按规定完成撤展</w:t>
      </w:r>
      <w:r>
        <w:rPr>
          <w:rFonts w:hint="eastAsia" w:ascii="宋体" w:hAnsi="宋体" w:cs="宋体"/>
          <w:szCs w:val="21"/>
          <w:highlight w:val="none"/>
        </w:rPr>
        <w:t>。</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二</w:t>
      </w:r>
      <w:r>
        <w:rPr>
          <w:rFonts w:hint="eastAsia" w:ascii="宋体" w:hAnsi="宋体" w:cs="宋体"/>
          <w:szCs w:val="21"/>
          <w:highlight w:val="none"/>
        </w:rPr>
        <w:t>）提供参展现场服务工作</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包括与</w:t>
      </w:r>
      <w:r>
        <w:rPr>
          <w:rFonts w:hint="eastAsia" w:ascii="宋体" w:hAnsi="宋体" w:cs="宋体"/>
          <w:szCs w:val="21"/>
          <w:highlight w:val="none"/>
          <w:lang w:val="en-US" w:eastAsia="zh-CN"/>
        </w:rPr>
        <w:t>组委</w:t>
      </w:r>
      <w:r>
        <w:rPr>
          <w:rFonts w:hint="eastAsia" w:ascii="宋体" w:hAnsi="宋体" w:cs="宋体"/>
          <w:szCs w:val="21"/>
          <w:highlight w:val="none"/>
        </w:rPr>
        <w:t>会日常工作联系，现场水、电、网络保障，提供参展现场会务服务工作等。</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三</w:t>
      </w:r>
      <w:r>
        <w:rPr>
          <w:rFonts w:hint="eastAsia" w:ascii="宋体" w:hAnsi="宋体" w:cs="宋体"/>
          <w:szCs w:val="21"/>
          <w:highlight w:val="none"/>
        </w:rPr>
        <w:t>）提供线下展览资料制作服务</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在线下</w:t>
      </w:r>
      <w:r>
        <w:rPr>
          <w:rFonts w:hint="eastAsia" w:ascii="宋体" w:hAnsi="宋体" w:cs="宋体"/>
          <w:szCs w:val="21"/>
          <w:highlight w:val="none"/>
          <w:lang w:val="en-US" w:eastAsia="zh-CN"/>
        </w:rPr>
        <w:t>展会</w:t>
      </w:r>
      <w:r>
        <w:rPr>
          <w:rFonts w:hint="eastAsia" w:ascii="宋体" w:hAnsi="宋体" w:cs="宋体"/>
          <w:szCs w:val="21"/>
          <w:highlight w:val="none"/>
        </w:rPr>
        <w:t>期间进行文字、影音资料制作，记录我集团参展过程，并最终形成资料存档。</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四</w:t>
      </w:r>
      <w:r>
        <w:rPr>
          <w:rFonts w:hint="eastAsia" w:ascii="宋体" w:hAnsi="宋体" w:cs="宋体"/>
          <w:szCs w:val="21"/>
          <w:highlight w:val="none"/>
        </w:rPr>
        <w:t>）提供线上技术支持</w:t>
      </w:r>
    </w:p>
    <w:p>
      <w:pPr>
        <w:spacing w:line="460" w:lineRule="exact"/>
        <w:ind w:firstLine="420" w:firstLineChars="200"/>
        <w:outlineLvl w:val="0"/>
        <w:rPr>
          <w:rFonts w:hint="default" w:ascii="宋体" w:hAnsi="宋体" w:eastAsia="宋体" w:cs="宋体"/>
          <w:szCs w:val="21"/>
          <w:highlight w:val="none"/>
          <w:lang w:val="en-US" w:eastAsia="zh-CN"/>
        </w:rPr>
      </w:pPr>
      <w:r>
        <w:rPr>
          <w:rFonts w:hint="eastAsia" w:ascii="宋体" w:hAnsi="宋体" w:cs="宋体"/>
          <w:szCs w:val="21"/>
          <w:highlight w:val="none"/>
        </w:rPr>
        <w:t>在</w:t>
      </w:r>
      <w:r>
        <w:rPr>
          <w:rFonts w:hint="eastAsia" w:ascii="宋体" w:hAnsi="宋体" w:cs="宋体"/>
          <w:szCs w:val="21"/>
          <w:highlight w:val="none"/>
          <w:lang w:val="en-US" w:eastAsia="zh-CN"/>
        </w:rPr>
        <w:t>智博会</w:t>
      </w:r>
      <w:r>
        <w:rPr>
          <w:rFonts w:hint="eastAsia" w:ascii="宋体" w:hAnsi="宋体" w:cs="宋体"/>
          <w:szCs w:val="21"/>
          <w:highlight w:val="none"/>
        </w:rPr>
        <w:t>提供线上展览的服务时，协助我集团开展线上</w:t>
      </w:r>
      <w:r>
        <w:rPr>
          <w:rFonts w:hint="eastAsia" w:ascii="宋体" w:hAnsi="宋体" w:cs="宋体"/>
          <w:szCs w:val="21"/>
          <w:highlight w:val="none"/>
          <w:lang w:val="en-US" w:eastAsia="zh-CN"/>
        </w:rPr>
        <w:t>智博会</w:t>
      </w:r>
      <w:r>
        <w:rPr>
          <w:rFonts w:hint="eastAsia" w:ascii="宋体" w:hAnsi="宋体" w:cs="宋体"/>
          <w:szCs w:val="21"/>
          <w:highlight w:val="none"/>
        </w:rPr>
        <w:t>展品制作及提供技术支持服务。</w:t>
      </w:r>
    </w:p>
    <w:p>
      <w:pPr>
        <w:spacing w:line="460" w:lineRule="exact"/>
        <w:rPr>
          <w:rFonts w:ascii="宋体" w:hAnsi="宋体"/>
          <w:b/>
          <w:sz w:val="32"/>
          <w:szCs w:val="32"/>
          <w:highlight w:val="none"/>
        </w:rPr>
      </w:pPr>
      <w:r>
        <w:rPr>
          <w:rFonts w:hint="eastAsia" w:ascii="宋体" w:hAnsi="宋体"/>
          <w:b/>
          <w:sz w:val="32"/>
          <w:szCs w:val="32"/>
          <w:highlight w:val="none"/>
        </w:rPr>
        <w:t>四、工期及人员要求</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（一）工期要求：</w:t>
      </w:r>
      <w:r>
        <w:rPr>
          <w:rFonts w:hint="eastAsia" w:ascii="宋体" w:hAnsi="宋体" w:cs="宋体"/>
          <w:szCs w:val="21"/>
          <w:highlight w:val="none"/>
          <w:lang w:val="en-US" w:eastAsia="zh-CN"/>
        </w:rPr>
        <w:t>设计时间为2023年8月25日前完成设计方案，</w:t>
      </w:r>
      <w:r>
        <w:rPr>
          <w:rFonts w:hint="eastAsia" w:ascii="宋体" w:hAnsi="宋体" w:cs="宋体"/>
          <w:szCs w:val="21"/>
          <w:highlight w:val="none"/>
        </w:rPr>
        <w:t>布展时间为2023年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27</w:t>
      </w:r>
      <w:r>
        <w:rPr>
          <w:rFonts w:hint="eastAsia" w:ascii="宋体" w:hAnsi="宋体" w:cs="宋体"/>
          <w:szCs w:val="21"/>
          <w:highlight w:val="none"/>
        </w:rPr>
        <w:t>至</w:t>
      </w:r>
      <w:r>
        <w:rPr>
          <w:rFonts w:hint="eastAsia" w:ascii="宋体" w:hAnsi="宋体" w:cs="宋体"/>
          <w:szCs w:val="21"/>
          <w:highlight w:val="none"/>
          <w:lang w:val="en-US" w:eastAsia="zh-CN"/>
        </w:rPr>
        <w:t>31</w:t>
      </w:r>
      <w:r>
        <w:rPr>
          <w:rFonts w:hint="eastAsia" w:ascii="宋体" w:hAnsi="宋体" w:cs="宋体"/>
          <w:szCs w:val="21"/>
          <w:highlight w:val="none"/>
        </w:rPr>
        <w:t>日每天 9: 00-17:30，应在</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31</w:t>
      </w:r>
      <w:r>
        <w:rPr>
          <w:rFonts w:hint="eastAsia" w:ascii="宋体" w:hAnsi="宋体" w:cs="宋体"/>
          <w:szCs w:val="21"/>
          <w:highlight w:val="none"/>
        </w:rPr>
        <w:t>日完成。具体装修起始时间以正式通知为准。</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（二）人员基本要求：</w:t>
      </w:r>
    </w:p>
    <w:p>
      <w:pPr>
        <w:spacing w:line="460" w:lineRule="exact"/>
        <w:ind w:firstLine="420" w:firstLineChars="200"/>
        <w:outlineLvl w:val="0"/>
        <w:rPr>
          <w:rFonts w:hint="eastAsia" w:ascii="宋体" w:hAnsi="宋体" w:eastAsia="宋体" w:cs="宋体"/>
          <w:strike w:val="0"/>
          <w:dstrike w:val="0"/>
          <w:color w:val="auto"/>
          <w:szCs w:val="21"/>
          <w:highlight w:val="none"/>
          <w:lang w:eastAsia="zh-CN"/>
        </w:rPr>
      </w:pPr>
      <w:r>
        <w:rPr>
          <w:rFonts w:hint="eastAsia" w:ascii="宋体" w:hAnsi="宋体" w:cs="宋体"/>
          <w:color w:val="auto"/>
          <w:szCs w:val="21"/>
          <w:highlight w:val="none"/>
        </w:rPr>
        <w:t>1.</w:t>
      </w:r>
      <w:r>
        <w:rPr>
          <w:rFonts w:hint="eastAsia" w:ascii="宋体" w:hAnsi="宋体" w:cs="宋体"/>
          <w:strike w:val="0"/>
          <w:dstrike w:val="0"/>
          <w:color w:val="auto"/>
          <w:szCs w:val="21"/>
          <w:highlight w:val="none"/>
        </w:rPr>
        <w:t>项目负责人1名，近三年（2020年</w:t>
      </w:r>
      <w:r>
        <w:rPr>
          <w:rFonts w:hint="eastAsia" w:ascii="宋体" w:hAnsi="宋体" w:cs="宋体"/>
          <w:strike w:val="0"/>
          <w:dstrike w:val="0"/>
          <w:color w:val="auto"/>
          <w:szCs w:val="21"/>
          <w:highlight w:val="none"/>
          <w:lang w:val="en-US" w:eastAsia="zh-CN"/>
        </w:rPr>
        <w:t>8</w:t>
      </w:r>
      <w:r>
        <w:rPr>
          <w:rFonts w:hint="eastAsia" w:ascii="宋体" w:hAnsi="宋体" w:cs="宋体"/>
          <w:strike w:val="0"/>
          <w:dstrike w:val="0"/>
          <w:color w:val="auto"/>
          <w:szCs w:val="21"/>
          <w:highlight w:val="none"/>
        </w:rPr>
        <w:t>月1日至今）承担过至少一次</w:t>
      </w:r>
      <w:r>
        <w:rPr>
          <w:rFonts w:hint="eastAsia" w:ascii="宋体" w:hAnsi="宋体" w:cs="宋体"/>
          <w:strike w:val="0"/>
          <w:dstrike w:val="0"/>
          <w:color w:val="auto"/>
          <w:szCs w:val="21"/>
          <w:highlight w:val="none"/>
          <w:lang w:val="en-US" w:eastAsia="zh-CN"/>
        </w:rPr>
        <w:t>全国规模的大型会</w:t>
      </w:r>
      <w:r>
        <w:rPr>
          <w:rFonts w:hint="eastAsia" w:ascii="宋体" w:hAnsi="宋体" w:cs="宋体"/>
          <w:strike w:val="0"/>
          <w:dstrike w:val="0"/>
          <w:color w:val="auto"/>
          <w:szCs w:val="21"/>
          <w:highlight w:val="none"/>
        </w:rPr>
        <w:t>展</w:t>
      </w:r>
      <w:r>
        <w:rPr>
          <w:rFonts w:hint="eastAsia" w:ascii="宋体" w:hAnsi="宋体" w:cs="宋体"/>
          <w:strike w:val="0"/>
          <w:dstrike w:val="0"/>
          <w:color w:val="auto"/>
          <w:szCs w:val="21"/>
          <w:highlight w:val="none"/>
          <w:lang w:val="en-US" w:eastAsia="zh-CN"/>
        </w:rPr>
        <w:t>特装展台</w:t>
      </w:r>
      <w:r>
        <w:rPr>
          <w:rFonts w:hint="eastAsia" w:ascii="宋体" w:hAnsi="宋体" w:cs="宋体"/>
          <w:strike w:val="0"/>
          <w:dstrike w:val="0"/>
          <w:color w:val="auto"/>
          <w:szCs w:val="21"/>
          <w:highlight w:val="none"/>
        </w:rPr>
        <w:t>服务项目负责人</w:t>
      </w:r>
      <w:r>
        <w:rPr>
          <w:rFonts w:hint="eastAsia" w:ascii="宋体" w:hAnsi="宋体" w:cs="宋体"/>
          <w:strike w:val="0"/>
          <w:dstrike w:val="0"/>
          <w:color w:val="auto"/>
          <w:szCs w:val="21"/>
          <w:highlight w:val="none"/>
          <w:lang w:eastAsia="zh-CN"/>
        </w:rPr>
        <w:t>。</w:t>
      </w:r>
    </w:p>
    <w:p>
      <w:pPr>
        <w:spacing w:line="460" w:lineRule="exact"/>
        <w:ind w:firstLine="420" w:firstLineChars="200"/>
        <w:outlineLvl w:val="0"/>
        <w:rPr>
          <w:rFonts w:hint="eastAsia" w:ascii="宋体" w:hAnsi="宋体" w:cs="宋体"/>
          <w:szCs w:val="21"/>
          <w:highlight w:val="none"/>
          <w:lang w:eastAsia="zh-CN"/>
        </w:rPr>
      </w:pPr>
      <w:r>
        <w:rPr>
          <w:rFonts w:hint="eastAsia" w:ascii="宋体" w:hAnsi="宋体" w:cs="宋体"/>
          <w:szCs w:val="21"/>
          <w:highlight w:val="none"/>
        </w:rPr>
        <w:t>2.设计工程师2名，现场服务人员3名（不含现场装修人员，人员要求为基本要求，投标人可以根据项目情况增加）</w:t>
      </w:r>
      <w:r>
        <w:rPr>
          <w:rFonts w:hint="eastAsia" w:ascii="宋体" w:hAnsi="宋体" w:cs="宋体"/>
          <w:szCs w:val="21"/>
          <w:highlight w:val="none"/>
          <w:lang w:eastAsia="zh-CN"/>
        </w:rPr>
        <w:t>。</w:t>
      </w:r>
    </w:p>
    <w:p>
      <w:pPr>
        <w:spacing w:line="460" w:lineRule="exact"/>
        <w:ind w:firstLine="420" w:firstLineChars="200"/>
        <w:outlineLvl w:val="0"/>
        <w:rPr>
          <w:rFonts w:hint="default" w:ascii="宋体" w:hAnsi="宋体" w:cs="宋体"/>
          <w:szCs w:val="21"/>
          <w:highlight w:val="none"/>
          <w:lang w:val="en-US" w:eastAsia="zh-CN"/>
        </w:rPr>
      </w:pPr>
      <w:r>
        <w:rPr>
          <w:rFonts w:hint="eastAsia" w:ascii="宋体" w:hAnsi="宋体" w:cs="宋体"/>
          <w:szCs w:val="21"/>
          <w:highlight w:val="none"/>
          <w:lang w:val="en-US" w:eastAsia="zh-CN"/>
        </w:rPr>
        <w:t>3.以上人员要求，所在投标公司提供承诺函，格式自拟。</w:t>
      </w:r>
    </w:p>
    <w:p>
      <w:pPr>
        <w:spacing w:line="460" w:lineRule="exact"/>
        <w:rPr>
          <w:rFonts w:ascii="宋体" w:hAnsi="宋体"/>
          <w:b/>
          <w:sz w:val="32"/>
          <w:szCs w:val="32"/>
          <w:highlight w:val="none"/>
        </w:rPr>
      </w:pPr>
      <w:r>
        <w:rPr>
          <w:rFonts w:hint="eastAsia" w:ascii="宋体" w:hAnsi="宋体"/>
          <w:b/>
          <w:sz w:val="32"/>
          <w:szCs w:val="32"/>
          <w:highlight w:val="none"/>
        </w:rPr>
        <w:t>五、项目建议方案</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投标人应根据自身技术优势、办展经验，结合</w:t>
      </w:r>
      <w:r>
        <w:rPr>
          <w:rFonts w:hint="eastAsia" w:ascii="宋体" w:hAnsi="宋体" w:cs="宋体"/>
          <w:szCs w:val="21"/>
          <w:highlight w:val="none"/>
          <w:lang w:val="en-US" w:eastAsia="zh-CN"/>
        </w:rPr>
        <w:t>重庆高速</w:t>
      </w:r>
      <w:r>
        <w:rPr>
          <w:rFonts w:hint="eastAsia" w:ascii="宋体" w:hAnsi="宋体" w:cs="宋体"/>
          <w:szCs w:val="21"/>
          <w:highlight w:val="none"/>
        </w:rPr>
        <w:t>集团参展实际情况编写项目建议方案，建议方案需要体现投标人参展服务思路，初步描述设计理念、设计效果，搭建布置方案，以及人员投入、现场服务、保障方案等内容。</w:t>
      </w:r>
    </w:p>
    <w:p>
      <w:pPr>
        <w:spacing w:line="460" w:lineRule="exact"/>
        <w:rPr>
          <w:rFonts w:ascii="宋体" w:hAnsi="宋体"/>
          <w:b/>
          <w:sz w:val="32"/>
          <w:szCs w:val="32"/>
          <w:highlight w:val="none"/>
        </w:rPr>
      </w:pPr>
      <w:r>
        <w:rPr>
          <w:rFonts w:hint="eastAsia" w:ascii="宋体" w:hAnsi="宋体"/>
          <w:b/>
          <w:sz w:val="32"/>
          <w:szCs w:val="32"/>
          <w:highlight w:val="none"/>
        </w:rPr>
        <w:t>六、报价人资质、业绩要求</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（一）资质、业绩要求：</w:t>
      </w:r>
    </w:p>
    <w:p>
      <w:pPr>
        <w:spacing w:line="460" w:lineRule="exact"/>
        <w:ind w:firstLine="420" w:firstLineChars="200"/>
        <w:outlineLvl w:val="0"/>
        <w:rPr>
          <w:rFonts w:hint="default" w:ascii="宋体" w:hAnsi="宋体" w:eastAsia="宋体" w:cs="宋体"/>
          <w:szCs w:val="21"/>
          <w:highlight w:val="none"/>
          <w:lang w:val="en-US" w:eastAsia="zh-CN"/>
        </w:rPr>
      </w:pPr>
      <w:r>
        <w:rPr>
          <w:rFonts w:hint="eastAsia" w:ascii="宋体" w:hAnsi="宋体" w:cs="宋体"/>
          <w:szCs w:val="21"/>
          <w:highlight w:val="none"/>
        </w:rPr>
        <w:t>1、</w:t>
      </w:r>
      <w:r>
        <w:rPr>
          <w:rFonts w:hint="eastAsia" w:ascii="宋体" w:hAnsi="宋体" w:cs="宋体"/>
          <w:szCs w:val="21"/>
          <w:highlight w:val="none"/>
          <w:lang w:val="en-US" w:eastAsia="zh-CN"/>
        </w:rPr>
        <w:t>资质要求：</w:t>
      </w:r>
      <w:r>
        <w:rPr>
          <w:rFonts w:hint="eastAsia" w:ascii="宋体" w:hAnsi="宋体" w:cs="宋体"/>
          <w:szCs w:val="21"/>
          <w:highlight w:val="none"/>
        </w:rPr>
        <w:t>具备独立法人资格，具备有效的营业执照</w:t>
      </w:r>
      <w:r>
        <w:rPr>
          <w:rFonts w:hint="eastAsia" w:ascii="宋体" w:hAnsi="宋体" w:cs="宋体"/>
          <w:szCs w:val="21"/>
          <w:highlight w:val="none"/>
          <w:lang w:eastAsia="zh-CN"/>
        </w:rPr>
        <w:t>，</w:t>
      </w:r>
      <w:r>
        <w:rPr>
          <w:rFonts w:hint="eastAsia" w:ascii="宋体" w:hAnsi="宋体" w:cs="宋体"/>
          <w:color w:val="auto"/>
          <w:szCs w:val="21"/>
          <w:highlight w:val="none"/>
          <w:lang w:val="en-US" w:eastAsia="zh-CN"/>
        </w:rPr>
        <w:t>营业范围包含设计策划、会议展览服务；</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近三年（2020年8月1日至今）</w:t>
      </w:r>
      <w:r>
        <w:rPr>
          <w:rFonts w:hint="eastAsia" w:ascii="宋体" w:hAnsi="宋体" w:cs="宋体"/>
          <w:szCs w:val="21"/>
          <w:highlight w:val="none"/>
        </w:rPr>
        <w:t>企业在行业内无不良信誉记录和重大安全责任事故记录；</w:t>
      </w:r>
    </w:p>
    <w:p>
      <w:pPr>
        <w:spacing w:line="460" w:lineRule="exact"/>
        <w:ind w:firstLine="420" w:firstLineChars="200"/>
        <w:outlineLvl w:val="0"/>
        <w:rPr>
          <w:rFonts w:hint="default" w:ascii="宋体" w:hAnsi="宋体" w:eastAsia="宋体" w:cs="宋体"/>
          <w:color w:val="0000FF"/>
          <w:szCs w:val="21"/>
          <w:highlight w:val="none"/>
          <w:lang w:val="en-US" w:eastAsia="zh-CN"/>
        </w:rPr>
      </w:pPr>
      <w:r>
        <w:rPr>
          <w:rFonts w:hint="eastAsia" w:ascii="宋体" w:hAnsi="宋体" w:cs="宋体"/>
          <w:szCs w:val="21"/>
          <w:highlight w:val="none"/>
        </w:rPr>
        <w:t>3、</w:t>
      </w:r>
      <w:r>
        <w:rPr>
          <w:rFonts w:hint="eastAsia" w:ascii="宋体" w:hAnsi="宋体" w:cs="宋体"/>
          <w:szCs w:val="21"/>
          <w:highlight w:val="none"/>
          <w:lang w:val="en-US" w:eastAsia="zh-CN"/>
        </w:rPr>
        <w:t>业绩要求：</w:t>
      </w:r>
      <w:r>
        <w:rPr>
          <w:rFonts w:hint="eastAsia" w:ascii="宋体" w:hAnsi="宋体" w:cs="宋体"/>
          <w:strike w:val="0"/>
          <w:dstrike w:val="0"/>
          <w:color w:val="auto"/>
          <w:szCs w:val="21"/>
          <w:highlight w:val="none"/>
        </w:rPr>
        <w:t>近三年（2020年</w:t>
      </w:r>
      <w:r>
        <w:rPr>
          <w:rFonts w:hint="eastAsia" w:ascii="宋体" w:hAnsi="宋体" w:cs="宋体"/>
          <w:strike w:val="0"/>
          <w:dstrike w:val="0"/>
          <w:color w:val="auto"/>
          <w:szCs w:val="21"/>
          <w:highlight w:val="none"/>
          <w:lang w:val="en-US" w:eastAsia="zh-CN"/>
        </w:rPr>
        <w:t>8</w:t>
      </w:r>
      <w:r>
        <w:rPr>
          <w:rFonts w:hint="eastAsia" w:ascii="宋体" w:hAnsi="宋体" w:cs="宋体"/>
          <w:strike w:val="0"/>
          <w:dstrike w:val="0"/>
          <w:color w:val="auto"/>
          <w:szCs w:val="21"/>
          <w:highlight w:val="none"/>
        </w:rPr>
        <w:t>月1日至今）承接过至少一次</w:t>
      </w:r>
      <w:r>
        <w:rPr>
          <w:rFonts w:hint="eastAsia" w:ascii="宋体" w:hAnsi="宋体" w:cs="宋体"/>
          <w:strike w:val="0"/>
          <w:dstrike w:val="0"/>
          <w:color w:val="auto"/>
          <w:szCs w:val="21"/>
          <w:highlight w:val="none"/>
          <w:lang w:val="en-US" w:eastAsia="zh-CN"/>
        </w:rPr>
        <w:t>全国规模的</w:t>
      </w:r>
      <w:r>
        <w:rPr>
          <w:rFonts w:hint="eastAsia" w:ascii="宋体" w:hAnsi="宋体" w:cs="宋体"/>
          <w:strike w:val="0"/>
          <w:dstrike w:val="0"/>
          <w:color w:val="auto"/>
          <w:szCs w:val="21"/>
          <w:highlight w:val="none"/>
        </w:rPr>
        <w:t>会议展览</w:t>
      </w:r>
      <w:r>
        <w:rPr>
          <w:rFonts w:hint="eastAsia" w:ascii="宋体" w:hAnsi="宋体" w:cs="宋体"/>
          <w:strike w:val="0"/>
          <w:dstrike w:val="0"/>
          <w:color w:val="auto"/>
          <w:szCs w:val="21"/>
          <w:highlight w:val="none"/>
          <w:lang w:val="en-US" w:eastAsia="zh-CN"/>
        </w:rPr>
        <w:t>特装展台设计及装修项目</w:t>
      </w:r>
      <w:r>
        <w:rPr>
          <w:rFonts w:hint="eastAsia" w:ascii="宋体" w:hAnsi="宋体" w:cs="宋体"/>
          <w:strike w:val="0"/>
          <w:dstrike w:val="0"/>
          <w:color w:val="auto"/>
          <w:szCs w:val="21"/>
          <w:highlight w:val="none"/>
        </w:rPr>
        <w:t>（合同金额不低于</w:t>
      </w:r>
      <w:r>
        <w:rPr>
          <w:rFonts w:hint="eastAsia" w:ascii="宋体" w:hAnsi="宋体" w:cs="宋体"/>
          <w:strike w:val="0"/>
          <w:dstrike w:val="0"/>
          <w:color w:val="auto"/>
          <w:szCs w:val="21"/>
          <w:highlight w:val="none"/>
          <w:lang w:val="en-US" w:eastAsia="zh-CN"/>
        </w:rPr>
        <w:t>50</w:t>
      </w:r>
      <w:r>
        <w:rPr>
          <w:rFonts w:hint="eastAsia" w:ascii="宋体" w:hAnsi="宋体" w:cs="宋体"/>
          <w:strike w:val="0"/>
          <w:dstrike w:val="0"/>
          <w:color w:val="auto"/>
          <w:szCs w:val="21"/>
          <w:highlight w:val="none"/>
        </w:rPr>
        <w:t>万元）。</w:t>
      </w:r>
      <w:r>
        <w:rPr>
          <w:rFonts w:hint="eastAsia" w:ascii="宋体" w:hAnsi="宋体" w:cs="宋体"/>
          <w:strike w:val="0"/>
          <w:dstrike w:val="0"/>
          <w:color w:val="auto"/>
          <w:szCs w:val="21"/>
          <w:highlight w:val="none"/>
          <w:lang w:val="en-US" w:eastAsia="zh-CN"/>
        </w:rPr>
        <w:t>提供复印件</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（二）信誉要求：在国家企业信用信息公示系统（http://www.gsxt.gov.cn/）中未被列入严重违法失信企业名单（黑名单）信息；在“信用中国”网站（http://www.creditchina.gov.cn/）中未被列入失信被执行人。</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（三）报价人须提供采购人要求的所有资质要求、业绩要求、信誉要求的复印件并加盖单位鲜公章。</w:t>
      </w:r>
    </w:p>
    <w:p>
      <w:pPr>
        <w:spacing w:line="460" w:lineRule="exact"/>
        <w:rPr>
          <w:rFonts w:ascii="宋体" w:hAnsi="宋体"/>
          <w:b/>
          <w:sz w:val="32"/>
          <w:szCs w:val="32"/>
          <w:highlight w:val="none"/>
        </w:rPr>
      </w:pPr>
      <w:r>
        <w:rPr>
          <w:rFonts w:hint="eastAsia" w:ascii="宋体" w:hAnsi="宋体"/>
          <w:b/>
          <w:sz w:val="32"/>
          <w:szCs w:val="32"/>
          <w:highlight w:val="none"/>
        </w:rPr>
        <w:t>七、比选文件的获取</w:t>
      </w:r>
    </w:p>
    <w:p>
      <w:pPr>
        <w:spacing w:line="400" w:lineRule="exact"/>
        <w:ind w:firstLine="420" w:firstLineChars="200"/>
        <w:rPr>
          <w:bCs/>
          <w:szCs w:val="21"/>
        </w:rPr>
      </w:pPr>
      <w:r>
        <w:rPr>
          <w:bCs/>
          <w:szCs w:val="21"/>
        </w:rPr>
        <w:t>竞争性比选文件</w:t>
      </w:r>
      <w:r>
        <w:rPr>
          <w:rFonts w:hint="eastAsia"/>
          <w:bCs/>
          <w:szCs w:val="21"/>
        </w:rPr>
        <w:t>发售</w:t>
      </w:r>
      <w:r>
        <w:rPr>
          <w:bCs/>
          <w:szCs w:val="21"/>
        </w:rPr>
        <w:t>时间：</w:t>
      </w:r>
      <w:r>
        <w:rPr>
          <w:rFonts w:hint="eastAsia"/>
          <w:bCs/>
          <w:szCs w:val="21"/>
          <w:lang w:eastAsia="zh-CN"/>
        </w:rPr>
        <w:t>202</w:t>
      </w:r>
      <w:r>
        <w:rPr>
          <w:rFonts w:hint="eastAsia"/>
          <w:bCs/>
          <w:szCs w:val="21"/>
          <w:lang w:val="en-US" w:eastAsia="zh-CN"/>
        </w:rPr>
        <w:t>3</w:t>
      </w:r>
      <w:r>
        <w:rPr>
          <w:bCs/>
          <w:szCs w:val="21"/>
        </w:rPr>
        <w:t>年</w:t>
      </w:r>
      <w:r>
        <w:rPr>
          <w:rFonts w:hint="eastAsia"/>
          <w:bCs/>
          <w:szCs w:val="21"/>
          <w:lang w:val="en-US" w:eastAsia="zh-CN"/>
        </w:rPr>
        <w:t>8</w:t>
      </w:r>
      <w:r>
        <w:rPr>
          <w:bCs/>
          <w:szCs w:val="21"/>
        </w:rPr>
        <w:t>月</w:t>
      </w:r>
      <w:r>
        <w:rPr>
          <w:rFonts w:hint="eastAsia"/>
          <w:bCs/>
          <w:szCs w:val="21"/>
          <w:lang w:val="en-US" w:eastAsia="zh-CN"/>
        </w:rPr>
        <w:t>22</w:t>
      </w:r>
      <w:r>
        <w:rPr>
          <w:bCs/>
          <w:szCs w:val="21"/>
        </w:rPr>
        <w:t>日</w:t>
      </w:r>
      <w:r>
        <w:rPr>
          <w:rFonts w:hint="eastAsia"/>
          <w:bCs/>
          <w:szCs w:val="21"/>
          <w:lang w:val="en-US" w:eastAsia="zh-CN"/>
        </w:rPr>
        <w:t>-</w:t>
      </w:r>
      <w:r>
        <w:rPr>
          <w:rFonts w:hint="eastAsia"/>
          <w:bCs/>
          <w:szCs w:val="21"/>
          <w:lang w:eastAsia="zh-CN"/>
        </w:rPr>
        <w:t>202</w:t>
      </w:r>
      <w:r>
        <w:rPr>
          <w:rFonts w:hint="eastAsia"/>
          <w:bCs/>
          <w:szCs w:val="21"/>
          <w:lang w:val="en-US" w:eastAsia="zh-CN"/>
        </w:rPr>
        <w:t>3</w:t>
      </w:r>
      <w:r>
        <w:rPr>
          <w:bCs/>
          <w:szCs w:val="21"/>
        </w:rPr>
        <w:t>年</w:t>
      </w:r>
      <w:r>
        <w:rPr>
          <w:rFonts w:hint="eastAsia"/>
          <w:bCs/>
          <w:szCs w:val="21"/>
          <w:lang w:val="en-US" w:eastAsia="zh-CN"/>
        </w:rPr>
        <w:t>8</w:t>
      </w:r>
      <w:r>
        <w:rPr>
          <w:bCs/>
          <w:szCs w:val="21"/>
        </w:rPr>
        <w:t>月</w:t>
      </w:r>
      <w:r>
        <w:rPr>
          <w:rFonts w:hint="eastAsia"/>
          <w:bCs/>
          <w:szCs w:val="21"/>
          <w:lang w:val="en-US" w:eastAsia="zh-CN"/>
        </w:rPr>
        <w:t>24</w:t>
      </w:r>
      <w:r>
        <w:rPr>
          <w:bCs/>
          <w:szCs w:val="21"/>
        </w:rPr>
        <w:t>日（法定公休日、法定节假日除外），过时不候。</w:t>
      </w:r>
      <w:r>
        <w:rPr>
          <w:rFonts w:hint="eastAsia"/>
          <w:bCs/>
          <w:szCs w:val="21"/>
        </w:rPr>
        <w:t>本次比选公告及比选结果公示中国招标投标公共服务平台（http://bulletin.cebpubservice.co</w:t>
      </w:r>
      <w:r>
        <w:rPr>
          <w:rFonts w:hint="eastAsia"/>
          <w:bCs/>
          <w:szCs w:val="21"/>
          <w:lang w:val="en-US" w:eastAsia="zh-CN"/>
        </w:rPr>
        <w:t>n</w:t>
      </w:r>
      <w:r>
        <w:rPr>
          <w:rFonts w:hint="eastAsia"/>
          <w:bCs/>
          <w:szCs w:val="21"/>
        </w:rPr>
        <w:t>/）、重庆高速公路集团有限公司招投标管理平台（http://43.240.249.108:8088/PMS/）和重庆高速集团官网上发布比选公告。比选申请人</w:t>
      </w:r>
      <w:r>
        <w:rPr>
          <w:rFonts w:hint="eastAsia"/>
          <w:bCs/>
          <w:szCs w:val="21"/>
          <w:lang w:val="en-US" w:eastAsia="zh-CN"/>
        </w:rPr>
        <w:t>自行下载比选文件</w:t>
      </w:r>
      <w:r>
        <w:rPr>
          <w:rFonts w:hint="eastAsia"/>
          <w:bCs/>
          <w:szCs w:val="21"/>
        </w:rPr>
        <w:t>。</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各报价人应随时关注网上发布的竞争性比选文件答疑、补遗、澄清等文件内容，不管报价人是否下载，均视为已知晓竞争性比选文件的全部内容和有关事宜。</w:t>
      </w:r>
    </w:p>
    <w:p>
      <w:pPr>
        <w:spacing w:line="460" w:lineRule="exact"/>
        <w:rPr>
          <w:rFonts w:ascii="宋体" w:hAnsi="宋体"/>
          <w:b/>
          <w:sz w:val="32"/>
          <w:szCs w:val="32"/>
          <w:highlight w:val="none"/>
        </w:rPr>
      </w:pPr>
      <w:r>
        <w:rPr>
          <w:rFonts w:hint="eastAsia" w:ascii="宋体" w:hAnsi="宋体"/>
          <w:b/>
          <w:sz w:val="32"/>
          <w:szCs w:val="32"/>
          <w:highlight w:val="none"/>
        </w:rPr>
        <w:t>八、评标办法：</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本项目评标采用</w:t>
      </w:r>
      <w:r>
        <w:rPr>
          <w:rFonts w:hint="eastAsia" w:ascii="宋体" w:hAnsi="宋体" w:eastAsia="宋体" w:cs="宋体"/>
          <w:b/>
          <w:color w:val="auto"/>
          <w:sz w:val="24"/>
          <w:szCs w:val="24"/>
          <w:highlight w:val="none"/>
        </w:rPr>
        <w:t>综合评估法</w:t>
      </w:r>
      <w:r>
        <w:rPr>
          <w:rFonts w:hint="eastAsia" w:ascii="宋体" w:hAnsi="宋体" w:cs="宋体"/>
          <w:szCs w:val="21"/>
          <w:highlight w:val="none"/>
        </w:rPr>
        <w:t>，具体办法如下：</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2"/>
        <w:gridCol w:w="1134"/>
        <w:gridCol w:w="1276"/>
        <w:gridCol w:w="285"/>
        <w:gridCol w:w="349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3" w:type="dxa"/>
            <w:gridSpan w:val="3"/>
            <w:vAlign w:val="center"/>
          </w:tcPr>
          <w:p>
            <w:pPr>
              <w:spacing w:line="28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条款号</w:t>
            </w:r>
          </w:p>
        </w:tc>
        <w:tc>
          <w:tcPr>
            <w:tcW w:w="1276" w:type="dxa"/>
            <w:vAlign w:val="center"/>
          </w:tcPr>
          <w:p>
            <w:pPr>
              <w:spacing w:line="28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6097" w:type="dxa"/>
            <w:gridSpan w:val="3"/>
            <w:vAlign w:val="center"/>
          </w:tcPr>
          <w:p>
            <w:pPr>
              <w:spacing w:line="28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restart"/>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.1</w:t>
            </w:r>
          </w:p>
        </w:tc>
        <w:tc>
          <w:tcPr>
            <w:tcW w:w="1276" w:type="dxa"/>
            <w:gridSpan w:val="2"/>
            <w:vMerge w:val="restart"/>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形式评审</w:t>
            </w:r>
          </w:p>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w:t>
            </w:r>
          </w:p>
        </w:tc>
        <w:tc>
          <w:tcPr>
            <w:tcW w:w="1276" w:type="dxa"/>
            <w:vAlign w:val="center"/>
          </w:tcPr>
          <w:p>
            <w:pPr>
              <w:spacing w:line="280" w:lineRule="exact"/>
              <w:jc w:val="center"/>
              <w:rPr>
                <w:rFonts w:hint="eastAsia" w:ascii="宋体" w:hAnsi="宋体" w:eastAsia="宋体" w:cs="宋体"/>
                <w:color w:val="auto"/>
                <w:kern w:val="0"/>
                <w:sz w:val="21"/>
                <w:szCs w:val="21"/>
                <w:highlight w:val="none"/>
              </w:rPr>
            </w:pPr>
          </w:p>
        </w:tc>
        <w:tc>
          <w:tcPr>
            <w:tcW w:w="6097" w:type="dxa"/>
            <w:gridSpan w:val="3"/>
            <w:vAlign w:val="center"/>
          </w:tcPr>
          <w:p>
            <w:pPr>
              <w:spacing w:line="280" w:lineRule="exact"/>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宋体" w:hAnsi="宋体" w:eastAsia="宋体" w:cs="宋体"/>
                <w:color w:val="auto"/>
                <w:sz w:val="21"/>
                <w:szCs w:val="21"/>
                <w:highlight w:val="none"/>
              </w:rPr>
            </w:pPr>
          </w:p>
        </w:tc>
        <w:tc>
          <w:tcPr>
            <w:tcW w:w="1276" w:type="dxa"/>
            <w:gridSpan w:val="2"/>
            <w:vMerge w:val="continue"/>
          </w:tcPr>
          <w:p>
            <w:pPr>
              <w:spacing w:line="280" w:lineRule="exact"/>
              <w:rPr>
                <w:rFonts w:hint="eastAsia" w:ascii="宋体" w:hAnsi="宋体" w:eastAsia="宋体" w:cs="宋体"/>
                <w:color w:val="auto"/>
                <w:sz w:val="21"/>
                <w:szCs w:val="21"/>
                <w:highlight w:val="none"/>
              </w:rPr>
            </w:pPr>
          </w:p>
        </w:tc>
        <w:tc>
          <w:tcPr>
            <w:tcW w:w="1276" w:type="dxa"/>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比选申请文件签字盖章</w:t>
            </w:r>
          </w:p>
        </w:tc>
        <w:tc>
          <w:tcPr>
            <w:tcW w:w="6097" w:type="dxa"/>
            <w:gridSpan w:val="3"/>
            <w:vAlign w:val="center"/>
          </w:tcPr>
          <w:p>
            <w:pPr>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竞争性比选申请文件上法定代表人或其授权代理人的签字、竞标人的单位公章齐全，符合竞争性比选文件规定。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宋体" w:hAnsi="宋体" w:eastAsia="宋体" w:cs="宋体"/>
                <w:color w:val="auto"/>
                <w:sz w:val="21"/>
                <w:szCs w:val="21"/>
                <w:highlight w:val="none"/>
              </w:rPr>
            </w:pPr>
          </w:p>
        </w:tc>
        <w:tc>
          <w:tcPr>
            <w:tcW w:w="1276" w:type="dxa"/>
            <w:gridSpan w:val="2"/>
            <w:vMerge w:val="continue"/>
          </w:tcPr>
          <w:p>
            <w:pPr>
              <w:spacing w:line="280" w:lineRule="exact"/>
              <w:rPr>
                <w:rFonts w:hint="eastAsia" w:ascii="宋体" w:hAnsi="宋体" w:eastAsia="宋体" w:cs="宋体"/>
                <w:color w:val="auto"/>
                <w:sz w:val="21"/>
                <w:szCs w:val="21"/>
                <w:highlight w:val="none"/>
              </w:rPr>
            </w:pPr>
          </w:p>
        </w:tc>
        <w:tc>
          <w:tcPr>
            <w:tcW w:w="1276" w:type="dxa"/>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比选申请文件格式</w:t>
            </w:r>
          </w:p>
        </w:tc>
        <w:tc>
          <w:tcPr>
            <w:tcW w:w="6097" w:type="dxa"/>
            <w:gridSpan w:val="3"/>
            <w:vAlign w:val="center"/>
          </w:tcPr>
          <w:p>
            <w:pPr>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符合“比选申请文件格式”的要求，字迹清晰可辨。</w:t>
            </w:r>
          </w:p>
          <w:p>
            <w:pPr>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1.报价书的所有数据均符合比选文件的规定；</w:t>
            </w:r>
          </w:p>
          <w:p>
            <w:pPr>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2.比选申请文件附表齐全完整，内容均按规定填写；</w:t>
            </w:r>
          </w:p>
          <w:p>
            <w:pPr>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3.比选申请文件</w:t>
            </w:r>
            <w:r>
              <w:rPr>
                <w:rFonts w:hint="eastAsia" w:ascii="宋体" w:hAnsi="宋体" w:eastAsia="宋体" w:cs="宋体"/>
                <w:color w:val="auto"/>
                <w:sz w:val="21"/>
                <w:szCs w:val="21"/>
                <w:highlight w:val="none"/>
              </w:rPr>
              <w:t>正、副本份数符合比选文件规定</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宋体" w:hAnsi="宋体" w:eastAsia="宋体" w:cs="宋体"/>
                <w:color w:val="auto"/>
                <w:sz w:val="21"/>
                <w:szCs w:val="21"/>
                <w:highlight w:val="none"/>
              </w:rPr>
            </w:pPr>
          </w:p>
        </w:tc>
        <w:tc>
          <w:tcPr>
            <w:tcW w:w="1276" w:type="dxa"/>
            <w:gridSpan w:val="2"/>
            <w:vMerge w:val="continue"/>
          </w:tcPr>
          <w:p>
            <w:pPr>
              <w:spacing w:line="280" w:lineRule="exact"/>
              <w:rPr>
                <w:rFonts w:hint="eastAsia" w:ascii="宋体" w:hAnsi="宋体" w:eastAsia="宋体" w:cs="宋体"/>
                <w:color w:val="auto"/>
                <w:sz w:val="21"/>
                <w:szCs w:val="21"/>
                <w:highlight w:val="none"/>
              </w:rPr>
            </w:pPr>
          </w:p>
        </w:tc>
        <w:tc>
          <w:tcPr>
            <w:tcW w:w="1276" w:type="dxa"/>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比选申请文件的签署</w:t>
            </w:r>
          </w:p>
        </w:tc>
        <w:tc>
          <w:tcPr>
            <w:tcW w:w="6097" w:type="dxa"/>
            <w:gridSpan w:val="3"/>
            <w:vAlign w:val="center"/>
          </w:tcPr>
          <w:p>
            <w:pPr>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比选申请文件上法定代表人或其授权代理人的签字齐全，符合比选文件规定。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宋体" w:hAnsi="宋体" w:eastAsia="宋体" w:cs="宋体"/>
                <w:color w:val="auto"/>
                <w:sz w:val="21"/>
                <w:szCs w:val="21"/>
                <w:highlight w:val="none"/>
              </w:rPr>
            </w:pPr>
          </w:p>
        </w:tc>
        <w:tc>
          <w:tcPr>
            <w:tcW w:w="1276" w:type="dxa"/>
            <w:gridSpan w:val="2"/>
            <w:vMerge w:val="continue"/>
          </w:tcPr>
          <w:p>
            <w:pPr>
              <w:spacing w:line="280" w:lineRule="exact"/>
              <w:rPr>
                <w:rFonts w:hint="eastAsia" w:ascii="宋体" w:hAnsi="宋体" w:eastAsia="宋体" w:cs="宋体"/>
                <w:color w:val="auto"/>
                <w:sz w:val="21"/>
                <w:szCs w:val="21"/>
                <w:highlight w:val="none"/>
              </w:rPr>
            </w:pPr>
          </w:p>
        </w:tc>
        <w:tc>
          <w:tcPr>
            <w:tcW w:w="1276" w:type="dxa"/>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委托代理人</w:t>
            </w:r>
          </w:p>
        </w:tc>
        <w:tc>
          <w:tcPr>
            <w:tcW w:w="6097" w:type="dxa"/>
            <w:gridSpan w:val="3"/>
            <w:vAlign w:val="center"/>
          </w:tcPr>
          <w:p>
            <w:pPr>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比选申请人法定代表人的委托代理人有法定代表人签署的授权委托书。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restart"/>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.2</w:t>
            </w:r>
          </w:p>
        </w:tc>
        <w:tc>
          <w:tcPr>
            <w:tcW w:w="1276" w:type="dxa"/>
            <w:gridSpan w:val="2"/>
            <w:vMerge w:val="restart"/>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资格评审标准</w:t>
            </w:r>
          </w:p>
        </w:tc>
        <w:tc>
          <w:tcPr>
            <w:tcW w:w="1276" w:type="dxa"/>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资质要求</w:t>
            </w:r>
          </w:p>
        </w:tc>
        <w:tc>
          <w:tcPr>
            <w:tcW w:w="6097" w:type="dxa"/>
            <w:gridSpan w:val="3"/>
            <w:vAlign w:val="center"/>
          </w:tcPr>
          <w:p>
            <w:pPr>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vAlign w:val="center"/>
          </w:tcPr>
          <w:p>
            <w:pPr>
              <w:spacing w:line="280" w:lineRule="exact"/>
              <w:jc w:val="center"/>
              <w:rPr>
                <w:rFonts w:hint="eastAsia" w:ascii="宋体" w:hAnsi="宋体" w:eastAsia="宋体" w:cs="宋体"/>
                <w:color w:val="auto"/>
                <w:kern w:val="0"/>
                <w:sz w:val="21"/>
                <w:szCs w:val="21"/>
                <w:highlight w:val="none"/>
              </w:rPr>
            </w:pPr>
          </w:p>
        </w:tc>
        <w:tc>
          <w:tcPr>
            <w:tcW w:w="1276" w:type="dxa"/>
            <w:gridSpan w:val="2"/>
            <w:vMerge w:val="continue"/>
            <w:vAlign w:val="center"/>
          </w:tcPr>
          <w:p>
            <w:pPr>
              <w:spacing w:line="280" w:lineRule="exact"/>
              <w:jc w:val="center"/>
              <w:rPr>
                <w:rFonts w:hint="eastAsia" w:ascii="宋体" w:hAnsi="宋体" w:eastAsia="宋体" w:cs="宋体"/>
                <w:color w:val="auto"/>
                <w:kern w:val="0"/>
                <w:sz w:val="21"/>
                <w:szCs w:val="21"/>
                <w:highlight w:val="none"/>
              </w:rPr>
            </w:pPr>
          </w:p>
        </w:tc>
        <w:tc>
          <w:tcPr>
            <w:tcW w:w="1276" w:type="dxa"/>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rPr>
              <w:t>业绩要求</w:t>
            </w:r>
          </w:p>
        </w:tc>
        <w:tc>
          <w:tcPr>
            <w:tcW w:w="6097" w:type="dxa"/>
            <w:gridSpan w:val="3"/>
            <w:vAlign w:val="center"/>
          </w:tcPr>
          <w:p>
            <w:pPr>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vAlign w:val="center"/>
          </w:tcPr>
          <w:p>
            <w:pPr>
              <w:spacing w:line="280" w:lineRule="exact"/>
              <w:jc w:val="center"/>
              <w:rPr>
                <w:rFonts w:hint="eastAsia" w:ascii="宋体" w:hAnsi="宋体" w:eastAsia="宋体" w:cs="宋体"/>
                <w:color w:val="auto"/>
                <w:kern w:val="0"/>
                <w:sz w:val="21"/>
                <w:szCs w:val="21"/>
                <w:highlight w:val="none"/>
              </w:rPr>
            </w:pPr>
          </w:p>
        </w:tc>
        <w:tc>
          <w:tcPr>
            <w:tcW w:w="1276" w:type="dxa"/>
            <w:gridSpan w:val="2"/>
            <w:vMerge w:val="continue"/>
            <w:vAlign w:val="center"/>
          </w:tcPr>
          <w:p>
            <w:pPr>
              <w:spacing w:line="280" w:lineRule="exact"/>
              <w:jc w:val="center"/>
              <w:rPr>
                <w:rFonts w:hint="eastAsia" w:ascii="宋体" w:hAnsi="宋体" w:eastAsia="宋体" w:cs="宋体"/>
                <w:color w:val="auto"/>
                <w:kern w:val="0"/>
                <w:sz w:val="21"/>
                <w:szCs w:val="21"/>
                <w:highlight w:val="none"/>
              </w:rPr>
            </w:pPr>
          </w:p>
        </w:tc>
        <w:tc>
          <w:tcPr>
            <w:tcW w:w="1276" w:type="dxa"/>
            <w:vAlign w:val="center"/>
          </w:tcPr>
          <w:p>
            <w:pPr>
              <w:spacing w:line="28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信誉及其他要求</w:t>
            </w:r>
          </w:p>
        </w:tc>
        <w:tc>
          <w:tcPr>
            <w:tcW w:w="6097" w:type="dxa"/>
            <w:gridSpan w:val="3"/>
            <w:vAlign w:val="center"/>
          </w:tcPr>
          <w:p>
            <w:pPr>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restart"/>
            <w:vAlign w:val="center"/>
          </w:tcPr>
          <w:p>
            <w:pPr>
              <w:spacing w:line="280" w:lineRule="exact"/>
              <w:jc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.3</w:t>
            </w:r>
          </w:p>
        </w:tc>
        <w:tc>
          <w:tcPr>
            <w:tcW w:w="1276" w:type="dxa"/>
            <w:gridSpan w:val="2"/>
            <w:vMerge w:val="restart"/>
            <w:vAlign w:val="center"/>
          </w:tcPr>
          <w:p>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响应性评审标准</w:t>
            </w:r>
          </w:p>
        </w:tc>
        <w:tc>
          <w:tcPr>
            <w:tcW w:w="1276" w:type="dxa"/>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比选内容</w:t>
            </w:r>
          </w:p>
        </w:tc>
        <w:tc>
          <w:tcPr>
            <w:tcW w:w="6097" w:type="dxa"/>
            <w:gridSpan w:val="3"/>
            <w:vAlign w:val="center"/>
          </w:tcPr>
          <w:p>
            <w:pPr>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jc w:val="center"/>
              <w:rPr>
                <w:rFonts w:hint="eastAsia" w:ascii="宋体" w:hAnsi="宋体" w:eastAsia="宋体" w:cs="宋体"/>
                <w:color w:val="auto"/>
                <w:sz w:val="21"/>
                <w:szCs w:val="21"/>
                <w:highlight w:val="none"/>
              </w:rPr>
            </w:pPr>
          </w:p>
        </w:tc>
        <w:tc>
          <w:tcPr>
            <w:tcW w:w="1276" w:type="dxa"/>
            <w:gridSpan w:val="2"/>
            <w:vMerge w:val="continue"/>
          </w:tcPr>
          <w:p>
            <w:pPr>
              <w:spacing w:line="280" w:lineRule="exact"/>
              <w:jc w:val="center"/>
              <w:rPr>
                <w:rFonts w:hint="eastAsia" w:ascii="宋体" w:hAnsi="宋体" w:eastAsia="宋体" w:cs="宋体"/>
                <w:color w:val="auto"/>
                <w:sz w:val="21"/>
                <w:szCs w:val="21"/>
                <w:highlight w:val="none"/>
              </w:rPr>
            </w:pPr>
          </w:p>
        </w:tc>
        <w:tc>
          <w:tcPr>
            <w:tcW w:w="1276" w:type="dxa"/>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工期</w:t>
            </w:r>
          </w:p>
        </w:tc>
        <w:tc>
          <w:tcPr>
            <w:tcW w:w="6097" w:type="dxa"/>
            <w:gridSpan w:val="3"/>
            <w:vAlign w:val="center"/>
          </w:tcPr>
          <w:p>
            <w:pPr>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jc w:val="center"/>
              <w:rPr>
                <w:rFonts w:hint="eastAsia" w:ascii="宋体" w:hAnsi="宋体" w:eastAsia="宋体" w:cs="宋体"/>
                <w:color w:val="auto"/>
                <w:sz w:val="21"/>
                <w:szCs w:val="21"/>
                <w:highlight w:val="none"/>
              </w:rPr>
            </w:pPr>
          </w:p>
        </w:tc>
        <w:tc>
          <w:tcPr>
            <w:tcW w:w="1276" w:type="dxa"/>
            <w:gridSpan w:val="2"/>
            <w:vMerge w:val="continue"/>
          </w:tcPr>
          <w:p>
            <w:pPr>
              <w:spacing w:line="280" w:lineRule="exact"/>
              <w:jc w:val="center"/>
              <w:rPr>
                <w:rFonts w:hint="eastAsia" w:ascii="宋体" w:hAnsi="宋体" w:eastAsia="宋体" w:cs="宋体"/>
                <w:color w:val="auto"/>
                <w:sz w:val="21"/>
                <w:szCs w:val="21"/>
                <w:highlight w:val="none"/>
              </w:rPr>
            </w:pPr>
          </w:p>
        </w:tc>
        <w:tc>
          <w:tcPr>
            <w:tcW w:w="1276" w:type="dxa"/>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竞标保证金</w:t>
            </w:r>
          </w:p>
        </w:tc>
        <w:tc>
          <w:tcPr>
            <w:tcW w:w="6097" w:type="dxa"/>
            <w:gridSpan w:val="3"/>
          </w:tcPr>
          <w:p>
            <w:pPr>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按竞争性比选文件的规定递交竞标保证金。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jc w:val="center"/>
              <w:rPr>
                <w:rFonts w:hint="eastAsia" w:ascii="宋体" w:hAnsi="宋体" w:eastAsia="宋体" w:cs="宋体"/>
                <w:color w:val="auto"/>
                <w:sz w:val="21"/>
                <w:szCs w:val="21"/>
                <w:highlight w:val="none"/>
              </w:rPr>
            </w:pPr>
          </w:p>
        </w:tc>
        <w:tc>
          <w:tcPr>
            <w:tcW w:w="1276" w:type="dxa"/>
            <w:gridSpan w:val="2"/>
            <w:vMerge w:val="continue"/>
          </w:tcPr>
          <w:p>
            <w:pPr>
              <w:spacing w:line="280" w:lineRule="exact"/>
              <w:jc w:val="center"/>
              <w:rPr>
                <w:rFonts w:hint="eastAsia" w:ascii="宋体" w:hAnsi="宋体" w:eastAsia="宋体" w:cs="宋体"/>
                <w:color w:val="auto"/>
                <w:sz w:val="21"/>
                <w:szCs w:val="21"/>
                <w:highlight w:val="none"/>
              </w:rPr>
            </w:pPr>
          </w:p>
        </w:tc>
        <w:tc>
          <w:tcPr>
            <w:tcW w:w="1276" w:type="dxa"/>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竞标报价</w:t>
            </w:r>
          </w:p>
        </w:tc>
        <w:tc>
          <w:tcPr>
            <w:tcW w:w="6097" w:type="dxa"/>
            <w:gridSpan w:val="3"/>
            <w:vAlign w:val="center"/>
          </w:tcPr>
          <w:p>
            <w:pPr>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在报价函上填写了竞标总报价（包括大写金额和小写金额），且报价唯一，</w:t>
            </w:r>
            <w:r>
              <w:rPr>
                <w:rFonts w:hint="eastAsia" w:ascii="宋体" w:hAnsi="宋体" w:eastAsia="宋体" w:cs="宋体"/>
                <w:color w:val="auto"/>
                <w:sz w:val="21"/>
                <w:szCs w:val="21"/>
                <w:highlight w:val="none"/>
              </w:rPr>
              <w:t>比选申请人的竞标总报价及单价报价均不得超过相应竞标总限价及单价限价，其中维护费为固定费用不得修改比选人给出的数据</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宋体" w:hAnsi="宋体" w:eastAsia="宋体" w:cs="宋体"/>
                <w:color w:val="auto"/>
                <w:sz w:val="21"/>
                <w:szCs w:val="21"/>
                <w:highlight w:val="none"/>
              </w:rPr>
            </w:pPr>
          </w:p>
        </w:tc>
        <w:tc>
          <w:tcPr>
            <w:tcW w:w="1276" w:type="dxa"/>
            <w:gridSpan w:val="2"/>
            <w:vMerge w:val="continue"/>
          </w:tcPr>
          <w:p>
            <w:pPr>
              <w:spacing w:line="280" w:lineRule="exact"/>
              <w:rPr>
                <w:rFonts w:hint="eastAsia" w:ascii="宋体" w:hAnsi="宋体" w:eastAsia="宋体" w:cs="宋体"/>
                <w:color w:val="auto"/>
                <w:sz w:val="21"/>
                <w:szCs w:val="21"/>
                <w:highlight w:val="none"/>
              </w:rPr>
            </w:pPr>
          </w:p>
        </w:tc>
        <w:tc>
          <w:tcPr>
            <w:tcW w:w="1276" w:type="dxa"/>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实质性要求</w:t>
            </w:r>
          </w:p>
        </w:tc>
        <w:tc>
          <w:tcPr>
            <w:tcW w:w="6097" w:type="dxa"/>
            <w:gridSpan w:val="3"/>
            <w:vAlign w:val="center"/>
          </w:tcPr>
          <w:p>
            <w:pPr>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宋体" w:hAnsi="宋体" w:eastAsia="宋体" w:cs="宋体"/>
                <w:color w:val="auto"/>
                <w:sz w:val="21"/>
                <w:szCs w:val="21"/>
                <w:highlight w:val="none"/>
              </w:rPr>
            </w:pPr>
          </w:p>
        </w:tc>
        <w:tc>
          <w:tcPr>
            <w:tcW w:w="1276" w:type="dxa"/>
            <w:gridSpan w:val="2"/>
            <w:vMerge w:val="continue"/>
          </w:tcPr>
          <w:p>
            <w:pPr>
              <w:spacing w:line="280" w:lineRule="exact"/>
              <w:rPr>
                <w:rFonts w:hint="eastAsia" w:ascii="宋体" w:hAnsi="宋体" w:eastAsia="宋体" w:cs="宋体"/>
                <w:color w:val="auto"/>
                <w:sz w:val="21"/>
                <w:szCs w:val="21"/>
                <w:highlight w:val="none"/>
              </w:rPr>
            </w:pPr>
          </w:p>
        </w:tc>
        <w:tc>
          <w:tcPr>
            <w:tcW w:w="1276" w:type="dxa"/>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其他要求</w:t>
            </w:r>
          </w:p>
        </w:tc>
        <w:tc>
          <w:tcPr>
            <w:tcW w:w="6097" w:type="dxa"/>
            <w:gridSpan w:val="3"/>
            <w:vAlign w:val="center"/>
          </w:tcPr>
          <w:p>
            <w:pPr>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比选申请人未提供虚假资料。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28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.4</w:t>
            </w:r>
          </w:p>
        </w:tc>
        <w:tc>
          <w:tcPr>
            <w:tcW w:w="1276" w:type="dxa"/>
            <w:gridSpan w:val="2"/>
            <w:shd w:val="clear" w:color="auto" w:fill="auto"/>
            <w:vAlign w:val="center"/>
          </w:tcPr>
          <w:p>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详细评审标准</w:t>
            </w:r>
          </w:p>
        </w:tc>
        <w:tc>
          <w:tcPr>
            <w:tcW w:w="1276" w:type="dxa"/>
            <w:shd w:val="clear" w:color="auto" w:fill="auto"/>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分值构成</w:t>
            </w:r>
          </w:p>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（总分100分）</w:t>
            </w:r>
          </w:p>
        </w:tc>
        <w:tc>
          <w:tcPr>
            <w:tcW w:w="6097" w:type="dxa"/>
            <w:gridSpan w:val="3"/>
            <w:shd w:val="clear" w:color="auto" w:fill="auto"/>
            <w:vAlign w:val="center"/>
          </w:tcPr>
          <w:p>
            <w:pPr>
              <w:spacing w:line="2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评分值</w:t>
            </w:r>
          </w:p>
          <w:p>
            <w:pPr>
              <w:numPr>
                <w:ilvl w:val="0"/>
                <w:numId w:val="1"/>
              </w:numPr>
              <w:spacing w:line="2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技术部分：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u w:val="single"/>
              </w:rPr>
              <w:t>0分</w:t>
            </w:r>
          </w:p>
          <w:p>
            <w:pPr>
              <w:pStyle w:val="4"/>
              <w:tabs>
                <w:tab w:val="left" w:pos="2160"/>
              </w:tabs>
              <w:ind w:left="0" w:firstLine="0"/>
              <w:rPr>
                <w:rFonts w:hint="eastAsia" w:ascii="宋体" w:hAnsi="宋体" w:eastAsia="宋体" w:cs="宋体"/>
                <w:color w:val="auto"/>
                <w:sz w:val="21"/>
                <w:szCs w:val="21"/>
                <w:highlight w:val="none"/>
                <w:lang w:val="en-US" w:eastAsia="zh-CN"/>
              </w:rPr>
            </w:pPr>
            <w:r>
              <w:rPr>
                <w:rFonts w:hint="eastAsia" w:ascii="宋体" w:hAnsi="宋体" w:eastAsia="宋体" w:cs="宋体"/>
                <w:b w:val="0"/>
                <w:color w:val="auto"/>
                <w:sz w:val="21"/>
                <w:szCs w:val="21"/>
                <w:highlight w:val="none"/>
              </w:rPr>
              <w:t>（二）</w:t>
            </w:r>
            <w:r>
              <w:rPr>
                <w:rFonts w:hint="eastAsia" w:ascii="宋体" w:hAnsi="宋体" w:eastAsia="宋体" w:cs="宋体"/>
                <w:b w:val="0"/>
                <w:color w:val="auto"/>
                <w:sz w:val="21"/>
                <w:szCs w:val="21"/>
                <w:highlight w:val="none"/>
                <w:lang w:val="en-US" w:eastAsia="zh-CN"/>
              </w:rPr>
              <w:t>商务部分</w:t>
            </w:r>
            <w:r>
              <w:rPr>
                <w:rFonts w:hint="eastAsia" w:ascii="宋体" w:hAnsi="宋体" w:eastAsia="宋体" w:cs="宋体"/>
                <w:b w:val="0"/>
                <w:color w:val="auto"/>
                <w:sz w:val="21"/>
                <w:szCs w:val="21"/>
                <w:highlight w:val="none"/>
              </w:rPr>
              <w:t>：</w:t>
            </w: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val="0"/>
                <w:color w:val="auto"/>
                <w:sz w:val="21"/>
                <w:szCs w:val="21"/>
                <w:highlight w:val="none"/>
                <w:lang w:val="en-US" w:eastAsia="zh-CN"/>
              </w:rPr>
              <w:t xml:space="preserve"> 3</w:t>
            </w:r>
            <w:r>
              <w:rPr>
                <w:rFonts w:hint="eastAsia" w:ascii="宋体" w:hAnsi="宋体" w:eastAsia="宋体" w:cs="宋体"/>
                <w:b w:val="0"/>
                <w:color w:val="auto"/>
                <w:sz w:val="21"/>
                <w:szCs w:val="21"/>
                <w:highlight w:val="none"/>
                <w:u w:val="none"/>
              </w:rPr>
              <w:t>0分</w:t>
            </w:r>
          </w:p>
          <w:p>
            <w:pPr>
              <w:pStyle w:val="23"/>
              <w:adjustRightInd/>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）竞标报价：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u w:val="singl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3" w:type="dxa"/>
            <w:gridSpan w:val="3"/>
            <w:shd w:val="clear" w:color="auto" w:fill="auto"/>
            <w:vAlign w:val="center"/>
          </w:tcPr>
          <w:p>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无效竞标条款</w:t>
            </w:r>
          </w:p>
        </w:tc>
        <w:tc>
          <w:tcPr>
            <w:tcW w:w="7373" w:type="dxa"/>
            <w:gridSpan w:val="4"/>
            <w:vAlign w:val="center"/>
          </w:tcPr>
          <w:p>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发生以下任意一情形的，作否决竞标处理：</w:t>
            </w:r>
          </w:p>
          <w:p>
            <w:pPr>
              <w:pStyle w:val="24"/>
              <w:spacing w:line="280" w:lineRule="exact"/>
              <w:ind w:firstLine="0" w:firstLineChars="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（1）竞标人拒绝确认算术性修正后的报价；</w:t>
            </w:r>
          </w:p>
          <w:p>
            <w:pPr>
              <w:pStyle w:val="4"/>
              <w:tabs>
                <w:tab w:val="left" w:pos="2160"/>
              </w:tabs>
              <w:spacing w:before="0" w:line="280" w:lineRule="exact"/>
              <w:ind w:left="0" w:firstLine="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（2）竞标报价单价超过最高单价限价；</w:t>
            </w:r>
          </w:p>
          <w:p>
            <w:pPr>
              <w:spacing w:line="2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（3）经修正后的最终竞标报价超过最高总价限价；</w:t>
            </w:r>
          </w:p>
          <w:p>
            <w:pPr>
              <w:pStyle w:val="4"/>
              <w:tabs>
                <w:tab w:val="left" w:pos="2160"/>
              </w:tabs>
              <w:spacing w:before="0" w:line="280" w:lineRule="exact"/>
              <w:ind w:left="0" w:firstLine="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w:t>
            </w:r>
            <w:r>
              <w:rPr>
                <w:rFonts w:hint="eastAsia" w:ascii="宋体" w:hAnsi="宋体" w:eastAsia="宋体" w:cs="宋体"/>
                <w:b w:val="0"/>
                <w:color w:val="auto"/>
                <w:sz w:val="21"/>
                <w:szCs w:val="21"/>
                <w:highlight w:val="none"/>
                <w:lang w:val="en-US" w:eastAsia="zh-CN"/>
              </w:rPr>
              <w:t>未按照比选文件要求参加此次比选的；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1983" w:type="dxa"/>
            <w:gridSpan w:val="3"/>
            <w:vAlign w:val="center"/>
          </w:tcPr>
          <w:p>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视为比选申请人相互串通竞标的情形</w:t>
            </w:r>
          </w:p>
        </w:tc>
        <w:tc>
          <w:tcPr>
            <w:tcW w:w="7373" w:type="dxa"/>
            <w:gridSpan w:val="4"/>
            <w:vAlign w:val="center"/>
          </w:tcPr>
          <w:p>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有下列情况之一的，做否决竞标处理。</w:t>
            </w:r>
          </w:p>
          <w:p>
            <w:pPr>
              <w:numPr>
                <w:ilvl w:val="0"/>
                <w:numId w:val="2"/>
              </w:numPr>
              <w:spacing w:line="28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不同比选申请人的竞争性比选申请文件由同一单位或者个人编制；</w:t>
            </w:r>
          </w:p>
          <w:p>
            <w:pPr>
              <w:numPr>
                <w:ilvl w:val="0"/>
                <w:numId w:val="2"/>
              </w:numPr>
              <w:spacing w:line="28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不同比选申请人委托同一单位或者个人办理竞标事宜；</w:t>
            </w:r>
          </w:p>
          <w:p>
            <w:pPr>
              <w:numPr>
                <w:ilvl w:val="0"/>
                <w:numId w:val="2"/>
              </w:numPr>
              <w:spacing w:line="28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不同比选申请人的竞争性比选申请文件载明的项目管理成员为同一人；</w:t>
            </w:r>
          </w:p>
          <w:p>
            <w:pPr>
              <w:numPr>
                <w:ilvl w:val="0"/>
                <w:numId w:val="2"/>
              </w:numPr>
              <w:spacing w:line="28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不同比选申请人的竞争性比选申请文件异常一致或者竞标报价呈规律性差异；</w:t>
            </w:r>
          </w:p>
          <w:p>
            <w:pPr>
              <w:numPr>
                <w:ilvl w:val="0"/>
                <w:numId w:val="2"/>
              </w:numPr>
              <w:spacing w:line="28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不同比选申请人的竞争性比选申请文件相互混装；</w:t>
            </w:r>
          </w:p>
          <w:p>
            <w:pPr>
              <w:pStyle w:val="4"/>
              <w:tabs>
                <w:tab w:val="left" w:pos="2160"/>
              </w:tabs>
              <w:ind w:left="0" w:firstLine="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4" w:hRule="atLeast"/>
        </w:trPr>
        <w:tc>
          <w:tcPr>
            <w:tcW w:w="849" w:type="dxa"/>
            <w:gridSpan w:val="2"/>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.5.1</w:t>
            </w:r>
          </w:p>
        </w:tc>
        <w:tc>
          <w:tcPr>
            <w:tcW w:w="1134" w:type="dxa"/>
            <w:vAlign w:val="center"/>
          </w:tcPr>
          <w:p>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竞标报价</w:t>
            </w:r>
            <w:r>
              <w:rPr>
                <w:rFonts w:hint="eastAsia" w:ascii="宋体" w:hAnsi="宋体" w:eastAsia="宋体" w:cs="宋体"/>
                <w:color w:val="auto"/>
                <w:kern w:val="0"/>
                <w:sz w:val="21"/>
                <w:szCs w:val="21"/>
                <w:highlight w:val="none"/>
              </w:rPr>
              <w:t>得分（</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0分）</w:t>
            </w:r>
          </w:p>
        </w:tc>
        <w:tc>
          <w:tcPr>
            <w:tcW w:w="7373" w:type="dxa"/>
            <w:gridSpan w:val="4"/>
          </w:tcPr>
          <w:p>
            <w:pPr>
              <w:pStyle w:val="6"/>
              <w:numPr>
                <w:ilvl w:val="0"/>
                <w:numId w:val="3"/>
              </w:num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报价得分的计算程序：</w:t>
            </w:r>
          </w:p>
          <w:p>
            <w:pPr>
              <w:pStyle w:val="6"/>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（1）有效报价的确定：未通过初步评审的报价按否决竞标处理，不进行后续评审，并且不参与本项目评标基准价的计算。</w:t>
            </w:r>
          </w:p>
          <w:p>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（2）报价基准价（D）的计算：</w:t>
            </w:r>
          </w:p>
          <w:p>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a、有效报价大于5家时：所有被宣读报价（应为经修正后的）在有效报价范围内的竞标报价，去掉一个最高报价和一个最低报价的算术平均值即为报价基准价（D）；</w:t>
            </w:r>
          </w:p>
          <w:p>
            <w:pPr>
              <w:spacing w:line="280" w:lineRule="exact"/>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rPr>
              <w:t xml:space="preserve">b、有效报价小于或等于5家时：所有被宣读报价在有效报价范围内的竞标报价的算术平均值即为报价基准价（D）； </w:t>
            </w:r>
          </w:p>
          <w:p>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（3）当比选申请人的竞标报价等于D时得满分（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0分），每高于D一个百分点扣</w:t>
            </w:r>
            <w:r>
              <w:rPr>
                <w:rFonts w:hint="eastAsia"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rPr>
              <w:t>分，每低于D一个百分点扣0.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分，中间值按比例内插。</w:t>
            </w:r>
          </w:p>
          <w:p>
            <w:pPr>
              <w:spacing w:line="28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报价得分用公式表示如下：</w:t>
            </w:r>
          </w:p>
          <w:p>
            <w:pPr>
              <w:spacing w:line="280" w:lineRule="exact"/>
              <w:ind w:firstLine="4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pict>
                <v:shape id="_x0000_s1026" o:spid="_x0000_s1026" o:spt="75" type="#_x0000_t75" style="position:absolute;left:0pt;margin-left:26.2pt;margin-top:9.5pt;height:31.95pt;width:139.9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5" o:title=""/>
                  <o:lock v:ext="edit" aspectratio="t"/>
                  <w10:wrap type="square"/>
                </v:shape>
                <o:OLEObject Type="Embed" ProgID="Equation.3" ShapeID="_x0000_s1026" DrawAspect="Content" ObjectID="_1468075725" r:id="rId4">
                  <o:LockedField>false</o:LockedField>
                </o:OLEObject>
              </w:pict>
            </w:r>
          </w:p>
          <w:p>
            <w:pPr>
              <w:spacing w:line="280" w:lineRule="exact"/>
              <w:ind w:firstLine="420" w:firstLineChars="200"/>
              <w:rPr>
                <w:rFonts w:hint="eastAsia" w:ascii="宋体" w:hAnsi="宋体" w:eastAsia="宋体" w:cs="宋体"/>
                <w:color w:val="auto"/>
                <w:sz w:val="21"/>
                <w:szCs w:val="21"/>
                <w:highlight w:val="none"/>
              </w:rPr>
            </w:pPr>
          </w:p>
          <w:p>
            <w:pPr>
              <w:spacing w:line="280" w:lineRule="exact"/>
              <w:ind w:firstLine="420" w:firstLineChars="200"/>
              <w:rPr>
                <w:rFonts w:hint="eastAsia" w:ascii="宋体" w:hAnsi="宋体" w:eastAsia="宋体" w:cs="宋体"/>
                <w:color w:val="auto"/>
                <w:sz w:val="21"/>
                <w:szCs w:val="21"/>
                <w:highlight w:val="none"/>
              </w:rPr>
            </w:pPr>
          </w:p>
          <w:p>
            <w:pPr>
              <w:spacing w:line="2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公式中：F</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=报价得分；</w:t>
            </w:r>
          </w:p>
          <w:p>
            <w:pPr>
              <w:tabs>
                <w:tab w:val="left" w:pos="5060"/>
              </w:tabs>
              <w:spacing w:line="28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w:t>
            </w:r>
          </w:p>
          <w:p>
            <w:pPr>
              <w:spacing w:line="28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=比选申请人的报价；</w:t>
            </w:r>
          </w:p>
          <w:p>
            <w:pPr>
              <w:spacing w:line="28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D=报价基准价。</w:t>
            </w:r>
          </w:p>
          <w:p>
            <w:pPr>
              <w:tabs>
                <w:tab w:val="left" w:pos="5920"/>
              </w:tabs>
              <w:spacing w:line="28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若D</w:t>
            </w:r>
            <w:r>
              <w:rPr>
                <w:rFonts w:hint="eastAsia" w:ascii="宋体" w:hAnsi="宋体" w:eastAsia="宋体" w:cs="宋体"/>
                <w:b/>
                <w:bCs/>
                <w:color w:val="auto"/>
                <w:sz w:val="21"/>
                <w:szCs w:val="21"/>
                <w:highlight w:val="none"/>
                <w:vertAlign w:val="subscript"/>
              </w:rPr>
              <w:t>1</w:t>
            </w:r>
            <w:r>
              <w:rPr>
                <w:rFonts w:hint="eastAsia" w:ascii="宋体" w:hAnsi="宋体" w:eastAsia="宋体" w:cs="宋体"/>
                <w:b/>
                <w:bCs/>
                <w:color w:val="auto"/>
                <w:sz w:val="21"/>
                <w:szCs w:val="21"/>
                <w:highlight w:val="none"/>
              </w:rPr>
              <w:sym w:font="Symbol" w:char="F0B3"/>
            </w:r>
            <w:r>
              <w:rPr>
                <w:rFonts w:hint="eastAsia" w:ascii="宋体" w:hAnsi="宋体" w:eastAsia="宋体" w:cs="宋体"/>
                <w:b/>
                <w:bCs/>
                <w:color w:val="auto"/>
                <w:sz w:val="21"/>
                <w:szCs w:val="21"/>
                <w:highlight w:val="none"/>
              </w:rPr>
              <w:t>D，则E=</w:t>
            </w:r>
            <w:r>
              <w:rPr>
                <w:rFonts w:hint="eastAsia" w:ascii="宋体" w:hAnsi="宋体" w:eastAsia="宋体" w:cs="宋体"/>
                <w:b/>
                <w:bCs/>
                <w:color w:val="auto"/>
                <w:sz w:val="21"/>
                <w:szCs w:val="21"/>
                <w:highlight w:val="none"/>
                <w:lang w:val="en-US" w:eastAsia="zh-CN"/>
              </w:rPr>
              <w:t>0.4</w:t>
            </w:r>
            <w:r>
              <w:rPr>
                <w:rFonts w:hint="eastAsia" w:ascii="宋体" w:hAnsi="宋体" w:eastAsia="宋体" w:cs="宋体"/>
                <w:b/>
                <w:bCs/>
                <w:color w:val="auto"/>
                <w:sz w:val="21"/>
                <w:szCs w:val="21"/>
                <w:highlight w:val="none"/>
              </w:rPr>
              <w:t>；若D</w:t>
            </w:r>
            <w:r>
              <w:rPr>
                <w:rFonts w:hint="eastAsia" w:ascii="宋体" w:hAnsi="宋体" w:eastAsia="宋体" w:cs="宋体"/>
                <w:b/>
                <w:bCs/>
                <w:color w:val="auto"/>
                <w:sz w:val="21"/>
                <w:szCs w:val="21"/>
                <w:highlight w:val="none"/>
                <w:vertAlign w:val="subscript"/>
              </w:rPr>
              <w:t>1</w:t>
            </w:r>
            <w:r>
              <w:rPr>
                <w:rFonts w:hint="eastAsia" w:ascii="宋体" w:hAnsi="宋体" w:eastAsia="宋体" w:cs="宋体"/>
                <w:b/>
                <w:bCs/>
                <w:color w:val="auto"/>
                <w:sz w:val="21"/>
                <w:szCs w:val="21"/>
                <w:highlight w:val="none"/>
              </w:rPr>
              <w:t>&lt;D，则E=0.</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gridSpan w:val="2"/>
            <w:vAlign w:val="center"/>
          </w:tcPr>
          <w:p>
            <w:pPr>
              <w:pStyle w:val="25"/>
              <w:autoSpaceDE w:val="0"/>
              <w:autoSpaceDN w:val="0"/>
              <w:spacing w:line="280" w:lineRule="exact"/>
              <w:jc w:val="center"/>
              <w:rPr>
                <w:rFonts w:hint="eastAsia" w:ascii="宋体" w:hAnsi="宋体" w:eastAsia="宋体" w:cs="宋体"/>
                <w:b/>
                <w:color w:val="auto"/>
                <w:sz w:val="21"/>
                <w:szCs w:val="21"/>
                <w:highlight w:val="none"/>
                <w:lang w:eastAsia="en-US"/>
              </w:rPr>
            </w:pPr>
            <w:r>
              <w:rPr>
                <w:rFonts w:hint="eastAsia" w:ascii="宋体" w:hAnsi="宋体" w:eastAsia="宋体" w:cs="宋体"/>
                <w:b/>
                <w:color w:val="auto"/>
                <w:sz w:val="21"/>
                <w:szCs w:val="21"/>
                <w:highlight w:val="none"/>
              </w:rPr>
              <w:t>条款号</w:t>
            </w:r>
          </w:p>
        </w:tc>
        <w:tc>
          <w:tcPr>
            <w:tcW w:w="1134" w:type="dxa"/>
            <w:vAlign w:val="center"/>
          </w:tcPr>
          <w:p>
            <w:pPr>
              <w:spacing w:line="28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1561" w:type="dxa"/>
            <w:gridSpan w:val="2"/>
            <w:vAlign w:val="center"/>
          </w:tcPr>
          <w:p>
            <w:pPr>
              <w:spacing w:line="28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评审分值</w:t>
            </w:r>
          </w:p>
        </w:tc>
        <w:tc>
          <w:tcPr>
            <w:tcW w:w="3490" w:type="dxa"/>
            <w:vAlign w:val="center"/>
          </w:tcPr>
          <w:p>
            <w:pPr>
              <w:spacing w:line="28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c>
          <w:tcPr>
            <w:tcW w:w="2322" w:type="dxa"/>
            <w:vAlign w:val="center"/>
          </w:tcPr>
          <w:p>
            <w:pPr>
              <w:spacing w:line="28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849" w:type="dxa"/>
            <w:gridSpan w:val="2"/>
            <w:vMerge w:val="restart"/>
            <w:vAlign w:val="center"/>
          </w:tcPr>
          <w:p>
            <w:pPr>
              <w:pStyle w:val="25"/>
              <w:autoSpaceDE w:val="0"/>
              <w:autoSpaceDN w:val="0"/>
              <w:spacing w:line="280" w:lineRule="exact"/>
              <w:rPr>
                <w:rFonts w:hint="eastAsia" w:ascii="宋体" w:hAnsi="宋体" w:eastAsia="宋体" w:cs="宋体"/>
                <w:b/>
                <w:color w:val="auto"/>
                <w:sz w:val="21"/>
                <w:szCs w:val="21"/>
                <w:highlight w:val="none"/>
                <w:lang w:val="en-US" w:eastAsia="zh-CN"/>
              </w:rPr>
            </w:pP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en-US" w:eastAsia="zh-CN"/>
              </w:rPr>
              <w:t>2</w:t>
            </w:r>
          </w:p>
        </w:tc>
        <w:tc>
          <w:tcPr>
            <w:tcW w:w="1134" w:type="dxa"/>
            <w:vMerge w:val="restart"/>
            <w:vAlign w:val="center"/>
          </w:tcPr>
          <w:p>
            <w:pPr>
              <w:spacing w:line="28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技术得分</w:t>
            </w:r>
          </w:p>
        </w:tc>
        <w:tc>
          <w:tcPr>
            <w:tcW w:w="1561" w:type="dxa"/>
            <w:gridSpan w:val="2"/>
            <w:vMerge w:val="restart"/>
            <w:vAlign w:val="center"/>
          </w:tcPr>
          <w:p>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0分</w:t>
            </w:r>
          </w:p>
        </w:tc>
        <w:tc>
          <w:tcPr>
            <w:tcW w:w="3490" w:type="dxa"/>
            <w:shd w:val="clear" w:color="auto" w:fill="auto"/>
            <w:vAlign w:val="center"/>
          </w:tcPr>
          <w:p>
            <w:pPr>
              <w:numPr>
                <w:ilvl w:val="0"/>
                <w:numId w:val="0"/>
              </w:numPr>
              <w:spacing w:before="0" w:after="0" w:line="36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（1）总体需求理解、设计理念、设计效果（0-10分）</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sz w:val="21"/>
                <w:szCs w:val="21"/>
              </w:rPr>
              <w:t>对“此项目”的理解和总体展示设计，对我集团参展需求理解、设计理念、设计效果（含物料制作）思路。是否具有针对性、专业性、新颖性和可行性，从设计理念能否体现本次项目的定位和特色。</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优秀6-10分，良好4-5，基本满足得3分，未提供的不得分。</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2"/>
                <w:sz w:val="21"/>
                <w:szCs w:val="21"/>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gridSpan w:val="2"/>
            <w:vMerge w:val="continue"/>
            <w:vAlign w:val="center"/>
          </w:tcPr>
          <w:p>
            <w:pPr>
              <w:pStyle w:val="25"/>
              <w:autoSpaceDE w:val="0"/>
              <w:autoSpaceDN w:val="0"/>
              <w:spacing w:line="280" w:lineRule="exact"/>
              <w:rPr>
                <w:rFonts w:hint="eastAsia" w:ascii="宋体" w:hAnsi="宋体" w:eastAsia="宋体" w:cs="宋体"/>
                <w:b/>
                <w:color w:val="auto"/>
                <w:sz w:val="21"/>
                <w:szCs w:val="21"/>
                <w:highlight w:val="none"/>
              </w:rPr>
            </w:pPr>
          </w:p>
        </w:tc>
        <w:tc>
          <w:tcPr>
            <w:tcW w:w="1134" w:type="dxa"/>
            <w:vMerge w:val="continue"/>
            <w:vAlign w:val="center"/>
          </w:tcPr>
          <w:p>
            <w:pPr>
              <w:spacing w:line="280" w:lineRule="exact"/>
              <w:jc w:val="center"/>
              <w:rPr>
                <w:rFonts w:hint="eastAsia" w:ascii="宋体" w:hAnsi="宋体" w:eastAsia="宋体" w:cs="宋体"/>
                <w:b/>
                <w:color w:val="auto"/>
                <w:sz w:val="21"/>
                <w:szCs w:val="21"/>
                <w:highlight w:val="none"/>
              </w:rPr>
            </w:pPr>
          </w:p>
        </w:tc>
        <w:tc>
          <w:tcPr>
            <w:tcW w:w="1561" w:type="dxa"/>
            <w:gridSpan w:val="2"/>
            <w:vMerge w:val="continue"/>
            <w:vAlign w:val="center"/>
          </w:tcPr>
          <w:p>
            <w:pPr>
              <w:spacing w:line="280" w:lineRule="exact"/>
              <w:jc w:val="center"/>
              <w:rPr>
                <w:rFonts w:hint="eastAsia" w:ascii="宋体" w:hAnsi="宋体" w:eastAsia="宋体" w:cs="宋体"/>
                <w:color w:val="auto"/>
                <w:kern w:val="0"/>
                <w:sz w:val="21"/>
                <w:szCs w:val="21"/>
                <w:highlight w:val="none"/>
              </w:rPr>
            </w:pPr>
          </w:p>
        </w:tc>
        <w:tc>
          <w:tcPr>
            <w:tcW w:w="3490" w:type="dxa"/>
            <w:vAlign w:val="center"/>
          </w:tcPr>
          <w:p>
            <w:pPr>
              <w:rPr>
                <w:rFonts w:hint="eastAsia" w:ascii="宋体" w:hAnsi="宋体" w:eastAsia="宋体" w:cs="宋体"/>
                <w:sz w:val="21"/>
                <w:szCs w:val="21"/>
              </w:rPr>
            </w:pPr>
            <w:r>
              <w:rPr>
                <w:rFonts w:hint="eastAsia" w:ascii="宋体" w:hAnsi="宋体" w:eastAsia="宋体" w:cs="宋体"/>
                <w:sz w:val="21"/>
                <w:szCs w:val="21"/>
              </w:rPr>
              <w:t>（2）搭建布置初步方案、方面对项目建议方案进行评审（</w:t>
            </w:r>
            <w:r>
              <w:rPr>
                <w:rFonts w:hint="eastAsia" w:ascii="宋体" w:hAnsi="宋体" w:eastAsia="宋体" w:cs="宋体"/>
                <w:sz w:val="21"/>
                <w:szCs w:val="21"/>
                <w:shd w:val="clear" w:color="auto" w:fill="FFFFFF"/>
              </w:rPr>
              <w:t>0—5分</w:t>
            </w:r>
            <w:r>
              <w:rPr>
                <w:rFonts w:hint="eastAsia" w:ascii="宋体" w:hAnsi="宋体" w:eastAsia="宋体" w:cs="宋体"/>
                <w:sz w:val="21"/>
                <w:szCs w:val="21"/>
              </w:rPr>
              <w:t>）</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根据本项目的定位，搭建方案功能区规划合理，设计识别性强，具备鲜明的个性特征；方案合理可行、细节恰当新颖，搭建材质科技感强得3-5分；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搭建方案功能区规划较合理，设计识别性较强，具备较鲜明的个性特征；方案较合理可行、细节较恰当较新颖，搭建材质科技感较强得2-3分；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搭建方案功能区规划基本合理，设计识别性一般，基本具备鲜明的个性特征；方案基本合理可行、细节基本恰当新颖，搭建材质科技感一般0-2分；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sz w:val="21"/>
                <w:szCs w:val="21"/>
              </w:rPr>
              <w:t>搭建方案功能区规划一般，设计识别性一般，不太具有鲜明的个性特征；方案合理性一般、细节一般，搭建材质科技感一般及未提供得0分。</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优秀3-5分，良好2-3，基本满足得0-2分，未提供的不得分。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gridSpan w:val="2"/>
            <w:vMerge w:val="continue"/>
            <w:vAlign w:val="center"/>
          </w:tcPr>
          <w:p>
            <w:pPr>
              <w:pStyle w:val="25"/>
              <w:autoSpaceDE w:val="0"/>
              <w:autoSpaceDN w:val="0"/>
              <w:spacing w:line="280" w:lineRule="exact"/>
              <w:rPr>
                <w:rFonts w:hint="eastAsia" w:ascii="宋体" w:hAnsi="宋体" w:eastAsia="宋体" w:cs="宋体"/>
                <w:b/>
                <w:color w:val="auto"/>
                <w:sz w:val="21"/>
                <w:szCs w:val="21"/>
                <w:highlight w:val="none"/>
              </w:rPr>
            </w:pPr>
          </w:p>
        </w:tc>
        <w:tc>
          <w:tcPr>
            <w:tcW w:w="1134" w:type="dxa"/>
            <w:vMerge w:val="continue"/>
            <w:vAlign w:val="center"/>
          </w:tcPr>
          <w:p>
            <w:pPr>
              <w:spacing w:line="280" w:lineRule="exact"/>
              <w:jc w:val="center"/>
              <w:rPr>
                <w:rFonts w:hint="eastAsia" w:ascii="宋体" w:hAnsi="宋体" w:eastAsia="宋体" w:cs="宋体"/>
                <w:b/>
                <w:color w:val="auto"/>
                <w:sz w:val="21"/>
                <w:szCs w:val="21"/>
                <w:highlight w:val="none"/>
              </w:rPr>
            </w:pPr>
          </w:p>
        </w:tc>
        <w:tc>
          <w:tcPr>
            <w:tcW w:w="1561" w:type="dxa"/>
            <w:gridSpan w:val="2"/>
            <w:vMerge w:val="continue"/>
            <w:vAlign w:val="center"/>
          </w:tcPr>
          <w:p>
            <w:pPr>
              <w:spacing w:line="280" w:lineRule="exact"/>
              <w:jc w:val="center"/>
              <w:rPr>
                <w:rFonts w:hint="eastAsia" w:ascii="宋体" w:hAnsi="宋体" w:eastAsia="宋体" w:cs="宋体"/>
                <w:color w:val="auto"/>
                <w:kern w:val="0"/>
                <w:sz w:val="21"/>
                <w:szCs w:val="21"/>
                <w:highlight w:val="none"/>
              </w:rPr>
            </w:pPr>
          </w:p>
        </w:tc>
        <w:tc>
          <w:tcPr>
            <w:tcW w:w="3490" w:type="dxa"/>
            <w:vAlign w:val="center"/>
          </w:tcPr>
          <w:p>
            <w:pPr>
              <w:rPr>
                <w:rFonts w:hint="eastAsia" w:ascii="宋体" w:hAnsi="宋体" w:eastAsia="宋体" w:cs="宋体"/>
                <w:sz w:val="21"/>
                <w:szCs w:val="21"/>
              </w:rPr>
            </w:pPr>
            <w:r>
              <w:rPr>
                <w:rFonts w:hint="eastAsia" w:ascii="宋体" w:hAnsi="宋体" w:eastAsia="宋体" w:cs="宋体"/>
                <w:sz w:val="21"/>
                <w:szCs w:val="21"/>
              </w:rPr>
              <w:t>（3）现场服务、保障方案（5分）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根据本项目展览服务要求，制定的现场服务方案、后勤保障方案，以及现场发生的各类突发事件、特殊状况的处理和保障等，根据各投标人方案的完整度、合理性和可行性等方面横向比较打分。</w:t>
            </w:r>
          </w:p>
          <w:p>
            <w:pPr>
              <w:rPr>
                <w:rFonts w:hint="eastAsia" w:ascii="宋体" w:hAnsi="宋体" w:eastAsia="宋体" w:cs="宋体"/>
                <w:sz w:val="21"/>
                <w:szCs w:val="21"/>
              </w:rPr>
            </w:pPr>
            <w:r>
              <w:rPr>
                <w:rFonts w:hint="eastAsia" w:ascii="宋体" w:hAnsi="宋体" w:eastAsia="宋体" w:cs="宋体"/>
                <w:sz w:val="21"/>
                <w:szCs w:val="21"/>
              </w:rPr>
              <w:t>方案完整、合理、可行性高得3-5分；</w:t>
            </w:r>
          </w:p>
          <w:p>
            <w:pPr>
              <w:rPr>
                <w:rFonts w:hint="eastAsia" w:ascii="宋体" w:hAnsi="宋体" w:eastAsia="宋体" w:cs="宋体"/>
                <w:sz w:val="21"/>
                <w:szCs w:val="21"/>
              </w:rPr>
            </w:pPr>
            <w:r>
              <w:rPr>
                <w:rFonts w:hint="eastAsia" w:ascii="宋体" w:hAnsi="宋体" w:eastAsia="宋体" w:cs="宋体"/>
                <w:sz w:val="21"/>
                <w:szCs w:val="21"/>
              </w:rPr>
              <w:t>方案较完整、较合理、可行性较高得2-3分；</w:t>
            </w:r>
          </w:p>
          <w:p>
            <w:pPr>
              <w:rPr>
                <w:rFonts w:hint="eastAsia" w:ascii="宋体" w:hAnsi="宋体" w:eastAsia="宋体" w:cs="宋体"/>
                <w:sz w:val="21"/>
                <w:szCs w:val="21"/>
              </w:rPr>
            </w:pPr>
            <w:r>
              <w:rPr>
                <w:rFonts w:hint="eastAsia" w:ascii="宋体" w:hAnsi="宋体" w:eastAsia="宋体" w:cs="宋体"/>
                <w:sz w:val="21"/>
                <w:szCs w:val="21"/>
              </w:rPr>
              <w:t>方案基本完整、基本合理、可行性基本到位得0-2分；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方案不太完整、基本合理、可行性基本到位及未提供得0分。</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优秀3-5分，良好2-3，基本满足得0-2分，未提供的不得分。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49" w:type="dxa"/>
            <w:gridSpan w:val="2"/>
            <w:vAlign w:val="center"/>
          </w:tcPr>
          <w:p>
            <w:pPr>
              <w:pStyle w:val="25"/>
              <w:autoSpaceDE w:val="0"/>
              <w:autoSpaceDN w:val="0"/>
              <w:spacing w:line="280" w:lineRule="exact"/>
              <w:rPr>
                <w:rFonts w:hint="eastAsia" w:ascii="宋体" w:hAnsi="宋体" w:eastAsia="宋体" w:cs="宋体"/>
                <w:b/>
                <w:color w:val="auto"/>
                <w:sz w:val="21"/>
                <w:szCs w:val="21"/>
                <w:highlight w:val="none"/>
                <w:lang w:val="en-US" w:eastAsia="zh-CN"/>
              </w:rPr>
            </w:pP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en-US" w:eastAsia="zh-CN"/>
              </w:rPr>
              <w:t>3</w:t>
            </w:r>
          </w:p>
        </w:tc>
        <w:tc>
          <w:tcPr>
            <w:tcW w:w="1134" w:type="dxa"/>
            <w:vAlign w:val="center"/>
          </w:tcPr>
          <w:p>
            <w:pPr>
              <w:spacing w:line="28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商务</w:t>
            </w:r>
            <w:r>
              <w:rPr>
                <w:rFonts w:hint="eastAsia" w:ascii="宋体" w:hAnsi="宋体" w:eastAsia="宋体" w:cs="宋体"/>
                <w:b/>
                <w:color w:val="auto"/>
                <w:sz w:val="21"/>
                <w:szCs w:val="21"/>
                <w:highlight w:val="none"/>
              </w:rPr>
              <w:t>得分</w:t>
            </w:r>
          </w:p>
        </w:tc>
        <w:tc>
          <w:tcPr>
            <w:tcW w:w="1561" w:type="dxa"/>
            <w:gridSpan w:val="2"/>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0分</w:t>
            </w:r>
          </w:p>
        </w:tc>
        <w:tc>
          <w:tcPr>
            <w:tcW w:w="3490" w:type="dxa"/>
            <w:vAlign w:val="center"/>
          </w:tcPr>
          <w:p>
            <w:pPr>
              <w:spacing w:line="460" w:lineRule="exac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在</w:t>
            </w:r>
            <w:r>
              <w:rPr>
                <w:rFonts w:hint="eastAsia" w:ascii="宋体" w:hAnsi="宋体" w:eastAsia="宋体" w:cs="宋体"/>
                <w:sz w:val="21"/>
                <w:szCs w:val="21"/>
                <w:highlight w:val="none"/>
              </w:rPr>
              <w:t>资质、业绩要求</w:t>
            </w:r>
            <w:r>
              <w:rPr>
                <w:rFonts w:hint="eastAsia" w:ascii="宋体" w:hAnsi="宋体" w:eastAsia="宋体" w:cs="宋体"/>
                <w:sz w:val="21"/>
                <w:szCs w:val="21"/>
                <w:highlight w:val="none"/>
                <w:lang w:val="en-US" w:eastAsia="zh-CN"/>
              </w:rPr>
              <w:t>的基础上，</w:t>
            </w:r>
            <w:r>
              <w:rPr>
                <w:rFonts w:hint="eastAsia" w:ascii="宋体" w:hAnsi="宋体" w:eastAsia="宋体" w:cs="宋体"/>
                <w:strike w:val="0"/>
                <w:dstrike w:val="0"/>
                <w:color w:val="auto"/>
                <w:sz w:val="21"/>
                <w:szCs w:val="21"/>
                <w:highlight w:val="none"/>
              </w:rPr>
              <w:t>近</w:t>
            </w:r>
            <w:r>
              <w:rPr>
                <w:rFonts w:hint="eastAsia" w:ascii="宋体" w:hAnsi="宋体" w:cs="宋体"/>
                <w:strike w:val="0"/>
                <w:dstrike w:val="0"/>
                <w:color w:val="auto"/>
                <w:sz w:val="21"/>
                <w:szCs w:val="21"/>
                <w:highlight w:val="none"/>
                <w:lang w:val="en-US" w:eastAsia="zh-CN"/>
              </w:rPr>
              <w:t>三</w:t>
            </w:r>
            <w:r>
              <w:rPr>
                <w:rFonts w:hint="eastAsia" w:ascii="宋体" w:hAnsi="宋体" w:eastAsia="宋体" w:cs="宋体"/>
                <w:strike w:val="0"/>
                <w:dstrike w:val="0"/>
                <w:color w:val="auto"/>
                <w:sz w:val="21"/>
                <w:szCs w:val="21"/>
                <w:highlight w:val="none"/>
              </w:rPr>
              <w:t>年（</w:t>
            </w:r>
            <w:r>
              <w:rPr>
                <w:rFonts w:hint="eastAsia" w:ascii="宋体" w:hAnsi="宋体" w:eastAsia="宋体" w:cs="宋体"/>
                <w:strike w:val="0"/>
                <w:dstrike w:val="0"/>
                <w:color w:val="auto"/>
                <w:sz w:val="21"/>
                <w:szCs w:val="21"/>
                <w:highlight w:val="none"/>
                <w:lang w:val="en-US" w:eastAsia="zh-CN"/>
              </w:rPr>
              <w:t>2020</w:t>
            </w:r>
            <w:r>
              <w:rPr>
                <w:rFonts w:hint="eastAsia" w:ascii="宋体" w:hAnsi="宋体" w:eastAsia="宋体" w:cs="宋体"/>
                <w:strike w:val="0"/>
                <w:dstrike w:val="0"/>
                <w:color w:val="auto"/>
                <w:sz w:val="21"/>
                <w:szCs w:val="21"/>
                <w:highlight w:val="none"/>
              </w:rPr>
              <w:t>年</w:t>
            </w:r>
            <w:r>
              <w:rPr>
                <w:rFonts w:hint="eastAsia" w:ascii="宋体" w:hAnsi="宋体" w:eastAsia="宋体" w:cs="宋体"/>
                <w:strike w:val="0"/>
                <w:dstrike w:val="0"/>
                <w:color w:val="auto"/>
                <w:sz w:val="21"/>
                <w:szCs w:val="21"/>
                <w:highlight w:val="none"/>
                <w:lang w:val="en-US" w:eastAsia="zh-CN"/>
              </w:rPr>
              <w:t>8</w:t>
            </w:r>
            <w:r>
              <w:rPr>
                <w:rFonts w:hint="eastAsia" w:ascii="宋体" w:hAnsi="宋体" w:eastAsia="宋体" w:cs="宋体"/>
                <w:strike w:val="0"/>
                <w:dstrike w:val="0"/>
                <w:color w:val="auto"/>
                <w:sz w:val="21"/>
                <w:szCs w:val="21"/>
                <w:highlight w:val="none"/>
              </w:rPr>
              <w:t>月1日至今）</w:t>
            </w:r>
            <w:r>
              <w:rPr>
                <w:rFonts w:hint="eastAsia" w:ascii="宋体" w:hAnsi="宋体" w:eastAsia="宋体" w:cs="宋体"/>
                <w:color w:val="auto"/>
                <w:sz w:val="21"/>
                <w:szCs w:val="21"/>
                <w:highlight w:val="none"/>
              </w:rPr>
              <w:t>每增加1次</w:t>
            </w:r>
            <w:r>
              <w:rPr>
                <w:rFonts w:hint="eastAsia" w:ascii="宋体" w:hAnsi="宋体" w:eastAsia="宋体" w:cs="宋体"/>
                <w:color w:val="auto"/>
                <w:sz w:val="21"/>
                <w:szCs w:val="21"/>
                <w:highlight w:val="none"/>
                <w:lang w:val="en-US" w:eastAsia="zh-CN"/>
              </w:rPr>
              <w:t>省/直辖市级及以上级别</w:t>
            </w:r>
            <w:r>
              <w:rPr>
                <w:rFonts w:hint="eastAsia" w:ascii="宋体" w:hAnsi="宋体" w:eastAsia="宋体" w:cs="宋体"/>
                <w:color w:val="auto"/>
                <w:sz w:val="21"/>
                <w:szCs w:val="21"/>
                <w:highlight w:val="none"/>
              </w:rPr>
              <w:t>会议展览</w:t>
            </w:r>
            <w:r>
              <w:rPr>
                <w:rFonts w:hint="eastAsia" w:ascii="宋体" w:hAnsi="宋体" w:eastAsia="宋体" w:cs="宋体"/>
                <w:color w:val="auto"/>
                <w:sz w:val="21"/>
                <w:szCs w:val="21"/>
                <w:highlight w:val="none"/>
                <w:lang w:val="en-US" w:eastAsia="zh-CN"/>
              </w:rPr>
              <w:t>特装展台项目</w:t>
            </w:r>
            <w:r>
              <w:rPr>
                <w:rFonts w:hint="eastAsia" w:ascii="宋体" w:hAnsi="宋体" w:eastAsia="宋体" w:cs="宋体"/>
                <w:color w:val="auto"/>
                <w:sz w:val="21"/>
                <w:szCs w:val="21"/>
                <w:highlight w:val="none"/>
              </w:rPr>
              <w:t>（以正式签署的合同为准，合同金额不低于</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万元）加</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分，加满</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分为止</w:t>
            </w:r>
            <w:r>
              <w:rPr>
                <w:rFonts w:hint="eastAsia" w:ascii="宋体" w:hAnsi="宋体" w:eastAsia="宋体" w:cs="宋体"/>
                <w:color w:val="auto"/>
                <w:sz w:val="21"/>
                <w:szCs w:val="21"/>
                <w:highlight w:val="none"/>
                <w:lang w:eastAsia="zh-CN"/>
              </w:rPr>
              <w:t>。</w:t>
            </w:r>
          </w:p>
        </w:tc>
        <w:tc>
          <w:tcPr>
            <w:tcW w:w="2322" w:type="dxa"/>
            <w:vAlign w:val="center"/>
          </w:tcPr>
          <w:p>
            <w:pPr>
              <w:widowControl/>
              <w:spacing w:line="280" w:lineRule="exact"/>
              <w:ind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shd w:val="clear" w:color="auto" w:fill="FFFFFF"/>
                <w:lang w:val="en-US"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49" w:type="dxa"/>
            <w:gridSpan w:val="2"/>
            <w:vAlign w:val="center"/>
          </w:tcPr>
          <w:p>
            <w:pPr>
              <w:spacing w:line="28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5.6</w:t>
            </w:r>
          </w:p>
        </w:tc>
        <w:tc>
          <w:tcPr>
            <w:tcW w:w="1134" w:type="dxa"/>
            <w:vAlign w:val="center"/>
          </w:tcPr>
          <w:p>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评标结果</w:t>
            </w:r>
          </w:p>
        </w:tc>
        <w:tc>
          <w:tcPr>
            <w:tcW w:w="7373" w:type="dxa"/>
            <w:gridSpan w:val="4"/>
          </w:tcPr>
          <w:p>
            <w:pPr>
              <w:numPr>
                <w:ilvl w:val="0"/>
                <w:numId w:val="4"/>
              </w:numPr>
              <w:spacing w:line="2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以上评分最终得分均保留2位小数，按四舍五入原则进行。</w:t>
            </w:r>
          </w:p>
          <w:p>
            <w:pPr>
              <w:numPr>
                <w:ilvl w:val="0"/>
                <w:numId w:val="4"/>
              </w:numPr>
              <w:spacing w:line="2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本项目评标采用综合评分法，对通过初步评审、详细评审的有效比选申请人按照综合得分（</w:t>
            </w:r>
            <w:r>
              <w:rPr>
                <w:rFonts w:hint="eastAsia" w:ascii="宋体" w:hAnsi="宋体" w:eastAsia="宋体" w:cs="宋体"/>
                <w:color w:val="auto"/>
                <w:sz w:val="21"/>
                <w:szCs w:val="21"/>
                <w:highlight w:val="none"/>
                <w:lang w:val="en-US" w:eastAsia="zh-CN"/>
              </w:rPr>
              <w:t>商务得分+</w:t>
            </w:r>
            <w:r>
              <w:rPr>
                <w:rFonts w:hint="eastAsia" w:ascii="宋体" w:hAnsi="宋体" w:eastAsia="宋体" w:cs="宋体"/>
                <w:color w:val="auto"/>
                <w:sz w:val="21"/>
                <w:szCs w:val="21"/>
                <w:highlight w:val="none"/>
              </w:rPr>
              <w:t>技术得分+报价得分）由高到低先后顺序，依次推荐3名成交候选人。若不足3名，则只选取相应的数量。</w:t>
            </w:r>
          </w:p>
          <w:p>
            <w:pPr>
              <w:numPr>
                <w:ilvl w:val="0"/>
                <w:numId w:val="4"/>
              </w:numPr>
              <w:spacing w:line="2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经过对所有比选申请人的比选申请文件进行初步评审，导致有效比选申请人不足三个的，评标委员会应当否决所有投标。但是有效比选申请人的经济、商务等指标仍然具有市场竞争力，能够满足比选文件要求的，评标委员会可以继续评标并确定成交候选人。</w:t>
            </w:r>
          </w:p>
          <w:p>
            <w:pPr>
              <w:numPr>
                <w:ilvl w:val="0"/>
                <w:numId w:val="4"/>
              </w:numPr>
              <w:spacing w:line="2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评标委员会完成评标后，应当向比选人提交书面比选报告。</w:t>
            </w:r>
          </w:p>
          <w:p>
            <w:pPr>
              <w:numPr>
                <w:ilvl w:val="0"/>
                <w:numId w:val="4"/>
              </w:numPr>
              <w:spacing w:line="2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名第一的中标候选人在预公示期间需向招标代理机构出示其竞标文件中所涉及的资质文件的原件，经招标代理机构和比选人符合性审查通过后才能确定中标；若审查未通过，比选人有权取消其中标候选人资格，依次由排名后一位的中标候选人递补。</w:t>
            </w:r>
          </w:p>
          <w:p>
            <w:pPr>
              <w:numPr>
                <w:ilvl w:val="0"/>
                <w:numId w:val="4"/>
              </w:numPr>
              <w:spacing w:line="2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评标结果公示后比选申请人如果对评标结果有异议，可向比选人进行投诉，比选人将根据实际情况确定此次比选结果是否有效。</w:t>
            </w:r>
          </w:p>
        </w:tc>
      </w:tr>
    </w:tbl>
    <w:p>
      <w:pPr>
        <w:spacing w:line="460" w:lineRule="exact"/>
        <w:rPr>
          <w:rFonts w:ascii="宋体" w:hAnsi="宋体"/>
          <w:b/>
          <w:sz w:val="32"/>
          <w:szCs w:val="32"/>
          <w:highlight w:val="none"/>
        </w:rPr>
      </w:pPr>
      <w:r>
        <w:rPr>
          <w:rFonts w:hint="eastAsia" w:ascii="宋体" w:hAnsi="宋体"/>
          <w:b/>
          <w:sz w:val="32"/>
          <w:szCs w:val="32"/>
          <w:highlight w:val="none"/>
        </w:rPr>
        <w:t>九、报价须知</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（一）报价人应充分考虑在对项目过程中的</w:t>
      </w:r>
      <w:r>
        <w:rPr>
          <w:rFonts w:hint="eastAsia" w:ascii="宋体" w:hAnsi="宋体" w:cs="宋体"/>
          <w:szCs w:val="21"/>
          <w:highlight w:val="none"/>
          <w:lang w:val="en-US" w:eastAsia="zh-CN"/>
        </w:rPr>
        <w:t>报馆费、加班费、</w:t>
      </w:r>
      <w:r>
        <w:rPr>
          <w:rFonts w:hint="eastAsia" w:ascii="宋体" w:hAnsi="宋体" w:cs="宋体"/>
          <w:szCs w:val="21"/>
          <w:highlight w:val="none"/>
        </w:rPr>
        <w:t>交通费、差旅费、误餐费等费用。</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（二）报价人在人员、设备、技术等方面具有参展服务能力，并考虑其中产生的费用。</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（三）费用报价清单中各项金额均以人民币（元）结算。</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（四）需缴纳的一切税费均由投标人承担。</w:t>
      </w:r>
    </w:p>
    <w:p>
      <w:pPr>
        <w:spacing w:line="460" w:lineRule="exact"/>
        <w:ind w:firstLine="420" w:firstLineChars="200"/>
        <w:outlineLvl w:val="0"/>
        <w:rPr>
          <w:rFonts w:hint="default" w:ascii="宋体" w:hAnsi="宋体" w:eastAsia="宋体" w:cs="宋体"/>
          <w:szCs w:val="21"/>
          <w:highlight w:val="none"/>
          <w:lang w:val="en-US" w:eastAsia="zh-CN"/>
        </w:rPr>
      </w:pPr>
      <w:r>
        <w:rPr>
          <w:rFonts w:hint="eastAsia" w:ascii="宋体" w:hAnsi="宋体" w:cs="宋体"/>
          <w:szCs w:val="21"/>
          <w:highlight w:val="none"/>
        </w:rPr>
        <w:t>（五）该项目限价为</w:t>
      </w:r>
      <w:r>
        <w:rPr>
          <w:rFonts w:hint="eastAsia" w:ascii="宋体" w:hAnsi="宋体" w:cs="宋体"/>
          <w:szCs w:val="21"/>
          <w:highlight w:val="none"/>
          <w:lang w:val="en-US" w:eastAsia="zh-CN"/>
        </w:rPr>
        <w:t>75</w:t>
      </w:r>
      <w:r>
        <w:rPr>
          <w:rFonts w:hint="eastAsia" w:ascii="宋体" w:hAnsi="宋体" w:cs="宋体"/>
          <w:szCs w:val="21"/>
          <w:highlight w:val="none"/>
        </w:rPr>
        <w:t>万元</w:t>
      </w:r>
      <w:r>
        <w:rPr>
          <w:rFonts w:hint="eastAsia" w:ascii="宋体" w:hAnsi="宋体" w:cs="宋体"/>
          <w:szCs w:val="21"/>
          <w:highlight w:val="none"/>
          <w:lang w:eastAsia="zh-CN"/>
        </w:rPr>
        <w:t>（</w:t>
      </w:r>
      <w:r>
        <w:rPr>
          <w:rFonts w:hint="eastAsia" w:ascii="宋体" w:hAnsi="宋体" w:cs="宋体"/>
          <w:szCs w:val="21"/>
          <w:highlight w:val="none"/>
          <w:lang w:val="en-US" w:eastAsia="zh-CN"/>
        </w:rPr>
        <w:t>其中深化设计费6万元为固定费用，报价中不得减少或删去）。</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六</w:t>
      </w:r>
      <w:r>
        <w:rPr>
          <w:rFonts w:hint="eastAsia" w:ascii="宋体" w:hAnsi="宋体" w:cs="宋体"/>
          <w:szCs w:val="21"/>
          <w:highlight w:val="none"/>
        </w:rPr>
        <w:t>）项目费包干使用</w:t>
      </w:r>
      <w:r>
        <w:rPr>
          <w:rFonts w:hint="eastAsia" w:ascii="宋体" w:hAnsi="宋体" w:cs="宋体"/>
          <w:szCs w:val="21"/>
          <w:highlight w:val="none"/>
          <w:lang w:eastAsia="zh-CN"/>
        </w:rPr>
        <w:t>（</w:t>
      </w:r>
      <w:r>
        <w:rPr>
          <w:rFonts w:hint="eastAsia" w:ascii="宋体" w:hAnsi="宋体" w:cs="宋体"/>
          <w:szCs w:val="21"/>
          <w:highlight w:val="none"/>
          <w:lang w:val="en-US" w:eastAsia="zh-CN"/>
        </w:rPr>
        <w:t>包含但不限于设计、制作、货运、人工、报馆、水电网络等）</w:t>
      </w:r>
      <w:r>
        <w:rPr>
          <w:rFonts w:hint="eastAsia" w:ascii="宋体" w:hAnsi="宋体" w:cs="宋体"/>
          <w:szCs w:val="21"/>
          <w:highlight w:val="none"/>
        </w:rPr>
        <w:t>，业主不再支付其他费用。</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七</w:t>
      </w:r>
      <w:r>
        <w:rPr>
          <w:rFonts w:hint="eastAsia" w:ascii="宋体" w:hAnsi="宋体" w:cs="宋体"/>
          <w:szCs w:val="21"/>
          <w:highlight w:val="none"/>
        </w:rPr>
        <w:t>）费用报价清单需加盖竞争比选响应单位的公章，报价文件需逐页加盖公章，报价文件一式两份（需装订成册），正副本各一份，正本需彩色打印，副本为正本复印件。否则比选人有权拒收报价人的报价文件。</w:t>
      </w:r>
    </w:p>
    <w:p>
      <w:pPr>
        <w:spacing w:line="460" w:lineRule="exact"/>
        <w:rPr>
          <w:rFonts w:ascii="宋体" w:hAnsi="宋体"/>
          <w:b/>
          <w:sz w:val="32"/>
          <w:szCs w:val="32"/>
          <w:highlight w:val="none"/>
        </w:rPr>
      </w:pPr>
      <w:r>
        <w:rPr>
          <w:rFonts w:hint="eastAsia" w:ascii="宋体" w:hAnsi="宋体"/>
          <w:b/>
          <w:sz w:val="32"/>
          <w:szCs w:val="32"/>
          <w:highlight w:val="none"/>
        </w:rPr>
        <w:t>十、竞争性比选响应文件的组成：</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（一）将竞争性比选响应文件其密封到一个封套中，在封套上写明：</w:t>
      </w:r>
      <w:r>
        <w:rPr>
          <w:rFonts w:hint="eastAsia"/>
          <w:kern w:val="0"/>
          <w:szCs w:val="21"/>
        </w:rPr>
        <w:t>重庆高速文化传媒股份有限公司</w:t>
      </w:r>
      <w:r>
        <w:rPr>
          <w:rFonts w:hint="eastAsia" w:ascii="宋体" w:hAnsi="宋体" w:cs="宋体"/>
          <w:szCs w:val="21"/>
          <w:highlight w:val="none"/>
        </w:rPr>
        <w:t>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lang w:val="en-US" w:eastAsia="zh-CN"/>
        </w:rPr>
        <w:t>智博会设计及装饰施工单位选择</w:t>
      </w:r>
      <w:r>
        <w:rPr>
          <w:rFonts w:hint="eastAsia" w:ascii="宋体" w:hAnsi="宋体" w:cs="宋体"/>
          <w:szCs w:val="21"/>
          <w:highlight w:val="none"/>
        </w:rPr>
        <w:t>比选响应文件（格式见附件1）；</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（二）竞争性比选响应声明书（格式见附件2）；</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（三）报价一览表（格式见附件3）；</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（四）</w:t>
      </w:r>
      <w:r>
        <w:rPr>
          <w:rFonts w:ascii="宋体" w:hAnsi="宋体" w:cs="宋体"/>
          <w:szCs w:val="21"/>
          <w:highlight w:val="none"/>
        </w:rPr>
        <w:t>法定代表人身份证明、授权委托书及身份证明</w:t>
      </w:r>
      <w:r>
        <w:rPr>
          <w:rFonts w:hint="eastAsia" w:ascii="宋体" w:hAnsi="宋体" w:cs="宋体"/>
          <w:szCs w:val="21"/>
          <w:highlight w:val="none"/>
        </w:rPr>
        <w:t>（格式见附件4）；</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（五）竞争性比选响应单位三证合一的营业执照（副本）复印件（要求原件备查）；</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（六）资质、业绩及商务评审要求的各类合同复印件；</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七</w:t>
      </w:r>
      <w:r>
        <w:rPr>
          <w:rFonts w:hint="eastAsia" w:ascii="宋体" w:hAnsi="宋体" w:cs="宋体"/>
          <w:szCs w:val="21"/>
          <w:highlight w:val="none"/>
        </w:rPr>
        <w:t>）项目建议方案；</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八</w:t>
      </w:r>
      <w:r>
        <w:rPr>
          <w:rFonts w:hint="eastAsia" w:ascii="宋体" w:hAnsi="宋体" w:cs="宋体"/>
          <w:szCs w:val="21"/>
          <w:highlight w:val="none"/>
        </w:rPr>
        <w:t>）本竞争性比选文件其它条款要求提供的文件以及竞争性比选响应单位认为需要提供的其他相关文件（注：以上所有文件均须加盖竞争性比选响应单位的公章）。</w:t>
      </w:r>
    </w:p>
    <w:p>
      <w:pPr>
        <w:spacing w:line="460" w:lineRule="exact"/>
        <w:outlineLvl w:val="0"/>
        <w:rPr>
          <w:bCs/>
          <w:szCs w:val="21"/>
        </w:rPr>
      </w:pPr>
      <w:r>
        <w:rPr>
          <w:rFonts w:hint="eastAsia" w:ascii="宋体" w:hAnsi="宋体"/>
          <w:b/>
          <w:sz w:val="32"/>
          <w:szCs w:val="32"/>
          <w:highlight w:val="none"/>
        </w:rPr>
        <w:t>十一、竞争性比选</w:t>
      </w:r>
      <w:r>
        <w:rPr>
          <w:rFonts w:hint="eastAsia" w:ascii="宋体" w:hAnsi="宋体"/>
          <w:b/>
          <w:sz w:val="32"/>
          <w:szCs w:val="32"/>
          <w:highlight w:val="none"/>
          <w:lang w:val="en-US" w:eastAsia="zh-CN"/>
        </w:rPr>
        <w:t>须知</w:t>
      </w:r>
    </w:p>
    <w:p>
      <w:pPr>
        <w:pStyle w:val="23"/>
        <w:spacing w:line="400" w:lineRule="exact"/>
        <w:ind w:firstLine="420"/>
        <w:rPr>
          <w:rFonts w:ascii="Times New Roman" w:eastAsia="宋体" w:cs="Times New Roman"/>
          <w:color w:val="auto"/>
          <w:sz w:val="21"/>
          <w:szCs w:val="21"/>
        </w:rPr>
      </w:pPr>
      <w:r>
        <w:rPr>
          <w:rFonts w:ascii="Times New Roman" w:eastAsia="宋体" w:cs="Times New Roman"/>
          <w:color w:val="auto"/>
          <w:sz w:val="21"/>
          <w:szCs w:val="21"/>
        </w:rPr>
        <w:t>（</w:t>
      </w:r>
      <w:r>
        <w:rPr>
          <w:rFonts w:hint="eastAsia" w:ascii="Times New Roman" w:eastAsia="宋体" w:cs="Times New Roman"/>
          <w:color w:val="auto"/>
          <w:sz w:val="21"/>
          <w:szCs w:val="21"/>
          <w:lang w:val="en-US" w:eastAsia="zh-CN"/>
        </w:rPr>
        <w:t>一</w:t>
      </w:r>
      <w:r>
        <w:rPr>
          <w:rFonts w:ascii="Times New Roman" w:eastAsia="宋体" w:cs="Times New Roman"/>
          <w:color w:val="auto"/>
          <w:sz w:val="21"/>
          <w:szCs w:val="21"/>
        </w:rPr>
        <w:t>）</w:t>
      </w:r>
      <w:r>
        <w:rPr>
          <w:rFonts w:hint="eastAsia" w:ascii="Times New Roman" w:eastAsia="宋体" w:cs="Times New Roman"/>
          <w:color w:val="auto"/>
          <w:sz w:val="21"/>
          <w:szCs w:val="21"/>
        </w:rPr>
        <w:t>竞争性比选地点：</w:t>
      </w:r>
      <w:r>
        <w:rPr>
          <w:rFonts w:hint="eastAsia" w:ascii="Times New Roman" w:eastAsia="宋体" w:cs="Times New Roman"/>
          <w:color w:val="auto"/>
          <w:sz w:val="21"/>
          <w:szCs w:val="21"/>
          <w:highlight w:val="none"/>
        </w:rPr>
        <w:t>重庆市渝北区海王星科技大厦D区5楼。</w:t>
      </w:r>
    </w:p>
    <w:p>
      <w:pPr>
        <w:pStyle w:val="23"/>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w:t>
      </w:r>
      <w:r>
        <w:rPr>
          <w:rFonts w:hint="eastAsia" w:ascii="Times New Roman" w:eastAsia="宋体" w:cs="Times New Roman"/>
          <w:color w:val="auto"/>
          <w:sz w:val="21"/>
          <w:szCs w:val="21"/>
          <w:lang w:val="en-US" w:eastAsia="zh-CN"/>
        </w:rPr>
        <w:t>二</w:t>
      </w:r>
      <w:r>
        <w:rPr>
          <w:rFonts w:hint="eastAsia" w:ascii="Times New Roman" w:eastAsia="宋体" w:cs="Times New Roman"/>
          <w:color w:val="auto"/>
          <w:sz w:val="21"/>
          <w:szCs w:val="21"/>
        </w:rPr>
        <w:t>）竞争性比选截止及开标时间：</w:t>
      </w:r>
      <w:r>
        <w:rPr>
          <w:rFonts w:hint="eastAsia" w:ascii="Times New Roman" w:eastAsia="宋体" w:cs="Times New Roman"/>
          <w:color w:val="auto"/>
          <w:sz w:val="21"/>
          <w:szCs w:val="21"/>
          <w:lang w:eastAsia="zh-CN"/>
        </w:rPr>
        <w:t>202</w:t>
      </w:r>
      <w:r>
        <w:rPr>
          <w:rFonts w:hint="eastAsia" w:ascii="Times New Roman" w:eastAsia="宋体" w:cs="Times New Roman"/>
          <w:color w:val="auto"/>
          <w:sz w:val="21"/>
          <w:szCs w:val="21"/>
          <w:lang w:val="en-US" w:eastAsia="zh-CN"/>
        </w:rPr>
        <w:t>3</w:t>
      </w:r>
      <w:r>
        <w:rPr>
          <w:rFonts w:hint="eastAsia" w:ascii="Times New Roman" w:eastAsia="宋体" w:cs="Times New Roman"/>
          <w:color w:val="auto"/>
          <w:sz w:val="21"/>
          <w:szCs w:val="21"/>
        </w:rPr>
        <w:t>年</w:t>
      </w:r>
      <w:r>
        <w:rPr>
          <w:rFonts w:hint="eastAsia" w:ascii="Times New Roman" w:eastAsia="宋体" w:cs="Times New Roman"/>
          <w:color w:val="auto"/>
          <w:sz w:val="21"/>
          <w:szCs w:val="21"/>
          <w:lang w:val="en-US" w:eastAsia="zh-CN"/>
        </w:rPr>
        <w:t>8</w:t>
      </w:r>
      <w:r>
        <w:rPr>
          <w:rFonts w:hint="eastAsia" w:ascii="Times New Roman" w:eastAsia="宋体" w:cs="Times New Roman"/>
          <w:color w:val="auto"/>
          <w:sz w:val="21"/>
          <w:szCs w:val="21"/>
        </w:rPr>
        <w:t>月</w:t>
      </w:r>
      <w:r>
        <w:rPr>
          <w:rFonts w:hint="eastAsia" w:ascii="Times New Roman" w:eastAsia="宋体" w:cs="Times New Roman"/>
          <w:color w:val="auto"/>
          <w:sz w:val="21"/>
          <w:szCs w:val="21"/>
          <w:lang w:val="en-US" w:eastAsia="zh-CN"/>
        </w:rPr>
        <w:t>25</w:t>
      </w:r>
      <w:r>
        <w:rPr>
          <w:rFonts w:hint="eastAsia" w:ascii="Times New Roman" w:eastAsia="宋体" w:cs="Times New Roman"/>
          <w:color w:val="auto"/>
          <w:sz w:val="21"/>
          <w:szCs w:val="21"/>
        </w:rPr>
        <w:t>日</w:t>
      </w:r>
      <w:r>
        <w:rPr>
          <w:rFonts w:ascii="Times New Roman" w:eastAsia="宋体" w:cs="Times New Roman"/>
          <w:color w:val="auto"/>
          <w:sz w:val="21"/>
          <w:szCs w:val="21"/>
        </w:rPr>
        <w:t xml:space="preserve"> </w:t>
      </w:r>
      <w:r>
        <w:rPr>
          <w:rFonts w:hint="eastAsia" w:ascii="Times New Roman" w:eastAsia="宋体" w:cs="Times New Roman"/>
          <w:color w:val="auto"/>
          <w:sz w:val="21"/>
          <w:szCs w:val="21"/>
          <w:lang w:val="en-US" w:eastAsia="zh-CN"/>
        </w:rPr>
        <w:t>14</w:t>
      </w:r>
      <w:r>
        <w:rPr>
          <w:rFonts w:hint="eastAsia" w:ascii="Times New Roman" w:eastAsia="宋体" w:cs="Times New Roman"/>
          <w:color w:val="auto"/>
          <w:sz w:val="21"/>
          <w:szCs w:val="21"/>
        </w:rPr>
        <w:t>时</w:t>
      </w:r>
      <w:r>
        <w:rPr>
          <w:rFonts w:hint="eastAsia" w:ascii="Times New Roman" w:eastAsia="宋体" w:cs="Times New Roman"/>
          <w:color w:val="auto"/>
          <w:sz w:val="21"/>
          <w:szCs w:val="21"/>
          <w:lang w:val="en-US" w:eastAsia="zh-CN"/>
        </w:rPr>
        <w:t xml:space="preserve"> 00</w:t>
      </w:r>
      <w:r>
        <w:rPr>
          <w:rFonts w:hint="eastAsia" w:ascii="Times New Roman" w:eastAsia="宋体" w:cs="Times New Roman"/>
          <w:color w:val="auto"/>
          <w:sz w:val="21"/>
          <w:szCs w:val="21"/>
        </w:rPr>
        <w:t>分（北京时间）。</w:t>
      </w:r>
    </w:p>
    <w:p>
      <w:pPr>
        <w:spacing w:line="400" w:lineRule="exact"/>
        <w:ind w:firstLine="420" w:firstLineChars="200"/>
        <w:rPr>
          <w:rFonts w:hint="eastAsia" w:ascii="Times New Roman" w:eastAsia="宋体" w:cs="Times New Roman"/>
          <w:szCs w:val="21"/>
        </w:rPr>
      </w:pPr>
      <w:r>
        <w:rPr>
          <w:szCs w:val="21"/>
        </w:rPr>
        <w:t>（</w:t>
      </w:r>
      <w:r>
        <w:rPr>
          <w:rFonts w:hint="eastAsia"/>
          <w:szCs w:val="21"/>
          <w:lang w:val="en-US" w:eastAsia="zh-CN"/>
        </w:rPr>
        <w:t>三</w:t>
      </w:r>
      <w:r>
        <w:rPr>
          <w:szCs w:val="21"/>
        </w:rPr>
        <w:t>）</w:t>
      </w:r>
      <w:r>
        <w:rPr>
          <w:rFonts w:hint="eastAsia" w:ascii="Times New Roman" w:eastAsia="宋体" w:cs="Times New Roman"/>
          <w:szCs w:val="21"/>
        </w:rPr>
        <w:t>本项目的竞标保证金为1</w:t>
      </w:r>
      <w:r>
        <w:rPr>
          <w:rFonts w:hint="eastAsia" w:ascii="Times New Roman" w:eastAsia="宋体" w:cs="Times New Roman"/>
          <w:szCs w:val="21"/>
          <w:lang w:val="en-US" w:eastAsia="zh-CN"/>
        </w:rPr>
        <w:t>.5</w:t>
      </w:r>
      <w:r>
        <w:rPr>
          <w:rFonts w:hint="eastAsia" w:ascii="Times New Roman" w:eastAsia="宋体" w:cs="Times New Roman"/>
          <w:szCs w:val="21"/>
        </w:rPr>
        <w:t>万元整。比选申请单位需在</w:t>
      </w:r>
      <w:r>
        <w:rPr>
          <w:rFonts w:hint="eastAsia" w:ascii="Times New Roman" w:eastAsia="宋体" w:cs="Times New Roman"/>
          <w:szCs w:val="21"/>
          <w:lang w:eastAsia="zh-CN"/>
        </w:rPr>
        <w:t>202</w:t>
      </w:r>
      <w:r>
        <w:rPr>
          <w:rFonts w:hint="eastAsia" w:ascii="Times New Roman" w:eastAsia="宋体" w:cs="Times New Roman"/>
          <w:szCs w:val="21"/>
          <w:lang w:val="en-US" w:eastAsia="zh-CN"/>
        </w:rPr>
        <w:t>3</w:t>
      </w:r>
      <w:r>
        <w:rPr>
          <w:rFonts w:ascii="Times New Roman" w:eastAsia="宋体" w:cs="Times New Roman"/>
          <w:szCs w:val="21"/>
        </w:rPr>
        <w:t>年</w:t>
      </w:r>
      <w:r>
        <w:rPr>
          <w:rFonts w:hint="eastAsia" w:ascii="Times New Roman" w:eastAsia="宋体" w:cs="Times New Roman"/>
          <w:szCs w:val="21"/>
          <w:lang w:val="en-US" w:eastAsia="zh-CN"/>
        </w:rPr>
        <w:t>8</w:t>
      </w:r>
      <w:r>
        <w:rPr>
          <w:rFonts w:ascii="Times New Roman" w:eastAsia="宋体" w:cs="Times New Roman"/>
          <w:szCs w:val="21"/>
        </w:rPr>
        <w:t>月</w:t>
      </w:r>
      <w:r>
        <w:rPr>
          <w:rFonts w:hint="eastAsia" w:ascii="Times New Roman" w:eastAsia="宋体" w:cs="Times New Roman"/>
          <w:szCs w:val="21"/>
          <w:lang w:val="en-US" w:eastAsia="zh-CN"/>
        </w:rPr>
        <w:t>2</w:t>
      </w:r>
      <w:r>
        <w:rPr>
          <w:rFonts w:hint="eastAsia" w:cs="Times New Roman"/>
          <w:szCs w:val="21"/>
          <w:lang w:val="en-US" w:eastAsia="zh-CN"/>
        </w:rPr>
        <w:t>4</w:t>
      </w:r>
      <w:r>
        <w:rPr>
          <w:rFonts w:ascii="Times New Roman" w:eastAsia="宋体" w:cs="Times New Roman"/>
          <w:szCs w:val="21"/>
        </w:rPr>
        <w:t>日1</w:t>
      </w:r>
      <w:r>
        <w:rPr>
          <w:rFonts w:hint="eastAsia" w:ascii="Times New Roman" w:eastAsia="宋体" w:cs="Times New Roman"/>
          <w:szCs w:val="21"/>
          <w:lang w:val="en-US" w:eastAsia="zh-CN"/>
        </w:rPr>
        <w:t>7</w:t>
      </w:r>
      <w:r>
        <w:rPr>
          <w:rFonts w:hint="eastAsia" w:ascii="Times New Roman" w:eastAsia="宋体" w:cs="Times New Roman"/>
          <w:szCs w:val="21"/>
        </w:rPr>
        <w:t>:00（北京时间）前将保证金</w:t>
      </w:r>
      <w:r>
        <w:rPr>
          <w:rFonts w:hint="eastAsia" w:ascii="Times New Roman" w:eastAsia="宋体" w:cs="Times New Roman"/>
          <w:color w:val="auto"/>
          <w:szCs w:val="21"/>
          <w:lang w:eastAsia="zh-CN"/>
        </w:rPr>
        <w:t>（</w:t>
      </w:r>
      <w:r>
        <w:rPr>
          <w:rFonts w:hint="eastAsia" w:ascii="Times New Roman" w:eastAsia="宋体" w:cs="Times New Roman"/>
          <w:color w:val="auto"/>
          <w:szCs w:val="21"/>
          <w:lang w:val="en-US" w:eastAsia="zh-CN"/>
        </w:rPr>
        <w:t>需备注项目全称</w:t>
      </w:r>
      <w:r>
        <w:rPr>
          <w:rFonts w:hint="eastAsia" w:ascii="Times New Roman" w:eastAsia="宋体" w:cs="Times New Roman"/>
          <w:color w:val="auto"/>
          <w:szCs w:val="21"/>
          <w:lang w:eastAsia="zh-CN"/>
        </w:rPr>
        <w:t>）</w:t>
      </w:r>
      <w:r>
        <w:rPr>
          <w:rFonts w:hint="eastAsia" w:ascii="Times New Roman" w:eastAsia="宋体" w:cs="Times New Roman"/>
          <w:szCs w:val="21"/>
        </w:rPr>
        <w:t>交到比选人指定账户（比选人账户见下）。比选结果公布后，比选申请单位向比选人提出退保证金申请，比选人在收到退保证金申请后的20个工作日内无息返还竞标保证金。（成交单位的竞标保证金自动转为履约保证金）</w:t>
      </w:r>
    </w:p>
    <w:p>
      <w:pPr>
        <w:spacing w:line="400" w:lineRule="exact"/>
        <w:ind w:firstLine="210" w:firstLineChars="100"/>
        <w:rPr>
          <w:rFonts w:hint="eastAsia" w:ascii="Times New Roman" w:eastAsia="宋体" w:cs="Times New Roman"/>
          <w:color w:val="auto"/>
          <w:szCs w:val="21"/>
          <w:highlight w:val="none"/>
          <w:lang w:val="en-US" w:eastAsia="zh-CN"/>
        </w:rPr>
      </w:pPr>
      <w:r>
        <w:rPr>
          <w:rFonts w:hint="eastAsia" w:ascii="Times New Roman" w:eastAsia="宋体" w:cs="Times New Roman"/>
          <w:szCs w:val="21"/>
          <w:lang w:val="en-US" w:eastAsia="zh-CN"/>
        </w:rPr>
        <w:t xml:space="preserve"> </w:t>
      </w:r>
      <w:r>
        <w:rPr>
          <w:color w:val="auto"/>
          <w:szCs w:val="21"/>
          <w:highlight w:val="none"/>
        </w:rPr>
        <w:t>（</w:t>
      </w:r>
      <w:r>
        <w:rPr>
          <w:rFonts w:hint="eastAsia"/>
          <w:color w:val="auto"/>
          <w:szCs w:val="21"/>
          <w:highlight w:val="none"/>
          <w:lang w:val="en-US" w:eastAsia="zh-CN"/>
        </w:rPr>
        <w:t>四</w:t>
      </w:r>
      <w:r>
        <w:rPr>
          <w:color w:val="auto"/>
          <w:szCs w:val="21"/>
          <w:highlight w:val="none"/>
        </w:rPr>
        <w:t>）</w:t>
      </w:r>
      <w:r>
        <w:rPr>
          <w:rFonts w:hint="eastAsia"/>
          <w:color w:val="auto"/>
          <w:szCs w:val="21"/>
          <w:highlight w:val="none"/>
          <w:lang w:val="en-US" w:eastAsia="zh-CN"/>
        </w:rPr>
        <w:t>此项目的履约保证金为中标价的10%，</w:t>
      </w:r>
      <w:r>
        <w:rPr>
          <w:rFonts w:hint="eastAsia" w:ascii="Times New Roman" w:eastAsia="宋体" w:cs="Times New Roman"/>
          <w:color w:val="auto"/>
          <w:szCs w:val="21"/>
          <w:highlight w:val="none"/>
          <w:lang w:val="en-US" w:eastAsia="zh-CN"/>
        </w:rPr>
        <w:t>中标单位需在中标结果公示结束后的5个工作日内缴纳，否则做废标处理并没收投标保证金。</w:t>
      </w:r>
    </w:p>
    <w:p>
      <w:pPr>
        <w:pStyle w:val="23"/>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比选人账户：</w:t>
      </w:r>
    </w:p>
    <w:p>
      <w:pPr>
        <w:widowControl/>
        <w:spacing w:line="400" w:lineRule="exact"/>
        <w:jc w:val="left"/>
        <w:rPr>
          <w:kern w:val="0"/>
          <w:szCs w:val="21"/>
        </w:rPr>
      </w:pPr>
      <w:r>
        <w:rPr>
          <w:rFonts w:hint="eastAsia"/>
          <w:kern w:val="0"/>
          <w:szCs w:val="21"/>
        </w:rPr>
        <w:t xml:space="preserve">    名  称:重庆高速文化传媒股份有限公司</w:t>
      </w:r>
      <w:r>
        <w:rPr>
          <w:rFonts w:hint="eastAsia"/>
          <w:kern w:val="0"/>
          <w:szCs w:val="21"/>
        </w:rPr>
        <w:br w:type="textWrapping"/>
      </w:r>
      <w:r>
        <w:rPr>
          <w:rFonts w:hint="eastAsia"/>
          <w:kern w:val="0"/>
          <w:szCs w:val="21"/>
        </w:rPr>
        <w:t xml:space="preserve">    纳税人识别号：915001032028211147</w:t>
      </w:r>
      <w:r>
        <w:rPr>
          <w:rFonts w:hint="eastAsia"/>
          <w:kern w:val="0"/>
          <w:szCs w:val="21"/>
        </w:rPr>
        <w:br w:type="textWrapping"/>
      </w:r>
      <w:r>
        <w:rPr>
          <w:rFonts w:hint="eastAsia"/>
          <w:kern w:val="0"/>
          <w:szCs w:val="21"/>
        </w:rPr>
        <w:t xml:space="preserve">    地址、电话：重庆市渝北区龙山街道龙脊路248号附6号3-2    89138385</w:t>
      </w:r>
      <w:r>
        <w:rPr>
          <w:rFonts w:hint="eastAsia"/>
          <w:kern w:val="0"/>
          <w:szCs w:val="21"/>
        </w:rPr>
        <w:br w:type="textWrapping"/>
      </w:r>
      <w:r>
        <w:rPr>
          <w:rFonts w:hint="eastAsia"/>
          <w:kern w:val="0"/>
          <w:szCs w:val="21"/>
        </w:rPr>
        <w:t xml:space="preserve">    </w:t>
      </w:r>
      <w:r>
        <w:rPr>
          <w:rFonts w:hint="eastAsia"/>
          <w:color w:val="auto"/>
          <w:kern w:val="0"/>
          <w:szCs w:val="21"/>
          <w:highlight w:val="none"/>
        </w:rPr>
        <w:t>开户行、账号：</w:t>
      </w:r>
      <w:r>
        <w:rPr>
          <w:rFonts w:hint="eastAsia"/>
          <w:color w:val="auto"/>
          <w:kern w:val="0"/>
          <w:szCs w:val="21"/>
          <w:highlight w:val="none"/>
          <w:lang w:val="en-US" w:eastAsia="zh-CN"/>
        </w:rPr>
        <w:t>重庆银行上清寺支行</w:t>
      </w:r>
      <w:r>
        <w:rPr>
          <w:rFonts w:hint="eastAsia"/>
          <w:color w:val="auto"/>
          <w:kern w:val="0"/>
          <w:szCs w:val="21"/>
          <w:highlight w:val="none"/>
        </w:rPr>
        <w:t xml:space="preserve">    </w:t>
      </w:r>
      <w:r>
        <w:rPr>
          <w:rFonts w:hint="eastAsia"/>
          <w:color w:val="auto"/>
          <w:kern w:val="0"/>
          <w:szCs w:val="21"/>
          <w:highlight w:val="none"/>
          <w:lang w:val="en-US" w:eastAsia="zh-CN"/>
        </w:rPr>
        <w:t>220102029000401017</w:t>
      </w:r>
    </w:p>
    <w:p>
      <w:pPr>
        <w:spacing w:line="400" w:lineRule="exact"/>
        <w:ind w:firstLine="420" w:firstLineChars="200"/>
        <w:rPr>
          <w:szCs w:val="21"/>
        </w:rPr>
      </w:pPr>
      <w:r>
        <w:rPr>
          <w:szCs w:val="21"/>
        </w:rPr>
        <w:t>（</w:t>
      </w:r>
      <w:r>
        <w:rPr>
          <w:rFonts w:hint="eastAsia"/>
          <w:szCs w:val="21"/>
          <w:lang w:val="en-US" w:eastAsia="zh-CN"/>
        </w:rPr>
        <w:t>七</w:t>
      </w:r>
      <w:r>
        <w:rPr>
          <w:szCs w:val="21"/>
        </w:rPr>
        <w:t>）各</w:t>
      </w:r>
      <w:r>
        <w:rPr>
          <w:rFonts w:hint="eastAsia"/>
          <w:szCs w:val="21"/>
        </w:rPr>
        <w:t>比选申请</w:t>
      </w:r>
      <w:r>
        <w:rPr>
          <w:szCs w:val="21"/>
        </w:rPr>
        <w:t>人应根据本次</w:t>
      </w:r>
      <w:r>
        <w:rPr>
          <w:rFonts w:hint="eastAsia"/>
          <w:szCs w:val="21"/>
        </w:rPr>
        <w:t>比选</w:t>
      </w:r>
      <w:r>
        <w:rPr>
          <w:szCs w:val="21"/>
        </w:rPr>
        <w:t>的具体要求，编制规范的竞争性比选申请文件（竞争性比选申请文件，要求填写规范，密封完好并在封口处加盖公章，所有竞争性比选申请文件均只能作一次性提交，提交后不得更改。）</w:t>
      </w:r>
    </w:p>
    <w:p>
      <w:pPr>
        <w:spacing w:line="400" w:lineRule="exact"/>
        <w:ind w:firstLine="420" w:firstLineChars="200"/>
        <w:rPr>
          <w:szCs w:val="21"/>
        </w:rPr>
      </w:pPr>
      <w:r>
        <w:rPr>
          <w:szCs w:val="21"/>
        </w:rPr>
        <w:t>（</w:t>
      </w:r>
      <w:r>
        <w:rPr>
          <w:rFonts w:hint="eastAsia"/>
          <w:szCs w:val="21"/>
          <w:lang w:val="en-US" w:eastAsia="zh-CN"/>
        </w:rPr>
        <w:t>八</w:t>
      </w:r>
      <w:r>
        <w:rPr>
          <w:szCs w:val="21"/>
        </w:rPr>
        <w:t>）密封要求：</w:t>
      </w:r>
    </w:p>
    <w:p>
      <w:pPr>
        <w:spacing w:line="400" w:lineRule="exact"/>
        <w:ind w:firstLine="420" w:firstLineChars="200"/>
        <w:rPr>
          <w:szCs w:val="21"/>
        </w:rPr>
      </w:pPr>
      <w:r>
        <w:rPr>
          <w:szCs w:val="21"/>
        </w:rPr>
        <w:t>将竞争性比选申请文件密封到一个封套中，再在封套上写明：</w:t>
      </w:r>
    </w:p>
    <w:p>
      <w:pPr>
        <w:spacing w:line="400" w:lineRule="exact"/>
        <w:ind w:firstLine="420" w:firstLineChars="200"/>
        <w:jc w:val="left"/>
        <w:rPr>
          <w:szCs w:val="21"/>
          <w:u w:val="single"/>
        </w:rPr>
      </w:pPr>
      <w:r>
        <w:rPr>
          <w:rFonts w:hint="eastAsia"/>
          <w:szCs w:val="21"/>
          <w:u w:val="single"/>
        </w:rPr>
        <w:t>重庆高速文化传媒股份有限公司</w:t>
      </w:r>
      <w:r>
        <w:rPr>
          <w:rFonts w:hint="eastAsia"/>
          <w:szCs w:val="21"/>
          <w:u w:val="single"/>
          <w:lang w:eastAsia="zh-CN"/>
        </w:rPr>
        <w:t>202</w:t>
      </w:r>
      <w:r>
        <w:rPr>
          <w:rFonts w:hint="eastAsia"/>
          <w:szCs w:val="21"/>
          <w:u w:val="single"/>
          <w:lang w:val="en-US" w:eastAsia="zh-CN"/>
        </w:rPr>
        <w:t>3</w:t>
      </w:r>
      <w:r>
        <w:rPr>
          <w:rFonts w:hint="eastAsia"/>
          <w:szCs w:val="21"/>
          <w:u w:val="single"/>
        </w:rPr>
        <w:t>年</w:t>
      </w:r>
      <w:r>
        <w:rPr>
          <w:rFonts w:hint="eastAsia"/>
          <w:szCs w:val="21"/>
          <w:u w:val="single"/>
          <w:lang w:val="en-US" w:eastAsia="zh-CN"/>
        </w:rPr>
        <w:t>智博会设计及装修施工</w:t>
      </w:r>
      <w:r>
        <w:rPr>
          <w:rFonts w:hint="eastAsia"/>
          <w:szCs w:val="21"/>
          <w:u w:val="single"/>
        </w:rPr>
        <w:t>项目竞争性比选申请</w:t>
      </w:r>
      <w:r>
        <w:rPr>
          <w:szCs w:val="21"/>
          <w:u w:val="single"/>
        </w:rPr>
        <w:t>文件</w:t>
      </w:r>
    </w:p>
    <w:p>
      <w:pPr>
        <w:spacing w:line="400" w:lineRule="exact"/>
        <w:ind w:firstLine="420" w:firstLineChars="200"/>
        <w:jc w:val="center"/>
      </w:pPr>
      <w:r>
        <w:rPr>
          <w:szCs w:val="21"/>
          <w:u w:val="single"/>
        </w:rPr>
        <w:t>在</w:t>
      </w:r>
      <w:r>
        <w:rPr>
          <w:rFonts w:hint="eastAsia"/>
          <w:szCs w:val="21"/>
          <w:u w:val="single"/>
          <w:lang w:eastAsia="zh-CN"/>
        </w:rPr>
        <w:t>202</w:t>
      </w:r>
      <w:r>
        <w:rPr>
          <w:rFonts w:hint="eastAsia"/>
          <w:szCs w:val="21"/>
          <w:u w:val="single"/>
          <w:lang w:val="en-US" w:eastAsia="zh-CN"/>
        </w:rPr>
        <w:t>3</w:t>
      </w:r>
      <w:r>
        <w:rPr>
          <w:szCs w:val="21"/>
          <w:u w:val="single"/>
        </w:rPr>
        <w:t>年</w:t>
      </w:r>
      <w:r>
        <w:rPr>
          <w:rFonts w:hint="eastAsia"/>
          <w:szCs w:val="21"/>
          <w:u w:val="single"/>
          <w:lang w:val="en-US" w:eastAsia="zh-CN"/>
        </w:rPr>
        <w:t>8</w:t>
      </w:r>
      <w:r>
        <w:rPr>
          <w:szCs w:val="21"/>
          <w:u w:val="single"/>
        </w:rPr>
        <w:t>月</w:t>
      </w:r>
      <w:r>
        <w:rPr>
          <w:rFonts w:hint="eastAsia"/>
          <w:szCs w:val="21"/>
          <w:u w:val="single"/>
          <w:lang w:val="en-US" w:eastAsia="zh-CN"/>
        </w:rPr>
        <w:t>25</w:t>
      </w:r>
      <w:r>
        <w:rPr>
          <w:szCs w:val="21"/>
          <w:u w:val="single"/>
        </w:rPr>
        <w:t>日</w:t>
      </w:r>
      <w:r>
        <w:rPr>
          <w:rFonts w:hint="eastAsia"/>
          <w:szCs w:val="21"/>
          <w:u w:val="single"/>
          <w:lang w:val="en-US" w:eastAsia="zh-CN"/>
        </w:rPr>
        <w:t>14</w:t>
      </w:r>
      <w:r>
        <w:rPr>
          <w:rFonts w:hint="eastAsia"/>
          <w:szCs w:val="21"/>
          <w:u w:val="single"/>
        </w:rPr>
        <w:t>时</w:t>
      </w:r>
      <w:r>
        <w:rPr>
          <w:szCs w:val="21"/>
          <w:u w:val="single"/>
        </w:rPr>
        <w:t xml:space="preserve"> 00 </w:t>
      </w:r>
      <w:r>
        <w:rPr>
          <w:rFonts w:hint="eastAsia"/>
          <w:szCs w:val="21"/>
          <w:u w:val="single"/>
        </w:rPr>
        <w:t>分</w:t>
      </w:r>
      <w:r>
        <w:rPr>
          <w:szCs w:val="21"/>
          <w:u w:val="single"/>
        </w:rPr>
        <w:t>前不得开启</w:t>
      </w:r>
    </w:p>
    <w:p>
      <w:pPr>
        <w:spacing w:line="400" w:lineRule="exact"/>
        <w:ind w:firstLine="420" w:firstLineChars="200"/>
        <w:jc w:val="left"/>
        <w:rPr>
          <w:szCs w:val="21"/>
        </w:rPr>
      </w:pPr>
      <w:r>
        <w:rPr>
          <w:szCs w:val="21"/>
        </w:rPr>
        <w:t>比选人：重庆高速文化传媒股份有限公司</w:t>
      </w:r>
    </w:p>
    <w:p>
      <w:pPr>
        <w:spacing w:line="400" w:lineRule="exact"/>
        <w:ind w:left="420" w:leftChars="200"/>
        <w:jc w:val="left"/>
        <w:rPr>
          <w:rFonts w:hint="eastAsia" w:ascii="Times New Roman" w:eastAsia="宋体" w:cs="Times New Roman"/>
          <w:color w:val="auto"/>
          <w:sz w:val="21"/>
          <w:szCs w:val="21"/>
          <w:highlight w:val="none"/>
        </w:rPr>
      </w:pPr>
      <w:r>
        <w:rPr>
          <w:szCs w:val="21"/>
        </w:rPr>
        <w:t>地址：</w:t>
      </w:r>
      <w:r>
        <w:rPr>
          <w:rFonts w:hint="eastAsia" w:ascii="Times New Roman" w:eastAsia="宋体" w:cs="Times New Roman"/>
          <w:color w:val="auto"/>
          <w:sz w:val="21"/>
          <w:szCs w:val="21"/>
          <w:highlight w:val="none"/>
        </w:rPr>
        <w:t>重庆市渝北区海王星科技大厦D区5楼。</w:t>
      </w:r>
    </w:p>
    <w:p>
      <w:pPr>
        <w:spacing w:line="400" w:lineRule="exact"/>
        <w:ind w:left="420" w:leftChars="200"/>
        <w:jc w:val="left"/>
        <w:rPr>
          <w:rFonts w:ascii="方正仿宋_GBK" w:eastAsia="方正仿宋_GBK" w:hAnsiTheme="minorEastAsia"/>
          <w:b/>
          <w:sz w:val="32"/>
          <w:szCs w:val="32"/>
          <w:highlight w:val="none"/>
        </w:rPr>
      </w:pPr>
      <w:r>
        <w:rPr>
          <w:szCs w:val="21"/>
        </w:rPr>
        <w:t>联系人：</w:t>
      </w:r>
      <w:r>
        <w:rPr>
          <w:rFonts w:hint="eastAsia" w:ascii="宋体" w:hAnsi="宋体" w:cs="宋体"/>
          <w:szCs w:val="21"/>
          <w:highlight w:val="none"/>
          <w:lang w:val="en-US" w:eastAsia="zh-CN"/>
        </w:rPr>
        <w:t>徐</w:t>
      </w:r>
      <w:r>
        <w:rPr>
          <w:szCs w:val="21"/>
        </w:rPr>
        <w:t xml:space="preserve">老师 </w:t>
      </w:r>
      <w:r>
        <w:rPr>
          <w:rFonts w:hint="eastAsia"/>
          <w:szCs w:val="21"/>
        </w:rPr>
        <w:t xml:space="preserve">   </w:t>
      </w:r>
      <w:r>
        <w:rPr>
          <w:szCs w:val="21"/>
        </w:rPr>
        <w:t xml:space="preserve"> 电话：</w:t>
      </w:r>
      <w:r>
        <w:rPr>
          <w:rFonts w:hint="eastAsia" w:ascii="宋体" w:hAnsi="宋体" w:cs="宋体"/>
          <w:szCs w:val="21"/>
          <w:highlight w:val="none"/>
          <w:lang w:val="en-US" w:eastAsia="zh-CN"/>
        </w:rPr>
        <w:t>15223431370</w:t>
      </w:r>
      <w:r>
        <w:rPr>
          <w:rFonts w:hint="eastAsia" w:ascii="方正仿宋_GBK" w:eastAsia="方正仿宋_GBK" w:hAnsiTheme="minorEastAsia"/>
          <w:b/>
          <w:sz w:val="32"/>
          <w:szCs w:val="32"/>
          <w:highlight w:val="none"/>
        </w:rPr>
        <w:br w:type="page"/>
      </w:r>
    </w:p>
    <w:p>
      <w:pPr>
        <w:jc w:val="center"/>
        <w:rPr>
          <w:rFonts w:ascii="宋体" w:hAnsi="宋体" w:cs="宋体"/>
          <w:b/>
          <w:sz w:val="24"/>
        </w:rPr>
      </w:pPr>
      <w:r>
        <w:rPr>
          <w:rFonts w:hint="eastAsia" w:ascii="宋体" w:hAnsi="宋体" w:cs="宋体"/>
          <w:b/>
          <w:sz w:val="24"/>
        </w:rPr>
        <w:t>竞争性比选申请文件格式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Theme="minorEastAsia" w:hAnsiTheme="minorEastAsia" w:eastAsiaTheme="minorEastAsia"/>
          <w:b/>
          <w:sz w:val="24"/>
          <w:highlight w:val="none"/>
        </w:rPr>
      </w:pPr>
    </w:p>
    <w:p>
      <w:pPr>
        <w:outlineLvl w:val="0"/>
        <w:rPr>
          <w:rFonts w:asciiTheme="minorEastAsia" w:hAnsiTheme="minorEastAsia" w:eastAsiaTheme="minorEastAsia"/>
          <w:b/>
          <w:sz w:val="24"/>
          <w:highlight w:val="none"/>
        </w:rPr>
      </w:pPr>
    </w:p>
    <w:p>
      <w:pPr>
        <w:jc w:val="center"/>
        <w:rPr>
          <w:rFonts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 xml:space="preserve">                        </w:t>
      </w: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both"/>
        <w:rPr>
          <w:rFonts w:hint="eastAsia" w:asciiTheme="minorEastAsia" w:hAnsiTheme="minorEastAsia" w:eastAsiaTheme="minorEastAsia"/>
          <w:b/>
          <w:sz w:val="24"/>
          <w:highlight w:val="none"/>
        </w:rPr>
      </w:pPr>
    </w:p>
    <w:p>
      <w:pPr>
        <w:jc w:val="right"/>
        <w:rPr>
          <w:rFonts w:hint="eastAsia" w:asciiTheme="minorEastAsia" w:hAnsiTheme="minorEastAsia" w:eastAsiaTheme="minorEastAsia"/>
          <w:b/>
          <w:sz w:val="24"/>
          <w:highlight w:val="none"/>
        </w:rPr>
      </w:pPr>
    </w:p>
    <w:p>
      <w:pPr>
        <w:jc w:val="left"/>
        <w:rPr>
          <w:rFonts w:hint="eastAsia" w:asciiTheme="minorEastAsia" w:hAnsiTheme="minorEastAsia" w:eastAsiaTheme="minorEastAsia"/>
          <w:b/>
          <w:sz w:val="24"/>
          <w:highlight w:val="none"/>
          <w:lang w:val="en-US" w:eastAsia="zh-CN"/>
        </w:rPr>
      </w:pPr>
    </w:p>
    <w:p>
      <w:pPr>
        <w:jc w:val="left"/>
        <w:rPr>
          <w:rFonts w:hint="eastAsia" w:asciiTheme="minorEastAsia" w:hAnsiTheme="minorEastAsia" w:eastAsiaTheme="minorEastAsia"/>
          <w:b/>
          <w:sz w:val="24"/>
          <w:highlight w:val="none"/>
          <w:lang w:val="en-US" w:eastAsia="zh-CN"/>
        </w:rPr>
      </w:pPr>
    </w:p>
    <w:p>
      <w:pPr>
        <w:jc w:val="left"/>
        <w:rPr>
          <w:rFonts w:hint="default" w:asciiTheme="minorEastAsia" w:hAnsiTheme="minorEastAsia" w:eastAsiaTheme="minorEastAsia"/>
          <w:b/>
          <w:sz w:val="24"/>
          <w:highlight w:val="none"/>
          <w:lang w:val="en-US" w:eastAsia="zh-CN"/>
        </w:rPr>
      </w:pPr>
      <w:r>
        <w:rPr>
          <w:rFonts w:hint="eastAsia" w:asciiTheme="minorEastAsia" w:hAnsiTheme="minorEastAsia" w:eastAsiaTheme="minorEastAsia"/>
          <w:b/>
          <w:sz w:val="24"/>
          <w:highlight w:val="none"/>
          <w:lang w:val="en-US" w:eastAsia="zh-CN"/>
        </w:rPr>
        <w:t>附件1：</w:t>
      </w:r>
    </w:p>
    <w:p>
      <w:pPr>
        <w:jc w:val="right"/>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 xml:space="preserve">   正本</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或副本）</w:t>
      </w:r>
    </w:p>
    <w:p>
      <w:pPr>
        <w:jc w:val="right"/>
        <w:rPr>
          <w:rFonts w:asciiTheme="minorEastAsia" w:hAnsiTheme="minorEastAsia" w:eastAsiaTheme="minorEastAsia"/>
          <w:b/>
          <w:sz w:val="24"/>
          <w:highlight w:val="none"/>
        </w:rPr>
      </w:pPr>
    </w:p>
    <w:p>
      <w:pPr>
        <w:jc w:val="right"/>
        <w:rPr>
          <w:rFonts w:asciiTheme="minorEastAsia" w:hAnsiTheme="minorEastAsia" w:eastAsiaTheme="minorEastAsia"/>
          <w:b/>
          <w:sz w:val="24"/>
          <w:highlight w:val="none"/>
        </w:rPr>
      </w:pPr>
    </w:p>
    <w:p>
      <w:pPr>
        <w:jc w:val="right"/>
        <w:rPr>
          <w:rFonts w:asciiTheme="minorEastAsia" w:hAnsiTheme="minorEastAsia" w:eastAsiaTheme="minorEastAsia"/>
          <w:b/>
          <w:sz w:val="24"/>
          <w:highlight w:val="none"/>
        </w:rPr>
      </w:pPr>
    </w:p>
    <w:p>
      <w:pPr>
        <w:jc w:val="center"/>
        <w:rPr>
          <w:rFonts w:cs="宋体" w:asciiTheme="minorEastAsia" w:hAnsiTheme="minorEastAsia" w:eastAsiaTheme="minorEastAsia"/>
          <w:b/>
          <w:bCs/>
          <w:kern w:val="0"/>
          <w:sz w:val="52"/>
          <w:szCs w:val="52"/>
          <w:highlight w:val="none"/>
        </w:rPr>
      </w:pPr>
      <w:r>
        <w:rPr>
          <w:rFonts w:hint="eastAsia" w:cs="宋体" w:asciiTheme="minorEastAsia" w:hAnsiTheme="minorEastAsia" w:eastAsiaTheme="minorEastAsia"/>
          <w:b/>
          <w:bCs/>
          <w:kern w:val="0"/>
          <w:sz w:val="52"/>
          <w:szCs w:val="52"/>
          <w:highlight w:val="none"/>
        </w:rPr>
        <w:t>重庆高速文化传媒股份有限公司</w:t>
      </w:r>
    </w:p>
    <w:p>
      <w:pPr>
        <w:jc w:val="center"/>
        <w:rPr>
          <w:rFonts w:asciiTheme="minorEastAsia" w:hAnsiTheme="minorEastAsia" w:eastAsiaTheme="minorEastAsia"/>
          <w:b/>
          <w:bCs/>
          <w:sz w:val="52"/>
          <w:szCs w:val="52"/>
          <w:highlight w:val="none"/>
        </w:rPr>
      </w:pPr>
      <w:r>
        <w:rPr>
          <w:rFonts w:hint="eastAsia" w:cs="宋体" w:asciiTheme="minorEastAsia" w:hAnsiTheme="minorEastAsia" w:eastAsiaTheme="minorEastAsia"/>
          <w:b/>
          <w:bCs/>
          <w:kern w:val="0"/>
          <w:sz w:val="52"/>
          <w:szCs w:val="52"/>
          <w:highlight w:val="none"/>
        </w:rPr>
        <w:t>智博会设计及装饰施工单位选择</w:t>
      </w:r>
    </w:p>
    <w:p>
      <w:pPr>
        <w:jc w:val="center"/>
        <w:rPr>
          <w:rFonts w:asciiTheme="minorEastAsia" w:hAnsiTheme="minorEastAsia" w:eastAsiaTheme="minorEastAsia"/>
          <w:b/>
          <w:sz w:val="44"/>
          <w:szCs w:val="44"/>
          <w:highlight w:val="none"/>
        </w:rPr>
      </w:pPr>
    </w:p>
    <w:p>
      <w:pPr>
        <w:jc w:val="center"/>
        <w:rPr>
          <w:rFonts w:asciiTheme="minorEastAsia" w:hAnsiTheme="minorEastAsia" w:eastAsiaTheme="minorEastAsia"/>
          <w:b/>
          <w:sz w:val="32"/>
          <w:szCs w:val="32"/>
          <w:highlight w:val="none"/>
        </w:rPr>
      </w:pPr>
    </w:p>
    <w:p>
      <w:pPr>
        <w:jc w:val="center"/>
        <w:rPr>
          <w:rFonts w:asciiTheme="minorEastAsia" w:hAnsiTheme="minorEastAsia" w:eastAsiaTheme="minorEastAsia"/>
          <w:b/>
          <w:sz w:val="52"/>
          <w:szCs w:val="52"/>
          <w:highlight w:val="none"/>
        </w:rPr>
      </w:pPr>
      <w:r>
        <w:rPr>
          <w:rFonts w:hint="eastAsia" w:asciiTheme="minorEastAsia" w:hAnsiTheme="minorEastAsia" w:eastAsiaTheme="minorEastAsia"/>
          <w:b/>
          <w:sz w:val="52"/>
          <w:szCs w:val="52"/>
          <w:highlight w:val="none"/>
        </w:rPr>
        <w:t>竞争性比选响应文件</w:t>
      </w:r>
    </w:p>
    <w:p>
      <w:pPr>
        <w:jc w:val="center"/>
        <w:rPr>
          <w:rFonts w:asciiTheme="minorEastAsia" w:hAnsiTheme="minorEastAsia" w:eastAsiaTheme="minorEastAsia"/>
          <w:sz w:val="32"/>
          <w:szCs w:val="32"/>
          <w:highlight w:val="none"/>
        </w:rPr>
      </w:pPr>
    </w:p>
    <w:p>
      <w:pPr>
        <w:jc w:val="center"/>
        <w:rPr>
          <w:rFonts w:asciiTheme="minorEastAsia" w:hAnsiTheme="minorEastAsia" w:eastAsiaTheme="minorEastAsia"/>
          <w:sz w:val="32"/>
          <w:szCs w:val="32"/>
          <w:highlight w:val="none"/>
        </w:rPr>
      </w:pPr>
    </w:p>
    <w:p>
      <w:pPr>
        <w:jc w:val="center"/>
        <w:rPr>
          <w:rFonts w:asciiTheme="minorEastAsia" w:hAnsiTheme="minorEastAsia" w:eastAsiaTheme="minorEastAsia"/>
          <w:sz w:val="32"/>
          <w:szCs w:val="32"/>
          <w:highlight w:val="none"/>
        </w:rPr>
      </w:pPr>
    </w:p>
    <w:p>
      <w:pPr>
        <w:jc w:val="center"/>
        <w:rPr>
          <w:rFonts w:asciiTheme="minorEastAsia" w:hAnsiTheme="minorEastAsia" w:eastAsiaTheme="minorEastAsia"/>
          <w:sz w:val="32"/>
          <w:szCs w:val="32"/>
          <w:highlight w:val="none"/>
        </w:rPr>
      </w:pPr>
    </w:p>
    <w:p>
      <w:pPr>
        <w:rPr>
          <w:rFonts w:asciiTheme="minorEastAsia" w:hAnsiTheme="minorEastAsia" w:eastAsiaTheme="minorEastAsia"/>
          <w:sz w:val="32"/>
          <w:szCs w:val="32"/>
          <w:highlight w:val="none"/>
        </w:rPr>
      </w:pPr>
    </w:p>
    <w:p>
      <w:pPr>
        <w:jc w:val="center"/>
        <w:rPr>
          <w:rFonts w:asciiTheme="minorEastAsia" w:hAnsiTheme="minorEastAsia" w:eastAsiaTheme="minorEastAsia"/>
          <w:sz w:val="32"/>
          <w:szCs w:val="32"/>
          <w:highlight w:val="none"/>
        </w:rPr>
      </w:pPr>
    </w:p>
    <w:p>
      <w:pPr>
        <w:jc w:val="center"/>
        <w:rPr>
          <w:rFonts w:asciiTheme="minorEastAsia" w:hAnsiTheme="minorEastAsia" w:eastAsiaTheme="minorEastAsia"/>
          <w:sz w:val="32"/>
          <w:szCs w:val="32"/>
          <w:highlight w:val="none"/>
          <w:u w:val="single"/>
        </w:rPr>
      </w:pPr>
      <w:r>
        <w:rPr>
          <w:rFonts w:hint="eastAsia" w:asciiTheme="minorEastAsia" w:hAnsiTheme="minorEastAsia" w:eastAsiaTheme="minorEastAsia"/>
          <w:sz w:val="32"/>
          <w:szCs w:val="32"/>
          <w:highlight w:val="none"/>
          <w:u w:val="single"/>
        </w:rPr>
        <w:t>竞争性比选响应单位名称全称（盖单位公章）</w:t>
      </w:r>
    </w:p>
    <w:p>
      <w:pPr>
        <w:jc w:val="center"/>
        <w:rPr>
          <w:rFonts w:asciiTheme="minorEastAsia" w:hAnsiTheme="minorEastAsia" w:eastAsiaTheme="minorEastAsia"/>
          <w:sz w:val="32"/>
          <w:szCs w:val="32"/>
          <w:highlight w:val="none"/>
          <w:u w:val="single"/>
        </w:rPr>
      </w:pPr>
    </w:p>
    <w:p>
      <w:pPr>
        <w:tabs>
          <w:tab w:val="left" w:pos="900"/>
          <w:tab w:val="left" w:pos="1080"/>
        </w:tabs>
        <w:spacing w:line="300" w:lineRule="auto"/>
        <w:jc w:val="left"/>
        <w:outlineLvl w:val="0"/>
        <w:rPr>
          <w:rFonts w:cs="Arial" w:asciiTheme="minorEastAsia" w:hAnsiTheme="minorEastAsia" w:eastAsiaTheme="minorEastAsia"/>
          <w:b/>
          <w:sz w:val="24"/>
          <w:highlight w:val="none"/>
        </w:rPr>
      </w:pPr>
    </w:p>
    <w:p>
      <w:pPr>
        <w:pStyle w:val="4"/>
        <w:rPr>
          <w:rFonts w:cs="Arial" w:asciiTheme="minorEastAsia" w:hAnsiTheme="minorEastAsia" w:eastAsiaTheme="minorEastAsia"/>
          <w:b/>
          <w:sz w:val="24"/>
          <w:highlight w:val="none"/>
        </w:rPr>
      </w:pPr>
    </w:p>
    <w:p>
      <w:pPr>
        <w:tabs>
          <w:tab w:val="left" w:pos="900"/>
          <w:tab w:val="left" w:pos="1080"/>
        </w:tabs>
        <w:spacing w:line="300" w:lineRule="auto"/>
        <w:jc w:val="left"/>
        <w:outlineLvl w:val="0"/>
        <w:rPr>
          <w:rFonts w:hint="eastAsia" w:ascii="宋体" w:hAnsi="宋体" w:cs="Arial"/>
          <w:b/>
          <w:sz w:val="24"/>
          <w:highlight w:val="none"/>
        </w:rPr>
      </w:pPr>
    </w:p>
    <w:p>
      <w:pPr>
        <w:tabs>
          <w:tab w:val="left" w:pos="900"/>
          <w:tab w:val="left" w:pos="1080"/>
        </w:tabs>
        <w:spacing w:line="300" w:lineRule="auto"/>
        <w:jc w:val="left"/>
        <w:outlineLvl w:val="0"/>
        <w:rPr>
          <w:rFonts w:hint="eastAsia" w:ascii="宋体" w:hAnsi="宋体" w:cs="Arial"/>
          <w:b/>
          <w:sz w:val="24"/>
          <w:highlight w:val="none"/>
        </w:rPr>
      </w:pPr>
    </w:p>
    <w:p>
      <w:pPr>
        <w:tabs>
          <w:tab w:val="left" w:pos="900"/>
          <w:tab w:val="left" w:pos="1080"/>
        </w:tabs>
        <w:spacing w:line="300" w:lineRule="auto"/>
        <w:jc w:val="left"/>
        <w:outlineLvl w:val="0"/>
        <w:rPr>
          <w:rFonts w:hint="eastAsia" w:ascii="宋体" w:hAnsi="宋体" w:cs="Arial"/>
          <w:b/>
          <w:sz w:val="24"/>
          <w:highlight w:val="none"/>
        </w:rPr>
      </w:pPr>
    </w:p>
    <w:p>
      <w:pPr>
        <w:tabs>
          <w:tab w:val="left" w:pos="900"/>
          <w:tab w:val="left" w:pos="1080"/>
        </w:tabs>
        <w:spacing w:line="300" w:lineRule="auto"/>
        <w:jc w:val="left"/>
        <w:outlineLvl w:val="0"/>
        <w:rPr>
          <w:rFonts w:hint="eastAsia" w:ascii="宋体" w:hAnsi="宋体" w:cs="Arial"/>
          <w:b/>
          <w:sz w:val="24"/>
          <w:highlight w:val="none"/>
        </w:rPr>
      </w:pPr>
    </w:p>
    <w:p>
      <w:pPr>
        <w:tabs>
          <w:tab w:val="left" w:pos="900"/>
          <w:tab w:val="left" w:pos="1080"/>
        </w:tabs>
        <w:spacing w:line="300" w:lineRule="auto"/>
        <w:jc w:val="left"/>
        <w:outlineLvl w:val="0"/>
        <w:rPr>
          <w:rFonts w:ascii="宋体" w:hAnsi="宋体" w:cs="Arial"/>
          <w:b/>
          <w:sz w:val="24"/>
          <w:highlight w:val="none"/>
        </w:rPr>
      </w:pPr>
      <w:r>
        <w:rPr>
          <w:rFonts w:hint="eastAsia" w:ascii="宋体" w:hAnsi="宋体" w:cs="Arial"/>
          <w:b/>
          <w:sz w:val="24"/>
          <w:highlight w:val="none"/>
        </w:rPr>
        <w:t>附件2</w:t>
      </w:r>
    </w:p>
    <w:p>
      <w:pPr>
        <w:tabs>
          <w:tab w:val="left" w:pos="900"/>
          <w:tab w:val="left" w:pos="1080"/>
        </w:tabs>
        <w:spacing w:line="300" w:lineRule="auto"/>
        <w:jc w:val="center"/>
        <w:outlineLvl w:val="0"/>
        <w:rPr>
          <w:rFonts w:ascii="宋体" w:hAnsi="宋体" w:cs="Arial"/>
          <w:b/>
          <w:dstrike/>
          <w:sz w:val="32"/>
          <w:szCs w:val="32"/>
          <w:highlight w:val="none"/>
        </w:rPr>
      </w:pPr>
      <w:r>
        <w:rPr>
          <w:rFonts w:hint="eastAsia" w:ascii="宋体" w:hAnsi="宋体" w:cs="Arial"/>
          <w:b/>
          <w:sz w:val="32"/>
          <w:szCs w:val="32"/>
          <w:highlight w:val="none"/>
        </w:rPr>
        <w:t>竞争性比选响应声明书</w:t>
      </w:r>
    </w:p>
    <w:p>
      <w:pPr>
        <w:tabs>
          <w:tab w:val="left" w:pos="900"/>
        </w:tabs>
        <w:spacing w:line="300" w:lineRule="auto"/>
        <w:rPr>
          <w:rFonts w:ascii="宋体" w:hAnsi="宋体" w:cs="Arial"/>
          <w:b/>
          <w:sz w:val="24"/>
          <w:highlight w:val="none"/>
        </w:rPr>
      </w:pPr>
    </w:p>
    <w:p>
      <w:pPr>
        <w:tabs>
          <w:tab w:val="left" w:pos="900"/>
        </w:tabs>
        <w:spacing w:line="300" w:lineRule="auto"/>
        <w:rPr>
          <w:rFonts w:ascii="宋体" w:hAnsi="宋体" w:cs="Arial"/>
          <w:sz w:val="24"/>
          <w:highlight w:val="none"/>
        </w:rPr>
      </w:pPr>
      <w:r>
        <w:rPr>
          <w:rFonts w:hint="eastAsia" w:ascii="宋体" w:hAnsi="宋体" w:cs="Arial"/>
          <w:b/>
          <w:sz w:val="24"/>
          <w:highlight w:val="none"/>
        </w:rPr>
        <w:t>致：重庆</w:t>
      </w:r>
      <w:r>
        <w:rPr>
          <w:rFonts w:hint="eastAsia" w:ascii="宋体" w:hAnsi="宋体" w:cs="Arial"/>
          <w:b/>
          <w:sz w:val="24"/>
          <w:highlight w:val="none"/>
          <w:lang w:val="en-US" w:eastAsia="zh-CN"/>
        </w:rPr>
        <w:t>高速文化传媒股份有限公司</w:t>
      </w:r>
    </w:p>
    <w:p>
      <w:pPr>
        <w:spacing w:line="540" w:lineRule="exact"/>
        <w:ind w:firstLine="480" w:firstLineChars="200"/>
        <w:rPr>
          <w:rFonts w:ascii="宋体" w:hAnsi="宋体" w:cs="Arial"/>
          <w:sz w:val="24"/>
          <w:highlight w:val="none"/>
        </w:rPr>
      </w:pPr>
      <w:r>
        <w:rPr>
          <w:rFonts w:hint="eastAsia" w:ascii="宋体" w:hAnsi="宋体" w:cs="Arial"/>
          <w:sz w:val="24"/>
          <w:highlight w:val="none"/>
        </w:rPr>
        <w:t>根据贵方重庆高速文化传媒股份有限公司2023</w:t>
      </w:r>
      <w:r>
        <w:rPr>
          <w:rFonts w:hint="eastAsia" w:ascii="宋体" w:hAnsi="宋体" w:cs="Arial"/>
          <w:sz w:val="24"/>
          <w:highlight w:val="none"/>
          <w:lang w:val="en-US" w:eastAsia="zh-CN"/>
        </w:rPr>
        <w:t>年</w:t>
      </w:r>
      <w:r>
        <w:rPr>
          <w:rFonts w:hint="eastAsia" w:ascii="宋体" w:hAnsi="宋体" w:cs="Arial"/>
          <w:sz w:val="24"/>
          <w:highlight w:val="none"/>
        </w:rPr>
        <w:t>智博会设计及装修施工单位选择竞争性比选项目的邀请，签字代表</w:t>
      </w:r>
      <w:r>
        <w:rPr>
          <w:rFonts w:hint="eastAsia" w:ascii="宋体" w:hAnsi="宋体" w:cs="Arial"/>
          <w:sz w:val="24"/>
          <w:highlight w:val="none"/>
          <w:u w:val="single"/>
        </w:rPr>
        <w:t>（全名、职务）</w:t>
      </w:r>
      <w:r>
        <w:rPr>
          <w:rFonts w:hint="eastAsia" w:ascii="宋体" w:hAnsi="宋体" w:cs="Arial"/>
          <w:sz w:val="24"/>
          <w:highlight w:val="none"/>
        </w:rPr>
        <w:t>经正式授权并代表竞争性比选响应单位</w:t>
      </w:r>
      <w:r>
        <w:rPr>
          <w:rFonts w:hint="eastAsia" w:ascii="宋体" w:hAnsi="宋体" w:cs="Arial"/>
          <w:sz w:val="24"/>
          <w:highlight w:val="none"/>
          <w:u w:val="single"/>
        </w:rPr>
        <w:t>（竞争性比选响应单位名称、地址）</w:t>
      </w:r>
      <w:r>
        <w:rPr>
          <w:rFonts w:hint="eastAsia" w:ascii="宋体" w:hAnsi="宋体" w:cs="Arial"/>
          <w:sz w:val="24"/>
          <w:highlight w:val="none"/>
        </w:rPr>
        <w:t>提交以下文件正本一份和副本一份。</w:t>
      </w:r>
    </w:p>
    <w:p>
      <w:pPr>
        <w:spacing w:line="540" w:lineRule="exact"/>
        <w:ind w:firstLine="480" w:firstLineChars="200"/>
        <w:rPr>
          <w:rFonts w:ascii="宋体" w:hAnsi="宋体" w:cs="Arial"/>
          <w:sz w:val="24"/>
          <w:highlight w:val="none"/>
          <w:u w:val="single"/>
        </w:rPr>
      </w:pPr>
      <w:r>
        <w:rPr>
          <w:rFonts w:hint="eastAsia" w:ascii="宋体" w:hAnsi="宋体" w:cs="Arial"/>
          <w:sz w:val="24"/>
          <w:highlight w:val="none"/>
          <w:u w:val="single"/>
        </w:rPr>
        <w:t>我方愿根据报价一览表所列的报价，按照竞争性比选文件的要求，承担本次竞争性比选文件要求的项目。</w:t>
      </w:r>
    </w:p>
    <w:p>
      <w:pPr>
        <w:tabs>
          <w:tab w:val="left" w:pos="540"/>
          <w:tab w:val="left" w:pos="900"/>
        </w:tabs>
        <w:spacing w:line="540" w:lineRule="exact"/>
        <w:ind w:firstLine="480" w:firstLineChars="200"/>
        <w:rPr>
          <w:rFonts w:ascii="宋体" w:hAnsi="宋体" w:cs="Arial"/>
          <w:sz w:val="24"/>
          <w:highlight w:val="none"/>
        </w:rPr>
      </w:pPr>
      <w:r>
        <w:rPr>
          <w:rFonts w:hint="eastAsia" w:ascii="宋体" w:hAnsi="宋体" w:cs="Arial"/>
          <w:sz w:val="24"/>
          <w:highlight w:val="none"/>
        </w:rPr>
        <w:t>据此函，签字代表宣布同意如下：</w:t>
      </w:r>
    </w:p>
    <w:p>
      <w:pPr>
        <w:tabs>
          <w:tab w:val="left" w:pos="540"/>
          <w:tab w:val="left" w:pos="900"/>
        </w:tabs>
        <w:spacing w:line="540" w:lineRule="exact"/>
        <w:ind w:firstLine="480" w:firstLineChars="200"/>
        <w:rPr>
          <w:rFonts w:ascii="宋体" w:hAnsi="宋体" w:cs="Arial"/>
          <w:sz w:val="24"/>
          <w:highlight w:val="none"/>
        </w:rPr>
      </w:pPr>
      <w:r>
        <w:rPr>
          <w:rFonts w:hint="eastAsia" w:ascii="宋体" w:hAnsi="宋体" w:cs="Arial"/>
          <w:sz w:val="24"/>
          <w:highlight w:val="none"/>
        </w:rPr>
        <w:t>1、竞争性比选响应单位将按竞争性比选文件规定履行合同责任和义务。</w:t>
      </w:r>
    </w:p>
    <w:p>
      <w:pPr>
        <w:tabs>
          <w:tab w:val="left" w:pos="900"/>
        </w:tabs>
        <w:spacing w:line="540" w:lineRule="exact"/>
        <w:ind w:firstLine="480" w:firstLineChars="200"/>
        <w:rPr>
          <w:rFonts w:ascii="宋体" w:hAnsi="宋体" w:cs="Arial"/>
          <w:b/>
          <w:sz w:val="24"/>
          <w:highlight w:val="none"/>
        </w:rPr>
      </w:pPr>
      <w:r>
        <w:rPr>
          <w:rFonts w:hint="eastAsia" w:ascii="宋体" w:hAnsi="宋体" w:cs="Arial"/>
          <w:sz w:val="24"/>
          <w:highlight w:val="none"/>
        </w:rPr>
        <w:t>2、竞争性比选响应单位已详细审查全部竞争性比选文件，包括修改文件（如有的话）以及全部参考资料和相关附件。我们完全理解并同意放弃对这方面有不明及误解的权利。</w:t>
      </w:r>
    </w:p>
    <w:p>
      <w:pPr>
        <w:tabs>
          <w:tab w:val="left" w:pos="900"/>
        </w:tabs>
        <w:spacing w:line="540" w:lineRule="exact"/>
        <w:ind w:firstLine="480" w:firstLineChars="200"/>
        <w:rPr>
          <w:rFonts w:ascii="宋体" w:hAnsi="宋体" w:cs="Arial"/>
          <w:b/>
          <w:sz w:val="24"/>
          <w:highlight w:val="none"/>
        </w:rPr>
      </w:pPr>
      <w:r>
        <w:rPr>
          <w:rFonts w:hint="eastAsia" w:ascii="宋体" w:hAnsi="宋体" w:cs="Arial"/>
          <w:sz w:val="24"/>
          <w:highlight w:val="none"/>
        </w:rPr>
        <w:t>3、竞争性比选响应单位同意提供采购人可能要求的与其竞争性比选响应文件有关的一切数据或资料，完全理解采购人不一定要接受最低报价的竞争性比选响应或收到的任何投标。</w:t>
      </w:r>
    </w:p>
    <w:p>
      <w:pPr>
        <w:tabs>
          <w:tab w:val="left" w:pos="900"/>
        </w:tabs>
        <w:spacing w:line="540" w:lineRule="exact"/>
        <w:ind w:firstLine="480" w:firstLineChars="200"/>
        <w:rPr>
          <w:rFonts w:ascii="宋体" w:hAnsi="宋体" w:cs="Arial"/>
          <w:b/>
          <w:sz w:val="24"/>
          <w:highlight w:val="none"/>
        </w:rPr>
      </w:pPr>
      <w:r>
        <w:rPr>
          <w:rFonts w:hint="eastAsia" w:ascii="宋体" w:hAnsi="宋体" w:cs="Arial"/>
          <w:sz w:val="24"/>
          <w:highlight w:val="none"/>
        </w:rPr>
        <w:t>4、与本竞争性比选响应有关的一切正式往来通讯请寄：</w:t>
      </w:r>
    </w:p>
    <w:p>
      <w:pPr>
        <w:tabs>
          <w:tab w:val="left" w:pos="900"/>
        </w:tabs>
        <w:spacing w:line="540" w:lineRule="exact"/>
        <w:ind w:firstLine="480" w:firstLineChars="200"/>
        <w:rPr>
          <w:rFonts w:ascii="宋体" w:hAnsi="宋体" w:cs="Arial"/>
          <w:b/>
          <w:sz w:val="24"/>
          <w:highlight w:val="none"/>
        </w:rPr>
      </w:pPr>
      <w:r>
        <w:rPr>
          <w:rFonts w:hint="eastAsia" w:ascii="宋体" w:hAnsi="宋体" w:cs="Arial"/>
          <w:sz w:val="24"/>
          <w:highlight w:val="none"/>
        </w:rPr>
        <w:t>地址：邮编：</w:t>
      </w:r>
    </w:p>
    <w:p>
      <w:pPr>
        <w:tabs>
          <w:tab w:val="left" w:pos="900"/>
        </w:tabs>
        <w:spacing w:line="540" w:lineRule="exact"/>
        <w:ind w:firstLine="480" w:firstLineChars="200"/>
        <w:rPr>
          <w:rFonts w:ascii="宋体" w:hAnsi="宋体" w:cs="Arial"/>
          <w:sz w:val="24"/>
          <w:highlight w:val="none"/>
          <w:u w:val="single"/>
        </w:rPr>
      </w:pPr>
      <w:r>
        <w:rPr>
          <w:rFonts w:hint="eastAsia" w:ascii="宋体" w:hAnsi="宋体" w:cs="Arial"/>
          <w:sz w:val="24"/>
          <w:highlight w:val="none"/>
        </w:rPr>
        <w:t>电话：传真：</w:t>
      </w:r>
    </w:p>
    <w:p>
      <w:pPr>
        <w:tabs>
          <w:tab w:val="left" w:pos="900"/>
        </w:tabs>
        <w:spacing w:line="540" w:lineRule="exact"/>
        <w:ind w:firstLine="482" w:firstLineChars="200"/>
        <w:rPr>
          <w:rFonts w:ascii="宋体" w:hAnsi="宋体" w:cs="Arial"/>
          <w:b/>
          <w:sz w:val="24"/>
          <w:highlight w:val="none"/>
        </w:rPr>
      </w:pPr>
      <w:r>
        <w:rPr>
          <w:rFonts w:hint="eastAsia" w:ascii="宋体" w:hAnsi="宋体" w:cs="Arial"/>
          <w:b/>
          <w:sz w:val="24"/>
          <w:highlight w:val="none"/>
        </w:rPr>
        <w:t>竞争性比选响应单位法定代表人或授权代表人（签字）：</w:t>
      </w:r>
    </w:p>
    <w:p>
      <w:pPr>
        <w:tabs>
          <w:tab w:val="left" w:pos="900"/>
        </w:tabs>
        <w:spacing w:line="540" w:lineRule="exact"/>
        <w:ind w:firstLine="482" w:firstLineChars="200"/>
        <w:rPr>
          <w:rFonts w:ascii="宋体" w:hAnsi="宋体" w:cs="Arial"/>
          <w:b/>
          <w:sz w:val="24"/>
          <w:highlight w:val="none"/>
        </w:rPr>
      </w:pPr>
      <w:r>
        <w:rPr>
          <w:rFonts w:hint="eastAsia" w:ascii="宋体" w:hAnsi="宋体" w:cs="Arial"/>
          <w:b/>
          <w:sz w:val="24"/>
          <w:highlight w:val="none"/>
        </w:rPr>
        <w:t>竞争性比选响应单位法定代表人或授权代表人职务：</w:t>
      </w:r>
    </w:p>
    <w:p>
      <w:pPr>
        <w:tabs>
          <w:tab w:val="left" w:pos="900"/>
        </w:tabs>
        <w:spacing w:line="540" w:lineRule="exact"/>
        <w:ind w:firstLine="482" w:firstLineChars="200"/>
        <w:rPr>
          <w:rFonts w:ascii="宋体" w:hAnsi="宋体" w:cs="Arial"/>
          <w:sz w:val="24"/>
          <w:highlight w:val="none"/>
        </w:rPr>
      </w:pPr>
      <w:r>
        <w:rPr>
          <w:rFonts w:hint="eastAsia" w:ascii="宋体" w:hAnsi="宋体" w:cs="Arial"/>
          <w:b/>
          <w:sz w:val="24"/>
          <w:highlight w:val="none"/>
        </w:rPr>
        <w:t>竞争性比选响应单位名称（加盖公章）：</w:t>
      </w:r>
    </w:p>
    <w:p>
      <w:pPr>
        <w:tabs>
          <w:tab w:val="left" w:pos="900"/>
        </w:tabs>
        <w:spacing w:line="540" w:lineRule="exact"/>
        <w:ind w:firstLine="480" w:firstLineChars="200"/>
        <w:rPr>
          <w:rFonts w:ascii="宋体" w:hAnsi="宋体" w:cs="Arial"/>
          <w:sz w:val="24"/>
          <w:highlight w:val="none"/>
        </w:rPr>
      </w:pPr>
      <w:r>
        <w:rPr>
          <w:rFonts w:hint="eastAsia" w:ascii="宋体" w:hAnsi="宋体" w:cs="Arial"/>
          <w:sz w:val="24"/>
          <w:highlight w:val="none"/>
        </w:rPr>
        <w:t>日期：</w:t>
      </w:r>
      <w:r>
        <w:rPr>
          <w:rFonts w:hint="eastAsia" w:ascii="宋体" w:hAnsi="宋体" w:cs="Arial"/>
          <w:sz w:val="24"/>
          <w:highlight w:val="none"/>
          <w:lang w:val="en-US" w:eastAsia="zh-CN"/>
        </w:rPr>
        <w:t xml:space="preserve">   </w:t>
      </w:r>
      <w:r>
        <w:rPr>
          <w:rFonts w:hint="eastAsia" w:ascii="宋体" w:hAnsi="宋体" w:cs="Arial"/>
          <w:sz w:val="24"/>
          <w:highlight w:val="none"/>
        </w:rPr>
        <w:t>年</w:t>
      </w:r>
      <w:r>
        <w:rPr>
          <w:rFonts w:hint="eastAsia" w:ascii="宋体" w:hAnsi="宋体" w:cs="Arial"/>
          <w:sz w:val="24"/>
          <w:highlight w:val="none"/>
          <w:lang w:val="en-US" w:eastAsia="zh-CN"/>
        </w:rPr>
        <w:t xml:space="preserve">   </w:t>
      </w:r>
      <w:r>
        <w:rPr>
          <w:rFonts w:hint="eastAsia" w:ascii="宋体" w:hAnsi="宋体" w:cs="Arial"/>
          <w:sz w:val="24"/>
          <w:highlight w:val="none"/>
        </w:rPr>
        <w:t>月</w:t>
      </w:r>
      <w:r>
        <w:rPr>
          <w:rFonts w:hint="eastAsia" w:ascii="宋体" w:hAnsi="宋体" w:cs="Arial"/>
          <w:sz w:val="24"/>
          <w:highlight w:val="none"/>
          <w:lang w:val="en-US" w:eastAsia="zh-CN"/>
        </w:rPr>
        <w:t xml:space="preserve">   </w:t>
      </w:r>
      <w:r>
        <w:rPr>
          <w:rFonts w:hint="eastAsia" w:ascii="宋体" w:hAnsi="宋体" w:cs="Arial"/>
          <w:sz w:val="24"/>
          <w:highlight w:val="none"/>
        </w:rPr>
        <w:t>日</w:t>
      </w:r>
    </w:p>
    <w:p>
      <w:pPr>
        <w:outlineLvl w:val="0"/>
        <w:rPr>
          <w:rFonts w:hint="eastAsia" w:ascii="宋体" w:hAnsi="宋体"/>
          <w:b/>
          <w:sz w:val="24"/>
          <w:highlight w:val="none"/>
        </w:rPr>
      </w:pPr>
    </w:p>
    <w:p>
      <w:pPr>
        <w:outlineLvl w:val="0"/>
        <w:rPr>
          <w:rFonts w:hint="eastAsia" w:ascii="宋体" w:hAnsi="宋体"/>
          <w:b/>
          <w:sz w:val="24"/>
          <w:highlight w:val="none"/>
        </w:rPr>
      </w:pPr>
    </w:p>
    <w:p>
      <w:pPr>
        <w:outlineLvl w:val="0"/>
        <w:rPr>
          <w:rFonts w:ascii="宋体" w:hAnsi="宋体"/>
          <w:b/>
          <w:sz w:val="24"/>
          <w:highlight w:val="none"/>
        </w:rPr>
      </w:pPr>
      <w:r>
        <w:rPr>
          <w:rFonts w:hint="eastAsia" w:ascii="宋体" w:hAnsi="宋体"/>
          <w:b/>
          <w:sz w:val="24"/>
          <w:highlight w:val="none"/>
        </w:rPr>
        <w:t>附件3</w:t>
      </w:r>
    </w:p>
    <w:p>
      <w:pPr>
        <w:jc w:val="center"/>
        <w:outlineLvl w:val="0"/>
        <w:rPr>
          <w:rFonts w:ascii="宋体" w:hAnsi="宋体" w:cs="Arial"/>
          <w:b/>
          <w:sz w:val="32"/>
          <w:szCs w:val="32"/>
          <w:highlight w:val="none"/>
        </w:rPr>
      </w:pPr>
      <w:r>
        <w:rPr>
          <w:rFonts w:hint="eastAsia" w:ascii="宋体" w:hAnsi="宋体" w:cs="Arial"/>
          <w:b/>
          <w:sz w:val="32"/>
          <w:szCs w:val="32"/>
          <w:highlight w:val="none"/>
        </w:rPr>
        <w:t xml:space="preserve"> 报价一览表</w:t>
      </w:r>
    </w:p>
    <w:p>
      <w:pPr>
        <w:pStyle w:val="11"/>
        <w:spacing w:line="540" w:lineRule="exact"/>
        <w:jc w:val="both"/>
        <w:rPr>
          <w:rFonts w:hAnsi="宋体"/>
          <w:color w:val="auto"/>
          <w:highlight w:val="none"/>
        </w:rPr>
      </w:pPr>
      <w:r>
        <w:rPr>
          <w:rFonts w:hint="eastAsia" w:hAnsi="宋体"/>
          <w:color w:val="auto"/>
          <w:highlight w:val="none"/>
        </w:rPr>
        <w:t>重庆高速文化传媒股份有限公司：</w:t>
      </w:r>
    </w:p>
    <w:p>
      <w:pPr>
        <w:spacing w:line="540" w:lineRule="exact"/>
        <w:ind w:firstLine="480" w:firstLineChars="200"/>
        <w:jc w:val="left"/>
        <w:rPr>
          <w:rFonts w:ascii="宋体" w:hAnsi="宋体"/>
          <w:sz w:val="24"/>
          <w:highlight w:val="none"/>
          <w:u w:val="single"/>
        </w:rPr>
      </w:pPr>
      <w:r>
        <w:rPr>
          <w:rFonts w:hint="eastAsia" w:ascii="宋体" w:hAnsi="宋体"/>
          <w:sz w:val="24"/>
          <w:highlight w:val="none"/>
        </w:rPr>
        <w:t>在研究了竞争性比选文件中所有文件后，我司对重庆</w:t>
      </w:r>
      <w:r>
        <w:rPr>
          <w:rFonts w:hint="eastAsia" w:ascii="宋体" w:hAnsi="宋体"/>
          <w:sz w:val="24"/>
          <w:highlight w:val="none"/>
          <w:lang w:val="en-US" w:eastAsia="zh-CN"/>
        </w:rPr>
        <w:t>高速文化传媒股份有限公司</w:t>
      </w:r>
      <w:r>
        <w:rPr>
          <w:rFonts w:hint="eastAsia" w:ascii="宋体" w:hAnsi="宋体"/>
          <w:sz w:val="24"/>
          <w:highlight w:val="none"/>
        </w:rPr>
        <w:t xml:space="preserve">2023年智博会设计及装修施工单位选择竞争性比选响应报价如下： </w:t>
      </w:r>
    </w:p>
    <w:tbl>
      <w:tblPr>
        <w:tblStyle w:val="12"/>
        <w:tblW w:w="10425" w:type="dxa"/>
        <w:jc w:val="center"/>
        <w:tblLayout w:type="fixed"/>
        <w:tblCellMar>
          <w:top w:w="15" w:type="dxa"/>
          <w:left w:w="15" w:type="dxa"/>
          <w:bottom w:w="15" w:type="dxa"/>
          <w:right w:w="15" w:type="dxa"/>
        </w:tblCellMar>
      </w:tblPr>
      <w:tblGrid>
        <w:gridCol w:w="615"/>
        <w:gridCol w:w="2953"/>
        <w:gridCol w:w="3165"/>
        <w:gridCol w:w="1276"/>
        <w:gridCol w:w="2416"/>
      </w:tblGrid>
      <w:tr>
        <w:tblPrEx>
          <w:tblCellMar>
            <w:top w:w="15" w:type="dxa"/>
            <w:left w:w="15" w:type="dxa"/>
            <w:bottom w:w="15" w:type="dxa"/>
            <w:right w:w="15" w:type="dxa"/>
          </w:tblCellMar>
        </w:tblPrEx>
        <w:trPr>
          <w:trHeight w:val="286" w:hRule="atLeast"/>
          <w:jc w:val="center"/>
        </w:trPr>
        <w:tc>
          <w:tcPr>
            <w:tcW w:w="10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宋体" w:hAnsi="宋体" w:cs="宋体"/>
                <w:b/>
                <w:sz w:val="22"/>
                <w:szCs w:val="22"/>
                <w:highlight w:val="none"/>
              </w:rPr>
            </w:pPr>
            <w:r>
              <w:rPr>
                <w:rFonts w:hint="eastAsia" w:ascii="宋体" w:hAnsi="宋体" w:cs="宋体"/>
                <w:b/>
                <w:kern w:val="0"/>
                <w:sz w:val="22"/>
                <w:szCs w:val="22"/>
                <w:highlight w:val="none"/>
              </w:rPr>
              <w:t>报价表</w:t>
            </w:r>
          </w:p>
        </w:tc>
      </w:tr>
      <w:tr>
        <w:tblPrEx>
          <w:tblCellMar>
            <w:top w:w="15" w:type="dxa"/>
            <w:left w:w="15" w:type="dxa"/>
            <w:bottom w:w="15" w:type="dxa"/>
            <w:right w:w="15" w:type="dxa"/>
          </w:tblCellMar>
        </w:tblPrEx>
        <w:trPr>
          <w:trHeight w:val="286"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序号</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项目名称</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总价（元、含税）</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税率</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备注</w:t>
            </w:r>
          </w:p>
        </w:tc>
      </w:tr>
      <w:tr>
        <w:tblPrEx>
          <w:tblCellMar>
            <w:top w:w="15" w:type="dxa"/>
            <w:left w:w="15" w:type="dxa"/>
            <w:bottom w:w="15" w:type="dxa"/>
            <w:right w:w="15"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宋体" w:hAnsi="宋体" w:cs="宋体"/>
                <w:sz w:val="22"/>
                <w:szCs w:val="22"/>
                <w:highlight w:val="none"/>
              </w:rPr>
            </w:pPr>
            <w:r>
              <w:rPr>
                <w:rFonts w:hint="eastAsia" w:ascii="宋体" w:hAnsi="宋体"/>
                <w:sz w:val="24"/>
                <w:highlight w:val="none"/>
              </w:rPr>
              <w:t>重庆高速文化传媒股份有限公司2023年智博会设计及装修施工</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ascii="宋体" w:hAnsi="宋体" w:cs="宋体"/>
                <w:sz w:val="22"/>
                <w:szCs w:val="22"/>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ascii="宋体" w:hAnsi="宋体" w:cs="宋体"/>
                <w:sz w:val="22"/>
                <w:szCs w:val="22"/>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宋体" w:hAnsi="宋体" w:cs="宋体"/>
                <w:sz w:val="22"/>
                <w:szCs w:val="22"/>
                <w:highlight w:val="none"/>
              </w:rPr>
            </w:pPr>
          </w:p>
        </w:tc>
      </w:tr>
      <w:tr>
        <w:tblPrEx>
          <w:tblCellMar>
            <w:top w:w="15" w:type="dxa"/>
            <w:left w:w="15" w:type="dxa"/>
            <w:bottom w:w="15" w:type="dxa"/>
            <w:right w:w="15" w:type="dxa"/>
          </w:tblCellMar>
        </w:tblPrEx>
        <w:trPr>
          <w:trHeight w:val="286" w:hRule="atLeast"/>
          <w:jc w:val="center"/>
        </w:trPr>
        <w:tc>
          <w:tcPr>
            <w:tcW w:w="10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ind w:firstLine="1320" w:firstLineChars="600"/>
              <w:jc w:val="left"/>
              <w:textAlignment w:val="center"/>
              <w:rPr>
                <w:rFonts w:ascii="宋体" w:hAnsi="宋体" w:cs="宋体"/>
                <w:sz w:val="22"/>
                <w:szCs w:val="22"/>
                <w:highlight w:val="none"/>
              </w:rPr>
            </w:pPr>
            <w:r>
              <w:rPr>
                <w:rFonts w:hint="eastAsia" w:ascii="宋体" w:hAnsi="宋体" w:cs="宋体"/>
                <w:kern w:val="0"/>
                <w:sz w:val="22"/>
                <w:szCs w:val="22"/>
                <w:highlight w:val="none"/>
              </w:rPr>
              <w:t>报价单位：</w:t>
            </w:r>
          </w:p>
        </w:tc>
      </w:tr>
      <w:tr>
        <w:tblPrEx>
          <w:tblCellMar>
            <w:top w:w="15" w:type="dxa"/>
            <w:left w:w="15" w:type="dxa"/>
            <w:bottom w:w="15" w:type="dxa"/>
            <w:right w:w="15" w:type="dxa"/>
          </w:tblCellMar>
        </w:tblPrEx>
        <w:trPr>
          <w:trHeight w:val="286" w:hRule="atLeast"/>
          <w:jc w:val="center"/>
        </w:trPr>
        <w:tc>
          <w:tcPr>
            <w:tcW w:w="10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ind w:firstLine="1320" w:firstLineChars="600"/>
              <w:jc w:val="left"/>
              <w:textAlignment w:val="center"/>
              <w:rPr>
                <w:rFonts w:ascii="宋体" w:hAnsi="宋体" w:cs="宋体"/>
                <w:sz w:val="22"/>
                <w:szCs w:val="22"/>
                <w:highlight w:val="none"/>
              </w:rPr>
            </w:pPr>
            <w:r>
              <w:rPr>
                <w:rFonts w:hint="eastAsia" w:ascii="宋体" w:hAnsi="宋体" w:cs="宋体"/>
                <w:kern w:val="0"/>
                <w:sz w:val="22"/>
                <w:szCs w:val="22"/>
                <w:highlight w:val="none"/>
              </w:rPr>
              <w:t>日期：</w:t>
            </w:r>
          </w:p>
        </w:tc>
      </w:tr>
    </w:tbl>
    <w:p>
      <w:pPr>
        <w:spacing w:line="540" w:lineRule="exact"/>
        <w:rPr>
          <w:rFonts w:ascii="宋体" w:hAnsi="宋体"/>
          <w:b/>
          <w:sz w:val="24"/>
          <w:highlight w:val="none"/>
        </w:rPr>
      </w:pPr>
    </w:p>
    <w:p>
      <w:pPr>
        <w:spacing w:line="540" w:lineRule="exact"/>
        <w:outlineLvl w:val="0"/>
        <w:rPr>
          <w:rFonts w:ascii="宋体" w:hAnsi="宋体"/>
          <w:sz w:val="24"/>
          <w:highlight w:val="none"/>
        </w:rPr>
      </w:pPr>
      <w:r>
        <w:rPr>
          <w:rFonts w:hint="eastAsia" w:ascii="宋体" w:hAnsi="宋体"/>
          <w:sz w:val="24"/>
          <w:highlight w:val="none"/>
        </w:rPr>
        <w:t>注1：以上报价包括了应答人为履行合同义务所需支付的全部费用。</w:t>
      </w:r>
    </w:p>
    <w:p>
      <w:pPr>
        <w:spacing w:line="540" w:lineRule="exact"/>
        <w:outlineLvl w:val="0"/>
        <w:rPr>
          <w:rFonts w:ascii="宋体" w:hAnsi="宋体"/>
          <w:sz w:val="24"/>
          <w:highlight w:val="none"/>
        </w:rPr>
      </w:pPr>
      <w:r>
        <w:rPr>
          <w:rFonts w:hint="eastAsia" w:ascii="宋体" w:hAnsi="宋体"/>
          <w:sz w:val="24"/>
          <w:highlight w:val="none"/>
        </w:rPr>
        <w:t>注2：该表可扩展，并逐页签字或盖章。</w:t>
      </w:r>
    </w:p>
    <w:p>
      <w:pPr>
        <w:spacing w:line="540" w:lineRule="exact"/>
        <w:outlineLvl w:val="0"/>
        <w:rPr>
          <w:rFonts w:ascii="宋体" w:hAnsi="宋体"/>
          <w:sz w:val="24"/>
          <w:highlight w:val="none"/>
        </w:rPr>
      </w:pPr>
    </w:p>
    <w:p>
      <w:pPr>
        <w:spacing w:line="620" w:lineRule="exact"/>
        <w:outlineLvl w:val="0"/>
        <w:rPr>
          <w:rFonts w:ascii="宋体" w:hAnsi="宋体"/>
          <w:sz w:val="24"/>
          <w:highlight w:val="none"/>
        </w:rPr>
      </w:pPr>
      <w:r>
        <w:rPr>
          <w:rFonts w:hint="eastAsia" w:ascii="宋体" w:hAnsi="宋体"/>
          <w:sz w:val="24"/>
          <w:highlight w:val="none"/>
        </w:rPr>
        <w:t>报价人名称（加盖公章）：</w:t>
      </w:r>
    </w:p>
    <w:p>
      <w:pPr>
        <w:spacing w:line="620" w:lineRule="exact"/>
        <w:outlineLvl w:val="0"/>
        <w:rPr>
          <w:rFonts w:ascii="宋体" w:hAnsi="宋体"/>
          <w:sz w:val="24"/>
          <w:highlight w:val="none"/>
        </w:rPr>
      </w:pPr>
      <w:r>
        <w:rPr>
          <w:rFonts w:hint="eastAsia" w:ascii="宋体" w:hAnsi="宋体"/>
          <w:sz w:val="24"/>
          <w:highlight w:val="none"/>
        </w:rPr>
        <w:t>报价人法定代表人或授权代表人（签字）：</w:t>
      </w:r>
    </w:p>
    <w:p>
      <w:pPr>
        <w:spacing w:line="620" w:lineRule="exact"/>
        <w:outlineLvl w:val="0"/>
        <w:rPr>
          <w:rFonts w:ascii="宋体" w:hAnsi="宋体" w:cs="Arial"/>
          <w:sz w:val="24"/>
          <w:highlight w:val="none"/>
        </w:rPr>
      </w:pPr>
      <w:r>
        <w:rPr>
          <w:rFonts w:hint="eastAsia" w:ascii="宋体" w:hAnsi="宋体" w:cs="Arial"/>
          <w:sz w:val="24"/>
          <w:highlight w:val="none"/>
        </w:rPr>
        <w:t>日期：</w:t>
      </w:r>
      <w:r>
        <w:rPr>
          <w:rFonts w:hint="eastAsia" w:ascii="宋体" w:hAnsi="宋体" w:cs="Arial"/>
          <w:sz w:val="24"/>
          <w:highlight w:val="none"/>
          <w:lang w:val="en-US" w:eastAsia="zh-CN"/>
        </w:rPr>
        <w:t xml:space="preserve">  </w:t>
      </w:r>
      <w:r>
        <w:rPr>
          <w:rFonts w:hint="eastAsia" w:ascii="宋体" w:hAnsi="宋体" w:cs="Arial"/>
          <w:sz w:val="24"/>
          <w:highlight w:val="none"/>
        </w:rPr>
        <w:t>年</w:t>
      </w:r>
      <w:r>
        <w:rPr>
          <w:rFonts w:hint="eastAsia" w:ascii="宋体" w:hAnsi="宋体" w:cs="Arial"/>
          <w:sz w:val="24"/>
          <w:highlight w:val="none"/>
          <w:lang w:val="en-US" w:eastAsia="zh-CN"/>
        </w:rPr>
        <w:t xml:space="preserve">  </w:t>
      </w:r>
      <w:r>
        <w:rPr>
          <w:rFonts w:hint="eastAsia" w:ascii="宋体" w:hAnsi="宋体" w:cs="Arial"/>
          <w:sz w:val="24"/>
          <w:highlight w:val="none"/>
        </w:rPr>
        <w:t>月</w:t>
      </w:r>
      <w:r>
        <w:rPr>
          <w:rFonts w:hint="eastAsia" w:ascii="宋体" w:hAnsi="宋体" w:cs="Arial"/>
          <w:sz w:val="24"/>
          <w:highlight w:val="none"/>
          <w:lang w:val="en-US" w:eastAsia="zh-CN"/>
        </w:rPr>
        <w:t xml:space="preserve">  </w:t>
      </w:r>
      <w:r>
        <w:rPr>
          <w:rFonts w:hint="eastAsia" w:ascii="宋体" w:hAnsi="宋体" w:cs="Arial"/>
          <w:sz w:val="24"/>
          <w:highlight w:val="none"/>
        </w:rPr>
        <w:t>日</w:t>
      </w: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hint="eastAsia" w:ascii="宋体" w:hAnsi="宋体"/>
          <w:b/>
          <w:sz w:val="24"/>
          <w:highlight w:val="none"/>
        </w:rPr>
      </w:pPr>
    </w:p>
    <w:p>
      <w:pPr>
        <w:outlineLvl w:val="0"/>
        <w:rPr>
          <w:rFonts w:hint="eastAsia" w:ascii="宋体" w:hAnsi="宋体"/>
          <w:b/>
          <w:sz w:val="24"/>
          <w:highlight w:val="none"/>
        </w:rPr>
      </w:pPr>
    </w:p>
    <w:p>
      <w:pPr>
        <w:outlineLvl w:val="0"/>
        <w:rPr>
          <w:rFonts w:hint="eastAsia" w:ascii="宋体" w:hAnsi="宋体"/>
          <w:b/>
          <w:sz w:val="24"/>
          <w:highlight w:val="none"/>
        </w:rPr>
      </w:pPr>
    </w:p>
    <w:p>
      <w:pPr>
        <w:outlineLvl w:val="0"/>
        <w:rPr>
          <w:rFonts w:ascii="宋体" w:hAnsi="宋体"/>
          <w:b/>
          <w:sz w:val="24"/>
          <w:highlight w:val="none"/>
        </w:rPr>
      </w:pPr>
      <w:r>
        <w:rPr>
          <w:rFonts w:hint="eastAsia" w:ascii="宋体" w:hAnsi="宋体"/>
          <w:b/>
          <w:sz w:val="24"/>
          <w:highlight w:val="none"/>
        </w:rPr>
        <w:t>附件4</w:t>
      </w:r>
    </w:p>
    <w:p>
      <w:pPr>
        <w:spacing w:line="360" w:lineRule="auto"/>
        <w:jc w:val="center"/>
        <w:rPr>
          <w:rFonts w:ascii="宋体" w:hAnsi="宋体"/>
          <w:b/>
          <w:bCs/>
          <w:color w:val="000000"/>
          <w:sz w:val="30"/>
          <w:szCs w:val="30"/>
          <w:highlight w:val="none"/>
        </w:rPr>
      </w:pPr>
      <w:r>
        <w:rPr>
          <w:rFonts w:hint="eastAsia" w:ascii="宋体" w:hAnsi="宋体"/>
          <w:b/>
          <w:bCs/>
          <w:color w:val="000000"/>
          <w:sz w:val="30"/>
          <w:szCs w:val="30"/>
          <w:highlight w:val="none"/>
        </w:rPr>
        <w:t>法定代表人身份证明</w:t>
      </w:r>
    </w:p>
    <w:p>
      <w:pPr>
        <w:spacing w:line="360" w:lineRule="auto"/>
        <w:rPr>
          <w:rFonts w:ascii="宋体" w:hAnsi="宋体"/>
          <w:color w:val="000000"/>
          <w:sz w:val="24"/>
          <w:highlight w:val="none"/>
        </w:rPr>
      </w:pPr>
    </w:p>
    <w:p>
      <w:pPr>
        <w:spacing w:line="360" w:lineRule="auto"/>
        <w:rPr>
          <w:rFonts w:hint="eastAsia" w:ascii="宋体" w:hAnsi="宋体" w:eastAsia="宋体"/>
          <w:color w:val="000000"/>
          <w:sz w:val="24"/>
          <w:highlight w:val="none"/>
          <w:lang w:val="en-US" w:eastAsia="zh-CN"/>
        </w:rPr>
      </w:pPr>
      <w:r>
        <w:rPr>
          <w:rFonts w:hint="eastAsia" w:ascii="宋体" w:hAnsi="宋体"/>
          <w:color w:val="000000"/>
          <w:sz w:val="24"/>
          <w:highlight w:val="none"/>
        </w:rPr>
        <w:t>项目名称：重庆高速文化传媒股份有限公司2023年智博会设计及装修施工</w:t>
      </w:r>
      <w:r>
        <w:rPr>
          <w:rFonts w:hint="eastAsia" w:ascii="宋体" w:hAnsi="宋体"/>
          <w:color w:val="000000"/>
          <w:sz w:val="24"/>
          <w:highlight w:val="none"/>
          <w:lang w:val="en-US" w:eastAsia="zh-CN"/>
        </w:rPr>
        <w:t>项目</w:t>
      </w: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r>
        <w:rPr>
          <w:rFonts w:hint="eastAsia" w:ascii="宋体" w:hAnsi="宋体"/>
          <w:color w:val="000000"/>
          <w:sz w:val="24"/>
          <w:highlight w:val="none"/>
        </w:rPr>
        <w:t>致： 重庆高速文化传媒股份有限公司</w:t>
      </w:r>
    </w:p>
    <w:p>
      <w:pPr>
        <w:spacing w:line="360" w:lineRule="auto"/>
        <w:rPr>
          <w:rFonts w:ascii="宋体" w:hAnsi="宋体"/>
          <w:color w:val="000000"/>
          <w:sz w:val="24"/>
          <w:highlight w:val="none"/>
        </w:rPr>
      </w:pPr>
    </w:p>
    <w:p>
      <w:pPr>
        <w:spacing w:line="360" w:lineRule="auto"/>
        <w:ind w:firstLine="720" w:firstLineChars="300"/>
        <w:rPr>
          <w:rFonts w:ascii="宋体" w:hAnsi="宋体"/>
          <w:color w:val="000000"/>
          <w:sz w:val="24"/>
          <w:highlight w:val="none"/>
        </w:rPr>
      </w:pPr>
      <w:r>
        <w:rPr>
          <w:rFonts w:hint="eastAsia" w:ascii="宋体" w:hAnsi="宋体"/>
          <w:color w:val="000000"/>
          <w:sz w:val="24"/>
          <w:highlight w:val="none"/>
          <w:u w:val="single"/>
        </w:rPr>
        <w:t xml:space="preserve">            （法定代表人姓名）</w:t>
      </w:r>
      <w:r>
        <w:rPr>
          <w:rFonts w:hint="eastAsia" w:ascii="宋体" w:hAnsi="宋体"/>
          <w:color w:val="000000"/>
          <w:sz w:val="24"/>
          <w:highlight w:val="none"/>
        </w:rPr>
        <w:t xml:space="preserve">是 </w:t>
      </w:r>
      <w:r>
        <w:rPr>
          <w:rFonts w:hint="eastAsia" w:ascii="宋体" w:hAnsi="宋体"/>
          <w:color w:val="000000"/>
          <w:sz w:val="24"/>
          <w:highlight w:val="none"/>
          <w:u w:val="single"/>
        </w:rPr>
        <w:t xml:space="preserve">               （比选响应单位名称）  </w:t>
      </w:r>
      <w:r>
        <w:rPr>
          <w:rFonts w:hint="eastAsia" w:ascii="宋体" w:hAnsi="宋体"/>
          <w:color w:val="000000"/>
          <w:sz w:val="24"/>
          <w:highlight w:val="none"/>
        </w:rPr>
        <w:t xml:space="preserve">  的法定代表人。</w:t>
      </w:r>
    </w:p>
    <w:p>
      <w:pPr>
        <w:spacing w:line="360" w:lineRule="auto"/>
        <w:rPr>
          <w:rFonts w:ascii="宋体" w:hAnsi="宋体"/>
          <w:color w:val="000000"/>
          <w:sz w:val="24"/>
          <w:highlight w:val="none"/>
        </w:rPr>
      </w:pPr>
    </w:p>
    <w:p>
      <w:pPr>
        <w:spacing w:line="360" w:lineRule="auto"/>
        <w:ind w:firstLine="600" w:firstLineChars="250"/>
        <w:rPr>
          <w:rFonts w:ascii="宋体" w:hAnsi="宋体"/>
          <w:color w:val="000000"/>
          <w:sz w:val="24"/>
          <w:highlight w:val="none"/>
        </w:rPr>
      </w:pPr>
      <w:r>
        <w:rPr>
          <w:rFonts w:hint="eastAsia" w:ascii="宋体" w:hAnsi="宋体"/>
          <w:color w:val="000000"/>
          <w:sz w:val="24"/>
          <w:highlight w:val="none"/>
        </w:rPr>
        <w:t>特此证明。</w:t>
      </w: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ind w:firstLine="5280" w:firstLineChars="2200"/>
        <w:rPr>
          <w:rFonts w:ascii="宋体" w:hAnsi="宋体"/>
          <w:color w:val="000000"/>
          <w:sz w:val="24"/>
          <w:highlight w:val="none"/>
        </w:rPr>
      </w:pPr>
      <w:r>
        <w:rPr>
          <w:rFonts w:hint="eastAsia" w:ascii="宋体" w:hAnsi="宋体"/>
          <w:color w:val="000000"/>
          <w:sz w:val="24"/>
          <w:highlight w:val="none"/>
        </w:rPr>
        <w:t xml:space="preserve"> （比选响应单位公章）</w:t>
      </w: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r>
        <w:rPr>
          <w:rFonts w:hint="eastAsia" w:ascii="宋体" w:hAnsi="宋体"/>
          <w:color w:val="000000"/>
          <w:sz w:val="24"/>
          <w:highlight w:val="none"/>
        </w:rPr>
        <w:t xml:space="preserve">                                                 年   月   日</w:t>
      </w:r>
    </w:p>
    <w:p>
      <w:pPr>
        <w:spacing w:line="360" w:lineRule="auto"/>
        <w:rPr>
          <w:rFonts w:ascii="宋体" w:hAnsi="宋体"/>
          <w:b/>
          <w:bCs/>
          <w:color w:val="000000"/>
          <w:sz w:val="24"/>
          <w:highlight w:val="none"/>
        </w:rPr>
      </w:pPr>
    </w:p>
    <w:p>
      <w:pPr>
        <w:spacing w:line="360" w:lineRule="auto"/>
        <w:rPr>
          <w:rFonts w:ascii="宋体" w:hAnsi="宋体"/>
          <w:b/>
          <w:bCs/>
          <w:color w:val="000000"/>
          <w:sz w:val="24"/>
          <w:highlight w:val="none"/>
        </w:rPr>
      </w:pPr>
    </w:p>
    <w:p>
      <w:pPr>
        <w:outlineLvl w:val="0"/>
        <w:rPr>
          <w:rFonts w:ascii="宋体" w:hAnsi="宋体" w:cs="Arial"/>
          <w:sz w:val="24"/>
          <w:highlight w:val="none"/>
        </w:rPr>
      </w:pPr>
      <w:r>
        <w:rPr>
          <w:rFonts w:hint="eastAsia" w:ascii="宋体" w:hAnsi="宋体" w:cs="Arial"/>
          <w:sz w:val="24"/>
          <w:highlight w:val="none"/>
        </w:rPr>
        <w:t>附报价单位法定代表人身份证复印件（正、反面，并加盖公章）</w:t>
      </w: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r>
        <w:rPr>
          <w:rFonts w:hint="eastAsia" w:ascii="宋体" w:hAnsi="宋体" w:cs="Arial"/>
          <w:sz w:val="24"/>
          <w:highlight w:val="none"/>
        </w:rPr>
        <w:t>法定代表人身份证复印件（正面、反面）：</w:t>
      </w:r>
    </w:p>
    <w:p>
      <w:pPr>
        <w:spacing w:line="360" w:lineRule="auto"/>
        <w:rPr>
          <w:rFonts w:ascii="宋体" w:hAnsi="宋体"/>
          <w:b/>
          <w:bCs/>
          <w:color w:val="000000"/>
          <w:sz w:val="24"/>
          <w:highlight w:val="none"/>
        </w:rPr>
      </w:pPr>
    </w:p>
    <w:p>
      <w:pPr>
        <w:spacing w:line="360" w:lineRule="auto"/>
        <w:rPr>
          <w:rFonts w:ascii="宋体" w:hAnsi="宋体"/>
          <w:b/>
          <w:bCs/>
          <w:color w:val="000000"/>
          <w:sz w:val="24"/>
          <w:highlight w:val="none"/>
        </w:rPr>
      </w:pPr>
    </w:p>
    <w:p>
      <w:pPr>
        <w:spacing w:line="360" w:lineRule="auto"/>
        <w:rPr>
          <w:rFonts w:ascii="宋体" w:hAnsi="宋体"/>
          <w:b/>
          <w:bCs/>
          <w:color w:val="000000"/>
          <w:sz w:val="24"/>
          <w:highlight w:val="none"/>
        </w:rPr>
      </w:pPr>
    </w:p>
    <w:p>
      <w:pPr>
        <w:spacing w:line="360" w:lineRule="auto"/>
        <w:rPr>
          <w:rFonts w:ascii="宋体" w:hAnsi="宋体"/>
          <w:b/>
          <w:bCs/>
          <w:color w:val="000000"/>
          <w:sz w:val="24"/>
          <w:highlight w:val="none"/>
        </w:rPr>
      </w:pPr>
    </w:p>
    <w:p>
      <w:pPr>
        <w:spacing w:line="360" w:lineRule="auto"/>
        <w:rPr>
          <w:rFonts w:ascii="宋体" w:hAnsi="宋体"/>
          <w:b/>
          <w:bCs/>
          <w:color w:val="000000"/>
          <w:sz w:val="24"/>
          <w:highlight w:val="none"/>
        </w:rPr>
      </w:pPr>
    </w:p>
    <w:p>
      <w:pPr>
        <w:spacing w:line="360" w:lineRule="auto"/>
        <w:rPr>
          <w:rFonts w:ascii="宋体" w:hAnsi="宋体"/>
          <w:b/>
          <w:bCs/>
          <w:color w:val="000000"/>
          <w:sz w:val="24"/>
          <w:highlight w:val="none"/>
        </w:rPr>
      </w:pPr>
    </w:p>
    <w:p>
      <w:pPr>
        <w:spacing w:line="360" w:lineRule="auto"/>
        <w:jc w:val="center"/>
        <w:rPr>
          <w:rFonts w:hint="eastAsia" w:ascii="宋体" w:hAnsi="宋体"/>
          <w:b/>
          <w:bCs/>
          <w:color w:val="000000"/>
          <w:sz w:val="30"/>
          <w:szCs w:val="30"/>
          <w:highlight w:val="none"/>
        </w:rPr>
      </w:pPr>
    </w:p>
    <w:p>
      <w:pPr>
        <w:spacing w:line="360" w:lineRule="auto"/>
        <w:jc w:val="center"/>
        <w:rPr>
          <w:rFonts w:ascii="宋体" w:hAnsi="宋体"/>
          <w:b/>
          <w:bCs/>
          <w:color w:val="000000"/>
          <w:sz w:val="30"/>
          <w:szCs w:val="30"/>
          <w:highlight w:val="none"/>
        </w:rPr>
      </w:pPr>
      <w:r>
        <w:rPr>
          <w:rFonts w:hint="eastAsia" w:ascii="宋体" w:hAnsi="宋体"/>
          <w:b/>
          <w:bCs/>
          <w:color w:val="000000"/>
          <w:sz w:val="30"/>
          <w:szCs w:val="30"/>
          <w:highlight w:val="none"/>
        </w:rPr>
        <w:t>法定代表人授权委托书</w:t>
      </w:r>
    </w:p>
    <w:p>
      <w:pPr>
        <w:spacing w:line="360" w:lineRule="auto"/>
        <w:ind w:firstLine="2168" w:firstLineChars="900"/>
        <w:rPr>
          <w:rFonts w:ascii="宋体" w:hAnsi="宋体"/>
          <w:b/>
          <w:bCs/>
          <w:color w:val="000000"/>
          <w:sz w:val="24"/>
          <w:highlight w:val="none"/>
        </w:rPr>
      </w:pPr>
    </w:p>
    <w:p>
      <w:pPr>
        <w:spacing w:line="360" w:lineRule="auto"/>
        <w:rPr>
          <w:rFonts w:hint="eastAsia" w:ascii="宋体" w:hAnsi="宋体" w:eastAsia="宋体"/>
          <w:color w:val="000000"/>
          <w:sz w:val="24"/>
          <w:highlight w:val="none"/>
          <w:lang w:val="en-US" w:eastAsia="zh-CN"/>
        </w:rPr>
      </w:pPr>
      <w:r>
        <w:rPr>
          <w:rFonts w:hint="eastAsia" w:ascii="宋体" w:hAnsi="宋体"/>
          <w:color w:val="000000"/>
          <w:sz w:val="24"/>
          <w:highlight w:val="none"/>
        </w:rPr>
        <w:t>项目名称：重庆高速文化传媒股份有限公司2023年智博会设计及装修施工</w:t>
      </w:r>
      <w:r>
        <w:rPr>
          <w:rFonts w:hint="eastAsia" w:ascii="宋体" w:hAnsi="宋体"/>
          <w:color w:val="000000"/>
          <w:sz w:val="24"/>
          <w:highlight w:val="none"/>
          <w:lang w:val="en-US" w:eastAsia="zh-CN"/>
        </w:rPr>
        <w:t>项目</w:t>
      </w: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r>
        <w:rPr>
          <w:rFonts w:hint="eastAsia" w:ascii="宋体" w:hAnsi="宋体"/>
          <w:color w:val="000000"/>
          <w:sz w:val="24"/>
          <w:highlight w:val="none"/>
        </w:rPr>
        <w:t>致：重庆高速文化传媒股份有限公司</w:t>
      </w:r>
    </w:p>
    <w:p>
      <w:pPr>
        <w:spacing w:line="360" w:lineRule="auto"/>
        <w:rPr>
          <w:rFonts w:ascii="宋体" w:hAnsi="宋体"/>
          <w:color w:val="000000"/>
          <w:sz w:val="24"/>
          <w:highlight w:val="none"/>
        </w:rPr>
      </w:pPr>
      <w:r>
        <w:rPr>
          <w:rFonts w:hint="eastAsia" w:ascii="宋体" w:hAnsi="宋体"/>
          <w:color w:val="000000"/>
          <w:sz w:val="24"/>
          <w:highlight w:val="none"/>
          <w:u w:val="single"/>
        </w:rPr>
        <w:t>（比选响应单位法定代表人名称）</w:t>
      </w:r>
      <w:r>
        <w:rPr>
          <w:rFonts w:hint="eastAsia" w:ascii="宋体" w:hAnsi="宋体"/>
          <w:color w:val="000000"/>
          <w:sz w:val="24"/>
          <w:highlight w:val="none"/>
        </w:rPr>
        <w:t>是</w:t>
      </w:r>
      <w:r>
        <w:rPr>
          <w:rFonts w:hint="eastAsia" w:ascii="宋体" w:hAnsi="宋体"/>
          <w:color w:val="000000"/>
          <w:sz w:val="24"/>
          <w:highlight w:val="none"/>
          <w:u w:val="single"/>
        </w:rPr>
        <w:t>（比选响应单位名称）</w:t>
      </w:r>
      <w:r>
        <w:rPr>
          <w:rFonts w:hint="eastAsia" w:ascii="宋体" w:hAnsi="宋体"/>
          <w:color w:val="000000"/>
          <w:sz w:val="24"/>
          <w:highlight w:val="none"/>
        </w:rPr>
        <w:t>的法定代表人，特授权</w:t>
      </w:r>
      <w:r>
        <w:rPr>
          <w:rFonts w:hint="eastAsia" w:ascii="宋体" w:hAnsi="宋体"/>
          <w:color w:val="000000"/>
          <w:sz w:val="24"/>
          <w:highlight w:val="none"/>
          <w:u w:val="single"/>
        </w:rPr>
        <w:t>（被授权人姓名）</w:t>
      </w:r>
      <w:r>
        <w:rPr>
          <w:rFonts w:hint="eastAsia" w:ascii="宋体" w:hAnsi="宋体"/>
          <w:color w:val="000000"/>
          <w:sz w:val="24"/>
          <w:highlight w:val="none"/>
        </w:rPr>
        <w:t>代表我单位全权办理上述项目的投标、谈判、签约等具体工作，并签署全部有关文件、协议及合同。我单位对被授权人的签名负全部责任。</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在撤消授权的书面通知以前，本授权书一直有效。被授权人在授权书有效期内签署的所有文件不因授权的撤消而失效。</w:t>
      </w: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r>
        <w:rPr>
          <w:rFonts w:hint="eastAsia" w:ascii="宋体" w:hAnsi="宋体"/>
          <w:color w:val="000000"/>
          <w:sz w:val="24"/>
          <w:highlight w:val="none"/>
        </w:rPr>
        <w:t>比选响应单位法定代表人签字：          被授权人签字：</w:t>
      </w: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ind w:firstLine="5880" w:firstLineChars="2450"/>
        <w:rPr>
          <w:rFonts w:ascii="宋体" w:hAnsi="宋体"/>
          <w:color w:val="000000"/>
          <w:sz w:val="24"/>
          <w:highlight w:val="none"/>
        </w:rPr>
      </w:pPr>
      <w:r>
        <w:rPr>
          <w:rFonts w:hint="eastAsia" w:ascii="宋体" w:hAnsi="宋体"/>
          <w:color w:val="000000"/>
          <w:sz w:val="24"/>
          <w:highlight w:val="none"/>
        </w:rPr>
        <w:t>（比选响应单位公章）</w:t>
      </w:r>
    </w:p>
    <w:p>
      <w:pPr>
        <w:spacing w:line="360" w:lineRule="auto"/>
        <w:ind w:firstLine="6120" w:firstLineChars="2550"/>
        <w:rPr>
          <w:rFonts w:ascii="宋体" w:hAnsi="宋体"/>
          <w:color w:val="000000"/>
          <w:sz w:val="24"/>
          <w:highlight w:val="none"/>
        </w:rPr>
      </w:pPr>
      <w:r>
        <w:rPr>
          <w:rFonts w:hint="eastAsia" w:ascii="宋体" w:hAnsi="宋体"/>
          <w:color w:val="000000"/>
          <w:sz w:val="24"/>
          <w:highlight w:val="none"/>
        </w:rPr>
        <w:t>年   月   日</w:t>
      </w:r>
    </w:p>
    <w:p>
      <w:pPr>
        <w:spacing w:line="360" w:lineRule="auto"/>
        <w:rPr>
          <w:rFonts w:ascii="宋体" w:hAnsi="宋体"/>
          <w:b/>
          <w:bCs/>
          <w:color w:val="000000"/>
          <w:sz w:val="24"/>
          <w:highlight w:val="none"/>
        </w:rPr>
      </w:pPr>
    </w:p>
    <w:p>
      <w:pPr>
        <w:outlineLvl w:val="0"/>
        <w:rPr>
          <w:rFonts w:ascii="宋体" w:hAnsi="宋体" w:cs="Arial"/>
          <w:sz w:val="24"/>
          <w:highlight w:val="none"/>
        </w:rPr>
      </w:pPr>
      <w:r>
        <w:rPr>
          <w:rFonts w:hint="eastAsia" w:ascii="宋体" w:hAnsi="宋体" w:cs="Arial"/>
          <w:sz w:val="24"/>
          <w:highlight w:val="none"/>
        </w:rPr>
        <w:t>附报价单位授权代表人身份证复印件（正、反面，并加盖公章）</w:t>
      </w: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r>
        <w:rPr>
          <w:rFonts w:hint="eastAsia" w:ascii="宋体" w:hAnsi="宋体" w:cs="Arial"/>
          <w:sz w:val="24"/>
          <w:highlight w:val="none"/>
        </w:rPr>
        <w:t>授权代表人身份证复印件（正面、反面）：</w:t>
      </w: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hint="eastAsia" w:ascii="宋体" w:hAnsi="宋体"/>
          <w:b/>
          <w:sz w:val="24"/>
          <w:highlight w:val="none"/>
        </w:rPr>
      </w:pPr>
    </w:p>
    <w:p>
      <w:pPr>
        <w:outlineLvl w:val="0"/>
        <w:rPr>
          <w:rFonts w:hint="eastAsia" w:ascii="宋体" w:hAnsi="宋体"/>
          <w:b/>
          <w:sz w:val="24"/>
          <w:highlight w:val="none"/>
        </w:rPr>
      </w:pPr>
    </w:p>
    <w:p>
      <w:pPr>
        <w:outlineLvl w:val="0"/>
        <w:rPr>
          <w:rFonts w:hint="eastAsia" w:ascii="宋体" w:hAnsi="宋体"/>
          <w:b/>
          <w:sz w:val="24"/>
          <w:highlight w:val="none"/>
        </w:rPr>
      </w:pPr>
    </w:p>
    <w:p>
      <w:pPr>
        <w:outlineLvl w:val="0"/>
        <w:rPr>
          <w:rFonts w:ascii="宋体" w:hAnsi="宋体"/>
          <w:b/>
          <w:sz w:val="24"/>
          <w:highlight w:val="none"/>
        </w:rPr>
      </w:pPr>
      <w:r>
        <w:rPr>
          <w:rFonts w:hint="eastAsia" w:ascii="宋体" w:hAnsi="宋体"/>
          <w:b/>
          <w:sz w:val="24"/>
          <w:highlight w:val="none"/>
        </w:rPr>
        <w:t>附件5</w:t>
      </w:r>
    </w:p>
    <w:p>
      <w:pPr>
        <w:jc w:val="center"/>
        <w:outlineLvl w:val="0"/>
        <w:rPr>
          <w:rFonts w:ascii="宋体" w:hAnsi="宋体" w:cs="Arial"/>
          <w:sz w:val="24"/>
          <w:highlight w:val="none"/>
        </w:rPr>
      </w:pPr>
      <w:r>
        <w:rPr>
          <w:rFonts w:hint="eastAsia" w:ascii="宋体" w:hAnsi="宋体" w:cs="Arial"/>
          <w:b/>
          <w:sz w:val="32"/>
          <w:szCs w:val="32"/>
          <w:highlight w:val="none"/>
        </w:rPr>
        <w:t>报价人其他响应文件</w:t>
      </w: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spacing w:line="620" w:lineRule="exact"/>
        <w:outlineLvl w:val="0"/>
        <w:rPr>
          <w:rFonts w:ascii="宋体" w:hAnsi="宋体"/>
          <w:b/>
          <w:sz w:val="24"/>
          <w:highlight w:val="none"/>
        </w:rPr>
      </w:pPr>
    </w:p>
    <w:p>
      <w:pPr>
        <w:spacing w:line="620" w:lineRule="exact"/>
        <w:outlineLvl w:val="0"/>
        <w:rPr>
          <w:rFonts w:ascii="宋体" w:hAnsi="宋体"/>
          <w:b/>
          <w:sz w:val="24"/>
          <w:highlight w:val="none"/>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65CC1"/>
    <w:multiLevelType w:val="singleLevel"/>
    <w:tmpl w:val="A0565CC1"/>
    <w:lvl w:ilvl="0" w:tentative="0">
      <w:start w:val="1"/>
      <w:numFmt w:val="upperLetter"/>
      <w:suff w:val="nothing"/>
      <w:lvlText w:val="%1、"/>
      <w:lvlJc w:val="left"/>
    </w:lvl>
  </w:abstractNum>
  <w:abstractNum w:abstractNumId="1">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5B902E"/>
    <w:multiLevelType w:val="singleLevel"/>
    <w:tmpl w:val="575B902E"/>
    <w:lvl w:ilvl="0" w:tentative="0">
      <w:start w:val="1"/>
      <w:numFmt w:val="decimal"/>
      <w:suff w:val="nothing"/>
      <w:lvlText w:val="%1、"/>
      <w:lvlJc w:val="left"/>
      <w:rPr>
        <w:rFonts w:cs="Times New Roman"/>
      </w:rPr>
    </w:lvl>
  </w:abstractNum>
  <w:abstractNum w:abstractNumId="3">
    <w:nsid w:val="6018BAEE"/>
    <w:multiLevelType w:val="singleLevel"/>
    <w:tmpl w:val="6018BAEE"/>
    <w:lvl w:ilvl="0" w:tentative="0">
      <w:start w:val="1"/>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YmFhZDYxZjYyMzhhZDZhNjZhYTMwYTVkMWJkNTMifQ=="/>
  </w:docVars>
  <w:rsids>
    <w:rsidRoot w:val="30E4782F"/>
    <w:rsid w:val="00006ADA"/>
    <w:rsid w:val="00023B6E"/>
    <w:rsid w:val="000358B3"/>
    <w:rsid w:val="00054A71"/>
    <w:rsid w:val="00082C29"/>
    <w:rsid w:val="00087E7B"/>
    <w:rsid w:val="000922E0"/>
    <w:rsid w:val="000C1B2C"/>
    <w:rsid w:val="000C43AF"/>
    <w:rsid w:val="000D7A46"/>
    <w:rsid w:val="000E0A88"/>
    <w:rsid w:val="000F64B3"/>
    <w:rsid w:val="00103206"/>
    <w:rsid w:val="00111914"/>
    <w:rsid w:val="0011573E"/>
    <w:rsid w:val="001305F9"/>
    <w:rsid w:val="00160332"/>
    <w:rsid w:val="00181A97"/>
    <w:rsid w:val="00190D59"/>
    <w:rsid w:val="00197C9C"/>
    <w:rsid w:val="001A256D"/>
    <w:rsid w:val="001A7E53"/>
    <w:rsid w:val="001C624B"/>
    <w:rsid w:val="001D57B9"/>
    <w:rsid w:val="001E69C0"/>
    <w:rsid w:val="002026A8"/>
    <w:rsid w:val="00220A78"/>
    <w:rsid w:val="002475B5"/>
    <w:rsid w:val="0025325E"/>
    <w:rsid w:val="002D1D57"/>
    <w:rsid w:val="002F13AC"/>
    <w:rsid w:val="0031407E"/>
    <w:rsid w:val="00332A24"/>
    <w:rsid w:val="00346809"/>
    <w:rsid w:val="0035052F"/>
    <w:rsid w:val="00360983"/>
    <w:rsid w:val="003652BD"/>
    <w:rsid w:val="00387E6A"/>
    <w:rsid w:val="003A4C04"/>
    <w:rsid w:val="003A4DC5"/>
    <w:rsid w:val="003B3A5F"/>
    <w:rsid w:val="003B517C"/>
    <w:rsid w:val="003D7CEB"/>
    <w:rsid w:val="00413CED"/>
    <w:rsid w:val="00413FEC"/>
    <w:rsid w:val="00414E21"/>
    <w:rsid w:val="00426158"/>
    <w:rsid w:val="00453ED6"/>
    <w:rsid w:val="00455165"/>
    <w:rsid w:val="00456A4E"/>
    <w:rsid w:val="00460539"/>
    <w:rsid w:val="004922F2"/>
    <w:rsid w:val="004C7F65"/>
    <w:rsid w:val="004E4C69"/>
    <w:rsid w:val="004E7967"/>
    <w:rsid w:val="004F11A6"/>
    <w:rsid w:val="004F1ADF"/>
    <w:rsid w:val="00500EFA"/>
    <w:rsid w:val="00505ABA"/>
    <w:rsid w:val="00511F17"/>
    <w:rsid w:val="005131F1"/>
    <w:rsid w:val="005133A6"/>
    <w:rsid w:val="00515AB1"/>
    <w:rsid w:val="0055454B"/>
    <w:rsid w:val="005811CF"/>
    <w:rsid w:val="00594E56"/>
    <w:rsid w:val="005961FF"/>
    <w:rsid w:val="005A7560"/>
    <w:rsid w:val="005F105D"/>
    <w:rsid w:val="005F2378"/>
    <w:rsid w:val="00610D88"/>
    <w:rsid w:val="00624CFB"/>
    <w:rsid w:val="006264A4"/>
    <w:rsid w:val="006445E8"/>
    <w:rsid w:val="006470AF"/>
    <w:rsid w:val="00647863"/>
    <w:rsid w:val="0065155F"/>
    <w:rsid w:val="00652A5B"/>
    <w:rsid w:val="006749F7"/>
    <w:rsid w:val="00682996"/>
    <w:rsid w:val="00692E7B"/>
    <w:rsid w:val="006B4978"/>
    <w:rsid w:val="006B6AD4"/>
    <w:rsid w:val="007341FC"/>
    <w:rsid w:val="007411A7"/>
    <w:rsid w:val="00743753"/>
    <w:rsid w:val="00757CA6"/>
    <w:rsid w:val="0077166C"/>
    <w:rsid w:val="00782498"/>
    <w:rsid w:val="00784CA7"/>
    <w:rsid w:val="007B136F"/>
    <w:rsid w:val="007B3711"/>
    <w:rsid w:val="007F5FEE"/>
    <w:rsid w:val="00815400"/>
    <w:rsid w:val="008462AE"/>
    <w:rsid w:val="008519F4"/>
    <w:rsid w:val="008546D6"/>
    <w:rsid w:val="00867E14"/>
    <w:rsid w:val="00891A63"/>
    <w:rsid w:val="00895872"/>
    <w:rsid w:val="008C59AA"/>
    <w:rsid w:val="008E5CA4"/>
    <w:rsid w:val="00920340"/>
    <w:rsid w:val="00924AF7"/>
    <w:rsid w:val="00926B87"/>
    <w:rsid w:val="009510D2"/>
    <w:rsid w:val="00951E81"/>
    <w:rsid w:val="00970283"/>
    <w:rsid w:val="00981748"/>
    <w:rsid w:val="00993CB7"/>
    <w:rsid w:val="009D6BE5"/>
    <w:rsid w:val="009E67FE"/>
    <w:rsid w:val="00A05CC4"/>
    <w:rsid w:val="00A05F6D"/>
    <w:rsid w:val="00A142F9"/>
    <w:rsid w:val="00A37757"/>
    <w:rsid w:val="00A50936"/>
    <w:rsid w:val="00A804F6"/>
    <w:rsid w:val="00A80FBB"/>
    <w:rsid w:val="00A8726A"/>
    <w:rsid w:val="00AB68F9"/>
    <w:rsid w:val="00AC59EE"/>
    <w:rsid w:val="00AD3C16"/>
    <w:rsid w:val="00AD6685"/>
    <w:rsid w:val="00AF371B"/>
    <w:rsid w:val="00B045BE"/>
    <w:rsid w:val="00B065C1"/>
    <w:rsid w:val="00B42FAB"/>
    <w:rsid w:val="00B45CD9"/>
    <w:rsid w:val="00B545DF"/>
    <w:rsid w:val="00B659E1"/>
    <w:rsid w:val="00B65E13"/>
    <w:rsid w:val="00B76A9D"/>
    <w:rsid w:val="00B77929"/>
    <w:rsid w:val="00BD3527"/>
    <w:rsid w:val="00BE7CFC"/>
    <w:rsid w:val="00C21E21"/>
    <w:rsid w:val="00C23F16"/>
    <w:rsid w:val="00C40FCD"/>
    <w:rsid w:val="00C524CD"/>
    <w:rsid w:val="00C55347"/>
    <w:rsid w:val="00C56B43"/>
    <w:rsid w:val="00C83E3F"/>
    <w:rsid w:val="00CA37A8"/>
    <w:rsid w:val="00CE52AB"/>
    <w:rsid w:val="00D34B81"/>
    <w:rsid w:val="00D34BD4"/>
    <w:rsid w:val="00D37BC7"/>
    <w:rsid w:val="00D438F0"/>
    <w:rsid w:val="00D473A8"/>
    <w:rsid w:val="00D7459A"/>
    <w:rsid w:val="00D762DB"/>
    <w:rsid w:val="00DA1CFC"/>
    <w:rsid w:val="00DA7E5B"/>
    <w:rsid w:val="00DC03DE"/>
    <w:rsid w:val="00DE0846"/>
    <w:rsid w:val="00E0308C"/>
    <w:rsid w:val="00E125FE"/>
    <w:rsid w:val="00E25BE1"/>
    <w:rsid w:val="00E402BB"/>
    <w:rsid w:val="00E47AB0"/>
    <w:rsid w:val="00E84C99"/>
    <w:rsid w:val="00EB6B47"/>
    <w:rsid w:val="00EC3CAD"/>
    <w:rsid w:val="00EE2CBA"/>
    <w:rsid w:val="00F10008"/>
    <w:rsid w:val="00F214C3"/>
    <w:rsid w:val="00F41846"/>
    <w:rsid w:val="00F6201B"/>
    <w:rsid w:val="00FB6F82"/>
    <w:rsid w:val="00FC475F"/>
    <w:rsid w:val="00FD7663"/>
    <w:rsid w:val="00FE3034"/>
    <w:rsid w:val="02FB5929"/>
    <w:rsid w:val="03082F4B"/>
    <w:rsid w:val="030D0BDF"/>
    <w:rsid w:val="038F7B53"/>
    <w:rsid w:val="04847070"/>
    <w:rsid w:val="05281244"/>
    <w:rsid w:val="078A0EE9"/>
    <w:rsid w:val="0E2371E6"/>
    <w:rsid w:val="0EB229FD"/>
    <w:rsid w:val="10CD62F3"/>
    <w:rsid w:val="12553865"/>
    <w:rsid w:val="181810E3"/>
    <w:rsid w:val="1C0161EB"/>
    <w:rsid w:val="1C2E4314"/>
    <w:rsid w:val="1C9B1058"/>
    <w:rsid w:val="1D470FB4"/>
    <w:rsid w:val="1DB63878"/>
    <w:rsid w:val="1FE368A5"/>
    <w:rsid w:val="211C1532"/>
    <w:rsid w:val="21D86F2C"/>
    <w:rsid w:val="223213C5"/>
    <w:rsid w:val="231B51EE"/>
    <w:rsid w:val="2337783C"/>
    <w:rsid w:val="24BC54AC"/>
    <w:rsid w:val="26050469"/>
    <w:rsid w:val="277572D1"/>
    <w:rsid w:val="28884032"/>
    <w:rsid w:val="28D75D44"/>
    <w:rsid w:val="298E79ED"/>
    <w:rsid w:val="2B3D06D9"/>
    <w:rsid w:val="2D634703"/>
    <w:rsid w:val="2DAB20EC"/>
    <w:rsid w:val="2F217D99"/>
    <w:rsid w:val="30E4782F"/>
    <w:rsid w:val="318463D2"/>
    <w:rsid w:val="339A1626"/>
    <w:rsid w:val="352E6A1C"/>
    <w:rsid w:val="36BE33AD"/>
    <w:rsid w:val="380F3FCD"/>
    <w:rsid w:val="39944115"/>
    <w:rsid w:val="3A377AD8"/>
    <w:rsid w:val="3AE8273F"/>
    <w:rsid w:val="3B0C56AA"/>
    <w:rsid w:val="3BED402A"/>
    <w:rsid w:val="3C2E0626"/>
    <w:rsid w:val="3C722C08"/>
    <w:rsid w:val="3D596D0B"/>
    <w:rsid w:val="3DF93CBA"/>
    <w:rsid w:val="3E861C58"/>
    <w:rsid w:val="3FBF4ED4"/>
    <w:rsid w:val="41AC3649"/>
    <w:rsid w:val="42F752B5"/>
    <w:rsid w:val="441164F0"/>
    <w:rsid w:val="46B23F56"/>
    <w:rsid w:val="47B2035D"/>
    <w:rsid w:val="4A9B116E"/>
    <w:rsid w:val="4DC54E9F"/>
    <w:rsid w:val="4ED97810"/>
    <w:rsid w:val="4F78306C"/>
    <w:rsid w:val="4FDA26AD"/>
    <w:rsid w:val="504D4392"/>
    <w:rsid w:val="52430432"/>
    <w:rsid w:val="538949A4"/>
    <w:rsid w:val="539767AE"/>
    <w:rsid w:val="53F72B11"/>
    <w:rsid w:val="561E7EC8"/>
    <w:rsid w:val="56425AD0"/>
    <w:rsid w:val="56EF69BD"/>
    <w:rsid w:val="56FD79CA"/>
    <w:rsid w:val="57561AD9"/>
    <w:rsid w:val="5C31448F"/>
    <w:rsid w:val="60EA22C4"/>
    <w:rsid w:val="61DE5D0D"/>
    <w:rsid w:val="630117DC"/>
    <w:rsid w:val="65856C59"/>
    <w:rsid w:val="65C47850"/>
    <w:rsid w:val="66BC04C3"/>
    <w:rsid w:val="66FE5542"/>
    <w:rsid w:val="681C2C23"/>
    <w:rsid w:val="697F79DF"/>
    <w:rsid w:val="6C841A18"/>
    <w:rsid w:val="6D535020"/>
    <w:rsid w:val="6E056B89"/>
    <w:rsid w:val="6E5F7775"/>
    <w:rsid w:val="6F79726B"/>
    <w:rsid w:val="70761FC0"/>
    <w:rsid w:val="74FF67F2"/>
    <w:rsid w:val="769D3494"/>
    <w:rsid w:val="76AF2D74"/>
    <w:rsid w:val="77005C03"/>
    <w:rsid w:val="78AD3A09"/>
    <w:rsid w:val="7AA422E6"/>
    <w:rsid w:val="7B731DD0"/>
    <w:rsid w:val="7B96339F"/>
    <w:rsid w:val="7BA85F3D"/>
    <w:rsid w:val="7BB842CA"/>
    <w:rsid w:val="7C961875"/>
    <w:rsid w:val="7D8E3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djustRightInd w:val="0"/>
      <w:spacing w:before="120" w:after="360" w:line="720" w:lineRule="atLeast"/>
      <w:jc w:val="center"/>
      <w:textAlignment w:val="baseline"/>
      <w:outlineLvl w:val="0"/>
    </w:pPr>
    <w:rPr>
      <w:b/>
      <w:kern w:val="0"/>
      <w:sz w:val="28"/>
      <w:szCs w:val="20"/>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szCs w:val="21"/>
    </w:rPr>
  </w:style>
  <w:style w:type="paragraph" w:styleId="6">
    <w:name w:val="Plain Text"/>
    <w:basedOn w:val="1"/>
    <w:unhideWhenUsed/>
    <w:qFormat/>
    <w:uiPriority w:val="99"/>
    <w:rPr>
      <w:rFonts w:ascii="宋体" w:hAnsi="Courier New"/>
      <w:szCs w:val="21"/>
    </w:rPr>
  </w:style>
  <w:style w:type="paragraph" w:styleId="7">
    <w:name w:val="Date"/>
    <w:basedOn w:val="1"/>
    <w:next w:val="1"/>
    <w:qFormat/>
    <w:uiPriority w:val="0"/>
    <w:pPr>
      <w:adjustRightInd w:val="0"/>
      <w:spacing w:line="312" w:lineRule="atLeast"/>
      <w:jc w:val="right"/>
      <w:textAlignment w:val="baseline"/>
    </w:pPr>
    <w:rPr>
      <w:b/>
      <w:spacing w:val="30"/>
      <w:kern w:val="0"/>
      <w:sz w:val="36"/>
      <w:szCs w:val="20"/>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pacing w:line="360" w:lineRule="auto"/>
      <w:ind w:firstLine="200" w:firstLineChars="200"/>
    </w:pPr>
    <w:rPr>
      <w:sz w:val="24"/>
    </w:rPr>
  </w:style>
  <w:style w:type="paragraph" w:styleId="11">
    <w:name w:val="index 1"/>
    <w:basedOn w:val="1"/>
    <w:next w:val="1"/>
    <w:semiHidden/>
    <w:qFormat/>
    <w:uiPriority w:val="0"/>
    <w:pPr>
      <w:spacing w:line="360" w:lineRule="auto"/>
      <w:jc w:val="center"/>
    </w:pPr>
    <w:rPr>
      <w:rFonts w:ascii="宋体" w:hAnsi="Arial" w:cs="Arial"/>
      <w:b/>
      <w:color w:val="000000"/>
      <w:sz w:val="24"/>
    </w:rPr>
  </w:style>
  <w:style w:type="character" w:styleId="14">
    <w:name w:val="Strong"/>
    <w:basedOn w:val="13"/>
    <w:qFormat/>
    <w:uiPriority w:val="22"/>
    <w:rPr>
      <w:b/>
      <w:bCs/>
    </w:rPr>
  </w:style>
  <w:style w:type="character" w:styleId="15">
    <w:name w:val="Hyperlink"/>
    <w:basedOn w:val="13"/>
    <w:unhideWhenUsed/>
    <w:qFormat/>
    <w:uiPriority w:val="0"/>
    <w:rPr>
      <w:color w:val="0000FF"/>
      <w:u w:val="single"/>
    </w:rPr>
  </w:style>
  <w:style w:type="character" w:customStyle="1" w:styleId="16">
    <w:name w:val="font41"/>
    <w:basedOn w:val="13"/>
    <w:qFormat/>
    <w:uiPriority w:val="0"/>
    <w:rPr>
      <w:rFonts w:hint="eastAsia" w:ascii="宋体" w:hAnsi="宋体" w:eastAsia="宋体" w:cs="宋体"/>
      <w:color w:val="000000"/>
      <w:sz w:val="18"/>
      <w:szCs w:val="18"/>
      <w:u w:val="none"/>
    </w:rPr>
  </w:style>
  <w:style w:type="character" w:customStyle="1" w:styleId="17">
    <w:name w:val="页眉 Char"/>
    <w:basedOn w:val="13"/>
    <w:link w:val="9"/>
    <w:qFormat/>
    <w:uiPriority w:val="0"/>
    <w:rPr>
      <w:kern w:val="2"/>
      <w:sz w:val="18"/>
      <w:szCs w:val="18"/>
    </w:rPr>
  </w:style>
  <w:style w:type="character" w:customStyle="1" w:styleId="18">
    <w:name w:val="页脚 Char"/>
    <w:basedOn w:val="13"/>
    <w:link w:val="8"/>
    <w:qFormat/>
    <w:uiPriority w:val="0"/>
    <w:rPr>
      <w:kern w:val="2"/>
      <w:sz w:val="18"/>
      <w:szCs w:val="18"/>
    </w:rPr>
  </w:style>
  <w:style w:type="paragraph" w:customStyle="1" w:styleId="19">
    <w:name w:val="正文1"/>
    <w:qFormat/>
    <w:uiPriority w:val="0"/>
    <w:pPr>
      <w:jc w:val="both"/>
    </w:pPr>
    <w:rPr>
      <w:rFonts w:ascii="等线" w:hAnsi="等线" w:eastAsia="宋体" w:cs="宋体"/>
      <w:kern w:val="2"/>
      <w:sz w:val="21"/>
      <w:szCs w:val="21"/>
      <w:lang w:val="en-US" w:eastAsia="zh-CN" w:bidi="ar-SA"/>
    </w:rPr>
  </w:style>
  <w:style w:type="paragraph" w:customStyle="1" w:styleId="20">
    <w:name w:val="列出段落1"/>
    <w:basedOn w:val="1"/>
    <w:unhideWhenUsed/>
    <w:qFormat/>
    <w:uiPriority w:val="99"/>
    <w:pPr>
      <w:ind w:firstLine="420" w:firstLineChars="200"/>
    </w:pPr>
  </w:style>
  <w:style w:type="character" w:customStyle="1" w:styleId="21">
    <w:name w:val="标题 2 Char"/>
    <w:basedOn w:val="13"/>
    <w:link w:val="3"/>
    <w:semiHidden/>
    <w:qFormat/>
    <w:uiPriority w:val="0"/>
    <w:rPr>
      <w:rFonts w:asciiTheme="majorHAnsi" w:hAnsiTheme="majorHAnsi" w:eastAsiaTheme="majorEastAsia" w:cstheme="majorBidi"/>
      <w:b/>
      <w:bCs/>
      <w:kern w:val="2"/>
      <w:sz w:val="32"/>
      <w:szCs w:val="32"/>
    </w:rPr>
  </w:style>
  <w:style w:type="paragraph" w:customStyle="1" w:styleId="22">
    <w:name w:val="font10"/>
    <w:basedOn w:val="1"/>
    <w:qFormat/>
    <w:uiPriority w:val="0"/>
    <w:pPr>
      <w:widowControl/>
      <w:spacing w:before="100" w:beforeAutospacing="1" w:after="100" w:afterAutospacing="1"/>
      <w:jc w:val="left"/>
    </w:pPr>
    <w:rPr>
      <w:kern w:val="0"/>
      <w:sz w:val="28"/>
      <w:szCs w:val="28"/>
    </w:rPr>
  </w:style>
  <w:style w:type="paragraph" w:customStyle="1" w:styleId="23">
    <w:name w:val="Default"/>
    <w:next w:val="1"/>
    <w:unhideWhenUsed/>
    <w:qFormat/>
    <w:uiPriority w:val="0"/>
    <w:pPr>
      <w:widowControl w:val="0"/>
      <w:autoSpaceDE w:val="0"/>
      <w:autoSpaceDN w:val="0"/>
      <w:adjustRightInd w:val="0"/>
    </w:pPr>
    <w:rPr>
      <w:rFonts w:hint="eastAsia" w:ascii="方正黑体_GBK" w:hAnsi="方正黑体_GBK" w:eastAsia="方正黑体_GBK" w:cstheme="minorBidi"/>
      <w:color w:val="000000"/>
      <w:sz w:val="24"/>
      <w:szCs w:val="22"/>
      <w:lang w:val="en-US" w:eastAsia="zh-CN" w:bidi="ar-SA"/>
    </w:rPr>
  </w:style>
  <w:style w:type="paragraph" w:customStyle="1" w:styleId="24">
    <w:name w:val="列出段落2"/>
    <w:basedOn w:val="1"/>
    <w:qFormat/>
    <w:uiPriority w:val="34"/>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5">
    <w:name w:val="无间隔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16</Pages>
  <Words>7356</Words>
  <Characters>7760</Characters>
  <Lines>39</Lines>
  <Paragraphs>11</Paragraphs>
  <TotalTime>72</TotalTime>
  <ScaleCrop>false</ScaleCrop>
  <LinksUpToDate>false</LinksUpToDate>
  <CharactersWithSpaces>8061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2023-04-18T06:40:00Z</dcterms:created>
  <dc:creator>瑞林</dc:creator>
  <cp:lastModifiedBy>张怀杰</cp:lastModifiedBy>
  <cp:lastPrinted>2023-04-17T08:05:00Z</cp:lastPrinted>
  <dcterms:modified xsi:type="dcterms:W3CDTF">2023-08-22T06:45:28Z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1E46E24CB6D24482AC71887E3FCB65E9_13</vt:lpwstr>
  </property>
</Properties>
</file>