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
        <w:jc w:val="center"/>
        <w:rPr>
          <w:rFonts w:hint="default" w:ascii="微软雅黑" w:hAnsi="微软雅黑" w:eastAsia="微软雅黑" w:cs="Times New Roman"/>
          <w:b/>
          <w:sz w:val="48"/>
          <w:szCs w:val="48"/>
          <w:lang w:val="en-US" w:eastAsia="zh-CN"/>
        </w:rPr>
      </w:pPr>
      <w:r>
        <w:rPr>
          <w:rFonts w:hint="eastAsia" w:ascii="微软雅黑" w:hAnsi="微软雅黑" w:eastAsia="微软雅黑"/>
          <w:b/>
          <w:bCs/>
          <w:sz w:val="48"/>
          <w:szCs w:val="48"/>
        </w:rPr>
        <w:t>202</w:t>
      </w:r>
      <w:r>
        <w:rPr>
          <w:rFonts w:hint="eastAsia" w:ascii="微软雅黑" w:hAnsi="微软雅黑" w:eastAsia="微软雅黑"/>
          <w:b/>
          <w:bCs/>
          <w:sz w:val="48"/>
          <w:szCs w:val="48"/>
          <w:lang w:val="en-US" w:eastAsia="zh-CN"/>
        </w:rPr>
        <w:t>3</w:t>
      </w:r>
      <w:r>
        <w:rPr>
          <w:rFonts w:hint="eastAsia" w:ascii="微软雅黑" w:hAnsi="微软雅黑" w:eastAsia="微软雅黑"/>
          <w:b/>
          <w:bCs/>
          <w:sz w:val="48"/>
          <w:szCs w:val="48"/>
        </w:rPr>
        <w:t>年</w:t>
      </w:r>
      <w:r>
        <w:rPr>
          <w:rFonts w:hint="eastAsia" w:ascii="微软雅黑" w:hAnsi="微软雅黑" w:eastAsia="微软雅黑"/>
          <w:b/>
          <w:bCs/>
          <w:sz w:val="48"/>
          <w:szCs w:val="48"/>
          <w:lang w:val="en-US" w:eastAsia="zh-CN"/>
        </w:rPr>
        <w:t>专项工程摩天岭隧道地下风机房S型气溶胶自动灭火装置更换</w:t>
      </w:r>
    </w:p>
    <w:p>
      <w:pPr>
        <w:jc w:val="center"/>
        <w:rPr>
          <w:rFonts w:ascii="微软雅黑" w:hAnsi="微软雅黑" w:eastAsia="微软雅黑" w:cs="Times New Roman"/>
          <w:b/>
          <w:sz w:val="52"/>
          <w:szCs w:val="52"/>
        </w:rPr>
      </w:pPr>
    </w:p>
    <w:p>
      <w:pPr>
        <w:jc w:val="center"/>
        <w:rPr>
          <w:rFonts w:ascii="微软雅黑" w:hAnsi="微软雅黑" w:eastAsia="微软雅黑" w:cs="Times New Roman"/>
          <w:b/>
          <w:sz w:val="52"/>
          <w:szCs w:val="52"/>
        </w:rPr>
      </w:pPr>
    </w:p>
    <w:p>
      <w:pPr>
        <w:jc w:val="center"/>
        <w:rPr>
          <w:rFonts w:ascii="微软雅黑" w:hAnsi="微软雅黑" w:eastAsia="微软雅黑" w:cs="Times New Roman"/>
          <w:b/>
          <w:sz w:val="52"/>
          <w:szCs w:val="52"/>
        </w:rPr>
      </w:pPr>
    </w:p>
    <w:p>
      <w:pPr>
        <w:jc w:val="center"/>
        <w:rPr>
          <w:rFonts w:ascii="微软雅黑" w:hAnsi="微软雅黑" w:eastAsia="微软雅黑" w:cs="Times New Roman"/>
          <w:b/>
          <w:sz w:val="52"/>
          <w:szCs w:val="52"/>
        </w:rPr>
      </w:pPr>
      <w:r>
        <w:rPr>
          <w:rFonts w:hint="eastAsia" w:ascii="微软雅黑" w:hAnsi="微软雅黑" w:eastAsia="微软雅黑" w:cs="Times New Roman"/>
          <w:b/>
          <w:sz w:val="52"/>
          <w:szCs w:val="52"/>
        </w:rPr>
        <w:t>设</w:t>
      </w:r>
    </w:p>
    <w:p>
      <w:pPr>
        <w:jc w:val="center"/>
        <w:rPr>
          <w:rFonts w:ascii="微软雅黑" w:hAnsi="微软雅黑" w:eastAsia="微软雅黑" w:cs="Times New Roman"/>
          <w:b/>
          <w:sz w:val="52"/>
          <w:szCs w:val="52"/>
        </w:rPr>
      </w:pPr>
      <w:r>
        <w:rPr>
          <w:rFonts w:hint="eastAsia" w:ascii="微软雅黑" w:hAnsi="微软雅黑" w:eastAsia="微软雅黑" w:cs="Times New Roman"/>
          <w:b/>
          <w:sz w:val="52"/>
          <w:szCs w:val="52"/>
        </w:rPr>
        <w:t>计</w:t>
      </w:r>
    </w:p>
    <w:p>
      <w:pPr>
        <w:jc w:val="center"/>
        <w:rPr>
          <w:rFonts w:ascii="微软雅黑" w:hAnsi="微软雅黑" w:eastAsia="微软雅黑" w:cs="Times New Roman"/>
          <w:b/>
          <w:sz w:val="52"/>
          <w:szCs w:val="52"/>
        </w:rPr>
      </w:pPr>
      <w:r>
        <w:rPr>
          <w:rFonts w:hint="eastAsia" w:ascii="微软雅黑" w:hAnsi="微软雅黑" w:eastAsia="微软雅黑" w:cs="Times New Roman"/>
          <w:b/>
          <w:sz w:val="52"/>
          <w:szCs w:val="52"/>
        </w:rPr>
        <w:t>方</w:t>
      </w:r>
    </w:p>
    <w:p>
      <w:pPr>
        <w:jc w:val="center"/>
        <w:rPr>
          <w:rFonts w:ascii="微软雅黑" w:hAnsi="微软雅黑" w:eastAsia="微软雅黑" w:cs="Times New Roman"/>
          <w:b/>
          <w:sz w:val="52"/>
          <w:szCs w:val="52"/>
        </w:rPr>
      </w:pPr>
      <w:r>
        <w:rPr>
          <w:rFonts w:hint="eastAsia" w:ascii="微软雅黑" w:hAnsi="微软雅黑" w:eastAsia="微软雅黑" w:cs="Times New Roman"/>
          <w:b/>
          <w:sz w:val="52"/>
          <w:szCs w:val="52"/>
        </w:rPr>
        <w:t>案</w:t>
      </w:r>
    </w:p>
    <w:p>
      <w:pPr>
        <w:jc w:val="center"/>
        <w:rPr>
          <w:rFonts w:ascii="微软雅黑" w:hAnsi="微软雅黑" w:eastAsia="微软雅黑" w:cs="Times New Roman"/>
          <w:b/>
          <w:sz w:val="52"/>
          <w:szCs w:val="52"/>
        </w:rPr>
      </w:pPr>
    </w:p>
    <w:p>
      <w:pPr>
        <w:rPr>
          <w:rFonts w:ascii="微软雅黑" w:hAnsi="微软雅黑" w:eastAsia="微软雅黑" w:cs="Times New Roman"/>
          <w:b/>
          <w:sz w:val="52"/>
          <w:szCs w:val="52"/>
        </w:rPr>
      </w:pPr>
    </w:p>
    <w:p>
      <w:pPr>
        <w:jc w:val="center"/>
        <w:rPr>
          <w:rFonts w:ascii="微软雅黑" w:hAnsi="微软雅黑" w:eastAsia="微软雅黑" w:cs="Times New Roman"/>
          <w:b/>
          <w:sz w:val="52"/>
          <w:szCs w:val="52"/>
        </w:rPr>
      </w:pPr>
    </w:p>
    <w:p>
      <w:pPr>
        <w:rPr>
          <w:rFonts w:ascii="微软雅黑" w:hAnsi="微软雅黑" w:eastAsia="微软雅黑" w:cs="Times New Roman"/>
          <w:b/>
          <w:sz w:val="52"/>
          <w:szCs w:val="52"/>
        </w:rPr>
      </w:pPr>
    </w:p>
    <w:p>
      <w:pPr>
        <w:jc w:val="center"/>
        <w:rPr>
          <w:rFonts w:ascii="微软雅黑" w:hAnsi="微软雅黑" w:eastAsia="微软雅黑" w:cs="Times New Roman"/>
          <w:b/>
          <w:sz w:val="36"/>
          <w:szCs w:val="36"/>
        </w:rPr>
      </w:pPr>
      <w:r>
        <w:rPr>
          <w:rFonts w:hint="eastAsia" w:ascii="微软雅黑" w:hAnsi="微软雅黑" w:eastAsia="微软雅黑" w:cs="Times New Roman"/>
          <w:b/>
          <w:sz w:val="36"/>
          <w:szCs w:val="36"/>
        </w:rPr>
        <w:t>重庆首讯科技</w:t>
      </w:r>
      <w:r>
        <w:rPr>
          <w:rFonts w:hint="eastAsia" w:ascii="微软雅黑" w:hAnsi="微软雅黑" w:eastAsia="微软雅黑"/>
          <w:b/>
          <w:sz w:val="36"/>
          <w:szCs w:val="36"/>
        </w:rPr>
        <w:t>股份</w:t>
      </w:r>
      <w:r>
        <w:rPr>
          <w:rFonts w:hint="eastAsia" w:ascii="微软雅黑" w:hAnsi="微软雅黑" w:eastAsia="微软雅黑" w:cs="Times New Roman"/>
          <w:b/>
          <w:sz w:val="36"/>
          <w:szCs w:val="36"/>
        </w:rPr>
        <w:t>有限公司</w:t>
      </w:r>
    </w:p>
    <w:p>
      <w:pPr>
        <w:jc w:val="center"/>
        <w:rPr>
          <w:rFonts w:hint="eastAsia" w:ascii="微软雅黑" w:hAnsi="微软雅黑" w:eastAsia="微软雅黑" w:cs="Times New Roman"/>
          <w:b/>
          <w:sz w:val="36"/>
          <w:szCs w:val="36"/>
        </w:rPr>
      </w:pPr>
      <w:r>
        <w:rPr>
          <w:rFonts w:ascii="微软雅黑" w:hAnsi="微软雅黑" w:eastAsia="微软雅黑" w:cs="Times New Roman"/>
          <w:b/>
          <w:sz w:val="36"/>
          <w:szCs w:val="36"/>
        </w:rPr>
        <w:t>20</w:t>
      </w:r>
      <w:r>
        <w:rPr>
          <w:rFonts w:hint="eastAsia" w:ascii="微软雅黑" w:hAnsi="微软雅黑" w:eastAsia="微软雅黑" w:cs="Times New Roman"/>
          <w:b/>
          <w:sz w:val="36"/>
          <w:szCs w:val="36"/>
        </w:rPr>
        <w:t>2</w:t>
      </w:r>
      <w:r>
        <w:rPr>
          <w:rFonts w:hint="eastAsia" w:ascii="微软雅黑" w:hAnsi="微软雅黑" w:eastAsia="微软雅黑" w:cs="Times New Roman"/>
          <w:b/>
          <w:sz w:val="36"/>
          <w:szCs w:val="36"/>
          <w:lang w:val="en-US" w:eastAsia="zh-CN"/>
        </w:rPr>
        <w:t>3</w:t>
      </w:r>
      <w:r>
        <w:rPr>
          <w:rFonts w:hint="eastAsia" w:ascii="微软雅黑" w:hAnsi="微软雅黑" w:eastAsia="微软雅黑" w:cs="Times New Roman"/>
          <w:b/>
          <w:sz w:val="36"/>
          <w:szCs w:val="36"/>
        </w:rPr>
        <w:t>年</w:t>
      </w:r>
      <w:r>
        <w:rPr>
          <w:rFonts w:hint="eastAsia" w:ascii="微软雅黑" w:hAnsi="微软雅黑" w:eastAsia="微软雅黑"/>
          <w:b/>
          <w:sz w:val="36"/>
          <w:szCs w:val="36"/>
          <w:lang w:val="en-US" w:eastAsia="zh-CN"/>
        </w:rPr>
        <w:t>3</w:t>
      </w:r>
      <w:r>
        <w:rPr>
          <w:rFonts w:hint="eastAsia" w:ascii="微软雅黑" w:hAnsi="微软雅黑" w:eastAsia="微软雅黑" w:cs="Times New Roman"/>
          <w:b/>
          <w:sz w:val="36"/>
          <w:szCs w:val="36"/>
        </w:rPr>
        <w:t>月</w:t>
      </w:r>
    </w:p>
    <w:p>
      <w:pPr>
        <w:jc w:val="center"/>
        <w:rPr>
          <w:rFonts w:ascii="微软雅黑" w:hAnsi="微软雅黑" w:eastAsia="微软雅黑"/>
          <w:b/>
          <w:bCs/>
          <w:sz w:val="44"/>
          <w:szCs w:val="44"/>
        </w:rPr>
      </w:pPr>
      <w:r>
        <w:rPr>
          <w:rFonts w:hint="eastAsia" w:ascii="微软雅黑" w:hAnsi="微软雅黑" w:eastAsia="微软雅黑"/>
          <w:b/>
          <w:bCs/>
          <w:sz w:val="44"/>
          <w:szCs w:val="44"/>
          <w:lang w:val="en-US" w:eastAsia="zh-CN"/>
        </w:rPr>
        <w:t>摩天岭隧道地下风机房S型气溶胶自动灭火装置更换</w:t>
      </w:r>
      <w:r>
        <w:rPr>
          <w:rFonts w:hint="eastAsia" w:ascii="微软雅黑" w:hAnsi="微软雅黑" w:eastAsia="微软雅黑"/>
          <w:b/>
          <w:bCs/>
          <w:sz w:val="44"/>
          <w:szCs w:val="44"/>
        </w:rPr>
        <w:t>设计方案</w:t>
      </w:r>
    </w:p>
    <w:p>
      <w:pPr>
        <w:pStyle w:val="3"/>
        <w:spacing w:before="0" w:after="0" w:line="360" w:lineRule="auto"/>
        <w:rPr>
          <w:rFonts w:hint="eastAsia" w:ascii="微软雅黑" w:hAnsi="微软雅黑" w:eastAsia="微软雅黑"/>
          <w:sz w:val="28"/>
          <w:szCs w:val="28"/>
        </w:rPr>
      </w:pPr>
    </w:p>
    <w:p>
      <w:pPr>
        <w:pStyle w:val="3"/>
        <w:spacing w:before="0" w:after="0" w:line="360" w:lineRule="auto"/>
        <w:rPr>
          <w:rFonts w:ascii="微软雅黑" w:hAnsi="微软雅黑" w:eastAsia="微软雅黑"/>
          <w:b w:val="0"/>
          <w:bCs w:val="0"/>
          <w:sz w:val="28"/>
          <w:szCs w:val="28"/>
        </w:rPr>
      </w:pPr>
      <w:r>
        <w:rPr>
          <w:rFonts w:hint="eastAsia" w:ascii="微软雅黑" w:hAnsi="微软雅黑" w:eastAsia="微软雅黑"/>
          <w:sz w:val="28"/>
          <w:szCs w:val="28"/>
        </w:rPr>
        <w:t>1 设计范围与设计依据</w:t>
      </w:r>
    </w:p>
    <w:p>
      <w:pPr>
        <w:pStyle w:val="4"/>
        <w:spacing w:before="0" w:after="0" w:line="360" w:lineRule="auto"/>
        <w:rPr>
          <w:rFonts w:ascii="微软雅黑" w:hAnsi="微软雅黑" w:eastAsia="微软雅黑" w:cs="微软雅黑"/>
          <w:b w:val="0"/>
          <w:bCs w:val="0"/>
          <w:sz w:val="22"/>
          <w:szCs w:val="22"/>
        </w:rPr>
      </w:pPr>
      <w:r>
        <w:rPr>
          <w:rFonts w:hint="eastAsia" w:ascii="微软雅黑" w:hAnsi="微软雅黑" w:eastAsia="微软雅黑" w:cs="微软雅黑"/>
          <w:sz w:val="22"/>
          <w:szCs w:val="22"/>
        </w:rPr>
        <w:t>1.1 项目背景</w:t>
      </w:r>
    </w:p>
    <w:p>
      <w:pPr>
        <w:pStyle w:val="4"/>
        <w:spacing w:before="0" w:after="0" w:line="360" w:lineRule="auto"/>
        <w:ind w:firstLine="440" w:firstLineChars="200"/>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奉巫路摩天岭隧道地下风机房S型气溶胶自动灭火装置于2015年安装，已经运行了七年左右，气溶胶灭火装置已经过期失效，为排除存在的消防安全隐患，现拟对该路段的气体灭火系统拆除，重新更换安装新的S型气溶胶气体灭火系统。</w:t>
      </w:r>
    </w:p>
    <w:p>
      <w:pPr>
        <w:pStyle w:val="4"/>
        <w:spacing w:before="0" w:after="0" w:line="360" w:lineRule="auto"/>
        <w:rPr>
          <w:rFonts w:ascii="微软雅黑" w:hAnsi="微软雅黑" w:eastAsia="微软雅黑" w:cs="微软雅黑"/>
          <w:sz w:val="22"/>
          <w:szCs w:val="22"/>
        </w:rPr>
      </w:pPr>
      <w:r>
        <w:rPr>
          <w:rFonts w:hint="eastAsia" w:ascii="微软雅黑" w:hAnsi="微软雅黑" w:eastAsia="微软雅黑" w:cs="微软雅黑"/>
          <w:sz w:val="22"/>
          <w:szCs w:val="22"/>
        </w:rPr>
        <w:t>1.2 编制依据</w:t>
      </w:r>
    </w:p>
    <w:p>
      <w:pPr>
        <w:keepNext w:val="0"/>
        <w:keepLines w:val="0"/>
        <w:pageBreakBefore w:val="0"/>
        <w:kinsoku/>
        <w:wordWrap/>
        <w:overflowPunct/>
        <w:topLinePunct w:val="0"/>
        <w:autoSpaceDE/>
        <w:autoSpaceDN/>
        <w:bidi w:val="0"/>
        <w:adjustRightInd w:val="0"/>
        <w:snapToGrid w:val="0"/>
        <w:spacing w:line="360" w:lineRule="auto"/>
        <w:textAlignment w:val="auto"/>
        <w:rPr>
          <w:rFonts w:ascii="微软雅黑" w:hAnsi="Times New Roman" w:eastAsia="微软雅黑" w:cs="Times New Roman"/>
          <w:sz w:val="22"/>
          <w:szCs w:val="22"/>
        </w:rPr>
      </w:pPr>
      <w:r>
        <w:rPr>
          <w:rFonts w:ascii="微软雅黑" w:hAnsi="Times New Roman" w:eastAsia="微软雅黑" w:cs="Times New Roman"/>
          <w:sz w:val="22"/>
          <w:szCs w:val="22"/>
        </w:rPr>
        <w:t>►</w:t>
      </w:r>
      <w:r>
        <w:rPr>
          <w:rFonts w:hint="eastAsia" w:ascii="微软雅黑" w:hAnsi="Times New Roman" w:eastAsia="微软雅黑" w:cs="Times New Roman"/>
          <w:sz w:val="22"/>
          <w:szCs w:val="22"/>
        </w:rPr>
        <w:t>信息产业部、电力部、建设部颁布的有关标准和规范；</w:t>
      </w:r>
    </w:p>
    <w:p>
      <w:pPr>
        <w:keepNext w:val="0"/>
        <w:keepLines w:val="0"/>
        <w:pageBreakBefore w:val="0"/>
        <w:kinsoku/>
        <w:wordWrap/>
        <w:overflowPunct/>
        <w:topLinePunct w:val="0"/>
        <w:autoSpaceDE/>
        <w:autoSpaceDN/>
        <w:bidi w:val="0"/>
        <w:adjustRightInd w:val="0"/>
        <w:snapToGrid w:val="0"/>
        <w:spacing w:line="360" w:lineRule="auto"/>
        <w:textAlignment w:val="auto"/>
        <w:rPr>
          <w:rFonts w:ascii="微软雅黑" w:hAnsi="Times New Roman" w:eastAsia="微软雅黑" w:cs="Times New Roman"/>
          <w:sz w:val="22"/>
          <w:szCs w:val="22"/>
        </w:rPr>
      </w:pPr>
      <w:r>
        <w:rPr>
          <w:rFonts w:ascii="微软雅黑" w:hAnsi="Times New Roman" w:eastAsia="微软雅黑" w:cs="Times New Roman"/>
          <w:sz w:val="22"/>
          <w:szCs w:val="22"/>
        </w:rPr>
        <w:t>►</w:t>
      </w:r>
      <w:r>
        <w:rPr>
          <w:rFonts w:hint="eastAsia" w:ascii="微软雅黑" w:hAnsi="Times New Roman" w:eastAsia="微软雅黑" w:cs="Times New Roman"/>
          <w:sz w:val="22"/>
          <w:szCs w:val="22"/>
        </w:rPr>
        <w:t>交通部颁发的有关技术标准、规范、规程及强制性条文；</w:t>
      </w:r>
    </w:p>
    <w:p>
      <w:pPr>
        <w:keepNext w:val="0"/>
        <w:keepLines w:val="0"/>
        <w:pageBreakBefore w:val="0"/>
        <w:kinsoku/>
        <w:wordWrap/>
        <w:overflowPunct/>
        <w:topLinePunct w:val="0"/>
        <w:autoSpaceDE/>
        <w:autoSpaceDN/>
        <w:bidi w:val="0"/>
        <w:adjustRightInd w:val="0"/>
        <w:snapToGrid w:val="0"/>
        <w:spacing w:line="360" w:lineRule="auto"/>
        <w:textAlignment w:val="auto"/>
        <w:rPr>
          <w:rFonts w:ascii="微软雅黑" w:hAnsi="Times New Roman" w:eastAsia="微软雅黑" w:cs="Times New Roman"/>
          <w:sz w:val="22"/>
          <w:szCs w:val="22"/>
        </w:rPr>
      </w:pPr>
      <w:r>
        <w:rPr>
          <w:rFonts w:ascii="微软雅黑" w:hAnsi="Times New Roman" w:eastAsia="微软雅黑" w:cs="Times New Roman"/>
          <w:sz w:val="22"/>
          <w:szCs w:val="22"/>
        </w:rPr>
        <w:t>►</w:t>
      </w:r>
      <w:r>
        <w:rPr>
          <w:rFonts w:hint="eastAsia" w:ascii="微软雅黑" w:hAnsi="Times New Roman" w:eastAsia="微软雅黑" w:cs="Times New Roman"/>
          <w:sz w:val="22"/>
          <w:szCs w:val="22"/>
        </w:rPr>
        <w:t>《重庆“三环十射多联线”高速公路交通工程总体方案设计》（</w:t>
      </w:r>
      <w:r>
        <w:rPr>
          <w:rFonts w:hint="eastAsia" w:ascii="微软雅黑" w:hAnsi="Times New Roman" w:eastAsia="微软雅黑" w:cs="Times New Roman"/>
          <w:sz w:val="22"/>
          <w:szCs w:val="22"/>
          <w:lang w:val="en-US" w:eastAsia="zh-CN"/>
        </w:rPr>
        <w:t>重</w:t>
      </w:r>
      <w:r>
        <w:rPr>
          <w:rFonts w:hint="eastAsia" w:ascii="微软雅黑" w:hAnsi="Times New Roman" w:eastAsia="微软雅黑" w:cs="Times New Roman"/>
          <w:sz w:val="22"/>
          <w:szCs w:val="22"/>
        </w:rPr>
        <w:t>庆市交通委员会 2013年 1 月）；</w:t>
      </w:r>
    </w:p>
    <w:p>
      <w:pPr>
        <w:keepNext w:val="0"/>
        <w:keepLines w:val="0"/>
        <w:pageBreakBefore w:val="0"/>
        <w:kinsoku/>
        <w:wordWrap/>
        <w:overflowPunct/>
        <w:topLinePunct w:val="0"/>
        <w:autoSpaceDE/>
        <w:autoSpaceDN/>
        <w:bidi w:val="0"/>
        <w:adjustRightInd w:val="0"/>
        <w:snapToGrid w:val="0"/>
        <w:spacing w:line="360" w:lineRule="auto"/>
        <w:textAlignment w:val="auto"/>
        <w:rPr>
          <w:rFonts w:ascii="微软雅黑" w:hAnsi="Times New Roman" w:eastAsia="微软雅黑" w:cs="Times New Roman"/>
          <w:sz w:val="22"/>
          <w:szCs w:val="22"/>
        </w:rPr>
      </w:pPr>
      <w:r>
        <w:rPr>
          <w:rFonts w:ascii="微软雅黑" w:hAnsi="Times New Roman" w:eastAsia="微软雅黑" w:cs="Times New Roman"/>
          <w:sz w:val="22"/>
          <w:szCs w:val="22"/>
        </w:rPr>
        <w:t>►</w:t>
      </w:r>
      <w:r>
        <w:rPr>
          <w:rFonts w:hint="eastAsia" w:ascii="微软雅黑" w:hAnsi="Times New Roman" w:eastAsia="微软雅黑" w:cs="Times New Roman"/>
          <w:sz w:val="22"/>
          <w:szCs w:val="22"/>
        </w:rPr>
        <w:t>《公路隧道设计规范》第二册 交通工程与附属设施（JTG D70/2-2014）；</w:t>
      </w:r>
    </w:p>
    <w:p>
      <w:pPr>
        <w:keepNext w:val="0"/>
        <w:keepLines w:val="0"/>
        <w:pageBreakBefore w:val="0"/>
        <w:kinsoku/>
        <w:wordWrap/>
        <w:overflowPunct/>
        <w:topLinePunct w:val="0"/>
        <w:autoSpaceDE/>
        <w:autoSpaceDN/>
        <w:bidi w:val="0"/>
        <w:adjustRightInd w:val="0"/>
        <w:snapToGrid w:val="0"/>
        <w:spacing w:line="360" w:lineRule="auto"/>
        <w:textAlignment w:val="auto"/>
        <w:rPr>
          <w:rFonts w:ascii="微软雅黑" w:hAnsi="Times New Roman" w:eastAsia="微软雅黑" w:cs="Times New Roman"/>
          <w:sz w:val="22"/>
          <w:szCs w:val="22"/>
        </w:rPr>
      </w:pPr>
      <w:r>
        <w:rPr>
          <w:rFonts w:ascii="微软雅黑" w:hAnsi="Times New Roman" w:eastAsia="微软雅黑" w:cs="Times New Roman"/>
          <w:sz w:val="22"/>
          <w:szCs w:val="22"/>
        </w:rPr>
        <w:t>►</w:t>
      </w:r>
      <w:r>
        <w:rPr>
          <w:rFonts w:hint="eastAsia" w:ascii="微软雅黑" w:hAnsi="Times New Roman" w:eastAsia="微软雅黑" w:cs="Times New Roman"/>
          <w:sz w:val="22"/>
          <w:szCs w:val="22"/>
        </w:rPr>
        <w:t>《高速公路交通工程及沿线设施设计通用规范》（JTG D80-2006）；</w:t>
      </w:r>
    </w:p>
    <w:p>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微软雅黑" w:hAnsi="微软雅黑" w:eastAsia="微软雅黑" w:cs="微软雅黑"/>
          <w:sz w:val="22"/>
          <w:szCs w:val="22"/>
        </w:rPr>
      </w:pPr>
      <w:r>
        <w:rPr>
          <w:rFonts w:ascii="微软雅黑" w:hAnsi="Times New Roman" w:eastAsia="微软雅黑" w:cs="Times New Roman"/>
          <w:sz w:val="22"/>
          <w:szCs w:val="22"/>
        </w:rPr>
        <w:t>►</w:t>
      </w:r>
      <w:r>
        <w:rPr>
          <w:rFonts w:hint="eastAsia" w:ascii="微软雅黑" w:hAnsi="微软雅黑" w:eastAsia="微软雅黑" w:cs="微软雅黑"/>
          <w:color w:val="000000"/>
          <w:kern w:val="0"/>
          <w:sz w:val="22"/>
          <w:szCs w:val="22"/>
          <w:lang w:val="en-US" w:eastAsia="zh-CN" w:bidi="ar"/>
        </w:rPr>
        <w:t xml:space="preserve">《高速公路交通工程设计规范》（JTG D71-2004）； </w:t>
      </w:r>
    </w:p>
    <w:p>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微软雅黑" w:hAnsi="微软雅黑" w:eastAsia="微软雅黑" w:cs="微软雅黑"/>
          <w:color w:val="000000"/>
          <w:kern w:val="0"/>
          <w:sz w:val="22"/>
          <w:szCs w:val="22"/>
          <w:lang w:val="en-US" w:eastAsia="zh-CN" w:bidi="ar"/>
        </w:rPr>
      </w:pPr>
      <w:r>
        <w:rPr>
          <w:rFonts w:hint="eastAsia" w:ascii="微软雅黑" w:hAnsi="微软雅黑" w:eastAsia="微软雅黑" w:cs="微软雅黑"/>
          <w:sz w:val="22"/>
          <w:szCs w:val="22"/>
        </w:rPr>
        <w:t>►</w:t>
      </w:r>
      <w:r>
        <w:rPr>
          <w:rFonts w:hint="eastAsia" w:ascii="微软雅黑" w:hAnsi="微软雅黑" w:eastAsia="微软雅黑" w:cs="微软雅黑"/>
          <w:color w:val="000000"/>
          <w:kern w:val="0"/>
          <w:sz w:val="22"/>
          <w:szCs w:val="22"/>
          <w:lang w:val="en-US" w:eastAsia="zh-CN" w:bidi="ar"/>
        </w:rPr>
        <w:t xml:space="preserve">《建筑设计防火规范》（GB50016-2006）； </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微软雅黑" w:hAnsi="微软雅黑" w:eastAsia="微软雅黑" w:cs="微软雅黑"/>
          <w:color w:val="000000"/>
          <w:kern w:val="0"/>
          <w:sz w:val="22"/>
          <w:szCs w:val="22"/>
          <w:lang w:val="en-US" w:eastAsia="zh-CN" w:bidi="ar"/>
        </w:rPr>
      </w:pPr>
      <w:r>
        <w:rPr>
          <w:rFonts w:hint="eastAsia" w:ascii="微软雅黑" w:hAnsi="微软雅黑" w:eastAsia="微软雅黑" w:cs="微软雅黑"/>
          <w:sz w:val="22"/>
          <w:szCs w:val="22"/>
        </w:rPr>
        <w:t>►《气体灭火系统设计规范》（GB50370-2005）；</w:t>
      </w:r>
    </w:p>
    <w:p>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►《气体灭火系统施工及验收规范》(GB-50263-2007)；</w:t>
      </w:r>
    </w:p>
    <w:p>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►《火灾自动报警系统设计规范》（GB50116-98）；</w:t>
      </w:r>
    </w:p>
    <w:p>
      <w:pPr>
        <w:pStyle w:val="2"/>
        <w:keepNext w:val="0"/>
        <w:keepLines w:val="0"/>
        <w:pageBreakBefore w:val="0"/>
        <w:kinsoku/>
        <w:wordWrap/>
        <w:overflowPunct/>
        <w:topLinePunct w:val="0"/>
        <w:autoSpaceDE/>
        <w:autoSpaceDN/>
        <w:bidi w:val="0"/>
        <w:spacing w:line="360" w:lineRule="auto"/>
        <w:textAlignment w:val="auto"/>
        <w:rPr>
          <w:rFonts w:hint="eastAsia"/>
        </w:rPr>
      </w:pPr>
      <w:r>
        <w:rPr>
          <w:rFonts w:hint="eastAsia" w:ascii="微软雅黑" w:hAnsi="微软雅黑" w:eastAsia="微软雅黑" w:cs="微软雅黑"/>
          <w:sz w:val="22"/>
          <w:szCs w:val="22"/>
        </w:rPr>
        <w:t>►《火灾自动报警系统施工及验收规范》(GB50166-95)；</w:t>
      </w:r>
    </w:p>
    <w:p>
      <w:pPr>
        <w:keepNext w:val="0"/>
        <w:keepLines w:val="0"/>
        <w:pageBreakBefore w:val="0"/>
        <w:widowControl/>
        <w:suppressLineNumbers w:val="0"/>
        <w:kinsoku/>
        <w:wordWrap/>
        <w:overflowPunct/>
        <w:topLinePunct w:val="0"/>
        <w:autoSpaceDE/>
        <w:autoSpaceDN/>
        <w:bidi w:val="0"/>
        <w:spacing w:line="360" w:lineRule="auto"/>
        <w:jc w:val="left"/>
        <w:textAlignment w:val="auto"/>
        <w:rPr>
          <w:rFonts w:ascii="微软雅黑" w:hAnsi="Times New Roman" w:eastAsia="微软雅黑" w:cs="Times New Roman"/>
          <w:sz w:val="22"/>
          <w:szCs w:val="22"/>
        </w:rPr>
      </w:pPr>
      <w:r>
        <w:rPr>
          <w:rFonts w:hint="eastAsia" w:ascii="微软雅黑" w:hAnsi="微软雅黑" w:eastAsia="微软雅黑" w:cs="微软雅黑"/>
          <w:sz w:val="22"/>
          <w:szCs w:val="22"/>
        </w:rPr>
        <w:t>►</w:t>
      </w:r>
      <w:r>
        <w:rPr>
          <w:rFonts w:hint="eastAsia" w:ascii="微软雅黑" w:hAnsi="微软雅黑" w:eastAsia="微软雅黑" w:cs="微软雅黑"/>
          <w:color w:val="000000"/>
          <w:kern w:val="0"/>
          <w:sz w:val="22"/>
          <w:szCs w:val="22"/>
          <w:lang w:val="en-US" w:eastAsia="zh-CN" w:bidi="ar"/>
        </w:rPr>
        <w:t>《消防技术规范汇编》</w:t>
      </w:r>
      <w:r>
        <w:rPr>
          <w:rFonts w:hint="eastAsia" w:ascii="微软雅黑" w:hAnsi="微软雅黑" w:eastAsia="微软雅黑" w:cs="微软雅黑"/>
          <w:sz w:val="22"/>
          <w:szCs w:val="22"/>
        </w:rPr>
        <w:t>；</w:t>
      </w:r>
      <w:r>
        <w:rPr>
          <w:rFonts w:hint="eastAsia" w:ascii="宋体" w:hAnsi="宋体" w:eastAsia="宋体" w:cs="宋体"/>
          <w:color w:val="000000"/>
          <w:kern w:val="0"/>
          <w:sz w:val="24"/>
          <w:szCs w:val="24"/>
          <w:lang w:val="en-US" w:eastAsia="zh-CN" w:bidi="ar"/>
        </w:rPr>
        <w:t xml:space="preserve"> </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微软雅黑" w:hAnsi="微软雅黑" w:eastAsia="微软雅黑"/>
          <w:sz w:val="22"/>
          <w:szCs w:val="22"/>
        </w:rPr>
      </w:pPr>
      <w:r>
        <w:rPr>
          <w:rFonts w:ascii="微软雅黑" w:hAnsi="Times New Roman" w:eastAsia="微软雅黑" w:cs="Times New Roman"/>
          <w:sz w:val="22"/>
          <w:szCs w:val="22"/>
        </w:rPr>
        <w:t>►</w:t>
      </w:r>
      <w:r>
        <w:rPr>
          <w:rFonts w:hint="eastAsia" w:ascii="微软雅黑" w:hAnsi="微软雅黑" w:eastAsia="微软雅黑"/>
          <w:sz w:val="22"/>
          <w:szCs w:val="22"/>
        </w:rPr>
        <w:t>施工安全交通组织，重庆市营运高速公路施工标准化管理办法(重庆市交通委员会分布)</w:t>
      </w:r>
      <w:r>
        <w:rPr>
          <w:rFonts w:hint="eastAsia" w:ascii="微软雅黑" w:hAnsi="微软雅黑" w:eastAsia="微软雅黑" w:cs="微软雅黑"/>
          <w:sz w:val="22"/>
          <w:szCs w:val="22"/>
        </w:rPr>
        <w:t>；</w:t>
      </w:r>
    </w:p>
    <w:p>
      <w:pPr>
        <w:keepNext w:val="0"/>
        <w:keepLines w:val="0"/>
        <w:pageBreakBefore w:val="0"/>
        <w:kinsoku/>
        <w:wordWrap/>
        <w:overflowPunct/>
        <w:topLinePunct w:val="0"/>
        <w:autoSpaceDE/>
        <w:autoSpaceDN/>
        <w:bidi w:val="0"/>
        <w:adjustRightInd w:val="0"/>
        <w:snapToGrid w:val="0"/>
        <w:spacing w:line="360" w:lineRule="auto"/>
        <w:textAlignment w:val="auto"/>
      </w:pPr>
      <w:r>
        <w:rPr>
          <w:rFonts w:ascii="微软雅黑" w:hAnsi="Times New Roman" w:eastAsia="微软雅黑" w:cs="Times New Roman"/>
          <w:sz w:val="22"/>
          <w:szCs w:val="22"/>
        </w:rPr>
        <w:t>►</w:t>
      </w:r>
      <w:r>
        <w:rPr>
          <w:rFonts w:hint="eastAsia" w:ascii="微软雅黑" w:hAnsi="Times New Roman" w:eastAsia="微软雅黑" w:cs="Times New Roman"/>
          <w:sz w:val="22"/>
          <w:szCs w:val="22"/>
        </w:rPr>
        <w:t xml:space="preserve">  其他有关法律、法规、国家标准、规范、规程；</w:t>
      </w:r>
    </w:p>
    <w:p>
      <w:pPr>
        <w:pStyle w:val="3"/>
        <w:spacing w:before="0" w:after="0" w:line="360" w:lineRule="auto"/>
        <w:rPr>
          <w:rFonts w:ascii="微软雅黑" w:hAnsi="微软雅黑" w:eastAsia="微软雅黑"/>
          <w:sz w:val="28"/>
          <w:szCs w:val="28"/>
        </w:rPr>
      </w:pPr>
      <w:r>
        <w:rPr>
          <w:rFonts w:hint="eastAsia" w:ascii="微软雅黑" w:hAnsi="微软雅黑" w:eastAsia="微软雅黑"/>
          <w:sz w:val="28"/>
          <w:szCs w:val="28"/>
        </w:rPr>
        <w:t>2 设计调查过程</w:t>
      </w:r>
    </w:p>
    <w:p>
      <w:pPr>
        <w:pStyle w:val="10"/>
        <w:adjustRightInd w:val="0"/>
        <w:snapToGrid w:val="0"/>
        <w:spacing w:line="360" w:lineRule="auto"/>
        <w:ind w:left="0" w:leftChars="0" w:firstLine="440" w:firstLineChars="200"/>
        <w:rPr>
          <w:rFonts w:ascii="微软雅黑" w:hAnsi="微软雅黑" w:eastAsia="微软雅黑" w:cs="微软雅黑"/>
          <w:sz w:val="22"/>
          <w:szCs w:val="22"/>
        </w:rPr>
      </w:pPr>
      <w:r>
        <w:rPr>
          <w:rFonts w:hint="eastAsia" w:ascii="微软雅黑" w:hAnsi="微软雅黑" w:eastAsia="微软雅黑" w:cs="微软雅黑"/>
          <w:sz w:val="22"/>
          <w:szCs w:val="22"/>
        </w:rPr>
        <w:t>202</w:t>
      </w: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年</w:t>
      </w:r>
      <w:r>
        <w:rPr>
          <w:rFonts w:hint="eastAsia" w:ascii="微软雅黑" w:hAnsi="微软雅黑" w:eastAsia="微软雅黑" w:cs="微软雅黑"/>
          <w:sz w:val="22"/>
          <w:szCs w:val="22"/>
          <w:lang w:val="en-US" w:eastAsia="zh-CN"/>
        </w:rPr>
        <w:t>9</w:t>
      </w:r>
      <w:r>
        <w:rPr>
          <w:rFonts w:hint="eastAsia" w:ascii="微软雅黑" w:hAnsi="微软雅黑" w:eastAsia="微软雅黑" w:cs="微软雅黑"/>
          <w:sz w:val="22"/>
          <w:szCs w:val="22"/>
        </w:rPr>
        <w:t>月受业主单位委托，由我公司负责</w:t>
      </w:r>
      <w:r>
        <w:rPr>
          <w:rFonts w:hint="eastAsia" w:ascii="微软雅黑" w:hAnsi="微软雅黑" w:eastAsia="微软雅黑" w:cs="微软雅黑"/>
          <w:color w:val="auto"/>
          <w:sz w:val="22"/>
          <w:szCs w:val="22"/>
          <w:lang w:val="en-US" w:eastAsia="zh-CN"/>
        </w:rPr>
        <w:t>重庆高速公路东北公司</w:t>
      </w:r>
      <w:r>
        <w:rPr>
          <w:rFonts w:hint="eastAsia" w:ascii="微软雅黑" w:hAnsi="微软雅黑" w:eastAsia="微软雅黑" w:cs="微软雅黑"/>
          <w:sz w:val="22"/>
          <w:szCs w:val="22"/>
        </w:rPr>
        <w:t>202</w:t>
      </w: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年机电专项工程施工,202</w:t>
      </w: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年10月至202</w:t>
      </w: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年12月，我公司维护人员对</w:t>
      </w:r>
      <w:r>
        <w:rPr>
          <w:rFonts w:hint="eastAsia" w:ascii="微软雅黑" w:hAnsi="微软雅黑" w:eastAsia="微软雅黑" w:cs="微软雅黑"/>
          <w:sz w:val="22"/>
          <w:szCs w:val="22"/>
          <w:lang w:val="en-US" w:eastAsia="zh-CN"/>
        </w:rPr>
        <w:t>东北公司奉巫路</w:t>
      </w:r>
      <w:r>
        <w:rPr>
          <w:rFonts w:hint="eastAsia" w:ascii="微软雅黑" w:hAnsi="微软雅黑" w:eastAsia="微软雅黑" w:cs="微软雅黑"/>
          <w:sz w:val="22"/>
          <w:szCs w:val="22"/>
        </w:rPr>
        <w:t>需要更换的</w:t>
      </w:r>
      <w:r>
        <w:rPr>
          <w:rFonts w:hint="eastAsia" w:ascii="微软雅黑" w:hAnsi="微软雅黑" w:eastAsia="微软雅黑" w:cs="微软雅黑"/>
          <w:b w:val="0"/>
          <w:bCs w:val="0"/>
          <w:sz w:val="22"/>
          <w:szCs w:val="22"/>
        </w:rPr>
        <w:t>S型气溶胶气体</w:t>
      </w:r>
      <w:r>
        <w:rPr>
          <w:rFonts w:hint="eastAsia" w:ascii="微软雅黑" w:hAnsi="微软雅黑" w:eastAsia="微软雅黑" w:cs="微软雅黑"/>
          <w:sz w:val="22"/>
          <w:szCs w:val="22"/>
        </w:rPr>
        <w:t>进行统计并确认，在此基础上做出了相应的施工方案。</w:t>
      </w:r>
    </w:p>
    <w:p>
      <w:pPr>
        <w:pStyle w:val="3"/>
        <w:spacing w:before="0" w:after="0" w:line="360" w:lineRule="auto"/>
        <w:rPr>
          <w:rFonts w:ascii="微软雅黑" w:hAnsi="微软雅黑" w:eastAsia="微软雅黑"/>
          <w:sz w:val="28"/>
          <w:szCs w:val="28"/>
        </w:rPr>
      </w:pPr>
      <w:r>
        <w:rPr>
          <w:rFonts w:hint="eastAsia" w:ascii="微软雅黑" w:hAnsi="微软雅黑" w:eastAsia="微软雅黑"/>
          <w:sz w:val="28"/>
          <w:szCs w:val="28"/>
        </w:rPr>
        <w:t>3 设计方案</w:t>
      </w:r>
    </w:p>
    <w:p>
      <w:pPr>
        <w:pStyle w:val="10"/>
        <w:adjustRightInd w:val="0"/>
        <w:snapToGrid w:val="0"/>
        <w:spacing w:line="360" w:lineRule="auto"/>
        <w:ind w:firstLine="440"/>
        <w:rPr>
          <w:rFonts w:hint="default" w:ascii="微软雅黑" w:hAnsi="微软雅黑" w:eastAsia="微软雅黑"/>
          <w:b/>
          <w:bCs/>
          <w:sz w:val="28"/>
          <w:szCs w:val="28"/>
          <w:lang w:val="en-US" w:eastAsia="zh-CN"/>
        </w:rPr>
      </w:pPr>
      <w:r>
        <w:rPr>
          <w:rFonts w:hint="eastAsia" w:ascii="微软雅黑" w:hAnsi="微软雅黑" w:eastAsia="微软雅黑" w:cs="微软雅黑"/>
          <w:color w:val="000000"/>
          <w:sz w:val="22"/>
          <w:szCs w:val="22"/>
        </w:rPr>
        <w:t>首先在安全的前提下，根据业主要求拆除40台气溶胶灭火装置</w:t>
      </w:r>
      <w:r>
        <w:rPr>
          <w:rFonts w:hint="eastAsia" w:ascii="微软雅黑" w:hAnsi="微软雅黑" w:eastAsia="微软雅黑" w:cs="微软雅黑"/>
          <w:color w:val="000000"/>
          <w:sz w:val="22"/>
          <w:szCs w:val="22"/>
          <w:lang w:eastAsia="zh-CN"/>
        </w:rPr>
        <w:t>、</w:t>
      </w:r>
      <w:r>
        <w:rPr>
          <w:rFonts w:hint="eastAsia" w:ascii="微软雅黑" w:hAnsi="微软雅黑" w:eastAsia="微软雅黑" w:cs="微软雅黑"/>
          <w:color w:val="000000"/>
          <w:sz w:val="22"/>
          <w:szCs w:val="22"/>
          <w:lang w:val="en-US" w:eastAsia="zh-CN"/>
        </w:rPr>
        <w:t>4只</w:t>
      </w:r>
      <w:r>
        <w:rPr>
          <w:rFonts w:hint="eastAsia" w:ascii="微软雅黑" w:hAnsi="微软雅黑" w:eastAsia="微软雅黑" w:cs="微软雅黑"/>
          <w:color w:val="000000"/>
          <w:sz w:val="22"/>
          <w:szCs w:val="22"/>
        </w:rPr>
        <w:t>气体灭火放大器，完成作业后在现场整理好，待施工作业完成按照业主指定的区域交接设备工作。</w:t>
      </w:r>
    </w:p>
    <w:p>
      <w:pPr>
        <w:pStyle w:val="3"/>
        <w:spacing w:before="0" w:after="0" w:line="360" w:lineRule="auto"/>
        <w:rPr>
          <w:rFonts w:hint="eastAsia" w:ascii="微软雅黑" w:hAnsi="微软雅黑" w:eastAsia="微软雅黑"/>
          <w:sz w:val="28"/>
          <w:szCs w:val="28"/>
        </w:rPr>
      </w:pPr>
      <w:r>
        <w:rPr>
          <w:rFonts w:hint="eastAsia" w:ascii="微软雅黑" w:hAnsi="微软雅黑" w:eastAsia="微软雅黑"/>
          <w:sz w:val="28"/>
          <w:szCs w:val="28"/>
        </w:rPr>
        <w:t>4 工程量清单及点位情况说明</w:t>
      </w:r>
    </w:p>
    <w:p>
      <w:pPr>
        <w:rPr>
          <w:rFonts w:hint="eastAsia" w:ascii="微软雅黑" w:hAnsi="微软雅黑" w:eastAsia="微软雅黑"/>
          <w:b/>
          <w:bCs/>
          <w:sz w:val="24"/>
          <w:szCs w:val="24"/>
          <w:lang w:val="en-US" w:eastAsia="zh-CN"/>
        </w:rPr>
      </w:pPr>
      <w:r>
        <w:rPr>
          <w:rFonts w:hint="eastAsia" w:ascii="微软雅黑" w:hAnsi="微软雅黑" w:eastAsia="微软雅黑"/>
          <w:b/>
          <w:bCs/>
          <w:sz w:val="24"/>
          <w:szCs w:val="24"/>
          <w:lang w:val="en-US" w:eastAsia="zh-CN"/>
        </w:rPr>
        <w:t>4.1 具体点位</w:t>
      </w:r>
    </w:p>
    <w:tbl>
      <w:tblPr>
        <w:tblStyle w:val="6"/>
        <w:tblpPr w:leftFromText="180" w:rightFromText="180" w:vertAnchor="text" w:horzAnchor="page" w:tblpX="1547" w:tblpY="291"/>
        <w:tblOverlap w:val="never"/>
        <w:tblW w:w="53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914"/>
        <w:gridCol w:w="1310"/>
        <w:gridCol w:w="2469"/>
        <w:gridCol w:w="1116"/>
        <w:gridCol w:w="695"/>
        <w:gridCol w:w="674"/>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color w:val="000000"/>
                <w:kern w:val="0"/>
                <w:sz w:val="20"/>
                <w:szCs w:val="20"/>
                <w:u w:val="none"/>
                <w:lang w:val="en-US" w:eastAsia="zh-CN" w:bidi="ar"/>
              </w:rPr>
              <w:t>序号</w:t>
            </w:r>
          </w:p>
        </w:tc>
        <w:tc>
          <w:tcPr>
            <w:tcW w:w="5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color w:val="000000"/>
                <w:kern w:val="0"/>
                <w:sz w:val="20"/>
                <w:szCs w:val="20"/>
                <w:u w:val="none"/>
                <w:lang w:val="en-US" w:eastAsia="zh-CN" w:bidi="ar"/>
              </w:rPr>
              <w:t>路段</w:t>
            </w:r>
          </w:p>
        </w:tc>
        <w:tc>
          <w:tcPr>
            <w:tcW w:w="7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点位</w:t>
            </w:r>
          </w:p>
        </w:tc>
        <w:tc>
          <w:tcPr>
            <w:tcW w:w="13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color w:val="000000"/>
                <w:kern w:val="0"/>
                <w:sz w:val="20"/>
                <w:szCs w:val="20"/>
                <w:u w:val="none"/>
                <w:lang w:val="en-US" w:eastAsia="zh-CN" w:bidi="ar"/>
              </w:rPr>
              <w:t>设备</w:t>
            </w:r>
          </w:p>
        </w:tc>
        <w:tc>
          <w:tcPr>
            <w:tcW w:w="61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规格型号</w:t>
            </w:r>
          </w:p>
        </w:tc>
        <w:tc>
          <w:tcPr>
            <w:tcW w:w="38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i w:val="0"/>
                <w:color w:val="000000"/>
                <w:kern w:val="0"/>
                <w:sz w:val="20"/>
                <w:szCs w:val="20"/>
                <w:u w:val="none"/>
                <w:lang w:val="en-US" w:eastAsia="zh-CN" w:bidi="ar"/>
              </w:rPr>
              <w:t>单位</w:t>
            </w:r>
          </w:p>
        </w:tc>
        <w:tc>
          <w:tcPr>
            <w:tcW w:w="36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color w:val="000000"/>
                <w:kern w:val="0"/>
                <w:sz w:val="20"/>
                <w:szCs w:val="20"/>
                <w:u w:val="none"/>
                <w:lang w:val="en-US" w:eastAsia="zh-CN" w:bidi="ar"/>
              </w:rPr>
              <w:t>数量</w:t>
            </w:r>
          </w:p>
        </w:tc>
        <w:tc>
          <w:tcPr>
            <w:tcW w:w="71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noWrap w:val="0"/>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5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奉巫路</w:t>
            </w:r>
          </w:p>
        </w:tc>
        <w:tc>
          <w:tcPr>
            <w:tcW w:w="7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cs="宋体" w:eastAsiaTheme="minorEastAsia"/>
                <w:b w:val="0"/>
                <w:bCs w:val="0"/>
                <w:sz w:val="20"/>
                <w:szCs w:val="20"/>
                <w:lang w:val="en-US" w:eastAsia="zh-CN"/>
              </w:rPr>
            </w:pPr>
            <w:r>
              <w:rPr>
                <w:rFonts w:hint="eastAsia" w:ascii="宋体" w:hAnsi="宋体" w:cs="宋体"/>
                <w:b w:val="0"/>
                <w:bCs w:val="0"/>
                <w:sz w:val="20"/>
                <w:szCs w:val="20"/>
                <w:lang w:val="en-US" w:eastAsia="zh-CN"/>
              </w:rPr>
              <w:t>摩天岭隧道</w:t>
            </w:r>
          </w:p>
        </w:tc>
        <w:tc>
          <w:tcPr>
            <w:tcW w:w="13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szCs w:val="20"/>
                <w:lang w:val="en-US" w:eastAsia="zh-CN"/>
              </w:rPr>
            </w:pPr>
            <w:r>
              <w:rPr>
                <w:rFonts w:hint="eastAsia" w:ascii="宋体" w:hAnsi="宋体" w:cs="宋体"/>
                <w:b w:val="0"/>
                <w:bCs w:val="0"/>
                <w:sz w:val="20"/>
                <w:szCs w:val="20"/>
              </w:rPr>
              <w:t>S型气溶胶自动灭火装置</w:t>
            </w:r>
          </w:p>
        </w:tc>
        <w:tc>
          <w:tcPr>
            <w:tcW w:w="61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QRR10GW/S</w:t>
            </w:r>
          </w:p>
        </w:tc>
        <w:tc>
          <w:tcPr>
            <w:tcW w:w="38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套</w:t>
            </w:r>
          </w:p>
        </w:tc>
        <w:tc>
          <w:tcPr>
            <w:tcW w:w="36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sz w:val="20"/>
                <w:szCs w:val="20"/>
                <w:lang w:val="en-US"/>
              </w:rPr>
            </w:pPr>
            <w:r>
              <w:rPr>
                <w:rFonts w:hint="eastAsia" w:ascii="宋体" w:hAnsi="宋体" w:eastAsia="宋体" w:cs="宋体"/>
                <w:i w:val="0"/>
                <w:color w:val="000000"/>
                <w:kern w:val="0"/>
                <w:sz w:val="20"/>
                <w:szCs w:val="20"/>
                <w:u w:val="none"/>
                <w:lang w:val="en-US" w:eastAsia="zh-CN" w:bidi="ar"/>
              </w:rPr>
              <w:t>20</w:t>
            </w:r>
          </w:p>
        </w:tc>
        <w:tc>
          <w:tcPr>
            <w:tcW w:w="71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noWrap w:val="0"/>
            <w:vAlign w:val="center"/>
          </w:tcPr>
          <w:p>
            <w:pPr>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5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奉巫路</w:t>
            </w:r>
          </w:p>
        </w:tc>
        <w:tc>
          <w:tcPr>
            <w:tcW w:w="7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val="0"/>
                <w:bCs w:val="0"/>
                <w:sz w:val="20"/>
                <w:szCs w:val="20"/>
                <w:lang w:val="en-US" w:eastAsia="zh-CN"/>
              </w:rPr>
            </w:pPr>
            <w:r>
              <w:rPr>
                <w:rFonts w:hint="eastAsia" w:ascii="宋体" w:hAnsi="宋体" w:cs="宋体"/>
                <w:b w:val="0"/>
                <w:bCs w:val="0"/>
                <w:sz w:val="20"/>
                <w:szCs w:val="20"/>
                <w:lang w:val="en-US" w:eastAsia="zh-CN"/>
              </w:rPr>
              <w:t>摩天岭隧道</w:t>
            </w:r>
          </w:p>
        </w:tc>
        <w:tc>
          <w:tcPr>
            <w:tcW w:w="13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val="0"/>
                <w:bCs w:val="0"/>
                <w:sz w:val="20"/>
                <w:szCs w:val="20"/>
              </w:rPr>
            </w:pPr>
            <w:r>
              <w:rPr>
                <w:rFonts w:hint="eastAsia" w:ascii="宋体" w:hAnsi="宋体" w:cs="宋体"/>
                <w:b w:val="0"/>
                <w:bCs w:val="0"/>
                <w:sz w:val="20"/>
                <w:szCs w:val="20"/>
              </w:rPr>
              <w:t>S型气溶胶自动灭火装置</w:t>
            </w:r>
          </w:p>
        </w:tc>
        <w:tc>
          <w:tcPr>
            <w:tcW w:w="61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lang w:val="en-US" w:eastAsia="zh-CN"/>
              </w:rPr>
            </w:pPr>
            <w:r>
              <w:rPr>
                <w:rFonts w:hint="eastAsia" w:ascii="宋体" w:hAnsi="宋体" w:eastAsia="宋体" w:cs="宋体"/>
                <w:i w:val="0"/>
                <w:color w:val="000000"/>
                <w:kern w:val="0"/>
                <w:sz w:val="20"/>
                <w:szCs w:val="20"/>
                <w:u w:val="none"/>
                <w:lang w:val="en-US" w:eastAsia="zh-CN" w:bidi="ar"/>
              </w:rPr>
              <w:t>QRR8GW/S</w:t>
            </w:r>
          </w:p>
        </w:tc>
        <w:tc>
          <w:tcPr>
            <w:tcW w:w="38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套</w:t>
            </w:r>
          </w:p>
        </w:tc>
        <w:tc>
          <w:tcPr>
            <w:tcW w:w="36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71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noWrap w:val="0"/>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w:t>
            </w:r>
          </w:p>
        </w:tc>
        <w:tc>
          <w:tcPr>
            <w:tcW w:w="5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奉巫路</w:t>
            </w:r>
          </w:p>
        </w:tc>
        <w:tc>
          <w:tcPr>
            <w:tcW w:w="7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szCs w:val="20"/>
                <w:lang w:val="en-US" w:eastAsia="zh-CN"/>
              </w:rPr>
            </w:pPr>
            <w:r>
              <w:rPr>
                <w:rFonts w:hint="eastAsia" w:ascii="宋体" w:hAnsi="宋体" w:cs="宋体"/>
                <w:b w:val="0"/>
                <w:bCs w:val="0"/>
                <w:sz w:val="20"/>
                <w:szCs w:val="20"/>
                <w:lang w:val="en-US" w:eastAsia="zh-CN"/>
              </w:rPr>
              <w:t>摩天岭隧道</w:t>
            </w:r>
          </w:p>
        </w:tc>
        <w:tc>
          <w:tcPr>
            <w:tcW w:w="13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color w:val="000000"/>
                <w:sz w:val="20"/>
                <w:szCs w:val="20"/>
                <w:lang w:val="en-US" w:eastAsia="zh-CN"/>
              </w:rPr>
              <w:t>气溶胶灭火放大器</w:t>
            </w:r>
          </w:p>
        </w:tc>
        <w:tc>
          <w:tcPr>
            <w:tcW w:w="61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JR-02</w:t>
            </w:r>
          </w:p>
        </w:tc>
        <w:tc>
          <w:tcPr>
            <w:tcW w:w="38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只</w:t>
            </w:r>
          </w:p>
        </w:tc>
        <w:tc>
          <w:tcPr>
            <w:tcW w:w="36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71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noWrap w:val="0"/>
            <w:vAlign w:val="center"/>
          </w:tcPr>
          <w:p>
            <w:pPr>
              <w:jc w:val="center"/>
              <w:rPr>
                <w:rFonts w:hint="eastAsia" w:ascii="宋体" w:hAnsi="宋体" w:eastAsia="宋体" w:cs="宋体"/>
                <w:sz w:val="20"/>
                <w:szCs w:val="20"/>
                <w:lang w:val="en-US" w:eastAsia="zh-CN"/>
              </w:rPr>
            </w:pPr>
          </w:p>
        </w:tc>
        <w:tc>
          <w:tcPr>
            <w:tcW w:w="5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合计</w:t>
            </w:r>
          </w:p>
        </w:tc>
        <w:tc>
          <w:tcPr>
            <w:tcW w:w="7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szCs w:val="20"/>
                <w:lang w:val="en-US" w:eastAsia="zh-CN"/>
              </w:rPr>
            </w:pPr>
          </w:p>
        </w:tc>
        <w:tc>
          <w:tcPr>
            <w:tcW w:w="13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szCs w:val="20"/>
                <w:lang w:val="en-US" w:eastAsia="zh-CN"/>
              </w:rPr>
            </w:pPr>
          </w:p>
        </w:tc>
        <w:tc>
          <w:tcPr>
            <w:tcW w:w="61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8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套</w:t>
            </w:r>
          </w:p>
        </w:tc>
        <w:tc>
          <w:tcPr>
            <w:tcW w:w="36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44</w:t>
            </w:r>
          </w:p>
        </w:tc>
        <w:tc>
          <w:tcPr>
            <w:tcW w:w="71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bl>
    <w:p>
      <w:pPr>
        <w:rPr>
          <w:rFonts w:hint="eastAsia" w:ascii="微软雅黑" w:hAnsi="微软雅黑" w:eastAsia="微软雅黑"/>
          <w:b/>
          <w:bCs/>
          <w:sz w:val="24"/>
          <w:szCs w:val="24"/>
          <w:lang w:val="en-US" w:eastAsia="zh-CN"/>
        </w:rPr>
      </w:pPr>
    </w:p>
    <w:p>
      <w:pPr>
        <w:rPr>
          <w:rFonts w:hint="eastAsia" w:ascii="微软雅黑" w:hAnsi="微软雅黑" w:eastAsia="微软雅黑"/>
          <w:b/>
          <w:bCs/>
          <w:sz w:val="22"/>
          <w:szCs w:val="22"/>
        </w:rPr>
      </w:pPr>
      <w:r>
        <w:rPr>
          <w:rFonts w:hint="eastAsia" w:ascii="微软雅黑" w:hAnsi="微软雅黑" w:eastAsia="微软雅黑"/>
          <w:b/>
          <w:bCs/>
          <w:sz w:val="24"/>
          <w:szCs w:val="24"/>
          <w:lang w:val="en-US" w:eastAsia="zh-CN"/>
        </w:rPr>
        <w:t xml:space="preserve">4.2 </w:t>
      </w:r>
      <w:r>
        <w:rPr>
          <w:rFonts w:hint="eastAsia" w:ascii="微软雅黑" w:hAnsi="微软雅黑" w:eastAsia="微软雅黑"/>
          <w:b/>
          <w:bCs/>
          <w:sz w:val="22"/>
          <w:szCs w:val="22"/>
        </w:rPr>
        <w:t>工程量清单</w:t>
      </w:r>
    </w:p>
    <w:tbl>
      <w:tblPr>
        <w:tblStyle w:val="6"/>
        <w:tblW w:w="9095" w:type="dxa"/>
        <w:tblInd w:w="-2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5"/>
        <w:gridCol w:w="2350"/>
        <w:gridCol w:w="1200"/>
        <w:gridCol w:w="710"/>
        <w:gridCol w:w="670"/>
        <w:gridCol w:w="890"/>
        <w:gridCol w:w="920"/>
        <w:gridCol w:w="1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序号</w:t>
            </w:r>
          </w:p>
        </w:tc>
        <w:tc>
          <w:tcPr>
            <w:tcW w:w="2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设备名称</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规格型号</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单位</w:t>
            </w:r>
          </w:p>
        </w:tc>
        <w:tc>
          <w:tcPr>
            <w:tcW w:w="670" w:type="dxa"/>
            <w:vMerge w:val="restart"/>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数量</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单价</w:t>
            </w:r>
          </w:p>
        </w:tc>
        <w:tc>
          <w:tcPr>
            <w:tcW w:w="9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金额</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670" w:type="dxa"/>
            <w:vMerge w:val="continue"/>
            <w:tcBorders>
              <w:top w:val="single" w:color="000000" w:sz="4" w:space="0"/>
              <w:left w:val="nil"/>
              <w:bottom w:val="single" w:color="000000" w:sz="4" w:space="0"/>
              <w:right w:val="nil"/>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S型气溶胶自动灭火装置</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QRR10GW/S</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S型气溶胶自动灭火装置</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QRR8GW/S</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气溶胶灭火放大器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JR-02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只</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原S型气溶胶自动灭火装置</w:t>
            </w:r>
            <w:r>
              <w:rPr>
                <w:rFonts w:hint="eastAsia" w:asciiTheme="minorEastAsia" w:hAnsiTheme="minorEastAsia" w:cstheme="minorEastAsia"/>
                <w:i w:val="0"/>
                <w:iCs w:val="0"/>
                <w:color w:val="000000"/>
                <w:kern w:val="0"/>
                <w:sz w:val="20"/>
                <w:szCs w:val="20"/>
                <w:u w:val="none"/>
                <w:lang w:val="en-US" w:eastAsia="zh-CN" w:bidi="ar"/>
              </w:rPr>
              <w:t>及</w:t>
            </w:r>
            <w:r>
              <w:rPr>
                <w:rFonts w:hint="eastAsia" w:asciiTheme="minorEastAsia" w:hAnsiTheme="minorEastAsia" w:eastAsiaTheme="minorEastAsia" w:cstheme="minorEastAsia"/>
                <w:i w:val="0"/>
                <w:iCs w:val="0"/>
                <w:color w:val="000000"/>
                <w:kern w:val="0"/>
                <w:sz w:val="20"/>
                <w:szCs w:val="20"/>
                <w:u w:val="none"/>
                <w:lang w:val="en-US" w:eastAsia="zh-CN" w:bidi="ar"/>
              </w:rPr>
              <w:t>灭火放大器</w:t>
            </w:r>
            <w:r>
              <w:rPr>
                <w:rFonts w:hint="eastAsia" w:asciiTheme="minorEastAsia" w:hAnsiTheme="minorEastAsia" w:cstheme="minorEastAsia"/>
                <w:i w:val="0"/>
                <w:iCs w:val="0"/>
                <w:color w:val="000000"/>
                <w:kern w:val="0"/>
                <w:sz w:val="20"/>
                <w:szCs w:val="20"/>
                <w:u w:val="none"/>
                <w:lang w:val="en-US" w:eastAsia="zh-CN" w:bidi="ar"/>
              </w:rPr>
              <w:t>拆除转运</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项</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cstheme="minorEastAsia"/>
                <w:i w:val="0"/>
                <w:iCs w:val="0"/>
                <w:color w:val="000000"/>
                <w:kern w:val="0"/>
                <w:sz w:val="20"/>
                <w:szCs w:val="20"/>
                <w:u w:val="none"/>
                <w:lang w:val="en-US" w:eastAsia="zh-CN" w:bidi="ar"/>
              </w:rPr>
              <w:t>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转运到业主指定位置，约60公里。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5</w:t>
            </w: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气溶胶自动灭火装置调试/测试</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项</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小计</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cstheme="minorEastAsia"/>
                <w:i w:val="0"/>
                <w:iCs w:val="0"/>
                <w:color w:val="000000"/>
                <w:kern w:val="0"/>
                <w:sz w:val="20"/>
                <w:szCs w:val="20"/>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cstheme="minorEastAsia"/>
                <w:i w:val="0"/>
                <w:iCs w:val="0"/>
                <w:color w:val="000000"/>
                <w:kern w:val="0"/>
                <w:sz w:val="20"/>
                <w:szCs w:val="20"/>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安全生产费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1.5%</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税金</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9%</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总计</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b/>
          <w:bCs w:val="0"/>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b/>
          <w:bCs w:val="0"/>
          <w:color w:val="000000"/>
          <w:sz w:val="28"/>
          <w:szCs w:val="28"/>
          <w:lang w:val="en-US" w:eastAsia="zh-CN"/>
        </w:rPr>
      </w:pPr>
      <w:r>
        <w:rPr>
          <w:rFonts w:hint="eastAsia" w:ascii="微软雅黑" w:hAnsi="微软雅黑" w:eastAsia="微软雅黑" w:cs="微软雅黑"/>
          <w:b/>
          <w:bCs w:val="0"/>
          <w:color w:val="000000"/>
          <w:sz w:val="28"/>
          <w:szCs w:val="28"/>
          <w:lang w:val="en-US" w:eastAsia="zh-CN"/>
        </w:rPr>
        <w:t>5主要设备技术参数</w:t>
      </w:r>
    </w:p>
    <w:p>
      <w:pPr>
        <w:pStyle w:val="2"/>
        <w:rPr>
          <w:rFonts w:hint="default"/>
          <w:sz w:val="24"/>
          <w:szCs w:val="24"/>
          <w:lang w:val="en-US" w:eastAsia="zh-CN"/>
        </w:rPr>
      </w:pPr>
      <w:r>
        <w:rPr>
          <w:rFonts w:hint="eastAsia" w:ascii="微软雅黑" w:hAnsi="微软雅黑" w:eastAsia="微软雅黑" w:cs="微软雅黑"/>
          <w:b/>
          <w:bCs w:val="0"/>
          <w:color w:val="000000"/>
          <w:sz w:val="24"/>
          <w:szCs w:val="24"/>
          <w:lang w:val="en-US" w:eastAsia="zh-CN"/>
        </w:rPr>
        <w:t>5.1S型气溶胶灭火装置</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（1）工作环境:-20℃~+55℃;</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（2）工作贮存压力:常压;</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（3）喷射时间:灭火装置充装气溶胶发生剂的质量大于1kg时≤120S;灭火装置充装气溶胶发生剂的质量小于1kg时&lt;40S</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（4）灭火时间:&lt;60S;</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（5）灭火效能:130~150g/m3;</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（6）装置喷口气体温度:距喷口5mm以内≤180℃</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（7）装置箱体表面温度:≤100℃;</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（8）直流电阻:1~8Ω;</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（9）启动电流/时间:1A/5ms;</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（10）最大安全电流及时间:150mA/5ms;11.最小启动电流及时间:250mA/5ms;</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（11）多台联连接方式:启动信号线应采用串联连接方式，反馈信号采用并联连接方式;</w:t>
      </w:r>
    </w:p>
    <w:p>
      <w:pPr>
        <w:pStyle w:val="2"/>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（12）装置使用年限:7年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b/>
          <w:bCs w:val="0"/>
          <w:color w:val="000000"/>
          <w:sz w:val="28"/>
          <w:szCs w:val="28"/>
          <w:lang w:val="en-US" w:eastAsia="zh-CN"/>
        </w:rPr>
      </w:pPr>
      <w:r>
        <w:rPr>
          <w:rFonts w:hint="eastAsia" w:ascii="微软雅黑" w:hAnsi="微软雅黑" w:eastAsia="微软雅黑" w:cs="微软雅黑"/>
          <w:b/>
          <w:bCs w:val="0"/>
          <w:color w:val="000000"/>
          <w:sz w:val="28"/>
          <w:szCs w:val="28"/>
          <w:lang w:val="en-US" w:eastAsia="zh-CN"/>
        </w:rPr>
        <w:t>6施工方法与技术措施</w:t>
      </w:r>
    </w:p>
    <w:p>
      <w:pPr>
        <w:pStyle w:val="2"/>
        <w:rPr>
          <w:rFonts w:hint="default"/>
          <w:b/>
          <w:bCs w:val="0"/>
          <w:sz w:val="24"/>
          <w:szCs w:val="24"/>
          <w:lang w:val="en-US" w:eastAsia="zh-CN"/>
        </w:rPr>
      </w:pPr>
      <w:r>
        <w:rPr>
          <w:rFonts w:hint="eastAsia" w:ascii="微软雅黑" w:hAnsi="微软雅黑" w:eastAsia="微软雅黑" w:cs="微软雅黑"/>
          <w:b/>
          <w:bCs w:val="0"/>
          <w:color w:val="000000"/>
          <w:sz w:val="24"/>
          <w:szCs w:val="24"/>
          <w:lang w:val="en-US" w:eastAsia="zh-CN"/>
        </w:rPr>
        <w:t>6.1环境保护措施</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bCs/>
          <w:color w:val="000000"/>
          <w:sz w:val="24"/>
        </w:rPr>
      </w:pPr>
      <w:r>
        <w:rPr>
          <w:rFonts w:hint="eastAsia" w:ascii="微软雅黑" w:hAnsi="微软雅黑" w:eastAsia="微软雅黑" w:cs="微软雅黑"/>
          <w:bCs/>
          <w:color w:val="000000"/>
          <w:sz w:val="22"/>
          <w:szCs w:val="22"/>
        </w:rPr>
        <w:t>在施工区域对施工材料、设备、工具、辅材及时进行整理和归类，及时清理现场，保持现场环境的清洁美观。</w:t>
      </w:r>
    </w:p>
    <w:p>
      <w:pPr>
        <w:pageBreakBefore w:val="0"/>
        <w:widowControl w:val="0"/>
        <w:kinsoku/>
        <w:wordWrap/>
        <w:overflowPunct/>
        <w:topLinePunct w:val="0"/>
        <w:autoSpaceDE/>
        <w:autoSpaceDN/>
        <w:bidi w:val="0"/>
        <w:adjustRightInd/>
        <w:snapToGrid/>
        <w:spacing w:line="240" w:lineRule="auto"/>
        <w:ind w:left="673" w:hanging="735" w:hangingChars="306"/>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6.2</w:t>
      </w:r>
      <w:r>
        <w:rPr>
          <w:rFonts w:hint="eastAsia" w:ascii="微软雅黑" w:hAnsi="微软雅黑" w:eastAsia="微软雅黑" w:cs="微软雅黑"/>
          <w:b/>
          <w:bCs/>
          <w:sz w:val="24"/>
          <w:szCs w:val="24"/>
        </w:rPr>
        <w:t>施工准备</w:t>
      </w:r>
    </w:p>
    <w:p>
      <w:pPr>
        <w:pageBreakBefore w:val="0"/>
        <w:widowControl w:val="0"/>
        <w:kinsoku/>
        <w:wordWrap/>
        <w:overflowPunct/>
        <w:topLinePunct w:val="0"/>
        <w:autoSpaceDE/>
        <w:autoSpaceDN/>
        <w:bidi w:val="0"/>
        <w:adjustRightInd/>
        <w:snapToGrid/>
        <w:spacing w:line="240" w:lineRule="auto"/>
        <w:ind w:firstLine="550" w:firstLineChars="250"/>
        <w:textAlignment w:val="auto"/>
        <w:rPr>
          <w:sz w:val="22"/>
          <w:szCs w:val="22"/>
        </w:rPr>
      </w:pPr>
      <w:r>
        <w:rPr>
          <w:rFonts w:hint="eastAsia" w:ascii="微软雅黑" w:hAnsi="微软雅黑" w:eastAsia="微软雅黑" w:cs="微软雅黑"/>
          <w:sz w:val="22"/>
          <w:szCs w:val="22"/>
        </w:rPr>
        <w:t>安装队伍在进场前要进行一系列准备工作、包括组织准备、劳动力准备、技术准备、物质准备。</w:t>
      </w:r>
    </w:p>
    <w:p>
      <w:pPr>
        <w:pageBreakBefore w:val="0"/>
        <w:widowControl w:val="0"/>
        <w:kinsoku/>
        <w:wordWrap/>
        <w:overflowPunct/>
        <w:topLinePunct w:val="0"/>
        <w:autoSpaceDE/>
        <w:autoSpaceDN/>
        <w:bidi w:val="0"/>
        <w:adjustRightInd/>
        <w:snapToGrid/>
        <w:spacing w:line="240" w:lineRule="auto"/>
        <w:ind w:left="673" w:hanging="674" w:hangingChars="30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lang w:val="en-US" w:eastAsia="zh-CN"/>
        </w:rPr>
        <w:t>6.2.1</w:t>
      </w:r>
      <w:r>
        <w:rPr>
          <w:rFonts w:hint="eastAsia" w:ascii="微软雅黑" w:hAnsi="微软雅黑" w:eastAsia="微软雅黑" w:cs="微软雅黑"/>
          <w:b/>
          <w:bCs/>
          <w:sz w:val="22"/>
          <w:szCs w:val="22"/>
        </w:rPr>
        <w:t>组织准备</w:t>
      </w:r>
    </w:p>
    <w:p>
      <w:pPr>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本项目质量要求高。进场前首先建立完善而又得力的安装工程项目经理部，负责本工程统一指挥和整个工程的安装施工，直到完工，取得良好的社会经济效益。</w:t>
      </w:r>
    </w:p>
    <w:p>
      <w:pPr>
        <w:pageBreakBefore w:val="0"/>
        <w:widowControl w:val="0"/>
        <w:numPr>
          <w:ilvl w:val="0"/>
          <w:numId w:val="2"/>
        </w:numPr>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选派技术高、经验丰富、具有较强的现场施工、组织能力和管理技巧的人员担当项目经理；</w:t>
      </w:r>
    </w:p>
    <w:p>
      <w:pPr>
        <w:pageBreakBefore w:val="0"/>
        <w:widowControl w:val="0"/>
        <w:numPr>
          <w:ilvl w:val="0"/>
          <w:numId w:val="2"/>
        </w:numPr>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配备精干的项目工程师、</w:t>
      </w:r>
      <w:r>
        <w:rPr>
          <w:rFonts w:hint="eastAsia" w:ascii="微软雅黑" w:hAnsi="微软雅黑" w:eastAsia="微软雅黑" w:cs="微软雅黑"/>
          <w:sz w:val="22"/>
          <w:szCs w:val="22"/>
          <w:lang w:val="en-US" w:eastAsia="zh-CN"/>
        </w:rPr>
        <w:t>安全管理</w:t>
      </w:r>
      <w:r>
        <w:rPr>
          <w:rFonts w:hint="eastAsia" w:ascii="微软雅黑" w:hAnsi="微软雅黑" w:eastAsia="微软雅黑" w:cs="微软雅黑"/>
          <w:sz w:val="22"/>
          <w:szCs w:val="22"/>
        </w:rPr>
        <w:t>、材料采供、后勤及综合管理各个专业的专职人员；</w:t>
      </w:r>
    </w:p>
    <w:p>
      <w:pPr>
        <w:pageBreakBefore w:val="0"/>
        <w:widowControl w:val="0"/>
        <w:numPr>
          <w:ilvl w:val="0"/>
          <w:numId w:val="2"/>
        </w:numPr>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现场施工人员明确各自的职责范围。做到规范化施工和文明管理。</w:t>
      </w:r>
    </w:p>
    <w:p>
      <w:pPr>
        <w:pageBreakBefore w:val="0"/>
        <w:widowControl w:val="0"/>
        <w:kinsoku/>
        <w:wordWrap/>
        <w:overflowPunct/>
        <w:topLinePunct w:val="0"/>
        <w:autoSpaceDE/>
        <w:autoSpaceDN/>
        <w:bidi w:val="0"/>
        <w:adjustRightInd/>
        <w:snapToGrid/>
        <w:spacing w:line="240" w:lineRule="auto"/>
        <w:ind w:left="673" w:hanging="674" w:hangingChars="30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lang w:val="en-US" w:eastAsia="zh-CN"/>
        </w:rPr>
        <w:t>6.2.2</w:t>
      </w:r>
      <w:r>
        <w:rPr>
          <w:rFonts w:hint="eastAsia" w:ascii="微软雅黑" w:hAnsi="微软雅黑" w:eastAsia="微软雅黑" w:cs="微软雅黑"/>
          <w:b/>
          <w:bCs/>
          <w:sz w:val="22"/>
          <w:szCs w:val="22"/>
        </w:rPr>
        <w:t>劳动力准备</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根据气体灭火系统施工要求，拟按整个工程按阶段及区域设立施工队。安装工程全面展开后，根据施工进度，陆续组织相应的施工队进场，各自承担本方负责的安装工程，由项目经理部统一指挥和协调。各个施工队的配备和人选、将预先考虑和筹划。</w:t>
      </w:r>
    </w:p>
    <w:p>
      <w:pPr>
        <w:keepNext w:val="0"/>
        <w:keepLines w:val="0"/>
        <w:pageBreakBefore w:val="0"/>
        <w:widowControl w:val="0"/>
        <w:kinsoku/>
        <w:wordWrap/>
        <w:overflowPunct/>
        <w:topLinePunct w:val="0"/>
        <w:autoSpaceDE/>
        <w:autoSpaceDN/>
        <w:bidi w:val="0"/>
        <w:adjustRightInd/>
        <w:snapToGrid/>
        <w:spacing w:line="240" w:lineRule="auto"/>
        <w:ind w:left="673" w:hanging="674" w:hangingChars="30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lang w:val="en-US" w:eastAsia="zh-CN"/>
        </w:rPr>
        <w:t>6.2.3</w:t>
      </w:r>
      <w:r>
        <w:rPr>
          <w:rFonts w:hint="eastAsia" w:ascii="微软雅黑" w:hAnsi="微软雅黑" w:eastAsia="微软雅黑" w:cs="微软雅黑"/>
          <w:b/>
          <w:bCs/>
          <w:sz w:val="22"/>
          <w:szCs w:val="22"/>
        </w:rPr>
        <w:t>技术准备</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认真按照国家气体灭火系统设计规范要求进行施工。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lang w:val="en-US" w:eastAsia="zh-CN"/>
        </w:rPr>
        <w:t>6.2.4</w:t>
      </w:r>
      <w:r>
        <w:rPr>
          <w:rFonts w:hint="eastAsia" w:ascii="微软雅黑" w:hAnsi="微软雅黑" w:eastAsia="微软雅黑" w:cs="微软雅黑"/>
          <w:b/>
          <w:bCs/>
          <w:sz w:val="22"/>
          <w:szCs w:val="22"/>
        </w:rPr>
        <w:t>物质准备</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（1）</w:t>
      </w:r>
      <w:r>
        <w:rPr>
          <w:rFonts w:hint="eastAsia" w:ascii="微软雅黑" w:hAnsi="微软雅黑" w:eastAsia="微软雅黑" w:cs="微软雅黑"/>
          <w:sz w:val="22"/>
          <w:szCs w:val="22"/>
        </w:rPr>
        <w:t>组织有关人员编制整个工程的材料设备计划。按计划落实货源，并做好材料检验工作，对需加工和预制的零部件要落实场地和人员。</w:t>
      </w:r>
    </w:p>
    <w:p>
      <w:pPr>
        <w:keepNext w:val="0"/>
        <w:keepLines w:val="0"/>
        <w:pageBreakBefore w:val="0"/>
        <w:widowControl w:val="0"/>
        <w:kinsoku/>
        <w:wordWrap/>
        <w:overflowPunct/>
        <w:topLinePunct w:val="0"/>
        <w:autoSpaceDE/>
        <w:autoSpaceDN/>
        <w:bidi w:val="0"/>
        <w:adjustRightInd/>
        <w:snapToGrid/>
        <w:spacing w:line="240" w:lineRule="auto"/>
        <w:ind w:left="689" w:leftChars="191" w:hanging="231" w:hangingChars="105"/>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对进场后工程前期立即要用的物资，将抓紧组织采购。</w:t>
      </w:r>
    </w:p>
    <w:p>
      <w:pPr>
        <w:keepNext w:val="0"/>
        <w:keepLines w:val="0"/>
        <w:pageBreakBefore w:val="0"/>
        <w:widowControl w:val="0"/>
        <w:kinsoku/>
        <w:wordWrap/>
        <w:overflowPunct/>
        <w:topLinePunct w:val="0"/>
        <w:autoSpaceDE/>
        <w:autoSpaceDN/>
        <w:bidi w:val="0"/>
        <w:adjustRightInd/>
        <w:snapToGrid/>
        <w:spacing w:line="240" w:lineRule="auto"/>
        <w:ind w:left="689" w:leftChars="191" w:hanging="231" w:hangingChars="105"/>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（3）</w:t>
      </w:r>
      <w:r>
        <w:rPr>
          <w:rFonts w:hint="eastAsia" w:ascii="微软雅黑" w:hAnsi="微软雅黑" w:eastAsia="微软雅黑" w:cs="微软雅黑"/>
          <w:sz w:val="22"/>
          <w:szCs w:val="22"/>
        </w:rPr>
        <w:t>对施工机械设备和机具，将根据计划和工程进度陆续组织进场。</w:t>
      </w:r>
    </w:p>
    <w:p>
      <w:pPr>
        <w:keepNext w:val="0"/>
        <w:keepLines w:val="0"/>
        <w:pageBreakBefore w:val="0"/>
        <w:widowControl w:val="0"/>
        <w:kinsoku/>
        <w:wordWrap/>
        <w:overflowPunct/>
        <w:topLinePunct w:val="0"/>
        <w:autoSpaceDE/>
        <w:autoSpaceDN/>
        <w:bidi w:val="0"/>
        <w:adjustRightInd/>
        <w:snapToGrid/>
        <w:spacing w:line="240" w:lineRule="auto"/>
        <w:ind w:left="689" w:leftChars="191" w:hanging="231" w:hangingChars="105"/>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（4）</w:t>
      </w:r>
      <w:r>
        <w:rPr>
          <w:rFonts w:hint="eastAsia" w:ascii="微软雅黑" w:hAnsi="微软雅黑" w:eastAsia="微软雅黑" w:cs="微软雅黑"/>
          <w:sz w:val="22"/>
          <w:szCs w:val="22"/>
        </w:rPr>
        <w:t>解决好全体施工人员午餐的饮食问题。</w:t>
      </w:r>
    </w:p>
    <w:p>
      <w:pPr>
        <w:keepNext w:val="0"/>
        <w:keepLines w:val="0"/>
        <w:pageBreakBefore w:val="0"/>
        <w:widowControl w:val="0"/>
        <w:kinsoku/>
        <w:wordWrap/>
        <w:overflowPunct/>
        <w:topLinePunct w:val="0"/>
        <w:autoSpaceDE/>
        <w:autoSpaceDN/>
        <w:bidi w:val="0"/>
        <w:adjustRightInd/>
        <w:snapToGrid/>
        <w:spacing w:line="240" w:lineRule="auto"/>
        <w:ind w:left="673" w:hanging="735" w:hangingChars="306"/>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6.3</w:t>
      </w:r>
      <w:r>
        <w:rPr>
          <w:rFonts w:hint="eastAsia" w:ascii="微软雅黑" w:hAnsi="微软雅黑" w:eastAsia="微软雅黑" w:cs="微软雅黑"/>
          <w:b/>
          <w:bCs/>
          <w:sz w:val="24"/>
          <w:szCs w:val="24"/>
        </w:rPr>
        <w:t>施工步署</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项目经理部应尽早根据预算编制出具体的物资、劳动力和施工机具的计划。要求现场同土建作业很好协调，在空间和时间及其它方面保证多个作业面的开拓，以加快施工进度，保证施工工期的完成。在具体细则上，根据安装工程的一般规律，结合本工程的特点从时间、空间、速度、配合等方面制定如下一些原则：</w:t>
      </w:r>
    </w:p>
    <w:p>
      <w:pPr>
        <w:keepNext w:val="0"/>
        <w:keepLines w:val="0"/>
        <w:pageBreakBefore w:val="0"/>
        <w:widowControl w:val="0"/>
        <w:kinsoku/>
        <w:wordWrap/>
        <w:overflowPunct/>
        <w:topLinePunct w:val="0"/>
        <w:autoSpaceDE/>
        <w:autoSpaceDN/>
        <w:bidi w:val="0"/>
        <w:adjustRightInd/>
        <w:snapToGrid/>
        <w:spacing w:line="240" w:lineRule="auto"/>
        <w:ind w:left="673" w:hanging="674" w:hangingChars="30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lang w:val="en-US" w:eastAsia="zh-CN"/>
        </w:rPr>
        <w:t>6.3.1</w:t>
      </w:r>
      <w:r>
        <w:rPr>
          <w:rFonts w:hint="eastAsia" w:ascii="微软雅黑" w:hAnsi="微软雅黑" w:eastAsia="微软雅黑" w:cs="微软雅黑"/>
          <w:b/>
          <w:bCs/>
          <w:sz w:val="22"/>
          <w:szCs w:val="22"/>
        </w:rPr>
        <w:t>阶段划分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（1）</w:t>
      </w:r>
      <w:r>
        <w:rPr>
          <w:rFonts w:hint="eastAsia" w:ascii="微软雅黑" w:hAnsi="微软雅黑" w:eastAsia="微软雅黑" w:cs="微软雅黑"/>
          <w:sz w:val="22"/>
          <w:szCs w:val="22"/>
        </w:rPr>
        <w:t>前期：在此期间主要是以配合报警控制的管线的敷设为主，安装作业的主要内容是结构施工、进行管线敷设。</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中期：这一阶段施工的重心从结构为主转为设备安装和管线安装为主。相比安装前期阶段，要投入更多的人力、物力、设备和资金，本阶段起承前启后的作用。系统的管线敷设、末端设备、设备就位、油漆、系统测试等工序皆要全面展开。多专业多工种或相互展开作业，或相互配合协调作业是本阶段的一个显著特点。同时也造成了不可避免的互相干扰的问题。安装工程大量投入，工作面点多、分散，是本阶段的另一特点。为了把因相互干扰而造成不必要的投入减少到最低限度。</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（3）</w:t>
      </w:r>
      <w:r>
        <w:rPr>
          <w:rFonts w:hint="eastAsia" w:ascii="微软雅黑" w:hAnsi="微软雅黑" w:eastAsia="微软雅黑" w:cs="微软雅黑"/>
          <w:sz w:val="22"/>
          <w:szCs w:val="22"/>
        </w:rPr>
        <w:t>后期：这期间主要是进行设备调试，按规范、甲方以及设计上的要求，做好各系统的调试工作，为验收交付作准备。在这期间除做好调试工作外，还要做好调试记录的编写和整理工作。</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（4）</w:t>
      </w:r>
      <w:r>
        <w:rPr>
          <w:rFonts w:hint="eastAsia" w:ascii="微软雅黑" w:hAnsi="微软雅黑" w:eastAsia="微软雅黑" w:cs="微软雅黑"/>
          <w:sz w:val="22"/>
          <w:szCs w:val="22"/>
        </w:rPr>
        <w:t>收尾期：施工员和各有关人员要加紧整理各种图纸、技术和质量验评资料，把尚未完成的零星部位做完，对该整改的部位按要求整改好。同时加紧清整好施工现场，做到有始有终、文明化施工。积极主动地配合各项有关工作。</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（5）</w:t>
      </w:r>
      <w:r>
        <w:rPr>
          <w:rFonts w:hint="eastAsia" w:ascii="微软雅黑" w:hAnsi="微软雅黑" w:eastAsia="微软雅黑" w:cs="微软雅黑"/>
          <w:sz w:val="22"/>
          <w:szCs w:val="22"/>
        </w:rPr>
        <w:t>具体施工进度计划:根据该工程情况和施工工期的要求，整个工程工期计划共需6天，拟将工期划分为3个施工段，防护区的管线、设备安装时间为2天，作为一个施工段，灭火装置的安装时间为2天，作为一个施工段，其中系统测试时间为2天。</w:t>
      </w:r>
    </w:p>
    <w:p>
      <w:pPr>
        <w:keepNext w:val="0"/>
        <w:keepLines w:val="0"/>
        <w:pageBreakBefore w:val="0"/>
        <w:widowControl w:val="0"/>
        <w:kinsoku/>
        <w:wordWrap/>
        <w:overflowPunct/>
        <w:topLinePunct w:val="0"/>
        <w:autoSpaceDE/>
        <w:autoSpaceDN/>
        <w:bidi w:val="0"/>
        <w:adjustRightInd/>
        <w:snapToGrid/>
        <w:spacing w:line="240" w:lineRule="auto"/>
        <w:ind w:left="673" w:hanging="674" w:hangingChars="30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lang w:val="en-US" w:eastAsia="zh-CN"/>
        </w:rPr>
        <w:t>6.3.2</w:t>
      </w:r>
      <w:r>
        <w:rPr>
          <w:rFonts w:hint="eastAsia" w:ascii="微软雅黑" w:hAnsi="微软雅黑" w:eastAsia="微软雅黑" w:cs="微软雅黑"/>
          <w:b/>
          <w:bCs/>
          <w:sz w:val="22"/>
          <w:szCs w:val="22"/>
        </w:rPr>
        <w:t>施工顺序</w:t>
      </w:r>
    </w:p>
    <w:p>
      <w:pPr>
        <w:keepNext w:val="0"/>
        <w:keepLines w:val="0"/>
        <w:pageBreakBefore w:val="0"/>
        <w:widowControl w:val="0"/>
        <w:kinsoku/>
        <w:wordWrap/>
        <w:overflowPunct/>
        <w:topLinePunct w:val="0"/>
        <w:autoSpaceDE/>
        <w:autoSpaceDN/>
        <w:bidi w:val="0"/>
        <w:adjustRightInd/>
        <w:snapToGrid/>
        <w:spacing w:line="240" w:lineRule="auto"/>
        <w:ind w:firstLine="550" w:firstLineChars="25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各施工队应根据本队技术和管理的特点，劳动力素质与机具配备以及土建等专业的作业流向，在编制施工计划时把作业区划分为若干个施工段，以减少干扰，灵活而又充分地展开工作面，加快进度。在每个具体的工作面，安装作业的展开应当遵循基本作业顺序：先加工后安装、先支架后线管、先立管后水平、先测试后设备、先设备后接驳、先公共后房室。</w:t>
      </w:r>
    </w:p>
    <w:p>
      <w:pPr>
        <w:keepNext w:val="0"/>
        <w:keepLines w:val="0"/>
        <w:pageBreakBefore w:val="0"/>
        <w:widowControl w:val="0"/>
        <w:kinsoku/>
        <w:wordWrap/>
        <w:overflowPunct/>
        <w:topLinePunct w:val="0"/>
        <w:autoSpaceDE/>
        <w:autoSpaceDN/>
        <w:bidi w:val="0"/>
        <w:adjustRightInd/>
        <w:snapToGrid/>
        <w:spacing w:line="240" w:lineRule="auto"/>
        <w:ind w:left="673" w:hanging="674" w:hangingChars="30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lang w:val="en-US" w:eastAsia="zh-CN"/>
        </w:rPr>
        <w:t>6.3.3</w:t>
      </w:r>
      <w:r>
        <w:rPr>
          <w:rFonts w:hint="eastAsia" w:ascii="微软雅黑" w:hAnsi="微软雅黑" w:eastAsia="微软雅黑" w:cs="微软雅黑"/>
          <w:b/>
          <w:bCs/>
          <w:sz w:val="22"/>
          <w:szCs w:val="22"/>
        </w:rPr>
        <w:t>施工方法</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（1）</w:t>
      </w:r>
      <w:r>
        <w:rPr>
          <w:rFonts w:hint="eastAsia" w:ascii="微软雅黑" w:hAnsi="微软雅黑" w:eastAsia="微软雅黑" w:cs="微软雅黑"/>
          <w:sz w:val="22"/>
          <w:szCs w:val="22"/>
        </w:rPr>
        <w:t>在每个气体灭火防护区均设有感烟探测器、感温探测器、声光报警器、紧急启停按钮、放气指示灯；</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在一个防护区只出现感烟或感温报警信号时，灭火控制器启动防区内的声光报警器，及对应进行确认，确有火警时，应根据火情的严重程度，进行灭火或通知人员撤离后按动门口的紧急启动按钮启动灭火装置进行灭火，火灾确认后应能自动关闭本防护区的空调等设备；</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（3）</w:t>
      </w:r>
      <w:r>
        <w:rPr>
          <w:rFonts w:hint="eastAsia" w:ascii="微软雅黑" w:hAnsi="微软雅黑" w:eastAsia="微软雅黑" w:cs="微软雅黑"/>
          <w:sz w:val="22"/>
          <w:szCs w:val="22"/>
        </w:rPr>
        <w:t>在一个防护区内出现感烟和感温两个火灾报警信号时，灭火控制器启动该防护区内的声光报警器，同时延时0-30秒启动气体灭火系统进行灭火，气体喷放时气动门口的放气指示灯亮，提示人员不得入内，在气体喷放延时若现场人员确认无火灾发生，可立即按下紧急停止按钮，中断延时，紧急切断气体喷放信号；</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（4）</w:t>
      </w:r>
      <w:r>
        <w:rPr>
          <w:rFonts w:hint="eastAsia" w:ascii="微软雅黑" w:hAnsi="微软雅黑" w:eastAsia="微软雅黑" w:cs="微软雅黑"/>
          <w:sz w:val="22"/>
          <w:szCs w:val="22"/>
        </w:rPr>
        <w:t>探测器信号线采用ZR-RVS2X1.5MM</w:t>
      </w:r>
      <w:r>
        <w:rPr>
          <w:rFonts w:hint="eastAsia" w:ascii="微软雅黑" w:hAnsi="微软雅黑" w:eastAsia="微软雅黑" w:cs="微软雅黑"/>
          <w:sz w:val="22"/>
          <w:szCs w:val="22"/>
          <w:vertAlign w:val="superscript"/>
        </w:rPr>
        <w:t>2</w:t>
      </w:r>
      <w:r>
        <w:rPr>
          <w:rFonts w:hint="eastAsia" w:ascii="微软雅黑" w:hAnsi="微软雅黑" w:eastAsia="微软雅黑" w:cs="微软雅黑"/>
          <w:sz w:val="22"/>
          <w:szCs w:val="22"/>
        </w:rPr>
        <w:t>线，其余线路采用RVV1.5MM</w:t>
      </w:r>
      <w:r>
        <w:rPr>
          <w:rFonts w:hint="eastAsia" w:ascii="微软雅黑" w:hAnsi="微软雅黑" w:eastAsia="微软雅黑" w:cs="微软雅黑"/>
          <w:sz w:val="22"/>
          <w:szCs w:val="22"/>
          <w:vertAlign w:val="superscript"/>
        </w:rPr>
        <w:t>2</w:t>
      </w:r>
      <w:r>
        <w:rPr>
          <w:rFonts w:hint="eastAsia" w:ascii="微软雅黑" w:hAnsi="微软雅黑" w:eastAsia="微软雅黑" w:cs="微软雅黑"/>
          <w:sz w:val="22"/>
          <w:szCs w:val="22"/>
        </w:rPr>
        <w:t>线，主线路采用明配；</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（5）</w:t>
      </w:r>
      <w:r>
        <w:rPr>
          <w:rFonts w:hint="eastAsia" w:ascii="微软雅黑" w:hAnsi="微软雅黑" w:eastAsia="微软雅黑" w:cs="微软雅黑"/>
          <w:sz w:val="22"/>
          <w:szCs w:val="22"/>
        </w:rPr>
        <w:t>本设计系统接地采用联合接地，与其他接地公用接地体，接地电阻不大于1欧。</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（6）</w:t>
      </w:r>
      <w:r>
        <w:rPr>
          <w:rFonts w:hint="eastAsia" w:ascii="微软雅黑" w:hAnsi="微软雅黑" w:eastAsia="微软雅黑" w:cs="微软雅黑"/>
          <w:sz w:val="22"/>
          <w:szCs w:val="22"/>
        </w:rPr>
        <w:t>完工检查</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rPr>
        <w:t>当工程施工完毕后或暂时完工要撤离施工现场时，应由项目经理负责将全系统检查一遍，主要检查内容为：</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1)</w:t>
      </w:r>
      <w:r>
        <w:rPr>
          <w:rFonts w:hint="eastAsia" w:ascii="微软雅黑" w:hAnsi="微软雅黑" w:eastAsia="微软雅黑" w:cs="微软雅黑"/>
          <w:sz w:val="22"/>
          <w:szCs w:val="22"/>
        </w:rPr>
        <w:t>各种标签是否贴好，是否正确。</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是否还有遗留问题，将完工登记表填好。</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3)</w:t>
      </w:r>
      <w:r>
        <w:rPr>
          <w:rFonts w:hint="eastAsia" w:ascii="微软雅黑" w:hAnsi="微软雅黑" w:eastAsia="微软雅黑" w:cs="微软雅黑"/>
          <w:sz w:val="22"/>
          <w:szCs w:val="22"/>
        </w:rPr>
        <w:t>施工场地应打扫干净，多余的货物全部进行清理并归库。有特殊情况，请人代为保管的货物，应进行登记。</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eastAsia="zh-CN"/>
        </w:rPr>
        <w:t>（</w:t>
      </w: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工程验收前检查</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1)</w:t>
      </w:r>
      <w:r>
        <w:rPr>
          <w:rFonts w:hint="eastAsia" w:ascii="微软雅黑" w:hAnsi="微软雅黑" w:eastAsia="微软雅黑" w:cs="微软雅黑"/>
          <w:sz w:val="22"/>
          <w:szCs w:val="22"/>
        </w:rPr>
        <w:t>检查气灭火装置是否完好；</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灭火装置的数量是否与图纸相符；</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3)</w:t>
      </w:r>
      <w:r>
        <w:rPr>
          <w:rFonts w:hint="eastAsia" w:ascii="微软雅黑" w:hAnsi="微软雅黑" w:eastAsia="微软雅黑" w:cs="微软雅黑"/>
          <w:sz w:val="22"/>
          <w:szCs w:val="22"/>
        </w:rPr>
        <w:t>各个设备是否牢固可靠；</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4)</w:t>
      </w:r>
      <w:r>
        <w:rPr>
          <w:rFonts w:hint="eastAsia" w:ascii="微软雅黑" w:hAnsi="微软雅黑" w:eastAsia="微软雅黑" w:cs="微软雅黑"/>
          <w:sz w:val="22"/>
          <w:szCs w:val="22"/>
        </w:rPr>
        <w:t>灭火装置排列是否整齐，固定可靠。</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（8）</w:t>
      </w:r>
      <w:r>
        <w:rPr>
          <w:rFonts w:hint="eastAsia" w:ascii="微软雅黑" w:hAnsi="微软雅黑" w:eastAsia="微软雅黑" w:cs="微软雅黑"/>
          <w:sz w:val="22"/>
          <w:szCs w:val="22"/>
        </w:rPr>
        <w:t>开通时注意事项</w:t>
      </w:r>
    </w:p>
    <w:p>
      <w:pPr>
        <w:keepNext w:val="0"/>
        <w:keepLines w:val="0"/>
        <w:pageBreakBefore w:val="0"/>
        <w:widowControl w:val="0"/>
        <w:kinsoku/>
        <w:wordWrap/>
        <w:overflowPunct/>
        <w:topLinePunct w:val="0"/>
        <w:autoSpaceDE/>
        <w:autoSpaceDN/>
        <w:bidi w:val="0"/>
        <w:adjustRightInd/>
        <w:snapToGrid/>
        <w:spacing w:line="240" w:lineRule="auto"/>
        <w:ind w:left="240" w:leftChars="100" w:firstLine="220" w:firstLineChars="1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1)</w:t>
      </w:r>
      <w:r>
        <w:rPr>
          <w:rFonts w:hint="eastAsia" w:ascii="微软雅黑" w:hAnsi="微软雅黑" w:eastAsia="微软雅黑" w:cs="微软雅黑"/>
          <w:sz w:val="22"/>
          <w:szCs w:val="22"/>
        </w:rPr>
        <w:t>接到开通通知后，应先对甲方有关人员进行培训，介绍开通后应注意事项。</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开通人员检查电控头和钢瓶间设备是否有损坏，如有人为损坏应当面向甲方提出，待调换到正常状后方可开通。</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3)</w:t>
      </w:r>
      <w:r>
        <w:rPr>
          <w:rFonts w:hint="eastAsia" w:ascii="微软雅黑" w:hAnsi="微软雅黑" w:eastAsia="微软雅黑" w:cs="微软雅黑"/>
          <w:sz w:val="22"/>
          <w:szCs w:val="22"/>
        </w:rPr>
        <w:t>填写开通交接单，双方有关人员签字，设备开通投入使用。</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rPr>
      </w:pPr>
      <w:r>
        <w:rPr>
          <w:rFonts w:hint="eastAsia" w:ascii="微软雅黑" w:hAnsi="微软雅黑" w:eastAsia="微软雅黑" w:cs="微软雅黑"/>
          <w:sz w:val="22"/>
          <w:szCs w:val="22"/>
          <w:lang w:eastAsia="zh-CN"/>
        </w:rPr>
        <w:t>（</w:t>
      </w:r>
      <w:r>
        <w:rPr>
          <w:rFonts w:hint="eastAsia" w:ascii="微软雅黑" w:hAnsi="微软雅黑" w:eastAsia="微软雅黑" w:cs="微软雅黑"/>
          <w:sz w:val="22"/>
          <w:szCs w:val="22"/>
          <w:lang w:val="en-US" w:eastAsia="zh-CN"/>
        </w:rPr>
        <w:t>9）</w:t>
      </w:r>
      <w:r>
        <w:rPr>
          <w:rFonts w:hint="eastAsia" w:ascii="微软雅黑" w:hAnsi="微软雅黑" w:eastAsia="微软雅黑" w:cs="微软雅黑"/>
          <w:sz w:val="22"/>
          <w:szCs w:val="22"/>
        </w:rPr>
        <w:t xml:space="preserve">质保体系及文明措施  </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rPr>
        <w:t>施工质量是安装工作的中心，本公司一贯坚持“以优良的工作，确保工程的优质；以优质的工程，赢得用户的信任”这一质量方针，并严格按照IS09001质量保证和质量管理标准来管理和控制工程全过程的质量。为确保本工程质量达到“优良</w:t>
      </w:r>
      <w:r>
        <w:rPr>
          <w:rFonts w:hint="eastAsia" w:ascii="微软雅黑" w:hAnsi="微软雅黑" w:eastAsia="微软雅黑" w:cs="微软雅黑"/>
          <w:sz w:val="22"/>
          <w:szCs w:val="22"/>
          <w:lang w:eastAsia="zh-CN"/>
        </w:rPr>
        <w:t>“，</w:t>
      </w:r>
      <w:r>
        <w:rPr>
          <w:rFonts w:hint="eastAsia" w:ascii="微软雅黑" w:hAnsi="微软雅黑" w:eastAsia="微软雅黑" w:cs="微软雅黑"/>
          <w:sz w:val="22"/>
          <w:szCs w:val="22"/>
        </w:rPr>
        <w:t>建立以项目经理为主的现场施工质量保证体系</w:t>
      </w:r>
      <w:r>
        <w:rPr>
          <w:rFonts w:hint="eastAsia" w:ascii="微软雅黑" w:hAnsi="微软雅黑" w:eastAsia="微软雅黑" w:cs="微软雅黑"/>
          <w:sz w:val="22"/>
          <w:szCs w:val="22"/>
          <w:lang w:eastAsia="zh-CN"/>
        </w:rPr>
        <w:t>。</w:t>
      </w:r>
    </w:p>
    <w:p>
      <w:pPr>
        <w:pStyle w:val="10"/>
        <w:spacing w:line="360" w:lineRule="auto"/>
        <w:ind w:firstLine="0" w:firstLineChars="0"/>
        <w:rPr>
          <w:rFonts w:asciiTheme="minorEastAsia" w:hAnsiTheme="minorEastAsia"/>
          <w:b/>
          <w:kern w:val="0"/>
          <w:sz w:val="28"/>
          <w:szCs w:val="28"/>
        </w:rPr>
      </w:pPr>
      <w:r>
        <w:rPr>
          <w:rFonts w:hint="eastAsia" w:ascii="微软雅黑" w:hAnsi="微软雅黑" w:eastAsia="微软雅黑" w:cs="微软雅黑"/>
          <w:b/>
          <w:kern w:val="0"/>
          <w:sz w:val="28"/>
          <w:szCs w:val="28"/>
          <w:lang w:val="en-US" w:eastAsia="zh-CN"/>
        </w:rPr>
        <w:t>7</w:t>
      </w:r>
      <w:r>
        <w:rPr>
          <w:rFonts w:hint="eastAsia" w:ascii="微软雅黑" w:hAnsi="微软雅黑" w:eastAsia="微软雅黑" w:cs="微软雅黑"/>
          <w:b/>
          <w:kern w:val="0"/>
          <w:sz w:val="28"/>
          <w:szCs w:val="28"/>
        </w:rPr>
        <w:t>交通组织措施</w:t>
      </w:r>
    </w:p>
    <w:p>
      <w:pPr>
        <w:spacing w:line="360" w:lineRule="auto"/>
        <w:ind w:firstLine="440" w:firstLineChars="200"/>
        <w:rPr>
          <w:rFonts w:ascii="微软雅黑" w:hAnsi="微软雅黑" w:eastAsia="微软雅黑" w:cs="微软雅黑"/>
          <w:sz w:val="22"/>
        </w:rPr>
      </w:pPr>
      <w:r>
        <w:rPr>
          <w:rFonts w:hint="eastAsia" w:ascii="微软雅黑" w:hAnsi="微软雅黑" w:eastAsia="微软雅黑" w:cs="微软雅黑"/>
          <w:sz w:val="22"/>
        </w:rPr>
        <w:t>本次S型气溶胶自动灭火装置更换是在已通车道路上的摩天岭隧道地下风机房进行，良好的实施组织计划和保畅方案是工程得以顺利实施的保障。施工组织计划应遵循以下原则：</w:t>
      </w:r>
    </w:p>
    <w:p>
      <w:pPr>
        <w:spacing w:line="360" w:lineRule="auto"/>
        <w:ind w:firstLine="480"/>
        <w:rPr>
          <w:rFonts w:ascii="微软雅黑" w:hAnsi="微软雅黑" w:eastAsia="微软雅黑" w:cs="微软雅黑"/>
          <w:sz w:val="22"/>
        </w:rPr>
      </w:pPr>
      <w:r>
        <w:rPr>
          <w:rFonts w:hint="eastAsia" w:ascii="微软雅黑" w:hAnsi="微软雅黑" w:eastAsia="微软雅黑" w:cs="微软雅黑"/>
          <w:sz w:val="22"/>
        </w:rPr>
        <w:t>（1）施工组织应最大限度减小对</w:t>
      </w:r>
      <w:bookmarkStart w:id="0" w:name="_GoBack"/>
      <w:bookmarkEnd w:id="0"/>
      <w:r>
        <w:rPr>
          <w:rFonts w:hint="eastAsia" w:ascii="微软雅黑" w:hAnsi="微软雅黑" w:eastAsia="微软雅黑" w:cs="微软雅黑"/>
          <w:sz w:val="22"/>
        </w:rPr>
        <w:t>其他设备的影响。</w:t>
      </w:r>
    </w:p>
    <w:p>
      <w:pPr>
        <w:spacing w:line="360" w:lineRule="auto"/>
        <w:ind w:firstLine="480"/>
        <w:rPr>
          <w:rFonts w:ascii="微软雅黑" w:hAnsi="微软雅黑" w:eastAsia="微软雅黑" w:cs="微软雅黑"/>
          <w:sz w:val="22"/>
        </w:rPr>
      </w:pPr>
      <w:r>
        <w:rPr>
          <w:rFonts w:hint="eastAsia" w:ascii="微软雅黑" w:hAnsi="微软雅黑" w:eastAsia="微软雅黑" w:cs="微软雅黑"/>
          <w:sz w:val="22"/>
        </w:rPr>
        <w:t>（2）保障施工人员和设备安全。</w:t>
      </w:r>
    </w:p>
    <w:p>
      <w:pPr>
        <w:spacing w:line="360" w:lineRule="auto"/>
        <w:ind w:firstLine="480"/>
        <w:rPr>
          <w:rFonts w:ascii="微软雅黑" w:hAnsi="微软雅黑" w:eastAsia="微软雅黑" w:cs="微软雅黑"/>
          <w:sz w:val="22"/>
        </w:rPr>
      </w:pPr>
      <w:r>
        <w:rPr>
          <w:rFonts w:hint="eastAsia" w:ascii="微软雅黑" w:hAnsi="微软雅黑" w:eastAsia="微软雅黑" w:cs="微软雅黑"/>
          <w:sz w:val="22"/>
        </w:rPr>
        <w:t>（3）需满足重庆市营运高速公路施工标准化管理办法(重庆市交通委员会公布)。</w:t>
      </w:r>
    </w:p>
    <w:p>
      <w:pPr>
        <w:spacing w:line="360" w:lineRule="auto"/>
        <w:ind w:firstLine="440" w:firstLineChars="200"/>
        <w:rPr>
          <w:rFonts w:ascii="微软雅黑" w:hAnsi="微软雅黑" w:eastAsia="微软雅黑" w:cs="微软雅黑"/>
          <w:sz w:val="22"/>
        </w:rPr>
      </w:pPr>
      <w:r>
        <w:rPr>
          <w:rFonts w:hint="eastAsia" w:ascii="微软雅黑" w:hAnsi="微软雅黑" w:eastAsia="微软雅黑" w:cs="微软雅黑"/>
          <w:sz w:val="22"/>
        </w:rPr>
        <w:t>（4）施工单位在施工前，应结合本单位自身情况，编写详细施工组织计划，待相关各方批准后方可进行施工。</w:t>
      </w:r>
    </w:p>
    <w:p>
      <w:pPr>
        <w:pStyle w:val="2"/>
        <w:rPr>
          <w:rFonts w:hint="eastAsia"/>
          <w:lang w:eastAsia="zh-CN"/>
        </w:rPr>
      </w:pPr>
    </w:p>
    <w:p>
      <w:pPr>
        <w:spacing w:line="360" w:lineRule="auto"/>
        <w:rPr>
          <w:rFonts w:ascii="微软雅黑" w:hAnsi="微软雅黑" w:eastAsia="微软雅黑" w:cs="微软雅黑"/>
          <w:sz w:val="22"/>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2183A"/>
    <w:multiLevelType w:val="singleLevel"/>
    <w:tmpl w:val="A492183A"/>
    <w:lvl w:ilvl="0" w:tentative="0">
      <w:start w:val="1"/>
      <w:numFmt w:val="decimal"/>
      <w:suff w:val="nothing"/>
      <w:lvlText w:val="%1）"/>
      <w:lvlJc w:val="left"/>
    </w:lvl>
  </w:abstractNum>
  <w:abstractNum w:abstractNumId="1">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IyOTgxZDQ2NDRhY2Q1ZGYxNmUzNGZlNWI1NGM1OWQifQ=="/>
  </w:docVars>
  <w:rsids>
    <w:rsidRoot w:val="00084D0D"/>
    <w:rsid w:val="00006FA9"/>
    <w:rsid w:val="000165E3"/>
    <w:rsid w:val="00024539"/>
    <w:rsid w:val="00084D0D"/>
    <w:rsid w:val="000C6110"/>
    <w:rsid w:val="001055F1"/>
    <w:rsid w:val="00185EEF"/>
    <w:rsid w:val="001B3E30"/>
    <w:rsid w:val="002A6444"/>
    <w:rsid w:val="00332B92"/>
    <w:rsid w:val="00432421"/>
    <w:rsid w:val="00482344"/>
    <w:rsid w:val="00656483"/>
    <w:rsid w:val="00697A82"/>
    <w:rsid w:val="006B7A1E"/>
    <w:rsid w:val="006C07CD"/>
    <w:rsid w:val="008145E1"/>
    <w:rsid w:val="00A45C91"/>
    <w:rsid w:val="00A62B43"/>
    <w:rsid w:val="00AC4EB1"/>
    <w:rsid w:val="00B3173E"/>
    <w:rsid w:val="00BB4074"/>
    <w:rsid w:val="00BC0A98"/>
    <w:rsid w:val="00BD224E"/>
    <w:rsid w:val="00C26F32"/>
    <w:rsid w:val="00C43097"/>
    <w:rsid w:val="00C50867"/>
    <w:rsid w:val="00CB79A7"/>
    <w:rsid w:val="00E42CC3"/>
    <w:rsid w:val="00EC72DC"/>
    <w:rsid w:val="00EE74F1"/>
    <w:rsid w:val="00F264B6"/>
    <w:rsid w:val="00F54DD5"/>
    <w:rsid w:val="027C4DE9"/>
    <w:rsid w:val="05451587"/>
    <w:rsid w:val="0657390A"/>
    <w:rsid w:val="079D5832"/>
    <w:rsid w:val="07EB0D2B"/>
    <w:rsid w:val="08703D30"/>
    <w:rsid w:val="08941340"/>
    <w:rsid w:val="08E6584B"/>
    <w:rsid w:val="09005A25"/>
    <w:rsid w:val="091128C9"/>
    <w:rsid w:val="09D731B3"/>
    <w:rsid w:val="0A7C3120"/>
    <w:rsid w:val="0DBE04AF"/>
    <w:rsid w:val="0EFE36F1"/>
    <w:rsid w:val="0FF7412C"/>
    <w:rsid w:val="112F58B5"/>
    <w:rsid w:val="11BA4CE0"/>
    <w:rsid w:val="12036CCD"/>
    <w:rsid w:val="135D4346"/>
    <w:rsid w:val="1594050A"/>
    <w:rsid w:val="17026902"/>
    <w:rsid w:val="17DA12FD"/>
    <w:rsid w:val="1CB34670"/>
    <w:rsid w:val="1CCB20B0"/>
    <w:rsid w:val="1DB610DD"/>
    <w:rsid w:val="1F646EC7"/>
    <w:rsid w:val="217167C0"/>
    <w:rsid w:val="25115D62"/>
    <w:rsid w:val="266C0167"/>
    <w:rsid w:val="26D96E43"/>
    <w:rsid w:val="277C440B"/>
    <w:rsid w:val="277D6609"/>
    <w:rsid w:val="27D87BF1"/>
    <w:rsid w:val="28217347"/>
    <w:rsid w:val="28FC4B66"/>
    <w:rsid w:val="295714F8"/>
    <w:rsid w:val="2B0511DE"/>
    <w:rsid w:val="2C7B286B"/>
    <w:rsid w:val="2DA372EA"/>
    <w:rsid w:val="2DDA70EF"/>
    <w:rsid w:val="2E1F3766"/>
    <w:rsid w:val="30EF7762"/>
    <w:rsid w:val="31F2360C"/>
    <w:rsid w:val="32220732"/>
    <w:rsid w:val="34E03A7E"/>
    <w:rsid w:val="35AF28A9"/>
    <w:rsid w:val="36AB3CDA"/>
    <w:rsid w:val="373D0D8D"/>
    <w:rsid w:val="37641B44"/>
    <w:rsid w:val="37AF64B8"/>
    <w:rsid w:val="38C43B06"/>
    <w:rsid w:val="392A7220"/>
    <w:rsid w:val="39E21883"/>
    <w:rsid w:val="3A9C6CD2"/>
    <w:rsid w:val="3D54451C"/>
    <w:rsid w:val="40CC76DD"/>
    <w:rsid w:val="43266D68"/>
    <w:rsid w:val="44CF57A2"/>
    <w:rsid w:val="44DA0EC4"/>
    <w:rsid w:val="45FB6E90"/>
    <w:rsid w:val="46352743"/>
    <w:rsid w:val="4691012F"/>
    <w:rsid w:val="490709A2"/>
    <w:rsid w:val="4E674E61"/>
    <w:rsid w:val="4EE23C4C"/>
    <w:rsid w:val="50A60ECB"/>
    <w:rsid w:val="51713C92"/>
    <w:rsid w:val="54485031"/>
    <w:rsid w:val="561A5A4B"/>
    <w:rsid w:val="56752CF3"/>
    <w:rsid w:val="59193956"/>
    <w:rsid w:val="59196842"/>
    <w:rsid w:val="597779BC"/>
    <w:rsid w:val="5A3051FA"/>
    <w:rsid w:val="5B5C237B"/>
    <w:rsid w:val="5B871DD5"/>
    <w:rsid w:val="5D9B7710"/>
    <w:rsid w:val="5DA2097C"/>
    <w:rsid w:val="5F2E4ABC"/>
    <w:rsid w:val="5FE26823"/>
    <w:rsid w:val="6160153B"/>
    <w:rsid w:val="64D66662"/>
    <w:rsid w:val="66980802"/>
    <w:rsid w:val="66CF7FBA"/>
    <w:rsid w:val="6C267F5E"/>
    <w:rsid w:val="6CA11C95"/>
    <w:rsid w:val="6D862476"/>
    <w:rsid w:val="6E6B191D"/>
    <w:rsid w:val="6F975C25"/>
    <w:rsid w:val="71FB4EEF"/>
    <w:rsid w:val="738F1142"/>
    <w:rsid w:val="73CE2D7C"/>
    <w:rsid w:val="744A6881"/>
    <w:rsid w:val="76A64731"/>
    <w:rsid w:val="76E63008"/>
    <w:rsid w:val="770F38F5"/>
    <w:rsid w:val="77850314"/>
    <w:rsid w:val="796371D4"/>
    <w:rsid w:val="79A34154"/>
    <w:rsid w:val="7DC47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宋体" w:asciiTheme="minorHAnsi" w:hAnsiTheme="minorHAnsi" w:eastAsiaTheme="minorEastAsia"/>
      <w:sz w:val="24"/>
      <w:szCs w:val="24"/>
      <w:lang w:val="en-US" w:eastAsia="zh-CN" w:bidi="ar-SA"/>
    </w:rPr>
  </w:style>
  <w:style w:type="paragraph" w:styleId="3">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5"/>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styleId="5">
    <w:name w:val="Document Map"/>
    <w:basedOn w:val="1"/>
    <w:link w:val="13"/>
    <w:qFormat/>
    <w:uiPriority w:val="0"/>
    <w:rPr>
      <w:rFonts w:ascii="宋体" w:eastAsia="宋体"/>
      <w:sz w:val="18"/>
      <w:szCs w:val="18"/>
    </w:rPr>
  </w:style>
  <w:style w:type="character" w:styleId="8">
    <w:name w:val="Strong"/>
    <w:basedOn w:val="7"/>
    <w:qFormat/>
    <w:uiPriority w:val="0"/>
    <w:rPr>
      <w:b/>
    </w:rPr>
  </w:style>
  <w:style w:type="paragraph" w:customStyle="1" w:styleId="9">
    <w:name w:val="设计说明2"/>
    <w:basedOn w:val="1"/>
    <w:qFormat/>
    <w:uiPriority w:val="0"/>
    <w:pPr>
      <w:numPr>
        <w:ilvl w:val="1"/>
        <w:numId w:val="1"/>
      </w:numPr>
      <w:tabs>
        <w:tab w:val="left" w:pos="630"/>
      </w:tabs>
      <w:spacing w:before="120" w:after="120" w:line="400" w:lineRule="exact"/>
      <w:outlineLvl w:val="1"/>
    </w:pPr>
    <w:rPr>
      <w:rFonts w:ascii="新宋体" w:hAnsi="新宋体" w:eastAsia="宋体" w:cs="Times New Roman"/>
      <w:b/>
      <w:kern w:val="2"/>
      <w:sz w:val="28"/>
      <w:szCs w:val="20"/>
    </w:rPr>
  </w:style>
  <w:style w:type="paragraph" w:customStyle="1" w:styleId="10">
    <w:name w:val="内容"/>
    <w:basedOn w:val="1"/>
    <w:qFormat/>
    <w:uiPriority w:val="0"/>
    <w:pPr>
      <w:spacing w:line="480" w:lineRule="exact"/>
      <w:ind w:firstLine="200" w:firstLineChars="200"/>
    </w:pPr>
  </w:style>
  <w:style w:type="character" w:customStyle="1" w:styleId="11">
    <w:name w:val="font11"/>
    <w:basedOn w:val="7"/>
    <w:qFormat/>
    <w:uiPriority w:val="0"/>
    <w:rPr>
      <w:rFonts w:hint="eastAsia" w:ascii="宋体" w:hAnsi="宋体" w:eastAsia="宋体" w:cs="宋体"/>
      <w:color w:val="000000"/>
      <w:sz w:val="20"/>
      <w:szCs w:val="20"/>
      <w:u w:val="none"/>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3">
    <w:name w:val="文档结构图 Char"/>
    <w:basedOn w:val="7"/>
    <w:link w:val="5"/>
    <w:qFormat/>
    <w:uiPriority w:val="0"/>
    <w:rPr>
      <w:rFonts w:ascii="宋体" w:cs="宋体" w:hAnsiTheme="minorHAnsi"/>
      <w:sz w:val="18"/>
      <w:szCs w:val="18"/>
    </w:rPr>
  </w:style>
  <w:style w:type="character" w:customStyle="1" w:styleId="14">
    <w:name w:val="标题 1 Char"/>
    <w:basedOn w:val="7"/>
    <w:link w:val="3"/>
    <w:qFormat/>
    <w:uiPriority w:val="0"/>
    <w:rPr>
      <w:rFonts w:cs="宋体" w:asciiTheme="minorHAnsi" w:hAnsiTheme="minorHAnsi" w:eastAsiaTheme="minorEastAsia"/>
      <w:b/>
      <w:bCs/>
      <w:kern w:val="44"/>
      <w:sz w:val="44"/>
      <w:szCs w:val="44"/>
    </w:rPr>
  </w:style>
  <w:style w:type="character" w:customStyle="1" w:styleId="15">
    <w:name w:val="标题 2 Char"/>
    <w:basedOn w:val="7"/>
    <w:link w:val="4"/>
    <w:semiHidden/>
    <w:qFormat/>
    <w:uiPriority w:val="0"/>
    <w:rPr>
      <w:rFonts w:asciiTheme="majorHAnsi" w:hAnsiTheme="majorHAnsi" w:eastAsiaTheme="majorEastAsia" w:cstheme="majorBidi"/>
      <w:b/>
      <w:bCs/>
      <w:sz w:val="32"/>
      <w:szCs w:val="32"/>
    </w:rPr>
  </w:style>
  <w:style w:type="paragraph" w:customStyle="1" w:styleId="16">
    <w:name w:val="reader-word-layer"/>
    <w:basedOn w:val="1"/>
    <w:qFormat/>
    <w:uiPriority w:val="0"/>
    <w:pPr>
      <w:widowControl/>
      <w:spacing w:before="100" w:beforeAutospacing="1" w:after="100" w:afterAutospacing="1"/>
      <w:jc w:val="left"/>
    </w:pPr>
    <w:rPr>
      <w:rFonts w:ascii="宋体" w:hAnsi="宋体"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5CDFCAE-D917-4F23-8E97-6B5437FDB63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3469</Words>
  <Characters>3713</Characters>
  <Lines>18</Lines>
  <Paragraphs>5</Paragraphs>
  <TotalTime>4</TotalTime>
  <ScaleCrop>false</ScaleCrop>
  <LinksUpToDate>false</LinksUpToDate>
  <CharactersWithSpaces>3735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胡绪龙</cp:lastModifiedBy>
  <dcterms:modified xsi:type="dcterms:W3CDTF">2023-06-05T07:26:47Z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F58FF57636714A599F455B36C74B0F5E</vt:lpwstr>
  </property>
</Properties>
</file>