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jc w:val="center"/>
        <w:rPr>
          <w:rFonts w:hint="default" w:ascii="微软雅黑" w:hAnsi="微软雅黑" w:eastAsia="微软雅黑"/>
          <w:b/>
          <w:sz w:val="52"/>
          <w:szCs w:val="52"/>
          <w:lang w:val="en-US" w:eastAsia="zh-CN"/>
        </w:rPr>
      </w:pPr>
      <w:r>
        <w:rPr>
          <w:rFonts w:hint="eastAsia" w:ascii="微软雅黑" w:hAnsi="微软雅黑" w:eastAsia="微软雅黑"/>
          <w:b/>
          <w:bCs/>
          <w:sz w:val="52"/>
          <w:szCs w:val="52"/>
        </w:rPr>
        <w:t>202</w:t>
      </w:r>
      <w:r>
        <w:rPr>
          <w:rFonts w:hint="eastAsia" w:ascii="微软雅黑" w:hAnsi="微软雅黑" w:eastAsia="微软雅黑"/>
          <w:b/>
          <w:bCs/>
          <w:sz w:val="52"/>
          <w:szCs w:val="52"/>
          <w:lang w:val="en-US" w:eastAsia="zh-CN"/>
        </w:rPr>
        <w:t>3</w:t>
      </w:r>
      <w:r>
        <w:rPr>
          <w:rFonts w:hint="eastAsia" w:ascii="微软雅黑" w:hAnsi="微软雅黑" w:eastAsia="微软雅黑"/>
          <w:b/>
          <w:bCs/>
          <w:sz w:val="52"/>
          <w:szCs w:val="52"/>
        </w:rPr>
        <w:t>年专项工程</w:t>
      </w:r>
      <w:r>
        <w:rPr>
          <w:rFonts w:hint="eastAsia" w:ascii="微软雅黑" w:hAnsi="微软雅黑" w:eastAsia="微软雅黑"/>
          <w:b/>
          <w:sz w:val="52"/>
          <w:szCs w:val="52"/>
          <w:lang w:val="en-US" w:eastAsia="zh-CN"/>
        </w:rPr>
        <w:t>隧道液位仪改造</w:t>
      </w:r>
    </w:p>
    <w:p>
      <w:pPr>
        <w:spacing w:line="360" w:lineRule="auto"/>
        <w:jc w:val="center"/>
        <w:rPr>
          <w:rFonts w:ascii="微软雅黑" w:hAnsi="微软雅黑" w:eastAsia="微软雅黑"/>
          <w:b/>
          <w:sz w:val="52"/>
          <w:szCs w:val="52"/>
        </w:rPr>
      </w:pPr>
    </w:p>
    <w:p>
      <w:pPr>
        <w:pStyle w:val="2"/>
        <w:rPr>
          <w:rFonts w:ascii="微软雅黑" w:hAnsi="微软雅黑" w:eastAsia="微软雅黑"/>
          <w:b/>
          <w:sz w:val="52"/>
          <w:szCs w:val="52"/>
        </w:rPr>
      </w:pPr>
    </w:p>
    <w:p/>
    <w:p>
      <w:pPr>
        <w:spacing w:line="360" w:lineRule="auto"/>
        <w:jc w:val="center"/>
        <w:rPr>
          <w:rFonts w:ascii="微软雅黑" w:hAnsi="微软雅黑" w:eastAsia="微软雅黑"/>
          <w:b/>
          <w:sz w:val="52"/>
          <w:szCs w:val="52"/>
        </w:rPr>
      </w:pPr>
      <w:r>
        <w:rPr>
          <w:rFonts w:hint="eastAsia" w:ascii="微软雅黑" w:hAnsi="微软雅黑" w:eastAsia="微软雅黑"/>
          <w:b/>
          <w:sz w:val="52"/>
          <w:szCs w:val="52"/>
        </w:rPr>
        <w:t>设</w:t>
      </w:r>
    </w:p>
    <w:p>
      <w:pPr>
        <w:spacing w:line="360" w:lineRule="auto"/>
        <w:jc w:val="center"/>
        <w:rPr>
          <w:rFonts w:ascii="微软雅黑" w:hAnsi="微软雅黑" w:eastAsia="微软雅黑"/>
          <w:b/>
          <w:sz w:val="52"/>
          <w:szCs w:val="52"/>
        </w:rPr>
      </w:pPr>
      <w:r>
        <w:rPr>
          <w:rFonts w:hint="eastAsia" w:ascii="微软雅黑" w:hAnsi="微软雅黑" w:eastAsia="微软雅黑"/>
          <w:b/>
          <w:sz w:val="52"/>
          <w:szCs w:val="52"/>
        </w:rPr>
        <w:t>计</w:t>
      </w:r>
    </w:p>
    <w:p>
      <w:pPr>
        <w:spacing w:line="360" w:lineRule="auto"/>
        <w:jc w:val="center"/>
        <w:rPr>
          <w:rFonts w:ascii="微软雅黑" w:hAnsi="微软雅黑" w:eastAsia="微软雅黑"/>
          <w:b/>
          <w:sz w:val="52"/>
          <w:szCs w:val="52"/>
        </w:rPr>
      </w:pPr>
      <w:r>
        <w:rPr>
          <w:rFonts w:hint="eastAsia" w:ascii="微软雅黑" w:hAnsi="微软雅黑" w:eastAsia="微软雅黑"/>
          <w:b/>
          <w:sz w:val="52"/>
          <w:szCs w:val="52"/>
        </w:rPr>
        <w:t>方</w:t>
      </w:r>
    </w:p>
    <w:p>
      <w:pPr>
        <w:spacing w:line="360" w:lineRule="auto"/>
        <w:jc w:val="center"/>
        <w:rPr>
          <w:rFonts w:ascii="微软雅黑" w:hAnsi="微软雅黑" w:eastAsia="微软雅黑"/>
          <w:b/>
          <w:sz w:val="52"/>
          <w:szCs w:val="52"/>
        </w:rPr>
      </w:pPr>
      <w:r>
        <w:rPr>
          <w:rFonts w:hint="eastAsia" w:ascii="微软雅黑" w:hAnsi="微软雅黑" w:eastAsia="微软雅黑"/>
          <w:b/>
          <w:sz w:val="52"/>
          <w:szCs w:val="52"/>
        </w:rPr>
        <w:t>案</w:t>
      </w:r>
    </w:p>
    <w:p>
      <w:pPr>
        <w:spacing w:line="360" w:lineRule="auto"/>
        <w:jc w:val="center"/>
        <w:rPr>
          <w:rFonts w:ascii="微软雅黑" w:hAnsi="微软雅黑" w:eastAsia="微软雅黑"/>
          <w:b/>
          <w:sz w:val="52"/>
          <w:szCs w:val="52"/>
        </w:rPr>
      </w:pPr>
    </w:p>
    <w:p>
      <w:pPr>
        <w:spacing w:line="360" w:lineRule="auto"/>
        <w:jc w:val="center"/>
        <w:rPr>
          <w:rFonts w:ascii="微软雅黑" w:hAnsi="微软雅黑" w:eastAsia="微软雅黑"/>
          <w:b/>
          <w:sz w:val="52"/>
          <w:szCs w:val="52"/>
        </w:rPr>
      </w:pPr>
    </w:p>
    <w:p>
      <w:pPr>
        <w:spacing w:line="360" w:lineRule="auto"/>
        <w:jc w:val="center"/>
        <w:rPr>
          <w:rFonts w:ascii="微软雅黑" w:hAnsi="微软雅黑" w:eastAsia="微软雅黑"/>
          <w:b/>
          <w:sz w:val="52"/>
          <w:szCs w:val="52"/>
        </w:rPr>
      </w:pPr>
    </w:p>
    <w:p>
      <w:pPr>
        <w:spacing w:line="360" w:lineRule="auto"/>
        <w:jc w:val="center"/>
        <w:rPr>
          <w:rFonts w:ascii="微软雅黑" w:hAnsi="微软雅黑" w:eastAsia="微软雅黑"/>
          <w:b/>
          <w:sz w:val="52"/>
          <w:szCs w:val="52"/>
        </w:rPr>
      </w:pPr>
    </w:p>
    <w:p>
      <w:pPr>
        <w:spacing w:line="360" w:lineRule="auto"/>
        <w:jc w:val="center"/>
        <w:rPr>
          <w:rFonts w:ascii="微软雅黑" w:hAnsi="微软雅黑" w:eastAsia="微软雅黑"/>
          <w:b/>
          <w:sz w:val="52"/>
          <w:szCs w:val="52"/>
        </w:rPr>
      </w:pPr>
    </w:p>
    <w:p>
      <w:pPr>
        <w:spacing w:line="360" w:lineRule="auto"/>
        <w:jc w:val="center"/>
        <w:rPr>
          <w:rFonts w:ascii="微软雅黑" w:hAnsi="微软雅黑" w:eastAsia="微软雅黑"/>
          <w:b/>
          <w:sz w:val="52"/>
          <w:szCs w:val="52"/>
        </w:rPr>
      </w:pPr>
    </w:p>
    <w:p>
      <w:pPr>
        <w:spacing w:line="360" w:lineRule="auto"/>
        <w:jc w:val="center"/>
        <w:rPr>
          <w:rFonts w:ascii="微软雅黑" w:hAnsi="微软雅黑" w:eastAsia="微软雅黑"/>
          <w:b/>
          <w:sz w:val="36"/>
          <w:szCs w:val="36"/>
        </w:rPr>
      </w:pPr>
      <w:r>
        <w:rPr>
          <w:rFonts w:hint="eastAsia" w:ascii="微软雅黑" w:hAnsi="微软雅黑" w:eastAsia="微软雅黑"/>
          <w:b/>
          <w:sz w:val="36"/>
          <w:szCs w:val="36"/>
        </w:rPr>
        <w:t>重庆首讯科技股份有限公司</w:t>
      </w:r>
    </w:p>
    <w:p>
      <w:pPr>
        <w:keepNext w:val="0"/>
        <w:keepLines w:val="0"/>
        <w:pageBreakBefore w:val="0"/>
        <w:widowControl w:val="0"/>
        <w:kinsoku/>
        <w:wordWrap/>
        <w:overflowPunct/>
        <w:topLinePunct w:val="0"/>
        <w:autoSpaceDE/>
        <w:autoSpaceDN/>
        <w:bidi w:val="0"/>
        <w:adjustRightInd w:val="0"/>
        <w:snapToGrid/>
        <w:spacing w:line="360" w:lineRule="auto"/>
        <w:jc w:val="center"/>
        <w:textAlignment w:val="auto"/>
        <w:rPr>
          <w:rFonts w:hint="eastAsia" w:ascii="宋体" w:hAnsi="宋体" w:eastAsia="宋体" w:cs="宋体"/>
          <w:b/>
          <w:bCs/>
          <w:sz w:val="32"/>
          <w:szCs w:val="32"/>
          <w:lang w:val="en-US" w:eastAsia="zh-CN"/>
        </w:rPr>
      </w:pPr>
      <w:r>
        <w:rPr>
          <w:rFonts w:ascii="微软雅黑" w:hAnsi="微软雅黑" w:eastAsia="微软雅黑"/>
          <w:b/>
          <w:sz w:val="32"/>
          <w:szCs w:val="32"/>
        </w:rPr>
        <w:t>20</w:t>
      </w:r>
      <w:r>
        <w:rPr>
          <w:rFonts w:hint="eastAsia" w:ascii="微软雅黑" w:hAnsi="微软雅黑" w:eastAsia="微软雅黑"/>
          <w:b/>
          <w:sz w:val="32"/>
          <w:szCs w:val="32"/>
        </w:rPr>
        <w:t>2</w:t>
      </w:r>
      <w:r>
        <w:rPr>
          <w:rFonts w:hint="eastAsia" w:ascii="微软雅黑" w:hAnsi="微软雅黑" w:eastAsia="微软雅黑"/>
          <w:b/>
          <w:sz w:val="32"/>
          <w:szCs w:val="32"/>
          <w:lang w:val="en-US" w:eastAsia="zh-CN"/>
        </w:rPr>
        <w:t>3</w:t>
      </w:r>
      <w:r>
        <w:rPr>
          <w:rFonts w:hint="eastAsia" w:ascii="微软雅黑" w:hAnsi="微软雅黑" w:eastAsia="微软雅黑"/>
          <w:b/>
          <w:sz w:val="32"/>
          <w:szCs w:val="32"/>
        </w:rPr>
        <w:t>年</w:t>
      </w:r>
      <w:r>
        <w:rPr>
          <w:rFonts w:hint="eastAsia" w:ascii="微软雅黑" w:hAnsi="微软雅黑" w:eastAsia="微软雅黑"/>
          <w:b/>
          <w:sz w:val="32"/>
          <w:szCs w:val="32"/>
          <w:lang w:val="en-US" w:eastAsia="zh-CN"/>
        </w:rPr>
        <w:t>3</w:t>
      </w:r>
      <w:r>
        <w:rPr>
          <w:rFonts w:hint="eastAsia" w:ascii="微软雅黑" w:hAnsi="微软雅黑" w:eastAsia="微软雅黑"/>
          <w:b/>
          <w:sz w:val="32"/>
          <w:szCs w:val="32"/>
        </w:rPr>
        <w:t>月</w:t>
      </w:r>
    </w:p>
    <w:p>
      <w:pPr>
        <w:keepNext w:val="0"/>
        <w:keepLines w:val="0"/>
        <w:pageBreakBefore w:val="0"/>
        <w:widowControl w:val="0"/>
        <w:kinsoku/>
        <w:wordWrap/>
        <w:overflowPunct/>
        <w:topLinePunct w:val="0"/>
        <w:autoSpaceDE/>
        <w:autoSpaceDN/>
        <w:bidi w:val="0"/>
        <w:adjustRightInd w:val="0"/>
        <w:snapToGrid/>
        <w:spacing w:line="360" w:lineRule="auto"/>
        <w:jc w:val="center"/>
        <w:textAlignment w:val="auto"/>
        <w:rPr>
          <w:rFonts w:hint="eastAsia" w:ascii="微软雅黑" w:hAnsi="微软雅黑" w:eastAsia="微软雅黑" w:cs="微软雅黑"/>
          <w:b/>
          <w:bCs/>
          <w:sz w:val="28"/>
          <w:szCs w:val="28"/>
        </w:rPr>
      </w:pPr>
      <w:r>
        <w:rPr>
          <w:rFonts w:hint="eastAsia" w:ascii="黑体" w:hAnsi="黑体" w:eastAsia="黑体" w:cs="黑体"/>
          <w:b/>
          <w:bCs/>
          <w:sz w:val="44"/>
          <w:szCs w:val="44"/>
          <w:lang w:val="en-US" w:eastAsia="zh-CN"/>
        </w:rPr>
        <w:t>隧道液位仪改造</w:t>
      </w:r>
      <w:r>
        <w:rPr>
          <w:rFonts w:hint="eastAsia" w:ascii="黑体" w:hAnsi="黑体" w:eastAsia="黑体" w:cs="黑体"/>
          <w:b/>
          <w:bCs/>
          <w:sz w:val="44"/>
          <w:szCs w:val="44"/>
        </w:rPr>
        <w:t>设计方案</w:t>
      </w:r>
    </w:p>
    <w:p>
      <w:pPr>
        <w:adjustRightInd w:val="0"/>
        <w:snapToGrid w:val="0"/>
        <w:spacing w:line="360" w:lineRule="auto"/>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t>1项目背景与设计依据</w:t>
      </w:r>
    </w:p>
    <w:p>
      <w:pPr>
        <w:adjustRightInd w:val="0"/>
        <w:snapToGrid w:val="0"/>
        <w:spacing w:line="360" w:lineRule="auto"/>
        <w:rPr>
          <w:rFonts w:ascii="微软雅黑" w:hAnsi="微软雅黑" w:eastAsia="微软雅黑" w:cs="微软雅黑"/>
          <w:b/>
          <w:bCs/>
          <w:sz w:val="24"/>
          <w:szCs w:val="24"/>
        </w:rPr>
      </w:pPr>
      <w:r>
        <w:rPr>
          <w:rFonts w:hint="eastAsia" w:ascii="微软雅黑" w:hAnsi="微软雅黑" w:eastAsia="微软雅黑" w:cs="微软雅黑"/>
          <w:b/>
          <w:bCs/>
          <w:sz w:val="24"/>
          <w:szCs w:val="24"/>
        </w:rPr>
        <w:t>1.1 项目背景</w:t>
      </w:r>
    </w:p>
    <w:p>
      <w:pPr>
        <w:pStyle w:val="13"/>
        <w:spacing w:line="360" w:lineRule="auto"/>
        <w:ind w:firstLine="440"/>
        <w:rPr>
          <w:rFonts w:hint="default" w:ascii="微软雅黑" w:hAnsi="微软雅黑" w:eastAsia="微软雅黑" w:cs="微软雅黑"/>
          <w:sz w:val="22"/>
          <w:szCs w:val="22"/>
          <w:lang w:val="en-US"/>
        </w:rPr>
      </w:pPr>
      <w:r>
        <w:rPr>
          <w:rFonts w:hint="eastAsia" w:ascii="微软雅黑" w:hAnsi="微软雅黑" w:eastAsia="微软雅黑" w:cs="微软雅黑"/>
          <w:sz w:val="22"/>
          <w:szCs w:val="22"/>
          <w:lang w:val="en-US" w:eastAsia="zh-CN"/>
        </w:rPr>
        <w:t>重庆万利万达高速公路有限公司万利路瓦子店隧道、象鼻梁隧道、长安寨隧道、青山隧道、长滩隧道、赵家坡隧道、赶场隧道、刘家岩隧道；万达路花果山隧道、双峰山隧道、猴子岩隧道等液位计故障，检测值不准确，且厂家无法进行修复调试，导致不能及时掌握各隧道内高低位消防水池液位，影响隧道内消防系统的正常，存在安全隐患。</w:t>
      </w:r>
    </w:p>
    <w:p>
      <w:pPr>
        <w:adjustRightInd w:val="0"/>
        <w:snapToGrid w:val="0"/>
        <w:spacing w:line="360" w:lineRule="auto"/>
        <w:rPr>
          <w:sz w:val="24"/>
          <w:szCs w:val="24"/>
        </w:rPr>
      </w:pPr>
      <w:r>
        <w:rPr>
          <w:rFonts w:hint="eastAsia" w:ascii="微软雅黑" w:hAnsi="微软雅黑" w:eastAsia="微软雅黑" w:cs="微软雅黑"/>
          <w:b/>
          <w:sz w:val="24"/>
          <w:szCs w:val="24"/>
        </w:rPr>
        <w:t>1.2 设计依据</w:t>
      </w:r>
    </w:p>
    <w:p>
      <w:pPr>
        <w:adjustRightInd w:val="0"/>
        <w:snapToGrid w:val="0"/>
        <w:spacing w:line="360" w:lineRule="auto"/>
        <w:rPr>
          <w:rFonts w:ascii="微软雅黑" w:hAnsi="Times New Roman" w:eastAsia="微软雅黑" w:cs="Times New Roman"/>
          <w:sz w:val="22"/>
          <w:szCs w:val="22"/>
        </w:rPr>
      </w:pPr>
      <w:r>
        <w:rPr>
          <w:rFonts w:ascii="微软雅黑" w:hAnsi="Times New Roman" w:eastAsia="微软雅黑" w:cs="Times New Roman"/>
          <w:sz w:val="22"/>
          <w:szCs w:val="22"/>
        </w:rPr>
        <w:t>►</w:t>
      </w:r>
      <w:r>
        <w:rPr>
          <w:rFonts w:hint="eastAsia" w:ascii="微软雅黑" w:hAnsi="Times New Roman" w:eastAsia="微软雅黑" w:cs="Times New Roman"/>
          <w:sz w:val="22"/>
          <w:szCs w:val="22"/>
        </w:rPr>
        <w:t>交通部颁发的有关技术标准、规范、规程及强制性条文；</w:t>
      </w:r>
    </w:p>
    <w:p>
      <w:pPr>
        <w:adjustRightInd w:val="0"/>
        <w:snapToGrid w:val="0"/>
        <w:spacing w:line="360" w:lineRule="auto"/>
        <w:rPr>
          <w:rFonts w:hint="default" w:ascii="微软雅黑" w:hAnsi="Times New Roman" w:eastAsia="微软雅黑" w:cs="Times New Roman"/>
          <w:sz w:val="22"/>
          <w:szCs w:val="22"/>
          <w:lang w:val="en-US" w:eastAsia="zh-CN"/>
        </w:rPr>
      </w:pPr>
      <w:r>
        <w:rPr>
          <w:rFonts w:ascii="微软雅黑" w:hAnsi="Times New Roman" w:eastAsia="微软雅黑" w:cs="Times New Roman"/>
          <w:sz w:val="22"/>
          <w:szCs w:val="22"/>
        </w:rPr>
        <w:t>►</w:t>
      </w:r>
      <w:r>
        <w:rPr>
          <w:rFonts w:hint="eastAsia" w:ascii="微软雅黑" w:hAnsi="Times New Roman" w:eastAsia="微软雅黑" w:cs="Times New Roman"/>
          <w:sz w:val="22"/>
          <w:szCs w:val="22"/>
          <w:lang w:val="en-US" w:eastAsia="zh-CN"/>
        </w:rPr>
        <w:t>现行的有关安装、施工、验收规范；</w:t>
      </w:r>
    </w:p>
    <w:p>
      <w:pPr>
        <w:adjustRightInd w:val="0"/>
        <w:snapToGrid w:val="0"/>
        <w:spacing w:line="360" w:lineRule="auto"/>
        <w:rPr>
          <w:rFonts w:ascii="微软雅黑" w:hAnsi="Times New Roman" w:eastAsia="微软雅黑" w:cs="Times New Roman"/>
          <w:sz w:val="22"/>
          <w:szCs w:val="22"/>
        </w:rPr>
      </w:pPr>
      <w:r>
        <w:rPr>
          <w:rFonts w:ascii="微软雅黑" w:hAnsi="Times New Roman" w:eastAsia="微软雅黑" w:cs="Times New Roman"/>
          <w:sz w:val="22"/>
          <w:szCs w:val="22"/>
        </w:rPr>
        <w:t>►</w:t>
      </w:r>
      <w:r>
        <w:rPr>
          <w:rFonts w:hint="eastAsia" w:ascii="微软雅黑" w:hAnsi="Times New Roman" w:eastAsia="微软雅黑" w:cs="Times New Roman"/>
          <w:sz w:val="22"/>
          <w:szCs w:val="22"/>
        </w:rPr>
        <w:t>《重庆“三环十射多联线”高速公路交通工程总体方案设计》（</w:t>
      </w:r>
      <w:r>
        <w:rPr>
          <w:rFonts w:hint="eastAsia" w:ascii="微软雅黑" w:hAnsi="Times New Roman" w:eastAsia="微软雅黑" w:cs="Times New Roman"/>
          <w:sz w:val="22"/>
          <w:szCs w:val="22"/>
          <w:lang w:val="en-US" w:eastAsia="zh-CN"/>
        </w:rPr>
        <w:t>重</w:t>
      </w:r>
      <w:r>
        <w:rPr>
          <w:rFonts w:hint="eastAsia" w:ascii="微软雅黑" w:hAnsi="Times New Roman" w:eastAsia="微软雅黑" w:cs="Times New Roman"/>
          <w:sz w:val="22"/>
          <w:szCs w:val="22"/>
        </w:rPr>
        <w:t>庆市交通委员会 2013年 1 月）；</w:t>
      </w:r>
    </w:p>
    <w:p>
      <w:pPr>
        <w:adjustRightInd w:val="0"/>
        <w:snapToGrid w:val="0"/>
        <w:spacing w:line="360" w:lineRule="auto"/>
        <w:rPr>
          <w:rFonts w:ascii="微软雅黑" w:hAnsi="Times New Roman" w:eastAsia="微软雅黑" w:cs="Times New Roman"/>
          <w:sz w:val="22"/>
          <w:szCs w:val="22"/>
        </w:rPr>
      </w:pPr>
      <w:r>
        <w:rPr>
          <w:rFonts w:ascii="微软雅黑" w:hAnsi="Times New Roman" w:eastAsia="微软雅黑" w:cs="Times New Roman"/>
          <w:sz w:val="22"/>
          <w:szCs w:val="22"/>
        </w:rPr>
        <w:t>►</w:t>
      </w:r>
      <w:r>
        <w:rPr>
          <w:rFonts w:hint="eastAsia" w:ascii="微软雅黑" w:hAnsi="Times New Roman" w:eastAsia="微软雅黑" w:cs="Times New Roman"/>
          <w:sz w:val="22"/>
          <w:szCs w:val="22"/>
        </w:rPr>
        <w:t>《公路隧道设计规范》第二册 交通工程与附属设施（JTG D70/2-2014）；</w:t>
      </w:r>
    </w:p>
    <w:p>
      <w:pPr>
        <w:adjustRightInd w:val="0"/>
        <w:snapToGrid w:val="0"/>
        <w:spacing w:line="360" w:lineRule="auto"/>
        <w:rPr>
          <w:rFonts w:ascii="微软雅黑" w:hAnsi="Times New Roman" w:eastAsia="微软雅黑" w:cs="Times New Roman"/>
          <w:sz w:val="22"/>
          <w:szCs w:val="22"/>
        </w:rPr>
      </w:pPr>
      <w:r>
        <w:rPr>
          <w:rFonts w:ascii="微软雅黑" w:hAnsi="Times New Roman" w:eastAsia="微软雅黑" w:cs="Times New Roman"/>
          <w:sz w:val="22"/>
          <w:szCs w:val="22"/>
        </w:rPr>
        <w:t>►</w:t>
      </w:r>
      <w:r>
        <w:rPr>
          <w:rFonts w:hint="eastAsia" w:ascii="微软雅黑" w:hAnsi="Times New Roman" w:eastAsia="微软雅黑" w:cs="Times New Roman"/>
          <w:sz w:val="22"/>
          <w:szCs w:val="22"/>
        </w:rPr>
        <w:t>《高速公路交通工程及沿线设施设计通用规范》（JTG D80-2006）；</w:t>
      </w:r>
    </w:p>
    <w:p>
      <w:pPr>
        <w:keepNext w:val="0"/>
        <w:keepLines w:val="0"/>
        <w:widowControl/>
        <w:suppressLineNumbers w:val="0"/>
        <w:jc w:val="left"/>
        <w:rPr>
          <w:rFonts w:hint="eastAsia" w:ascii="微软雅黑" w:hAnsi="微软雅黑" w:eastAsia="微软雅黑" w:cs="微软雅黑"/>
          <w:color w:val="000000"/>
          <w:kern w:val="0"/>
          <w:sz w:val="22"/>
          <w:szCs w:val="22"/>
          <w:lang w:val="en-US" w:eastAsia="zh-CN" w:bidi="ar"/>
        </w:rPr>
      </w:pPr>
      <w:r>
        <w:rPr>
          <w:rFonts w:ascii="微软雅黑" w:hAnsi="Times New Roman" w:eastAsia="微软雅黑" w:cs="Times New Roman"/>
          <w:sz w:val="22"/>
          <w:szCs w:val="22"/>
        </w:rPr>
        <w:t>►</w:t>
      </w:r>
      <w:r>
        <w:rPr>
          <w:rFonts w:hint="eastAsia" w:ascii="微软雅黑" w:hAnsi="微软雅黑" w:eastAsia="微软雅黑" w:cs="微软雅黑"/>
          <w:color w:val="000000"/>
          <w:kern w:val="0"/>
          <w:sz w:val="22"/>
          <w:szCs w:val="22"/>
          <w:lang w:val="en-US" w:eastAsia="zh-CN" w:bidi="ar"/>
        </w:rPr>
        <w:t xml:space="preserve">《高速公路交通工程设计规范》（JTG D71-2004）；  </w:t>
      </w:r>
    </w:p>
    <w:p>
      <w:pPr>
        <w:keepNext w:val="0"/>
        <w:keepLines w:val="0"/>
        <w:widowControl/>
        <w:suppressLineNumbers w:val="0"/>
        <w:jc w:val="left"/>
        <w:rPr>
          <w:rFonts w:hint="eastAsia" w:ascii="微软雅黑" w:hAnsi="微软雅黑" w:eastAsia="微软雅黑" w:cs="微软雅黑"/>
          <w:sz w:val="22"/>
          <w:szCs w:val="22"/>
        </w:rPr>
      </w:pPr>
      <w:r>
        <w:rPr>
          <w:rFonts w:hint="eastAsia" w:ascii="微软雅黑" w:hAnsi="微软雅黑" w:eastAsia="微软雅黑" w:cs="微软雅黑"/>
          <w:sz w:val="22"/>
          <w:szCs w:val="22"/>
        </w:rPr>
        <w:t>►</w:t>
      </w:r>
      <w:r>
        <w:rPr>
          <w:rFonts w:hint="eastAsia" w:ascii="微软雅黑" w:hAnsi="微软雅黑" w:eastAsia="微软雅黑" w:cs="微软雅黑"/>
          <w:color w:val="000000"/>
          <w:kern w:val="0"/>
          <w:sz w:val="22"/>
          <w:szCs w:val="22"/>
          <w:lang w:val="en-US" w:eastAsia="zh-CN" w:bidi="ar"/>
        </w:rPr>
        <w:t xml:space="preserve">《公路工程技术标准》（JTG B01-2003）； </w:t>
      </w:r>
    </w:p>
    <w:p>
      <w:pPr>
        <w:keepNext w:val="0"/>
        <w:keepLines w:val="0"/>
        <w:widowControl/>
        <w:suppressLineNumbers w:val="0"/>
        <w:jc w:val="left"/>
        <w:rPr>
          <w:rFonts w:ascii="微软雅黑" w:hAnsi="Times New Roman" w:eastAsia="微软雅黑" w:cs="Times New Roman"/>
          <w:sz w:val="22"/>
          <w:szCs w:val="22"/>
        </w:rPr>
      </w:pPr>
      <w:r>
        <w:rPr>
          <w:rFonts w:hint="eastAsia" w:ascii="微软雅黑" w:hAnsi="微软雅黑" w:eastAsia="微软雅黑" w:cs="微软雅黑"/>
          <w:sz w:val="22"/>
          <w:szCs w:val="22"/>
        </w:rPr>
        <w:t>►</w:t>
      </w:r>
      <w:r>
        <w:rPr>
          <w:rFonts w:hint="eastAsia" w:ascii="微软雅黑" w:hAnsi="微软雅黑" w:eastAsia="微软雅黑" w:cs="微软雅黑"/>
          <w:color w:val="000000"/>
          <w:kern w:val="0"/>
          <w:sz w:val="22"/>
          <w:szCs w:val="22"/>
          <w:lang w:val="en-US" w:eastAsia="zh-CN" w:bidi="ar"/>
        </w:rPr>
        <w:t>《消防技术规范汇编》</w:t>
      </w:r>
      <w:r>
        <w:rPr>
          <w:rFonts w:hint="eastAsia" w:ascii="宋体" w:hAnsi="宋体" w:eastAsia="宋体" w:cs="宋体"/>
          <w:color w:val="000000"/>
          <w:kern w:val="0"/>
          <w:sz w:val="24"/>
          <w:szCs w:val="24"/>
          <w:lang w:val="en-US" w:eastAsia="zh-CN" w:bidi="ar"/>
        </w:rPr>
        <w:t xml:space="preserve"> </w:t>
      </w:r>
    </w:p>
    <w:p>
      <w:pPr>
        <w:keepNext w:val="0"/>
        <w:keepLines w:val="0"/>
        <w:widowControl/>
        <w:suppressLineNumbers w:val="0"/>
        <w:jc w:val="left"/>
        <w:rPr>
          <w:rFonts w:hint="eastAsia" w:ascii="微软雅黑" w:hAnsi="微软雅黑" w:eastAsia="微软雅黑" w:cs="微软雅黑"/>
          <w:color w:val="000000"/>
          <w:kern w:val="0"/>
          <w:sz w:val="22"/>
          <w:szCs w:val="22"/>
          <w:lang w:val="en-US" w:eastAsia="zh-CN" w:bidi="ar"/>
        </w:rPr>
      </w:pPr>
      <w:r>
        <w:rPr>
          <w:rFonts w:ascii="Times New Roman" w:hAnsi="Times New Roman" w:eastAsia="微软雅黑" w:cs="Times New Roman"/>
          <w:sz w:val="22"/>
          <w:szCs w:val="22"/>
        </w:rPr>
        <w:t>►</w:t>
      </w:r>
      <w:r>
        <w:rPr>
          <w:rFonts w:hint="eastAsia" w:ascii="微软雅黑" w:hAnsi="微软雅黑" w:eastAsia="微软雅黑" w:cs="微软雅黑"/>
          <w:sz w:val="22"/>
          <w:szCs w:val="22"/>
        </w:rPr>
        <w:t>《</w:t>
      </w:r>
      <w:r>
        <w:rPr>
          <w:rFonts w:hint="eastAsia" w:ascii="微软雅黑" w:hAnsi="微软雅黑" w:eastAsia="微软雅黑" w:cs="微软雅黑"/>
          <w:color w:val="000000"/>
          <w:kern w:val="0"/>
          <w:sz w:val="22"/>
          <w:szCs w:val="22"/>
          <w:lang w:val="en-US" w:eastAsia="zh-CN" w:bidi="ar"/>
        </w:rPr>
        <w:t>营运高速公路施工管理规范</w:t>
      </w:r>
      <w:r>
        <w:rPr>
          <w:rFonts w:hint="eastAsia" w:ascii="微软雅黑" w:hAnsi="微软雅黑" w:eastAsia="微软雅黑" w:cs="微软雅黑"/>
          <w:sz w:val="22"/>
          <w:szCs w:val="22"/>
        </w:rPr>
        <w:t>》</w:t>
      </w:r>
      <w:r>
        <w:rPr>
          <w:rFonts w:hint="eastAsia" w:ascii="微软雅黑" w:hAnsi="微软雅黑" w:eastAsia="微软雅黑" w:cs="微软雅黑"/>
          <w:color w:val="000000"/>
          <w:kern w:val="0"/>
          <w:sz w:val="22"/>
          <w:szCs w:val="22"/>
          <w:lang w:val="en-US" w:eastAsia="zh-CN" w:bidi="ar"/>
        </w:rPr>
        <w:t>（DB50/T 959-2019）；</w:t>
      </w:r>
    </w:p>
    <w:p>
      <w:pPr>
        <w:adjustRightInd w:val="0"/>
        <w:snapToGrid w:val="0"/>
        <w:spacing w:line="360" w:lineRule="auto"/>
      </w:pPr>
      <w:r>
        <w:rPr>
          <w:rFonts w:ascii="微软雅黑" w:hAnsi="Times New Roman" w:eastAsia="微软雅黑" w:cs="Times New Roman"/>
          <w:sz w:val="22"/>
          <w:szCs w:val="22"/>
        </w:rPr>
        <w:t>►</w:t>
      </w:r>
      <w:r>
        <w:rPr>
          <w:rFonts w:hint="eastAsia" w:ascii="微软雅黑" w:hAnsi="Times New Roman" w:eastAsia="微软雅黑" w:cs="Times New Roman"/>
          <w:sz w:val="22"/>
          <w:szCs w:val="22"/>
        </w:rPr>
        <w:t>其他有关法律、法规、国家标准、规范、规程；</w:t>
      </w:r>
    </w:p>
    <w:p>
      <w:pPr>
        <w:adjustRightInd w:val="0"/>
        <w:snapToGrid w:val="0"/>
        <w:spacing w:line="360" w:lineRule="auto"/>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rPr>
        <w:t>2 设计调查过程</w:t>
      </w:r>
    </w:p>
    <w:p>
      <w:pPr>
        <w:pStyle w:val="13"/>
        <w:spacing w:line="360" w:lineRule="auto"/>
        <w:ind w:firstLine="440"/>
        <w:rPr>
          <w:rFonts w:ascii="微软雅黑" w:hAnsi="微软雅黑" w:eastAsia="微软雅黑" w:cs="微软雅黑"/>
          <w:sz w:val="22"/>
          <w:szCs w:val="22"/>
        </w:rPr>
      </w:pPr>
      <w:r>
        <w:rPr>
          <w:rFonts w:hint="eastAsia" w:ascii="微软雅黑" w:hAnsi="微软雅黑" w:eastAsia="微软雅黑" w:cs="微软雅黑"/>
          <w:sz w:val="22"/>
          <w:szCs w:val="22"/>
        </w:rPr>
        <w:t>202</w:t>
      </w:r>
      <w:r>
        <w:rPr>
          <w:rFonts w:hint="eastAsia" w:ascii="微软雅黑" w:hAnsi="微软雅黑" w:eastAsia="微软雅黑" w:cs="微软雅黑"/>
          <w:sz w:val="22"/>
          <w:szCs w:val="22"/>
          <w:lang w:val="en-US" w:eastAsia="zh-CN"/>
        </w:rPr>
        <w:t>2</w:t>
      </w:r>
      <w:r>
        <w:rPr>
          <w:rFonts w:hint="eastAsia" w:ascii="微软雅黑" w:hAnsi="微软雅黑" w:eastAsia="微软雅黑" w:cs="微软雅黑"/>
          <w:sz w:val="22"/>
          <w:szCs w:val="22"/>
        </w:rPr>
        <w:t>年</w:t>
      </w:r>
      <w:r>
        <w:rPr>
          <w:rFonts w:hint="eastAsia" w:ascii="微软雅黑" w:hAnsi="微软雅黑" w:eastAsia="微软雅黑" w:cs="微软雅黑"/>
          <w:sz w:val="22"/>
          <w:szCs w:val="22"/>
          <w:lang w:val="en-US" w:eastAsia="zh-CN"/>
        </w:rPr>
        <w:t>9</w:t>
      </w:r>
      <w:r>
        <w:rPr>
          <w:rFonts w:hint="eastAsia" w:ascii="微软雅黑" w:hAnsi="微软雅黑" w:eastAsia="微软雅黑" w:cs="微软雅黑"/>
          <w:sz w:val="22"/>
          <w:szCs w:val="22"/>
        </w:rPr>
        <w:t>月受业主单位委托，由我公司负责重庆万利万达高速</w:t>
      </w:r>
      <w:r>
        <w:rPr>
          <w:rFonts w:hint="eastAsia" w:ascii="微软雅黑" w:hAnsi="微软雅黑" w:eastAsia="微软雅黑" w:cs="微软雅黑"/>
          <w:sz w:val="22"/>
          <w:szCs w:val="22"/>
          <w:lang w:val="en-US" w:eastAsia="zh-CN"/>
        </w:rPr>
        <w:t>公路</w:t>
      </w:r>
      <w:r>
        <w:rPr>
          <w:rFonts w:hint="eastAsia" w:ascii="微软雅黑" w:hAnsi="微软雅黑" w:eastAsia="微软雅黑" w:cs="微软雅黑"/>
          <w:sz w:val="22"/>
          <w:szCs w:val="22"/>
        </w:rPr>
        <w:t>有限公司202</w:t>
      </w:r>
      <w:r>
        <w:rPr>
          <w:rFonts w:hint="eastAsia" w:ascii="微软雅黑" w:hAnsi="微软雅黑" w:eastAsia="微软雅黑" w:cs="微软雅黑"/>
          <w:sz w:val="22"/>
          <w:szCs w:val="22"/>
          <w:lang w:val="en-US" w:eastAsia="zh-CN"/>
        </w:rPr>
        <w:t>2</w:t>
      </w:r>
      <w:r>
        <w:rPr>
          <w:rFonts w:hint="eastAsia" w:ascii="微软雅黑" w:hAnsi="微软雅黑" w:eastAsia="微软雅黑" w:cs="微软雅黑"/>
          <w:sz w:val="22"/>
          <w:szCs w:val="22"/>
        </w:rPr>
        <w:t>年机电专项工程施工,202</w:t>
      </w:r>
      <w:r>
        <w:rPr>
          <w:rFonts w:hint="eastAsia" w:ascii="微软雅黑" w:hAnsi="微软雅黑" w:eastAsia="微软雅黑" w:cs="微软雅黑"/>
          <w:sz w:val="22"/>
          <w:szCs w:val="22"/>
          <w:lang w:val="en-US" w:eastAsia="zh-CN"/>
        </w:rPr>
        <w:t>2</w:t>
      </w:r>
      <w:r>
        <w:rPr>
          <w:rFonts w:hint="eastAsia" w:ascii="微软雅黑" w:hAnsi="微软雅黑" w:eastAsia="微软雅黑" w:cs="微软雅黑"/>
          <w:sz w:val="22"/>
          <w:szCs w:val="22"/>
        </w:rPr>
        <w:t>年</w:t>
      </w:r>
      <w:r>
        <w:rPr>
          <w:rFonts w:hint="eastAsia" w:ascii="微软雅黑" w:hAnsi="微软雅黑" w:eastAsia="微软雅黑" w:cs="微软雅黑"/>
          <w:sz w:val="22"/>
          <w:szCs w:val="22"/>
          <w:lang w:val="en-US" w:eastAsia="zh-CN"/>
        </w:rPr>
        <w:t>10</w:t>
      </w:r>
      <w:r>
        <w:rPr>
          <w:rFonts w:hint="eastAsia" w:ascii="微软雅黑" w:hAnsi="微软雅黑" w:eastAsia="微软雅黑" w:cs="微软雅黑"/>
          <w:sz w:val="22"/>
          <w:szCs w:val="22"/>
        </w:rPr>
        <w:t>月至202</w:t>
      </w:r>
      <w:r>
        <w:rPr>
          <w:rFonts w:hint="eastAsia" w:ascii="微软雅黑" w:hAnsi="微软雅黑" w:eastAsia="微软雅黑" w:cs="微软雅黑"/>
          <w:sz w:val="22"/>
          <w:szCs w:val="22"/>
          <w:lang w:val="en-US" w:eastAsia="zh-CN"/>
        </w:rPr>
        <w:t>2</w:t>
      </w:r>
      <w:r>
        <w:rPr>
          <w:rFonts w:hint="eastAsia" w:ascii="微软雅黑" w:hAnsi="微软雅黑" w:eastAsia="微软雅黑" w:cs="微软雅黑"/>
          <w:sz w:val="22"/>
          <w:szCs w:val="22"/>
        </w:rPr>
        <w:t>年</w:t>
      </w:r>
      <w:r>
        <w:rPr>
          <w:rFonts w:hint="eastAsia" w:ascii="微软雅黑" w:hAnsi="微软雅黑" w:eastAsia="微软雅黑" w:cs="微软雅黑"/>
          <w:sz w:val="22"/>
          <w:szCs w:val="22"/>
          <w:lang w:val="en-US" w:eastAsia="zh-CN"/>
        </w:rPr>
        <w:t>12</w:t>
      </w:r>
      <w:r>
        <w:rPr>
          <w:rFonts w:hint="eastAsia" w:ascii="微软雅黑" w:hAnsi="微软雅黑" w:eastAsia="微软雅黑" w:cs="微软雅黑"/>
          <w:sz w:val="22"/>
          <w:szCs w:val="22"/>
        </w:rPr>
        <w:t>月，我公司维护人员对重庆万利万达高速</w:t>
      </w:r>
      <w:r>
        <w:rPr>
          <w:rFonts w:hint="eastAsia" w:ascii="微软雅黑" w:hAnsi="微软雅黑" w:eastAsia="微软雅黑" w:cs="微软雅黑"/>
          <w:sz w:val="22"/>
          <w:szCs w:val="22"/>
          <w:lang w:val="en-US" w:eastAsia="zh-CN"/>
        </w:rPr>
        <w:t>公路</w:t>
      </w:r>
      <w:r>
        <w:rPr>
          <w:rFonts w:hint="eastAsia" w:ascii="微软雅黑" w:hAnsi="微软雅黑" w:eastAsia="微软雅黑" w:cs="微软雅黑"/>
          <w:sz w:val="22"/>
          <w:szCs w:val="22"/>
        </w:rPr>
        <w:t>有限公司需要</w:t>
      </w:r>
      <w:r>
        <w:rPr>
          <w:rFonts w:hint="eastAsia" w:ascii="微软雅黑" w:hAnsi="微软雅黑" w:eastAsia="微软雅黑" w:cs="微软雅黑"/>
          <w:sz w:val="22"/>
          <w:szCs w:val="22"/>
          <w:lang w:val="en-US" w:eastAsia="zh-CN"/>
        </w:rPr>
        <w:t>改造液位仪的点位</w:t>
      </w:r>
      <w:r>
        <w:rPr>
          <w:rFonts w:hint="eastAsia" w:ascii="微软雅黑" w:hAnsi="微软雅黑" w:eastAsia="微软雅黑" w:cs="微软雅黑"/>
          <w:sz w:val="22"/>
          <w:szCs w:val="22"/>
        </w:rPr>
        <w:t>进行统计并确认，在此基础上做出了相应的施工方案。</w:t>
      </w:r>
    </w:p>
    <w:p>
      <w:pPr>
        <w:keepNext w:val="0"/>
        <w:keepLines w:val="0"/>
        <w:pageBreakBefore w:val="0"/>
        <w:numPr>
          <w:ilvl w:val="0"/>
          <w:numId w:val="0"/>
        </w:numPr>
        <w:kinsoku/>
        <w:wordWrap/>
        <w:overflowPunct/>
        <w:topLinePunct w:val="0"/>
        <w:autoSpaceDE/>
        <w:autoSpaceDN/>
        <w:bidi w:val="0"/>
        <w:adjustRightInd w:val="0"/>
        <w:snapToGrid w:val="0"/>
        <w:spacing w:line="360" w:lineRule="auto"/>
        <w:rPr>
          <w:rFonts w:hint="eastAsia" w:ascii="微软雅黑" w:hAnsi="微软雅黑" w:eastAsia="微软雅黑" w:cs="微软雅黑"/>
          <w:b/>
          <w:bCs/>
          <w:sz w:val="28"/>
          <w:szCs w:val="28"/>
          <w:lang w:val="en-US" w:eastAsia="zh-CN"/>
        </w:rPr>
      </w:pPr>
      <w:bookmarkStart w:id="0" w:name="_Toc418520082"/>
      <w:bookmarkStart w:id="1" w:name="_Toc360192277"/>
      <w:bookmarkStart w:id="2" w:name="_Toc413401626"/>
      <w:bookmarkStart w:id="3" w:name="_Toc435645386"/>
      <w:bookmarkStart w:id="4" w:name="_Toc435645305"/>
      <w:r>
        <w:rPr>
          <w:rFonts w:hint="eastAsia" w:ascii="微软雅黑" w:hAnsi="微软雅黑" w:eastAsia="微软雅黑" w:cs="微软雅黑"/>
          <w:b/>
          <w:bCs/>
          <w:sz w:val="28"/>
          <w:szCs w:val="28"/>
          <w:lang w:val="en-US" w:eastAsia="zh-CN"/>
        </w:rPr>
        <w:t>3现有系统的构成</w:t>
      </w:r>
    </w:p>
    <w:p>
      <w:pPr>
        <w:spacing w:line="360" w:lineRule="auto"/>
        <w:ind w:firstLine="440" w:firstLineChars="200"/>
        <w:jc w:val="left"/>
        <w:rPr>
          <w:rFonts w:hint="eastAsia" w:ascii="宋体" w:hAnsi="宋体" w:eastAsia="宋体" w:cs="宋体"/>
          <w:sz w:val="24"/>
          <w:szCs w:val="24"/>
        </w:rPr>
      </w:pPr>
      <w:r>
        <w:rPr>
          <w:rFonts w:hint="eastAsia" w:ascii="微软雅黑" w:hAnsi="微软雅黑" w:eastAsia="微软雅黑" w:cs="微软雅黑"/>
          <w:sz w:val="22"/>
          <w:szCs w:val="22"/>
        </w:rPr>
        <w:t>目前，高速公路消防水池水压预警智能控制系统由低位蓄水池、高位消防水池、抽水泵机组、输水主管道、消防喷淋管道、水泵监测系统、水压监测报警系统、远程监控中心组成。示意图如下图所示：</w:t>
      </w:r>
      <w:r>
        <w:rPr>
          <w:rFonts w:hint="eastAsia" w:ascii="宋体" w:hAnsi="宋体" w:eastAsia="宋体" w:cs="宋体"/>
          <w:sz w:val="24"/>
          <w:szCs w:val="24"/>
        </w:rPr>
        <w:object>
          <v:shape id="_x0000_i1025" o:spt="75" type="#_x0000_t75" style="height:308.9pt;width:361.6pt;" o:ole="t" filled="f" o:preferrelative="t" stroked="f" coordsize="21600,21600">
            <v:path/>
            <v:fill on="f" focussize="0,0"/>
            <v:stroke on="f" joinstyle="miter"/>
            <v:imagedata r:id="rId5" o:title=""/>
            <o:lock v:ext="edit" aspectratio="f"/>
            <w10:wrap type="none"/>
            <w10:anchorlock/>
          </v:shape>
          <o:OLEObject Type="Embed" ProgID="Visio.Drawing.11" ShapeID="_x0000_i1025" DrawAspect="Content" ObjectID="_1468075725" r:id="rId4">
            <o:LockedField>false</o:LockedField>
          </o:OLEObject>
        </w:object>
      </w:r>
    </w:p>
    <w:p>
      <w:pPr>
        <w:spacing w:line="360" w:lineRule="auto"/>
        <w:ind w:firstLine="440" w:firstLineChars="200"/>
        <w:jc w:val="left"/>
        <w:rPr>
          <w:rFonts w:hint="eastAsia" w:ascii="微软雅黑" w:hAnsi="微软雅黑" w:eastAsia="微软雅黑" w:cs="微软雅黑"/>
          <w:sz w:val="22"/>
          <w:szCs w:val="22"/>
        </w:rPr>
      </w:pPr>
      <w:r>
        <w:rPr>
          <w:rFonts w:hint="eastAsia" w:ascii="微软雅黑" w:hAnsi="微软雅黑" w:eastAsia="微软雅黑" w:cs="微软雅黑"/>
          <w:sz w:val="22"/>
          <w:szCs w:val="22"/>
        </w:rPr>
        <w:t>其中，低位蓄水池、高位消防水池、抽水泵机组、输水主管道、消防喷淋管道构成整个水路系统；水泵监控系统用于把低位水池的水抽到高位水池；水压监测报警系统用于监测隧道口水压（在示意图中的P2监测点检测水压)，高位水池水位高度（在示意图中的P1监测点通过检测水压间接测量），PLC控制系统通过采集高位水池水位高度值来控制水泵的启停，从而控制高位水池的水位高度。</w:t>
      </w:r>
    </w:p>
    <w:p>
      <w:pPr>
        <w:spacing w:line="360" w:lineRule="auto"/>
        <w:jc w:val="left"/>
        <w:rPr>
          <w:rFonts w:hint="eastAsia" w:ascii="微软雅黑" w:hAnsi="微软雅黑" w:eastAsia="微软雅黑" w:cs="微软雅黑"/>
          <w:sz w:val="24"/>
          <w:szCs w:val="24"/>
        </w:rPr>
      </w:pPr>
      <w:bookmarkStart w:id="5" w:name="_GoBack"/>
      <w:bookmarkEnd w:id="5"/>
      <w:r>
        <w:rPr>
          <w:rFonts w:hint="eastAsia" w:ascii="微软雅黑" w:hAnsi="微软雅黑" w:eastAsia="微软雅黑" w:cs="微软雅黑"/>
          <w:b/>
          <w:bCs/>
          <w:sz w:val="24"/>
          <w:szCs w:val="24"/>
          <w:lang w:val="en-US" w:eastAsia="zh-CN"/>
        </w:rPr>
        <w:t>3.1目前</w:t>
      </w:r>
      <w:r>
        <w:rPr>
          <w:rFonts w:hint="eastAsia" w:ascii="微软雅黑" w:hAnsi="微软雅黑" w:eastAsia="微软雅黑" w:cs="微软雅黑"/>
          <w:b/>
          <w:bCs/>
          <w:sz w:val="24"/>
          <w:szCs w:val="24"/>
        </w:rPr>
        <w:t>系统存在的问题</w:t>
      </w:r>
    </w:p>
    <w:p>
      <w:pPr>
        <w:spacing w:line="360" w:lineRule="auto"/>
        <w:ind w:firstLine="440" w:firstLineChars="200"/>
        <w:jc w:val="left"/>
        <w:rPr>
          <w:rFonts w:hint="eastAsia" w:ascii="微软雅黑" w:hAnsi="微软雅黑" w:eastAsia="微软雅黑" w:cs="微软雅黑"/>
          <w:sz w:val="22"/>
          <w:szCs w:val="22"/>
        </w:rPr>
      </w:pPr>
      <w:r>
        <w:rPr>
          <w:rFonts w:hint="eastAsia" w:ascii="微软雅黑" w:hAnsi="微软雅黑" w:eastAsia="微软雅黑" w:cs="微软雅黑"/>
          <w:sz w:val="22"/>
          <w:szCs w:val="22"/>
        </w:rPr>
        <w:t>系统从2013年安装已经在线运行了6年多，通过远程监控中心收集的大量数据和工程现场处理结果，发现系统主要存在</w:t>
      </w:r>
      <w:r>
        <w:rPr>
          <w:rFonts w:hint="eastAsia" w:ascii="微软雅黑" w:hAnsi="微软雅黑" w:eastAsia="微软雅黑" w:cs="微软雅黑"/>
          <w:sz w:val="22"/>
          <w:szCs w:val="22"/>
          <w:lang w:val="en-US" w:eastAsia="zh-CN"/>
        </w:rPr>
        <w:t>以</w:t>
      </w:r>
      <w:r>
        <w:rPr>
          <w:rFonts w:hint="eastAsia" w:ascii="微软雅黑" w:hAnsi="微软雅黑" w:eastAsia="微软雅黑" w:cs="微软雅黑"/>
          <w:sz w:val="22"/>
          <w:szCs w:val="22"/>
        </w:rPr>
        <w:t>下两个方面的问题：</w:t>
      </w:r>
    </w:p>
    <w:p>
      <w:pPr>
        <w:pStyle w:val="25"/>
        <w:numPr>
          <w:ilvl w:val="0"/>
          <w:numId w:val="4"/>
        </w:numPr>
        <w:spacing w:line="360" w:lineRule="auto"/>
        <w:ind w:firstLineChars="0"/>
        <w:jc w:val="left"/>
        <w:rPr>
          <w:rFonts w:hint="eastAsia" w:ascii="微软雅黑" w:hAnsi="微软雅黑" w:eastAsia="微软雅黑" w:cs="微软雅黑"/>
          <w:sz w:val="22"/>
          <w:szCs w:val="22"/>
        </w:rPr>
      </w:pPr>
      <w:r>
        <w:rPr>
          <w:rFonts w:hint="eastAsia" w:ascii="微软雅黑" w:hAnsi="微软雅黑" w:eastAsia="微软雅黑" w:cs="微软雅黑"/>
          <w:sz w:val="22"/>
          <w:szCs w:val="22"/>
        </w:rPr>
        <w:t>发现大部分高位消防水池水位高度值有一些偏差，特别是在放水过程中这个值有明显波动；</w:t>
      </w:r>
    </w:p>
    <w:p>
      <w:pPr>
        <w:pStyle w:val="25"/>
        <w:numPr>
          <w:ilvl w:val="0"/>
          <w:numId w:val="0"/>
        </w:numPr>
        <w:spacing w:line="360" w:lineRule="auto"/>
        <w:ind w:leftChars="0"/>
        <w:jc w:val="left"/>
        <w:rPr>
          <w:rFonts w:hint="eastAsia" w:ascii="微软雅黑" w:hAnsi="微软雅黑" w:eastAsia="微软雅黑" w:cs="微软雅黑"/>
          <w:b/>
          <w:bCs/>
          <w:sz w:val="22"/>
          <w:szCs w:val="22"/>
        </w:rPr>
      </w:pPr>
      <w:r>
        <w:rPr>
          <w:rFonts w:hint="eastAsia" w:ascii="微软雅黑" w:hAnsi="微软雅黑" w:eastAsia="微软雅黑" w:cs="微软雅黑"/>
          <w:sz w:val="22"/>
          <w:szCs w:val="22"/>
          <w:lang w:val="en-US" w:eastAsia="zh-CN"/>
        </w:rPr>
        <w:t>2）</w:t>
      </w:r>
      <w:r>
        <w:rPr>
          <w:rFonts w:hint="eastAsia" w:ascii="微软雅黑" w:hAnsi="微软雅黑" w:eastAsia="微软雅黑" w:cs="微软雅黑"/>
          <w:sz w:val="22"/>
          <w:szCs w:val="22"/>
        </w:rPr>
        <w:t>设备之间主要通过有线方式通信，当线路出现问题时，问题的定位及维修出现很大困难；</w:t>
      </w:r>
    </w:p>
    <w:p>
      <w:pPr>
        <w:pStyle w:val="25"/>
        <w:numPr>
          <w:ilvl w:val="0"/>
          <w:numId w:val="0"/>
        </w:numPr>
        <w:spacing w:line="360" w:lineRule="auto"/>
        <w:ind w:leftChars="0"/>
        <w:jc w:val="left"/>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lang w:val="en-US" w:eastAsia="zh-CN"/>
        </w:rPr>
        <w:t>3.2</w:t>
      </w:r>
      <w:r>
        <w:rPr>
          <w:rFonts w:hint="eastAsia" w:ascii="微软雅黑" w:hAnsi="微软雅黑" w:eastAsia="微软雅黑" w:cs="微软雅黑"/>
          <w:b/>
          <w:bCs/>
          <w:sz w:val="24"/>
          <w:szCs w:val="24"/>
        </w:rPr>
        <w:t>问题原因分析</w:t>
      </w:r>
    </w:p>
    <w:p>
      <w:pPr>
        <w:pStyle w:val="25"/>
        <w:numPr>
          <w:ilvl w:val="0"/>
          <w:numId w:val="0"/>
        </w:numPr>
        <w:spacing w:line="360" w:lineRule="auto"/>
        <w:jc w:val="left"/>
        <w:rPr>
          <w:rFonts w:hint="eastAsia" w:ascii="微软雅黑" w:hAnsi="微软雅黑" w:eastAsia="微软雅黑" w:cs="微软雅黑"/>
          <w:b/>
          <w:bCs/>
          <w:sz w:val="22"/>
          <w:szCs w:val="22"/>
        </w:rPr>
      </w:pPr>
      <w:r>
        <w:rPr>
          <w:rFonts w:hint="eastAsia" w:ascii="微软雅黑" w:hAnsi="微软雅黑" w:eastAsia="微软雅黑" w:cs="微软雅黑"/>
          <w:b/>
          <w:bCs/>
          <w:sz w:val="22"/>
          <w:szCs w:val="22"/>
          <w:lang w:val="en-US" w:eastAsia="zh-CN"/>
        </w:rPr>
        <w:t>3.2.1</w:t>
      </w:r>
      <w:r>
        <w:rPr>
          <w:rFonts w:hint="eastAsia" w:ascii="微软雅黑" w:hAnsi="微软雅黑" w:eastAsia="微软雅黑" w:cs="微软雅黑"/>
          <w:b/>
          <w:bCs/>
          <w:sz w:val="22"/>
          <w:szCs w:val="22"/>
        </w:rPr>
        <w:t>高位水池水位高度不准确原因</w:t>
      </w:r>
    </w:p>
    <w:p>
      <w:pPr>
        <w:spacing w:line="360" w:lineRule="auto"/>
        <w:ind w:firstLine="420"/>
        <w:rPr>
          <w:rFonts w:hint="eastAsia" w:ascii="微软雅黑" w:hAnsi="微软雅黑" w:eastAsia="微软雅黑" w:cs="微软雅黑"/>
          <w:sz w:val="22"/>
          <w:szCs w:val="22"/>
        </w:rPr>
      </w:pPr>
      <w:r>
        <w:rPr>
          <w:rFonts w:hint="eastAsia" w:ascii="微软雅黑" w:hAnsi="微软雅黑" w:eastAsia="微软雅黑" w:cs="微软雅黑"/>
          <w:sz w:val="22"/>
          <w:szCs w:val="22"/>
          <w:lang w:eastAsia="zh-CN"/>
        </w:rPr>
        <w:t>（</w:t>
      </w:r>
      <w:r>
        <w:rPr>
          <w:rFonts w:hint="eastAsia" w:ascii="微软雅黑" w:hAnsi="微软雅黑" w:eastAsia="微软雅黑" w:cs="微软雅黑"/>
          <w:sz w:val="22"/>
          <w:szCs w:val="22"/>
          <w:lang w:val="en-US" w:eastAsia="zh-CN"/>
        </w:rPr>
        <w:t>1）</w:t>
      </w:r>
      <w:r>
        <w:rPr>
          <w:rFonts w:hint="eastAsia" w:ascii="微软雅黑" w:hAnsi="微软雅黑" w:eastAsia="微软雅黑" w:cs="微软雅黑"/>
          <w:sz w:val="22"/>
          <w:szCs w:val="22"/>
        </w:rPr>
        <w:t>目前的测量方式是通过水泵房附近的消防主水管压力值推算出高位水池的水位高度值，出现水位高度不准确的原因其一是水泵房的消防主水管与高位水池之间有比较大的高度落差（60米~100米），高度落差对水压的偏差就会造成水位高度值的误差；其二是放水过程中传感器采集的是动态水压，水压值会波动，造成高位水池的水位出现波动的情况。</w:t>
      </w:r>
    </w:p>
    <w:p>
      <w:pPr>
        <w:spacing w:line="360" w:lineRule="auto"/>
        <w:ind w:firstLine="420"/>
        <w:rPr>
          <w:rFonts w:hint="eastAsia" w:ascii="微软雅黑" w:hAnsi="微软雅黑" w:eastAsia="微软雅黑" w:cs="微软雅黑"/>
          <w:b w:val="0"/>
          <w:bCs w:val="0"/>
          <w:sz w:val="22"/>
          <w:szCs w:val="22"/>
        </w:rPr>
      </w:pPr>
      <w:r>
        <w:rPr>
          <w:rFonts w:hint="eastAsia" w:ascii="微软雅黑" w:hAnsi="微软雅黑" w:eastAsia="微软雅黑" w:cs="微软雅黑"/>
          <w:b w:val="0"/>
          <w:bCs w:val="0"/>
          <w:sz w:val="22"/>
          <w:szCs w:val="22"/>
          <w:lang w:eastAsia="zh-CN"/>
        </w:rPr>
        <w:t>（</w:t>
      </w:r>
      <w:r>
        <w:rPr>
          <w:rFonts w:hint="eastAsia" w:ascii="微软雅黑" w:hAnsi="微软雅黑" w:eastAsia="微软雅黑" w:cs="微软雅黑"/>
          <w:b w:val="0"/>
          <w:bCs w:val="0"/>
          <w:sz w:val="22"/>
          <w:szCs w:val="22"/>
          <w:lang w:val="en-US" w:eastAsia="zh-CN"/>
        </w:rPr>
        <w:t>2）</w:t>
      </w:r>
      <w:r>
        <w:rPr>
          <w:rFonts w:hint="eastAsia" w:ascii="微软雅黑" w:hAnsi="微软雅黑" w:eastAsia="微软雅黑" w:cs="微软雅黑"/>
          <w:b w:val="0"/>
          <w:bCs w:val="0"/>
          <w:sz w:val="22"/>
          <w:szCs w:val="22"/>
        </w:rPr>
        <w:t>采用采集管道水压值来计算液位高度这种技术线路很难解决水位不准确及波动的情况。</w:t>
      </w:r>
    </w:p>
    <w:p>
      <w:pPr>
        <w:spacing w:line="360" w:lineRule="auto"/>
        <w:rPr>
          <w:rFonts w:hint="eastAsia" w:ascii="微软雅黑" w:hAnsi="微软雅黑" w:eastAsia="微软雅黑" w:cs="微软雅黑"/>
          <w:b/>
          <w:bCs/>
          <w:sz w:val="22"/>
          <w:szCs w:val="22"/>
          <w:lang w:val="en-US" w:eastAsia="zh-CN"/>
        </w:rPr>
      </w:pPr>
      <w:r>
        <w:rPr>
          <w:rFonts w:hint="eastAsia" w:ascii="微软雅黑" w:hAnsi="微软雅黑" w:eastAsia="微软雅黑" w:cs="微软雅黑"/>
          <w:b/>
          <w:bCs/>
          <w:sz w:val="22"/>
          <w:szCs w:val="22"/>
          <w:lang w:val="en-US" w:eastAsia="zh-CN"/>
        </w:rPr>
        <w:t>3.2.2设备问题定位及维修难原因</w:t>
      </w:r>
    </w:p>
    <w:p>
      <w:pPr>
        <w:spacing w:line="360" w:lineRule="auto"/>
        <w:ind w:firstLine="420"/>
        <w:rPr>
          <w:rFonts w:hint="eastAsia" w:ascii="微软雅黑" w:hAnsi="微软雅黑" w:eastAsia="微软雅黑" w:cs="微软雅黑"/>
          <w:sz w:val="22"/>
          <w:szCs w:val="22"/>
        </w:rPr>
      </w:pPr>
      <w:r>
        <w:rPr>
          <w:rFonts w:hint="eastAsia" w:ascii="微软雅黑" w:hAnsi="微软雅黑" w:eastAsia="微软雅黑" w:cs="微软雅黑"/>
          <w:sz w:val="22"/>
          <w:szCs w:val="22"/>
          <w:lang w:eastAsia="zh-CN"/>
        </w:rPr>
        <w:t>（</w:t>
      </w:r>
      <w:r>
        <w:rPr>
          <w:rFonts w:hint="eastAsia" w:ascii="微软雅黑" w:hAnsi="微软雅黑" w:eastAsia="微软雅黑" w:cs="微软雅黑"/>
          <w:sz w:val="22"/>
          <w:szCs w:val="22"/>
          <w:lang w:val="en-US" w:eastAsia="zh-CN"/>
        </w:rPr>
        <w:t>1）</w:t>
      </w:r>
      <w:r>
        <w:rPr>
          <w:rFonts w:hint="eastAsia" w:ascii="微软雅黑" w:hAnsi="微软雅黑" w:eastAsia="微软雅黑" w:cs="微软雅黑"/>
          <w:sz w:val="22"/>
          <w:szCs w:val="22"/>
        </w:rPr>
        <w:t>现在的方案是在隧道口把压力传感器通过专线接入泵房设备，泵房设备的状态信息也是通过专线接入到配电房PLC控制系统，然后再远传到后台服务器。</w:t>
      </w:r>
    </w:p>
    <w:p>
      <w:pPr>
        <w:spacing w:line="360" w:lineRule="auto"/>
        <w:ind w:firstLine="420"/>
        <w:rPr>
          <w:rFonts w:hint="eastAsia" w:ascii="微软雅黑" w:hAnsi="微软雅黑" w:eastAsia="微软雅黑" w:cs="微软雅黑"/>
          <w:b w:val="0"/>
          <w:bCs w:val="0"/>
          <w:sz w:val="22"/>
          <w:szCs w:val="22"/>
        </w:rPr>
      </w:pPr>
      <w:r>
        <w:rPr>
          <w:rFonts w:hint="eastAsia" w:ascii="微软雅黑" w:hAnsi="微软雅黑" w:eastAsia="微软雅黑" w:cs="微软雅黑"/>
          <w:b w:val="0"/>
          <w:bCs w:val="0"/>
          <w:sz w:val="22"/>
          <w:szCs w:val="22"/>
          <w:lang w:eastAsia="zh-CN"/>
        </w:rPr>
        <w:t>（</w:t>
      </w:r>
      <w:r>
        <w:rPr>
          <w:rFonts w:hint="eastAsia" w:ascii="微软雅黑" w:hAnsi="微软雅黑" w:eastAsia="微软雅黑" w:cs="微软雅黑"/>
          <w:b w:val="0"/>
          <w:bCs w:val="0"/>
          <w:sz w:val="22"/>
          <w:szCs w:val="22"/>
          <w:lang w:val="en-US" w:eastAsia="zh-CN"/>
        </w:rPr>
        <w:t>2）</w:t>
      </w:r>
      <w:r>
        <w:rPr>
          <w:rFonts w:hint="eastAsia" w:ascii="微软雅黑" w:hAnsi="微软雅黑" w:eastAsia="微软雅黑" w:cs="微软雅黑"/>
          <w:b w:val="0"/>
          <w:bCs w:val="0"/>
          <w:sz w:val="22"/>
          <w:szCs w:val="22"/>
        </w:rPr>
        <w:t>线路在设备运行过程中出现了问题后，要定位线路问题及维修的话就变得非常困难，线路问题不能定位的话就只能重新铺设线路，施工成本也高。</w:t>
      </w:r>
    </w:p>
    <w:p>
      <w:pPr>
        <w:pStyle w:val="25"/>
        <w:numPr>
          <w:ilvl w:val="0"/>
          <w:numId w:val="0"/>
        </w:numPr>
        <w:spacing w:line="360" w:lineRule="auto"/>
        <w:ind w:leftChars="0"/>
        <w:jc w:val="left"/>
        <w:rPr>
          <w:rFonts w:hint="eastAsia" w:ascii="微软雅黑" w:hAnsi="微软雅黑" w:eastAsia="微软雅黑" w:cs="微软雅黑"/>
          <w:b/>
          <w:bCs/>
          <w:sz w:val="22"/>
          <w:szCs w:val="22"/>
          <w:lang w:val="en-US" w:eastAsia="zh-CN"/>
        </w:rPr>
      </w:pPr>
      <w:r>
        <w:rPr>
          <w:rFonts w:hint="eastAsia" w:ascii="微软雅黑" w:hAnsi="微软雅黑" w:eastAsia="微软雅黑" w:cs="微软雅黑"/>
          <w:b/>
          <w:bCs/>
          <w:sz w:val="22"/>
          <w:szCs w:val="22"/>
          <w:lang w:val="en-US" w:eastAsia="zh-CN"/>
        </w:rPr>
        <w:t>3.2.3问题解决办法</w:t>
      </w:r>
    </w:p>
    <w:p>
      <w:pPr>
        <w:spacing w:line="360" w:lineRule="auto"/>
        <w:ind w:firstLine="420"/>
        <w:rPr>
          <w:rFonts w:hint="eastAsia" w:ascii="微软雅黑" w:hAnsi="微软雅黑" w:eastAsia="微软雅黑" w:cs="微软雅黑"/>
          <w:sz w:val="22"/>
          <w:szCs w:val="22"/>
        </w:rPr>
      </w:pPr>
      <w:r>
        <w:rPr>
          <w:rFonts w:hint="eastAsia" w:ascii="微软雅黑" w:hAnsi="微软雅黑" w:eastAsia="微软雅黑" w:cs="微软雅黑"/>
          <w:sz w:val="22"/>
          <w:szCs w:val="22"/>
        </w:rPr>
        <w:t>针对现有系统存在的两大难题，我们提出新的技术解决方案，高位水池使用超低功耗液位传感器（电池供电），在低位蓄水池配备控制终端，配电房配备智能网关，这三个设备之间通过无线通信（433MHz）组成一个局部网络，共享设备信息，设备安装简单方便。</w:t>
      </w:r>
    </w:p>
    <w:p>
      <w:pPr>
        <w:keepNext w:val="0"/>
        <w:keepLines w:val="0"/>
        <w:pageBreakBefore w:val="0"/>
        <w:numPr>
          <w:ilvl w:val="0"/>
          <w:numId w:val="0"/>
        </w:numPr>
        <w:kinsoku/>
        <w:wordWrap/>
        <w:overflowPunct/>
        <w:topLinePunct w:val="0"/>
        <w:autoSpaceDE/>
        <w:autoSpaceDN/>
        <w:bidi w:val="0"/>
        <w:adjustRightInd w:val="0"/>
        <w:snapToGrid w:val="0"/>
        <w:spacing w:line="360" w:lineRule="auto"/>
        <w:rPr>
          <w:rFonts w:hint="eastAsia" w:ascii="微软雅黑" w:hAnsi="微软雅黑" w:eastAsia="微软雅黑" w:cs="微软雅黑"/>
          <w:b/>
          <w:bCs/>
          <w:sz w:val="28"/>
          <w:szCs w:val="28"/>
        </w:rPr>
      </w:pPr>
      <w:r>
        <w:rPr>
          <w:rFonts w:hint="eastAsia" w:ascii="微软雅黑" w:hAnsi="微软雅黑" w:eastAsia="微软雅黑" w:cs="微软雅黑"/>
          <w:b/>
          <w:bCs/>
          <w:sz w:val="28"/>
          <w:szCs w:val="28"/>
          <w:lang w:val="en-US" w:eastAsia="zh-CN"/>
        </w:rPr>
        <w:t>4</w:t>
      </w:r>
      <w:r>
        <w:rPr>
          <w:rFonts w:hint="eastAsia" w:ascii="微软雅黑" w:hAnsi="微软雅黑" w:eastAsia="微软雅黑" w:cs="微软雅黑"/>
          <w:b/>
          <w:bCs/>
          <w:sz w:val="28"/>
          <w:szCs w:val="28"/>
        </w:rPr>
        <w:t>系统改造方案</w:t>
      </w:r>
    </w:p>
    <w:p>
      <w:pPr>
        <w:numPr>
          <w:ilvl w:val="0"/>
          <w:numId w:val="0"/>
        </w:numPr>
        <w:spacing w:line="360" w:lineRule="auto"/>
        <w:ind w:leftChars="0"/>
        <w:rPr>
          <w:rFonts w:hint="eastAsia" w:ascii="微软雅黑" w:hAnsi="微软雅黑" w:eastAsia="微软雅黑" w:cs="微软雅黑"/>
          <w:b/>
          <w:bCs/>
          <w:sz w:val="24"/>
          <w:szCs w:val="24"/>
        </w:rPr>
      </w:pPr>
      <w:r>
        <w:rPr>
          <w:rFonts w:hint="eastAsia" w:ascii="微软雅黑" w:hAnsi="微软雅黑" w:eastAsia="微软雅黑" w:cs="微软雅黑"/>
          <w:b/>
          <w:bCs/>
          <w:sz w:val="24"/>
          <w:szCs w:val="24"/>
          <w:lang w:val="en-US" w:eastAsia="zh-CN"/>
        </w:rPr>
        <w:t>4.1</w:t>
      </w:r>
      <w:r>
        <w:rPr>
          <w:rFonts w:hint="eastAsia" w:ascii="微软雅黑" w:hAnsi="微软雅黑" w:eastAsia="微软雅黑" w:cs="微软雅黑"/>
          <w:b/>
          <w:bCs/>
          <w:sz w:val="24"/>
          <w:szCs w:val="24"/>
        </w:rPr>
        <w:t>系统方案简介</w:t>
      </w:r>
    </w:p>
    <w:p>
      <w:pPr>
        <w:spacing w:line="360" w:lineRule="auto"/>
        <w:ind w:firstLine="440" w:firstLineChars="200"/>
        <w:rPr>
          <w:rFonts w:hint="eastAsia" w:ascii="微软雅黑" w:hAnsi="微软雅黑" w:eastAsia="微软雅黑" w:cs="微软雅黑"/>
          <w:sz w:val="22"/>
          <w:szCs w:val="22"/>
        </w:rPr>
      </w:pPr>
      <w:r>
        <w:rPr>
          <w:rFonts w:hint="eastAsia" w:ascii="微软雅黑" w:hAnsi="微软雅黑" w:eastAsia="微软雅黑" w:cs="微软雅黑"/>
          <w:sz w:val="22"/>
          <w:szCs w:val="22"/>
        </w:rPr>
        <w:t>高速公路消防水池智能预警及控制系统主要由高位水池液位传感器、低位水池液位传感器、泵房控制终端、配电房智能网关等组成。</w:t>
      </w:r>
    </w:p>
    <w:p>
      <w:pPr>
        <w:spacing w:line="360" w:lineRule="auto"/>
        <w:ind w:firstLine="220" w:firstLineChars="100"/>
        <w:rPr>
          <w:rFonts w:hint="eastAsia" w:ascii="微软雅黑" w:hAnsi="微软雅黑" w:eastAsia="微软雅黑" w:cs="微软雅黑"/>
          <w:sz w:val="22"/>
          <w:szCs w:val="22"/>
        </w:rPr>
      </w:pPr>
      <w:r>
        <w:rPr>
          <w:rFonts w:hint="eastAsia" w:ascii="微软雅黑" w:hAnsi="微软雅黑" w:eastAsia="微软雅黑" w:cs="微软雅黑"/>
          <w:sz w:val="22"/>
          <w:szCs w:val="22"/>
        </w:rPr>
        <w:t>高位水池液位传感器、泵房控制终端、智能网关通过无线通信（LoRa）组成私有网络，高低位水池的液位值在泵房控制终端汇聚，泵房控制终端输出4路DO数据（高位水池液位高、高位水池液位低、低位水池液位高、低位水池液位低）给水泵控制系统，泵房控制终端预留RS485接口及DI接口监控水泵的状态信息（电压、电流、故障码等）。 高位水池液位传感器使用电池供电，安装方便，维护简单；智能网关把整个系统设备状态传输给远程服务器，后台服务器可以实时显示高低位水池的液位值及水泵控制系统的状态值，方便巡查人员在巡查过程中查看。</w:t>
      </w:r>
    </w:p>
    <w:p>
      <w:pPr>
        <w:spacing w:line="360" w:lineRule="auto"/>
        <w:rPr>
          <w:rFonts w:hint="eastAsia" w:ascii="微软雅黑" w:hAnsi="微软雅黑" w:eastAsia="微软雅黑" w:cs="微软雅黑"/>
          <w:b/>
          <w:bCs/>
          <w:sz w:val="24"/>
          <w:szCs w:val="24"/>
          <w:lang w:val="en-US" w:eastAsia="zh-CN"/>
        </w:rPr>
      </w:pPr>
      <w:r>
        <w:rPr>
          <w:rFonts w:hint="eastAsia" w:ascii="微软雅黑" w:hAnsi="微软雅黑" w:eastAsia="微软雅黑" w:cs="微软雅黑"/>
          <w:b/>
          <w:bCs/>
          <w:sz w:val="24"/>
          <w:szCs w:val="24"/>
          <w:lang w:val="en-US" w:eastAsia="zh-CN"/>
        </w:rPr>
        <w:t>4.2</w:t>
      </w:r>
      <w:r>
        <w:rPr>
          <w:rFonts w:hint="eastAsia" w:ascii="微软雅黑" w:hAnsi="微软雅黑" w:eastAsia="微软雅黑" w:cs="微软雅黑"/>
          <w:b/>
          <w:bCs/>
          <w:sz w:val="24"/>
          <w:szCs w:val="24"/>
        </w:rPr>
        <w:t>系统网络拓扑</w:t>
      </w:r>
    </w:p>
    <w:p>
      <w:pPr>
        <w:spacing w:line="360" w:lineRule="auto"/>
        <w:rPr>
          <w:rFonts w:hint="eastAsia" w:ascii="宋体" w:hAnsi="宋体" w:eastAsia="宋体" w:cs="宋体"/>
          <w:sz w:val="24"/>
          <w:szCs w:val="24"/>
        </w:rPr>
      </w:pPr>
      <w:r>
        <w:rPr>
          <w:rFonts w:hint="eastAsia" w:ascii="宋体" w:hAnsi="宋体" w:eastAsia="宋体" w:cs="宋体"/>
          <w:sz w:val="24"/>
          <w:szCs w:val="24"/>
        </w:rPr>
        <w:object>
          <v:shape id="_x0000_i1026" o:spt="75" type="#_x0000_t75" style="height:215.55pt;width:414.7pt;" o:ole="t" filled="f" o:preferrelative="t" stroked="f" coordsize="21600,21600">
            <v:path/>
            <v:fill on="f" focussize="0,0"/>
            <v:stroke on="f"/>
            <v:imagedata r:id="rId7" o:title=""/>
            <o:lock v:ext="edit" aspectratio="t"/>
            <w10:wrap type="none"/>
            <w10:anchorlock/>
          </v:shape>
          <o:OLEObject Type="Embed" ProgID="Visio.Drawing.11" ShapeID="_x0000_i1026" DrawAspect="Content" ObjectID="_1468075726" r:id="rId6">
            <o:LockedField>false</o:LockedField>
          </o:OLEObject>
        </w:object>
      </w:r>
      <w:r>
        <w:rPr>
          <w:rFonts w:hint="eastAsia" w:ascii="微软雅黑" w:hAnsi="微软雅黑" w:eastAsia="微软雅黑" w:cs="微软雅黑"/>
          <w:b/>
          <w:bCs/>
          <w:sz w:val="24"/>
          <w:szCs w:val="24"/>
          <w:lang w:val="en-US" w:eastAsia="zh-CN"/>
        </w:rPr>
        <w:t>4.3</w:t>
      </w:r>
      <w:r>
        <w:rPr>
          <w:rFonts w:hint="eastAsia" w:ascii="微软雅黑" w:hAnsi="微软雅黑" w:eastAsia="微软雅黑" w:cs="微软雅黑"/>
          <w:b/>
          <w:bCs/>
          <w:sz w:val="24"/>
          <w:szCs w:val="24"/>
        </w:rPr>
        <w:t>设备技术参数</w:t>
      </w:r>
    </w:p>
    <w:tbl>
      <w:tblPr>
        <w:tblStyle w:val="1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5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2"/>
            <w:shd w:val="clear" w:color="auto" w:fill="E7E6E6" w:themeFill="background2"/>
          </w:tcPr>
          <w:p>
            <w:pPr>
              <w:spacing w:line="360" w:lineRule="auto"/>
              <w:jc w:val="center"/>
              <w:rPr>
                <w:rFonts w:hint="eastAsia" w:ascii="宋体" w:hAnsi="宋体" w:eastAsia="宋体" w:cs="宋体"/>
                <w:b/>
                <w:sz w:val="24"/>
                <w:szCs w:val="24"/>
              </w:rPr>
            </w:pPr>
            <w:r>
              <w:rPr>
                <w:rFonts w:hint="eastAsia" w:ascii="微软雅黑" w:hAnsi="微软雅黑" w:eastAsia="微软雅黑" w:cs="微软雅黑"/>
                <w:b/>
                <w:bCs/>
                <w:sz w:val="22"/>
                <w:szCs w:val="22"/>
              </w:rPr>
              <w:t>高位水池液位传感器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shd w:val="clear" w:color="auto" w:fill="FFFFFF" w:themeFill="background1"/>
            <w:vAlign w:val="top"/>
          </w:tcPr>
          <w:p>
            <w:pPr>
              <w:rPr>
                <w:rFonts w:hint="eastAsia" w:ascii="宋体" w:hAnsi="宋体" w:eastAsia="宋体" w:cs="宋体"/>
                <w:b/>
                <w:sz w:val="24"/>
                <w:szCs w:val="24"/>
              </w:rPr>
            </w:pPr>
            <w:r>
              <w:rPr>
                <w:rFonts w:hint="eastAsia" w:ascii="宋体" w:hAnsi="宋体" w:eastAsia="宋体" w:cs="宋体"/>
                <w:b/>
                <w:sz w:val="24"/>
                <w:szCs w:val="24"/>
              </w:rPr>
              <w:t>项目</w:t>
            </w:r>
          </w:p>
        </w:tc>
        <w:tc>
          <w:tcPr>
            <w:tcW w:w="5862" w:type="dxa"/>
            <w:shd w:val="clear" w:color="auto" w:fill="FFFFFF" w:themeFill="background1"/>
            <w:vAlign w:val="top"/>
          </w:tcPr>
          <w:p>
            <w:pPr>
              <w:rPr>
                <w:rFonts w:hint="eastAsia" w:ascii="宋体" w:hAnsi="宋体" w:eastAsia="宋体" w:cs="宋体"/>
                <w:b/>
                <w:sz w:val="24"/>
                <w:szCs w:val="24"/>
              </w:rPr>
            </w:pPr>
            <w:r>
              <w:rPr>
                <w:rFonts w:hint="eastAsia" w:ascii="宋体" w:hAnsi="宋体" w:eastAsia="宋体" w:cs="宋体"/>
                <w:b/>
                <w:sz w:val="24"/>
                <w:szCs w:val="24"/>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传感器量程</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6米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9" w:hRule="atLeast"/>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传感器精度</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±2cm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通信方式</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LoRa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供电方式</w:t>
            </w:r>
          </w:p>
        </w:tc>
        <w:tc>
          <w:tcPr>
            <w:tcW w:w="5862" w:type="dxa"/>
          </w:tcPr>
          <w:p>
            <w:pPr>
              <w:rPr>
                <w:rFonts w:hint="eastAsia" w:ascii="宋体" w:hAnsi="宋体" w:eastAsia="宋体" w:cs="宋体"/>
                <w:sz w:val="24"/>
                <w:szCs w:val="24"/>
              </w:rPr>
            </w:pPr>
            <w:r>
              <w:rPr>
                <w:rFonts w:hint="eastAsia" w:ascii="宋体" w:hAnsi="宋体" w:eastAsia="宋体" w:cs="宋体"/>
                <w:color w:val="000000"/>
                <w:sz w:val="24"/>
                <w:szCs w:val="24"/>
                <w:shd w:val="clear" w:color="auto" w:fill="FFFFFF"/>
              </w:rPr>
              <w:t>内置电池：2*1900mAh @ 3.6V</w:t>
            </w:r>
            <w:r>
              <w:rPr>
                <w:rFonts w:hint="eastAsia" w:ascii="宋体" w:hAnsi="宋体" w:eastAsia="宋体" w:cs="宋体"/>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pPr>
              <w:rPr>
                <w:rFonts w:hint="eastAsia" w:ascii="宋体" w:hAnsi="宋体" w:eastAsia="宋体" w:cs="宋体"/>
                <w:sz w:val="24"/>
                <w:szCs w:val="24"/>
              </w:rPr>
            </w:pPr>
            <w:r>
              <w:rPr>
                <w:rFonts w:hint="eastAsia" w:ascii="宋体" w:hAnsi="宋体" w:eastAsia="宋体" w:cs="宋体"/>
                <w:sz w:val="24"/>
                <w:szCs w:val="24"/>
              </w:rPr>
              <w:t>工作电流</w:t>
            </w:r>
          </w:p>
        </w:tc>
        <w:tc>
          <w:tcPr>
            <w:tcW w:w="5862" w:type="dxa"/>
          </w:tcPr>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休眠电流：10&lt;uA</w:t>
            </w:r>
          </w:p>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最大电流：200mA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电池寿命</w:t>
            </w:r>
          </w:p>
        </w:tc>
        <w:tc>
          <w:tcPr>
            <w:tcW w:w="5862" w:type="dxa"/>
          </w:tcPr>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不少于2年</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工作温度</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-20 ~ +60℃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存储温度</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-40 ~ +85℃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外壳材质</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ABS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防水等级</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IP65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pPr>
              <w:rPr>
                <w:rFonts w:hint="eastAsia" w:ascii="宋体" w:hAnsi="宋体" w:eastAsia="宋体" w:cs="宋体"/>
                <w:sz w:val="24"/>
                <w:szCs w:val="24"/>
              </w:rPr>
            </w:pPr>
            <w:r>
              <w:rPr>
                <w:rFonts w:hint="eastAsia" w:ascii="宋体" w:hAnsi="宋体" w:eastAsia="宋体" w:cs="宋体"/>
                <w:sz w:val="24"/>
                <w:szCs w:val="24"/>
              </w:rPr>
              <w:t>外形尺寸</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设备：140mm*85mm*70mm</w:t>
            </w:r>
          </w:p>
          <w:p>
            <w:pPr>
              <w:rPr>
                <w:rFonts w:hint="eastAsia" w:ascii="宋体" w:hAnsi="宋体" w:eastAsia="宋体" w:cs="宋体"/>
                <w:sz w:val="24"/>
                <w:szCs w:val="24"/>
              </w:rPr>
            </w:pPr>
            <w:r>
              <w:rPr>
                <w:rFonts w:hint="eastAsia" w:ascii="宋体" w:hAnsi="宋体" w:eastAsia="宋体" w:cs="宋体"/>
                <w:sz w:val="24"/>
                <w:szCs w:val="24"/>
              </w:rPr>
              <w:t>探头：Φ23mm*80mm</w:t>
            </w:r>
          </w:p>
          <w:p>
            <w:pPr>
              <w:rPr>
                <w:rFonts w:hint="eastAsia" w:ascii="宋体" w:hAnsi="宋体" w:eastAsia="宋体" w:cs="宋体"/>
                <w:sz w:val="24"/>
                <w:szCs w:val="24"/>
              </w:rPr>
            </w:pPr>
            <w:r>
              <w:rPr>
                <w:rFonts w:hint="eastAsia" w:ascii="宋体" w:hAnsi="宋体" w:eastAsia="宋体" w:cs="宋体"/>
                <w:sz w:val="24"/>
                <w:szCs w:val="24"/>
              </w:rPr>
              <w:t>线长：6米</w:t>
            </w:r>
          </w:p>
        </w:tc>
      </w:tr>
    </w:tbl>
    <w:p/>
    <w:tbl>
      <w:tblPr>
        <w:tblStyle w:val="1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5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8522" w:type="dxa"/>
            <w:gridSpan w:val="2"/>
            <w:shd w:val="clear" w:color="auto" w:fill="E7E6E6" w:themeFill="background2"/>
          </w:tcPr>
          <w:p>
            <w:pPr>
              <w:jc w:val="center"/>
              <w:rPr>
                <w:rFonts w:hint="eastAsia" w:ascii="宋体" w:hAnsi="宋体" w:eastAsia="宋体" w:cs="宋体"/>
                <w:b/>
                <w:sz w:val="24"/>
                <w:szCs w:val="24"/>
              </w:rPr>
            </w:pPr>
            <w:r>
              <w:rPr>
                <w:rFonts w:hint="eastAsia" w:ascii="微软雅黑" w:hAnsi="微软雅黑" w:eastAsia="微软雅黑" w:cs="微软雅黑"/>
                <w:b/>
                <w:bCs/>
                <w:sz w:val="22"/>
                <w:szCs w:val="22"/>
              </w:rPr>
              <w:t>泵房智能终端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shd w:val="clear" w:color="auto" w:fill="FFFFFF" w:themeFill="background1"/>
            <w:vAlign w:val="top"/>
          </w:tcPr>
          <w:p>
            <w:pPr>
              <w:rPr>
                <w:rFonts w:hint="eastAsia" w:ascii="宋体" w:hAnsi="宋体" w:eastAsia="宋体" w:cs="宋体"/>
                <w:b/>
                <w:sz w:val="24"/>
                <w:szCs w:val="24"/>
              </w:rPr>
            </w:pPr>
            <w:r>
              <w:rPr>
                <w:rFonts w:hint="eastAsia" w:ascii="宋体" w:hAnsi="宋体" w:eastAsia="宋体" w:cs="宋体"/>
                <w:b/>
                <w:sz w:val="24"/>
                <w:szCs w:val="24"/>
              </w:rPr>
              <w:t>项目</w:t>
            </w:r>
          </w:p>
        </w:tc>
        <w:tc>
          <w:tcPr>
            <w:tcW w:w="5862" w:type="dxa"/>
            <w:shd w:val="clear" w:color="auto" w:fill="FFFFFF" w:themeFill="background1"/>
            <w:vAlign w:val="top"/>
          </w:tcPr>
          <w:p>
            <w:pPr>
              <w:rPr>
                <w:rFonts w:hint="eastAsia" w:ascii="宋体" w:hAnsi="宋体" w:eastAsia="宋体" w:cs="宋体"/>
                <w:b/>
                <w:sz w:val="24"/>
                <w:szCs w:val="24"/>
              </w:rPr>
            </w:pPr>
            <w:r>
              <w:rPr>
                <w:rFonts w:hint="eastAsia" w:ascii="宋体" w:hAnsi="宋体" w:eastAsia="宋体" w:cs="宋体"/>
                <w:b/>
                <w:sz w:val="24"/>
                <w:szCs w:val="24"/>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通信方式</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LoRa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供电方式</w:t>
            </w:r>
          </w:p>
        </w:tc>
        <w:tc>
          <w:tcPr>
            <w:tcW w:w="5862" w:type="dxa"/>
          </w:tcPr>
          <w:p>
            <w:pPr>
              <w:rPr>
                <w:rFonts w:hint="eastAsia" w:ascii="宋体" w:hAnsi="宋体" w:eastAsia="宋体" w:cs="宋体"/>
                <w:sz w:val="24"/>
                <w:szCs w:val="24"/>
              </w:rPr>
            </w:pPr>
            <w:r>
              <w:rPr>
                <w:rFonts w:hint="eastAsia" w:ascii="宋体" w:hAnsi="宋体" w:eastAsia="宋体" w:cs="宋体"/>
                <w:color w:val="000000"/>
                <w:sz w:val="24"/>
                <w:szCs w:val="24"/>
                <w:shd w:val="clear" w:color="auto" w:fill="FFFFFF"/>
              </w:rPr>
              <w:t>AC220V/50Hz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pPr>
              <w:rPr>
                <w:rFonts w:hint="eastAsia" w:ascii="宋体" w:hAnsi="宋体" w:eastAsia="宋体" w:cs="宋体"/>
                <w:sz w:val="24"/>
                <w:szCs w:val="24"/>
              </w:rPr>
            </w:pPr>
            <w:r>
              <w:rPr>
                <w:rFonts w:hint="eastAsia" w:ascii="宋体" w:hAnsi="宋体" w:eastAsia="宋体" w:cs="宋体"/>
                <w:sz w:val="24"/>
                <w:szCs w:val="24"/>
              </w:rPr>
              <w:t>最大功率</w:t>
            </w:r>
          </w:p>
        </w:tc>
        <w:tc>
          <w:tcPr>
            <w:tcW w:w="5862" w:type="dxa"/>
          </w:tcPr>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5W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AO接口</w:t>
            </w:r>
          </w:p>
        </w:tc>
        <w:tc>
          <w:tcPr>
            <w:tcW w:w="5862" w:type="dxa"/>
          </w:tcPr>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2路，4-20mA输出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AI接口</w:t>
            </w:r>
          </w:p>
        </w:tc>
        <w:tc>
          <w:tcPr>
            <w:tcW w:w="5862" w:type="dxa"/>
          </w:tcPr>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1路，4-20mA输入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DO接口</w:t>
            </w:r>
          </w:p>
        </w:tc>
        <w:tc>
          <w:tcPr>
            <w:tcW w:w="5862" w:type="dxa"/>
          </w:tcPr>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4路DO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DI接口</w:t>
            </w:r>
          </w:p>
        </w:tc>
        <w:tc>
          <w:tcPr>
            <w:tcW w:w="5862" w:type="dxa"/>
          </w:tcPr>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10路DI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显示</w:t>
            </w:r>
          </w:p>
        </w:tc>
        <w:tc>
          <w:tcPr>
            <w:tcW w:w="5862" w:type="dxa"/>
          </w:tcPr>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LCD显示屏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工作温度</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-20 ~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存储温度</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-40 ~ +85℃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外壳材质</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铝外壳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防水等级</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IP20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pPr>
              <w:rPr>
                <w:rFonts w:hint="eastAsia" w:ascii="宋体" w:hAnsi="宋体" w:eastAsia="宋体" w:cs="宋体"/>
                <w:sz w:val="24"/>
                <w:szCs w:val="24"/>
              </w:rPr>
            </w:pPr>
            <w:r>
              <w:rPr>
                <w:rFonts w:hint="eastAsia" w:ascii="宋体" w:hAnsi="宋体" w:eastAsia="宋体" w:cs="宋体"/>
                <w:sz w:val="24"/>
                <w:szCs w:val="24"/>
              </w:rPr>
              <w:t>外形尺寸</w:t>
            </w:r>
          </w:p>
        </w:tc>
        <w:tc>
          <w:tcPr>
            <w:tcW w:w="5862" w:type="dxa"/>
          </w:tcPr>
          <w:p>
            <w:pPr>
              <w:rPr>
                <w:rFonts w:hint="eastAsia" w:ascii="宋体" w:hAnsi="宋体" w:eastAsia="宋体" w:cs="宋体"/>
                <w:sz w:val="24"/>
                <w:szCs w:val="24"/>
              </w:rPr>
            </w:pPr>
          </w:p>
        </w:tc>
      </w:tr>
    </w:tbl>
    <w:p/>
    <w:tbl>
      <w:tblPr>
        <w:tblStyle w:val="1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58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2"/>
            <w:shd w:val="clear" w:color="auto" w:fill="E7E6E6" w:themeFill="background2"/>
          </w:tcPr>
          <w:p>
            <w:pPr>
              <w:jc w:val="center"/>
              <w:rPr>
                <w:rFonts w:hint="default" w:ascii="宋体" w:hAnsi="宋体" w:eastAsia="宋体" w:cs="宋体"/>
                <w:b/>
                <w:sz w:val="24"/>
                <w:szCs w:val="24"/>
                <w:lang w:val="en-US" w:eastAsia="zh-CN"/>
              </w:rPr>
            </w:pPr>
            <w:r>
              <w:rPr>
                <w:rFonts w:hint="eastAsia" w:ascii="宋体" w:hAnsi="宋体" w:eastAsia="宋体" w:cs="宋体"/>
                <w:b/>
                <w:sz w:val="24"/>
                <w:szCs w:val="24"/>
                <w:lang w:val="en-US" w:eastAsia="zh-CN"/>
              </w:rPr>
              <w:t>智能网关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shd w:val="clear" w:color="auto" w:fill="FFFFFF" w:themeFill="background1"/>
            <w:vAlign w:val="top"/>
          </w:tcPr>
          <w:p>
            <w:pPr>
              <w:rPr>
                <w:rFonts w:hint="eastAsia" w:ascii="宋体" w:hAnsi="宋体" w:eastAsia="宋体" w:cs="宋体"/>
                <w:b/>
                <w:sz w:val="24"/>
                <w:szCs w:val="24"/>
              </w:rPr>
            </w:pPr>
            <w:r>
              <w:rPr>
                <w:rFonts w:hint="eastAsia" w:ascii="宋体" w:hAnsi="宋体" w:eastAsia="宋体" w:cs="宋体"/>
                <w:b/>
                <w:sz w:val="24"/>
                <w:szCs w:val="24"/>
              </w:rPr>
              <w:t>项目</w:t>
            </w:r>
          </w:p>
        </w:tc>
        <w:tc>
          <w:tcPr>
            <w:tcW w:w="5862" w:type="dxa"/>
            <w:shd w:val="clear" w:color="auto" w:fill="FFFFFF" w:themeFill="background1"/>
            <w:vAlign w:val="top"/>
          </w:tcPr>
          <w:p>
            <w:pPr>
              <w:rPr>
                <w:rFonts w:hint="eastAsia" w:ascii="宋体" w:hAnsi="宋体" w:eastAsia="宋体" w:cs="宋体"/>
                <w:b/>
                <w:sz w:val="24"/>
                <w:szCs w:val="24"/>
              </w:rPr>
            </w:pPr>
            <w:r>
              <w:rPr>
                <w:rFonts w:hint="eastAsia" w:ascii="宋体" w:hAnsi="宋体" w:eastAsia="宋体" w:cs="宋体"/>
                <w:b/>
                <w:sz w:val="24"/>
                <w:szCs w:val="24"/>
              </w:rPr>
              <w:t>参数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通信方式</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LoRa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远传接口</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以太网（TCP Modbus）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显示</w:t>
            </w:r>
          </w:p>
        </w:tc>
        <w:tc>
          <w:tcPr>
            <w:tcW w:w="5862" w:type="dxa"/>
          </w:tcPr>
          <w:p>
            <w:pPr>
              <w:rPr>
                <w:rFonts w:hint="eastAsia" w:ascii="宋体" w:hAnsi="宋体" w:eastAsia="宋体" w:cs="宋体"/>
                <w:sz w:val="24"/>
                <w:szCs w:val="24"/>
              </w:rPr>
            </w:pPr>
            <w:r>
              <w:rPr>
                <w:rFonts w:hint="eastAsia" w:ascii="宋体" w:hAnsi="宋体" w:eastAsia="宋体" w:cs="宋体"/>
                <w:color w:val="000000"/>
                <w:sz w:val="24"/>
                <w:szCs w:val="24"/>
                <w:shd w:val="clear" w:color="auto" w:fill="FFFFFF"/>
              </w:rPr>
              <w:t>LCD显示屏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供电方式</w:t>
            </w:r>
          </w:p>
        </w:tc>
        <w:tc>
          <w:tcPr>
            <w:tcW w:w="5862" w:type="dxa"/>
          </w:tcPr>
          <w:p>
            <w:pPr>
              <w:rPr>
                <w:rFonts w:hint="eastAsia" w:ascii="宋体" w:hAnsi="宋体" w:eastAsia="宋体" w:cs="宋体"/>
                <w:sz w:val="24"/>
                <w:szCs w:val="24"/>
              </w:rPr>
            </w:pPr>
            <w:r>
              <w:rPr>
                <w:rFonts w:hint="eastAsia" w:ascii="宋体" w:hAnsi="宋体" w:eastAsia="宋体" w:cs="宋体"/>
                <w:color w:val="000000"/>
                <w:sz w:val="24"/>
                <w:szCs w:val="24"/>
                <w:shd w:val="clear" w:color="auto" w:fill="FFFFFF"/>
              </w:rPr>
              <w:t>AC220V/50Hz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pPr>
              <w:rPr>
                <w:rFonts w:hint="eastAsia" w:ascii="宋体" w:hAnsi="宋体" w:eastAsia="宋体" w:cs="宋体"/>
                <w:sz w:val="24"/>
                <w:szCs w:val="24"/>
              </w:rPr>
            </w:pPr>
            <w:r>
              <w:rPr>
                <w:rFonts w:hint="eastAsia" w:ascii="宋体" w:hAnsi="宋体" w:eastAsia="宋体" w:cs="宋体"/>
                <w:sz w:val="24"/>
                <w:szCs w:val="24"/>
              </w:rPr>
              <w:t>最大功率</w:t>
            </w:r>
          </w:p>
        </w:tc>
        <w:tc>
          <w:tcPr>
            <w:tcW w:w="5862" w:type="dxa"/>
          </w:tcPr>
          <w:p>
            <w:pPr>
              <w:rPr>
                <w:rFonts w:hint="eastAsia" w:ascii="宋体" w:hAnsi="宋体" w:eastAsia="宋体" w:cs="宋体"/>
                <w:color w:val="000000"/>
                <w:sz w:val="24"/>
                <w:szCs w:val="24"/>
                <w:shd w:val="clear" w:color="auto" w:fill="FFFFFF"/>
              </w:rPr>
            </w:pPr>
            <w:r>
              <w:rPr>
                <w:rFonts w:hint="eastAsia" w:ascii="宋体" w:hAnsi="宋体" w:eastAsia="宋体" w:cs="宋体"/>
                <w:color w:val="000000"/>
                <w:sz w:val="24"/>
                <w:szCs w:val="24"/>
                <w:shd w:val="clear" w:color="auto" w:fill="FFFFFF"/>
              </w:rPr>
              <w:t>5W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工作温度</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-20 ~ +70℃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存储温度</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-40 ~ +85℃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外壳材质</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铝外壳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tcPr>
          <w:p>
            <w:pPr>
              <w:rPr>
                <w:rFonts w:hint="eastAsia" w:ascii="宋体" w:hAnsi="宋体" w:eastAsia="宋体" w:cs="宋体"/>
                <w:sz w:val="24"/>
                <w:szCs w:val="24"/>
              </w:rPr>
            </w:pPr>
            <w:r>
              <w:rPr>
                <w:rFonts w:hint="eastAsia" w:ascii="宋体" w:hAnsi="宋体" w:eastAsia="宋体" w:cs="宋体"/>
                <w:sz w:val="24"/>
                <w:szCs w:val="24"/>
              </w:rPr>
              <w:t>防水等级</w:t>
            </w:r>
          </w:p>
        </w:tc>
        <w:tc>
          <w:tcPr>
            <w:tcW w:w="5862" w:type="dxa"/>
          </w:tcPr>
          <w:p>
            <w:pPr>
              <w:rPr>
                <w:rFonts w:hint="eastAsia" w:ascii="宋体" w:hAnsi="宋体" w:eastAsia="宋体" w:cs="宋体"/>
                <w:sz w:val="24"/>
                <w:szCs w:val="24"/>
              </w:rPr>
            </w:pPr>
            <w:r>
              <w:rPr>
                <w:rFonts w:hint="eastAsia" w:ascii="宋体" w:hAnsi="宋体" w:eastAsia="宋体" w:cs="宋体"/>
                <w:sz w:val="24"/>
                <w:szCs w:val="24"/>
              </w:rPr>
              <w:t>IP20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pPr>
              <w:rPr>
                <w:rFonts w:hint="eastAsia" w:ascii="宋体" w:hAnsi="宋体" w:eastAsia="宋体" w:cs="宋体"/>
                <w:sz w:val="24"/>
                <w:szCs w:val="24"/>
              </w:rPr>
            </w:pPr>
            <w:r>
              <w:rPr>
                <w:rFonts w:hint="eastAsia" w:ascii="宋体" w:hAnsi="宋体" w:eastAsia="宋体" w:cs="宋体"/>
                <w:sz w:val="24"/>
                <w:szCs w:val="24"/>
              </w:rPr>
              <w:t>外形尺寸</w:t>
            </w:r>
          </w:p>
        </w:tc>
        <w:tc>
          <w:tcPr>
            <w:tcW w:w="5862" w:type="dxa"/>
          </w:tcPr>
          <w:p>
            <w:pPr>
              <w:rPr>
                <w:rFonts w:hint="eastAsia" w:ascii="宋体" w:hAnsi="宋体" w:eastAsia="宋体" w:cs="宋体"/>
                <w:sz w:val="24"/>
                <w:szCs w:val="24"/>
              </w:rPr>
            </w:pPr>
          </w:p>
        </w:tc>
      </w:tr>
    </w:tbl>
    <w:p>
      <w:pPr>
        <w:spacing w:line="360" w:lineRule="auto"/>
        <w:jc w:val="both"/>
        <w:rPr>
          <w:rFonts w:hint="eastAsia" w:ascii="宋体" w:hAnsi="宋体" w:eastAsia="宋体" w:cs="宋体"/>
          <w:sz w:val="24"/>
          <w:szCs w:val="24"/>
          <w:lang w:val="en-US" w:eastAsia="zh-CN"/>
        </w:rPr>
      </w:pPr>
      <w:r>
        <w:rPr>
          <w:rFonts w:hint="eastAsia" w:ascii="微软雅黑" w:hAnsi="微软雅黑" w:eastAsia="微软雅黑" w:cs="微软雅黑"/>
          <w:b/>
          <w:sz w:val="28"/>
          <w:szCs w:val="28"/>
          <w:lang w:val="en-US" w:eastAsia="zh-CN"/>
        </w:rPr>
        <w:t>5</w:t>
      </w:r>
      <w:r>
        <w:rPr>
          <w:rFonts w:hint="eastAsia" w:ascii="微软雅黑" w:hAnsi="微软雅黑" w:eastAsia="微软雅黑" w:cs="微软雅黑"/>
          <w:b/>
          <w:sz w:val="28"/>
          <w:szCs w:val="28"/>
        </w:rPr>
        <w:t>工程量清单及点位情况说明</w:t>
      </w:r>
      <w:r>
        <w:rPr>
          <w:rFonts w:hint="eastAsia" w:ascii="宋体" w:hAnsi="宋体" w:eastAsia="宋体" w:cs="宋体"/>
          <w:sz w:val="24"/>
          <w:szCs w:val="24"/>
          <w:lang w:val="en-US" w:eastAsia="zh-CN"/>
        </w:rPr>
        <w:t xml:space="preserve">    </w:t>
      </w:r>
    </w:p>
    <w:p>
      <w:pPr>
        <w:adjustRightInd w:val="0"/>
        <w:snapToGrid w:val="0"/>
        <w:spacing w:before="156" w:beforeLines="50" w:after="156" w:afterLines="50" w:line="360" w:lineRule="auto"/>
        <w:rPr>
          <w:rFonts w:hint="eastAsia" w:ascii="微软雅黑" w:hAnsi="微软雅黑" w:eastAsia="微软雅黑" w:cs="微软雅黑"/>
          <w:b/>
          <w:bCs/>
        </w:rPr>
      </w:pPr>
      <w:r>
        <w:rPr>
          <w:rFonts w:hint="eastAsia" w:ascii="微软雅黑" w:hAnsi="微软雅黑" w:eastAsia="微软雅黑" w:cs="微软雅黑"/>
          <w:b/>
          <w:bCs/>
        </w:rPr>
        <w:t>4.1具体点位</w:t>
      </w:r>
    </w:p>
    <w:tbl>
      <w:tblPr>
        <w:tblStyle w:val="9"/>
        <w:tblW w:w="9339" w:type="dxa"/>
        <w:tblInd w:w="-216" w:type="dxa"/>
        <w:shd w:val="clear" w:color="auto" w:fill="auto"/>
        <w:tblLayout w:type="fixed"/>
        <w:tblCellMar>
          <w:top w:w="0" w:type="dxa"/>
          <w:left w:w="108" w:type="dxa"/>
          <w:bottom w:w="0" w:type="dxa"/>
          <w:right w:w="108" w:type="dxa"/>
        </w:tblCellMar>
      </w:tblPr>
      <w:tblGrid>
        <w:gridCol w:w="664"/>
        <w:gridCol w:w="1081"/>
        <w:gridCol w:w="1774"/>
        <w:gridCol w:w="1366"/>
        <w:gridCol w:w="1000"/>
        <w:gridCol w:w="867"/>
        <w:gridCol w:w="967"/>
        <w:gridCol w:w="1620"/>
      </w:tblGrid>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ascii="方正楷体_GBK" w:hAnsi="方正楷体_GBK" w:eastAsia="方正楷体_GBK" w:cs="方正楷体_GBK"/>
                <w:i w:val="0"/>
                <w:iCs w:val="0"/>
                <w:color w:val="000000"/>
                <w:sz w:val="18"/>
                <w:szCs w:val="18"/>
                <w:u w:val="none"/>
              </w:rPr>
            </w:pPr>
            <w:r>
              <w:rPr>
                <w:rFonts w:hint="default" w:ascii="方正楷体_GBK" w:hAnsi="方正楷体_GBK" w:eastAsia="方正楷体_GBK" w:cs="方正楷体_GBK"/>
                <w:i w:val="0"/>
                <w:iCs w:val="0"/>
                <w:color w:val="000000"/>
                <w:kern w:val="0"/>
                <w:sz w:val="18"/>
                <w:szCs w:val="18"/>
                <w:u w:val="none"/>
                <w:lang w:val="en-US" w:eastAsia="zh-CN" w:bidi="ar"/>
              </w:rPr>
              <w:t>序号</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方正楷体_GBK" w:hAnsi="方正楷体_GBK" w:eastAsia="方正楷体_GBK" w:cs="方正楷体_GBK"/>
                <w:i w:val="0"/>
                <w:iCs w:val="0"/>
                <w:color w:val="000000"/>
                <w:sz w:val="18"/>
                <w:szCs w:val="18"/>
                <w:u w:val="none"/>
              </w:rPr>
            </w:pPr>
            <w:r>
              <w:rPr>
                <w:rFonts w:hint="default" w:ascii="方正楷体_GBK" w:hAnsi="方正楷体_GBK" w:eastAsia="方正楷体_GBK" w:cs="方正楷体_GBK"/>
                <w:i w:val="0"/>
                <w:iCs w:val="0"/>
                <w:color w:val="000000"/>
                <w:kern w:val="0"/>
                <w:sz w:val="18"/>
                <w:szCs w:val="18"/>
                <w:u w:val="none"/>
                <w:lang w:val="en-US" w:eastAsia="zh-CN" w:bidi="ar"/>
              </w:rPr>
              <w:t>路段</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方正楷体_GBK" w:hAnsi="方正楷体_GBK" w:eastAsia="方正楷体_GBK" w:cs="方正楷体_GBK"/>
                <w:i w:val="0"/>
                <w:iCs w:val="0"/>
                <w:color w:val="000000"/>
                <w:sz w:val="18"/>
                <w:szCs w:val="18"/>
                <w:u w:val="none"/>
              </w:rPr>
            </w:pPr>
            <w:r>
              <w:rPr>
                <w:rFonts w:hint="default" w:ascii="方正楷体_GBK" w:hAnsi="方正楷体_GBK" w:eastAsia="方正楷体_GBK" w:cs="方正楷体_GBK"/>
                <w:i w:val="0"/>
                <w:iCs w:val="0"/>
                <w:color w:val="000000"/>
                <w:kern w:val="0"/>
                <w:sz w:val="18"/>
                <w:szCs w:val="18"/>
                <w:u w:val="none"/>
                <w:lang w:val="en-US" w:eastAsia="zh-CN" w:bidi="ar"/>
              </w:rPr>
              <w:t>点位</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方正楷体_GBK" w:hAnsi="方正楷体_GBK" w:eastAsia="方正楷体_GBK" w:cs="方正楷体_GBK"/>
                <w:i w:val="0"/>
                <w:iCs w:val="0"/>
                <w:color w:val="000000"/>
                <w:sz w:val="18"/>
                <w:szCs w:val="18"/>
                <w:u w:val="none"/>
              </w:rPr>
            </w:pPr>
            <w:r>
              <w:rPr>
                <w:rFonts w:hint="default" w:ascii="方正楷体_GBK" w:hAnsi="方正楷体_GBK" w:eastAsia="方正楷体_GBK" w:cs="方正楷体_GBK"/>
                <w:i w:val="0"/>
                <w:iCs w:val="0"/>
                <w:color w:val="000000"/>
                <w:kern w:val="0"/>
                <w:sz w:val="18"/>
                <w:szCs w:val="18"/>
                <w:u w:val="none"/>
                <w:lang w:val="en-US" w:eastAsia="zh-CN" w:bidi="ar"/>
              </w:rPr>
              <w:t>设备</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方正楷体_GBK" w:hAnsi="方正楷体_GBK" w:eastAsia="方正楷体_GBK" w:cs="方正楷体_GBK"/>
                <w:i w:val="0"/>
                <w:iCs w:val="0"/>
                <w:color w:val="000000"/>
                <w:sz w:val="18"/>
                <w:szCs w:val="18"/>
                <w:u w:val="none"/>
              </w:rPr>
            </w:pPr>
            <w:r>
              <w:rPr>
                <w:rFonts w:hint="default" w:ascii="方正楷体_GBK" w:hAnsi="方正楷体_GBK" w:eastAsia="方正楷体_GBK" w:cs="方正楷体_GBK"/>
                <w:i w:val="0"/>
                <w:iCs w:val="0"/>
                <w:color w:val="000000"/>
                <w:kern w:val="0"/>
                <w:sz w:val="18"/>
                <w:szCs w:val="18"/>
                <w:u w:val="none"/>
                <w:lang w:val="en-US" w:eastAsia="zh-CN" w:bidi="ar"/>
              </w:rPr>
              <w:t>规格型号</w:t>
            </w: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方正楷体_GBK" w:hAnsi="方正楷体_GBK" w:eastAsia="方正楷体_GBK" w:cs="方正楷体_GBK"/>
                <w:i w:val="0"/>
                <w:iCs w:val="0"/>
                <w:color w:val="000000"/>
                <w:sz w:val="18"/>
                <w:szCs w:val="18"/>
                <w:u w:val="none"/>
              </w:rPr>
            </w:pPr>
            <w:r>
              <w:rPr>
                <w:rFonts w:hint="default" w:ascii="方正楷体_GBK" w:hAnsi="方正楷体_GBK" w:eastAsia="方正楷体_GBK" w:cs="方正楷体_GBK"/>
                <w:i w:val="0"/>
                <w:iCs w:val="0"/>
                <w:color w:val="000000"/>
                <w:kern w:val="0"/>
                <w:sz w:val="18"/>
                <w:szCs w:val="18"/>
                <w:u w:val="none"/>
                <w:lang w:val="en-US" w:eastAsia="zh-CN" w:bidi="ar"/>
              </w:rPr>
              <w:t>单位</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方正楷体_GBK" w:hAnsi="方正楷体_GBK" w:eastAsia="方正楷体_GBK" w:cs="方正楷体_GBK"/>
                <w:i w:val="0"/>
                <w:iCs w:val="0"/>
                <w:color w:val="000000"/>
                <w:sz w:val="18"/>
                <w:szCs w:val="18"/>
                <w:u w:val="none"/>
              </w:rPr>
            </w:pPr>
            <w:r>
              <w:rPr>
                <w:rFonts w:hint="default" w:ascii="方正楷体_GBK" w:hAnsi="方正楷体_GBK" w:eastAsia="方正楷体_GBK" w:cs="方正楷体_GBK"/>
                <w:i w:val="0"/>
                <w:iCs w:val="0"/>
                <w:color w:val="000000"/>
                <w:kern w:val="0"/>
                <w:sz w:val="18"/>
                <w:szCs w:val="18"/>
                <w:u w:val="none"/>
                <w:lang w:val="en-US" w:eastAsia="zh-CN" w:bidi="ar"/>
              </w:rPr>
              <w:t>数量</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方正楷体_GBK" w:hAnsi="方正楷体_GBK" w:eastAsia="方正楷体_GBK" w:cs="方正楷体_GBK"/>
                <w:i w:val="0"/>
                <w:iCs w:val="0"/>
                <w:color w:val="000000"/>
                <w:sz w:val="18"/>
                <w:szCs w:val="18"/>
                <w:u w:val="none"/>
              </w:rPr>
            </w:pPr>
            <w:r>
              <w:rPr>
                <w:rFonts w:hint="default" w:ascii="方正楷体_GBK" w:hAnsi="方正楷体_GBK" w:eastAsia="方正楷体_GBK" w:cs="方正楷体_GBK"/>
                <w:i w:val="0"/>
                <w:iCs w:val="0"/>
                <w:color w:val="000000"/>
                <w:kern w:val="0"/>
                <w:sz w:val="18"/>
                <w:szCs w:val="18"/>
                <w:u w:val="none"/>
                <w:lang w:val="en-US" w:eastAsia="zh-CN" w:bidi="ar"/>
              </w:rPr>
              <w:t>备注</w:t>
            </w: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color w:val="000000"/>
                <w:sz w:val="21"/>
                <w:szCs w:val="21"/>
              </w:rPr>
              <w:t>1</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cstheme="minorEastAsia"/>
                <w:color w:val="000000"/>
                <w:sz w:val="21"/>
                <w:szCs w:val="21"/>
                <w:lang w:val="en-US" w:eastAsia="zh-CN"/>
              </w:rPr>
              <w:t>万利</w:t>
            </w:r>
            <w:r>
              <w:rPr>
                <w:rFonts w:hint="eastAsia" w:asciiTheme="minorEastAsia" w:hAnsiTheme="minorEastAsia" w:eastAsiaTheme="minorEastAsia" w:cstheme="minorEastAsia"/>
                <w:color w:val="000000"/>
                <w:sz w:val="21"/>
                <w:szCs w:val="21"/>
              </w:rPr>
              <w:t>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eastAsiaTheme="minorEastAsia" w:cstheme="minorEastAsia"/>
                <w:i w:val="0"/>
                <w:iCs w:val="0"/>
                <w:color w:val="000000"/>
                <w:sz w:val="21"/>
                <w:szCs w:val="21"/>
                <w:u w:val="none"/>
                <w:lang w:val="en-US" w:eastAsia="zh-CN"/>
              </w:rPr>
            </w:pPr>
            <w:r>
              <w:rPr>
                <w:rFonts w:hint="default" w:asciiTheme="minorEastAsia" w:hAnsiTheme="minorEastAsia" w:eastAsiaTheme="minorEastAsia" w:cstheme="minorEastAsia"/>
                <w:i w:val="0"/>
                <w:iCs w:val="0"/>
                <w:color w:val="000000"/>
                <w:sz w:val="21"/>
                <w:szCs w:val="21"/>
                <w:u w:val="none"/>
                <w:lang w:val="en-US" w:eastAsia="zh-CN"/>
              </w:rPr>
              <w:t>瓦子店隧道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eastAsiaTheme="minorEastAsia" w:cstheme="minorEastAsia"/>
                <w:i w:val="0"/>
                <w:iCs w:val="0"/>
                <w:color w:val="000000"/>
                <w:sz w:val="21"/>
                <w:szCs w:val="21"/>
                <w:u w:val="none"/>
                <w:lang w:val="en-US" w:eastAsia="zh-CN"/>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eastAsiaTheme="minorEastAsia" w:cstheme="minorEastAsia"/>
                <w:i w:val="0"/>
                <w:iCs w:val="0"/>
                <w:color w:val="000000"/>
                <w:sz w:val="21"/>
                <w:szCs w:val="21"/>
                <w:u w:val="none"/>
                <w:lang w:val="en-US" w:eastAsia="zh-CN"/>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eastAsiaTheme="minorEastAsia" w:cstheme="minorEastAsia"/>
                <w:i w:val="0"/>
                <w:iCs w:val="0"/>
                <w:color w:val="000000"/>
                <w:sz w:val="21"/>
                <w:szCs w:val="21"/>
                <w:u w:val="none"/>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tabs>
                <w:tab w:val="left" w:pos="263"/>
                <w:tab w:val="center" w:pos="397"/>
              </w:tabs>
              <w:adjustRightInd/>
              <w:snapToGrid/>
              <w:spacing w:after="0"/>
              <w:jc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color w:val="000000"/>
                <w:sz w:val="21"/>
                <w:szCs w:val="21"/>
              </w:rPr>
              <w:t>2</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cstheme="minorEastAsia"/>
                <w:color w:val="000000"/>
                <w:sz w:val="21"/>
                <w:szCs w:val="21"/>
                <w:lang w:val="en-US" w:eastAsia="zh-CN"/>
              </w:rPr>
              <w:t>万利</w:t>
            </w:r>
            <w:r>
              <w:rPr>
                <w:rFonts w:hint="eastAsia" w:asciiTheme="minorEastAsia" w:hAnsiTheme="minorEastAsia" w:eastAsiaTheme="minorEastAsia" w:cstheme="minorEastAsia"/>
                <w:color w:val="000000"/>
                <w:sz w:val="21"/>
                <w:szCs w:val="21"/>
              </w:rPr>
              <w:t>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eastAsiaTheme="minorEastAsia" w:cstheme="minorEastAsia"/>
                <w:i w:val="0"/>
                <w:iCs w:val="0"/>
                <w:color w:val="000000"/>
                <w:sz w:val="21"/>
                <w:szCs w:val="21"/>
                <w:u w:val="none"/>
                <w:lang w:val="en-US" w:eastAsia="zh-CN"/>
              </w:rPr>
            </w:pPr>
            <w:r>
              <w:rPr>
                <w:rFonts w:hint="default" w:asciiTheme="minorEastAsia" w:hAnsiTheme="minorEastAsia" w:eastAsiaTheme="minorEastAsia" w:cstheme="minorEastAsia"/>
                <w:i w:val="0"/>
                <w:iCs w:val="0"/>
                <w:color w:val="000000"/>
                <w:sz w:val="21"/>
                <w:szCs w:val="21"/>
                <w:u w:val="none"/>
                <w:lang w:val="en-US" w:eastAsia="zh-CN"/>
              </w:rPr>
              <w:t>象鼻梁隧道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lang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color w:val="000000"/>
                <w:sz w:val="21"/>
                <w:szCs w:val="21"/>
              </w:rPr>
              <w:t>3</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b/>
                <w:bCs/>
                <w:i w:val="0"/>
                <w:iCs w:val="0"/>
                <w:color w:val="000000"/>
                <w:sz w:val="21"/>
                <w:szCs w:val="21"/>
                <w:u w:val="none"/>
              </w:rPr>
            </w:pPr>
            <w:r>
              <w:rPr>
                <w:rFonts w:hint="eastAsia" w:asciiTheme="minorEastAsia" w:hAnsiTheme="minorEastAsia" w:cstheme="minorEastAsia"/>
                <w:color w:val="000000"/>
                <w:sz w:val="21"/>
                <w:szCs w:val="21"/>
                <w:lang w:val="en-US" w:eastAsia="zh-CN"/>
              </w:rPr>
              <w:t>万利</w:t>
            </w:r>
            <w:r>
              <w:rPr>
                <w:rFonts w:hint="eastAsia" w:asciiTheme="minorEastAsia" w:hAnsiTheme="minorEastAsia" w:eastAsiaTheme="minorEastAsia" w:cstheme="minorEastAsia"/>
                <w:color w:val="000000"/>
                <w:sz w:val="21"/>
                <w:szCs w:val="21"/>
              </w:rPr>
              <w:t>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eastAsiaTheme="minorEastAsia" w:cstheme="minorEastAsia"/>
                <w:i w:val="0"/>
                <w:iCs w:val="0"/>
                <w:color w:val="000000"/>
                <w:sz w:val="21"/>
                <w:szCs w:val="21"/>
                <w:u w:val="none"/>
                <w:lang w:val="en-US" w:eastAsia="zh-CN"/>
              </w:rPr>
            </w:pPr>
            <w:r>
              <w:rPr>
                <w:rFonts w:hint="default" w:asciiTheme="minorEastAsia" w:hAnsiTheme="minorEastAsia" w:eastAsiaTheme="minorEastAsia" w:cstheme="minorEastAsia"/>
                <w:i w:val="0"/>
                <w:iCs w:val="0"/>
                <w:color w:val="000000"/>
                <w:sz w:val="21"/>
                <w:szCs w:val="21"/>
                <w:u w:val="none"/>
                <w:lang w:val="en-US" w:eastAsia="zh-CN"/>
              </w:rPr>
              <w:t>长安寨隧道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i w:val="0"/>
                <w:iCs w:val="0"/>
                <w:color w:val="000000"/>
                <w:sz w:val="21"/>
                <w:szCs w:val="21"/>
                <w:u w:val="none"/>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eastAsiaTheme="minorEastAsia" w:cstheme="minorEastAsia"/>
                <w:i w:val="0"/>
                <w:iCs w:val="0"/>
                <w:color w:val="000000"/>
                <w:sz w:val="21"/>
                <w:szCs w:val="21"/>
                <w:u w:val="none"/>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4</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b/>
                <w:bCs/>
                <w:color w:val="000000"/>
                <w:sz w:val="21"/>
                <w:szCs w:val="21"/>
                <w:lang w:val="en-US" w:eastAsia="zh-CN"/>
              </w:rPr>
            </w:pPr>
            <w:r>
              <w:rPr>
                <w:rFonts w:hint="eastAsia" w:asciiTheme="minorEastAsia" w:hAnsiTheme="minorEastAsia" w:cstheme="minorEastAsia"/>
                <w:color w:val="000000"/>
                <w:sz w:val="21"/>
                <w:szCs w:val="21"/>
                <w:lang w:val="en-US" w:eastAsia="zh-CN"/>
              </w:rPr>
              <w:t>万利</w:t>
            </w:r>
            <w:r>
              <w:rPr>
                <w:rFonts w:hint="eastAsia" w:asciiTheme="minorEastAsia" w:hAnsiTheme="minorEastAsia" w:eastAsiaTheme="minorEastAsia" w:cstheme="minorEastAsia"/>
                <w:color w:val="000000"/>
                <w:sz w:val="21"/>
                <w:szCs w:val="21"/>
              </w:rPr>
              <w:t>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eastAsiaTheme="minorEastAsia" w:cstheme="minorEastAsia"/>
                <w:color w:val="000000"/>
                <w:sz w:val="21"/>
                <w:szCs w:val="21"/>
                <w:lang w:val="en-US" w:eastAsia="zh-CN"/>
              </w:rPr>
            </w:pPr>
            <w:r>
              <w:rPr>
                <w:rFonts w:hint="default" w:asciiTheme="minorEastAsia" w:hAnsiTheme="minorEastAsia" w:eastAsiaTheme="minorEastAsia" w:cstheme="minorEastAsia"/>
                <w:color w:val="000000"/>
                <w:sz w:val="21"/>
                <w:szCs w:val="21"/>
                <w:lang w:val="en-US" w:eastAsia="zh-CN"/>
              </w:rPr>
              <w:t>青山隧道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i w:val="0"/>
                <w:iCs w:val="0"/>
                <w:color w:val="000000"/>
                <w:sz w:val="21"/>
                <w:szCs w:val="21"/>
                <w:u w:val="none"/>
                <w:lang w:val="en-US" w:eastAsia="zh-CN"/>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5</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b/>
                <w:bCs/>
                <w:color w:val="000000"/>
                <w:sz w:val="21"/>
                <w:szCs w:val="21"/>
                <w:lang w:val="en-US" w:eastAsia="zh-CN"/>
              </w:rPr>
            </w:pPr>
            <w:r>
              <w:rPr>
                <w:rFonts w:hint="eastAsia" w:asciiTheme="minorEastAsia" w:hAnsiTheme="minorEastAsia" w:cstheme="minorEastAsia"/>
                <w:color w:val="000000"/>
                <w:sz w:val="21"/>
                <w:szCs w:val="21"/>
                <w:lang w:val="en-US" w:eastAsia="zh-CN"/>
              </w:rPr>
              <w:t>万利</w:t>
            </w:r>
            <w:r>
              <w:rPr>
                <w:rFonts w:hint="eastAsia" w:asciiTheme="minorEastAsia" w:hAnsiTheme="minorEastAsia" w:eastAsiaTheme="minorEastAsia" w:cstheme="minorEastAsia"/>
                <w:color w:val="000000"/>
                <w:sz w:val="21"/>
                <w:szCs w:val="21"/>
              </w:rPr>
              <w:t>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长滩隧道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i w:val="0"/>
                <w:iCs w:val="0"/>
                <w:color w:val="000000"/>
                <w:sz w:val="21"/>
                <w:szCs w:val="21"/>
                <w:u w:val="none"/>
                <w:lang w:val="en-US" w:eastAsia="zh-CN"/>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6</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b/>
                <w:bCs/>
                <w:color w:val="000000"/>
                <w:sz w:val="21"/>
                <w:szCs w:val="21"/>
                <w:lang w:val="en-US" w:eastAsia="zh-CN"/>
              </w:rPr>
            </w:pPr>
            <w:r>
              <w:rPr>
                <w:rFonts w:hint="eastAsia" w:asciiTheme="minorEastAsia" w:hAnsiTheme="minorEastAsia" w:cstheme="minorEastAsia"/>
                <w:color w:val="000000"/>
                <w:sz w:val="21"/>
                <w:szCs w:val="21"/>
                <w:lang w:val="en-US" w:eastAsia="zh-CN"/>
              </w:rPr>
              <w:t>万利</w:t>
            </w:r>
            <w:r>
              <w:rPr>
                <w:rFonts w:hint="eastAsia" w:asciiTheme="minorEastAsia" w:hAnsiTheme="minorEastAsia" w:eastAsiaTheme="minorEastAsia" w:cstheme="minorEastAsia"/>
                <w:color w:val="000000"/>
                <w:sz w:val="21"/>
                <w:szCs w:val="21"/>
              </w:rPr>
              <w:t>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赵家坡隧道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i w:val="0"/>
                <w:iCs w:val="0"/>
                <w:color w:val="000000"/>
                <w:sz w:val="21"/>
                <w:szCs w:val="21"/>
                <w:u w:val="none"/>
                <w:lang w:val="en-US" w:eastAsia="zh-CN"/>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7</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b/>
                <w:bCs/>
                <w:color w:val="000000"/>
                <w:sz w:val="21"/>
                <w:szCs w:val="21"/>
                <w:lang w:val="en-US" w:eastAsia="zh-CN"/>
              </w:rPr>
            </w:pPr>
            <w:r>
              <w:rPr>
                <w:rFonts w:hint="eastAsia" w:asciiTheme="minorEastAsia" w:hAnsiTheme="minorEastAsia" w:cstheme="minorEastAsia"/>
                <w:color w:val="000000"/>
                <w:sz w:val="21"/>
                <w:szCs w:val="21"/>
                <w:lang w:val="en-US" w:eastAsia="zh-CN"/>
              </w:rPr>
              <w:t>万利</w:t>
            </w:r>
            <w:r>
              <w:rPr>
                <w:rFonts w:hint="eastAsia" w:asciiTheme="minorEastAsia" w:hAnsiTheme="minorEastAsia" w:eastAsiaTheme="minorEastAsia" w:cstheme="minorEastAsia"/>
                <w:color w:val="000000"/>
                <w:sz w:val="21"/>
                <w:szCs w:val="21"/>
              </w:rPr>
              <w:t>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赶场隧道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i w:val="0"/>
                <w:iCs w:val="0"/>
                <w:color w:val="000000"/>
                <w:sz w:val="21"/>
                <w:szCs w:val="21"/>
                <w:u w:val="none"/>
                <w:lang w:val="en-US" w:eastAsia="zh-CN"/>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8</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b/>
                <w:bCs/>
                <w:color w:val="000000"/>
                <w:sz w:val="21"/>
                <w:szCs w:val="21"/>
                <w:lang w:val="en-US" w:eastAsia="zh-CN"/>
              </w:rPr>
            </w:pPr>
            <w:r>
              <w:rPr>
                <w:rFonts w:hint="eastAsia" w:asciiTheme="minorEastAsia" w:hAnsiTheme="minorEastAsia" w:cstheme="minorEastAsia"/>
                <w:color w:val="000000"/>
                <w:sz w:val="21"/>
                <w:szCs w:val="21"/>
                <w:lang w:val="en-US" w:eastAsia="zh-CN"/>
              </w:rPr>
              <w:t>万利</w:t>
            </w:r>
            <w:r>
              <w:rPr>
                <w:rFonts w:hint="eastAsia" w:asciiTheme="minorEastAsia" w:hAnsiTheme="minorEastAsia" w:eastAsiaTheme="minorEastAsia" w:cstheme="minorEastAsia"/>
                <w:color w:val="000000"/>
                <w:sz w:val="21"/>
                <w:szCs w:val="21"/>
              </w:rPr>
              <w:t>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刘家岩隧道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i w:val="0"/>
                <w:iCs w:val="0"/>
                <w:color w:val="000000"/>
                <w:sz w:val="21"/>
                <w:szCs w:val="21"/>
                <w:u w:val="none"/>
                <w:lang w:val="en-US" w:eastAsia="zh-CN"/>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9</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万达路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花果山隧道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i w:val="0"/>
                <w:iCs w:val="0"/>
                <w:color w:val="000000"/>
                <w:sz w:val="21"/>
                <w:szCs w:val="21"/>
                <w:u w:val="none"/>
                <w:lang w:val="en-US" w:eastAsia="zh-CN"/>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10</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万达路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双峰山隧道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i w:val="0"/>
                <w:iCs w:val="0"/>
                <w:color w:val="000000"/>
                <w:sz w:val="21"/>
                <w:szCs w:val="21"/>
                <w:u w:val="none"/>
                <w:lang w:val="en-US" w:eastAsia="zh-CN"/>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r>
        <w:tblPrEx>
          <w:tblCellMar>
            <w:top w:w="0" w:type="dxa"/>
            <w:left w:w="108" w:type="dxa"/>
            <w:bottom w:w="0" w:type="dxa"/>
            <w:right w:w="108" w:type="dxa"/>
          </w:tblCellMar>
        </w:tblPrEx>
        <w:trPr>
          <w:trHeight w:val="567" w:hRule="atLeast"/>
        </w:trPr>
        <w:tc>
          <w:tcPr>
            <w:tcW w:w="66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11</w:t>
            </w:r>
          </w:p>
        </w:tc>
        <w:tc>
          <w:tcPr>
            <w:tcW w:w="1081"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万达路</w:t>
            </w:r>
          </w:p>
        </w:tc>
        <w:tc>
          <w:tcPr>
            <w:tcW w:w="1774"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color w:val="000000"/>
                <w:sz w:val="21"/>
                <w:szCs w:val="21"/>
                <w:lang w:val="en-US" w:eastAsia="zh-CN"/>
              </w:rPr>
              <w:t>猴子岩隧道</w:t>
            </w:r>
          </w:p>
        </w:tc>
        <w:tc>
          <w:tcPr>
            <w:tcW w:w="1366"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color w:val="000000"/>
                <w:sz w:val="21"/>
                <w:szCs w:val="21"/>
                <w:lang w:val="en-US" w:eastAsia="zh-CN"/>
              </w:rPr>
            </w:pPr>
            <w:r>
              <w:rPr>
                <w:rFonts w:hint="eastAsia" w:asciiTheme="minorEastAsia" w:hAnsiTheme="minorEastAsia" w:cstheme="minorEastAsia"/>
                <w:i w:val="0"/>
                <w:iCs w:val="0"/>
                <w:color w:val="000000"/>
                <w:sz w:val="21"/>
                <w:szCs w:val="21"/>
                <w:u w:val="none"/>
                <w:lang w:val="en-US" w:eastAsia="zh-CN"/>
              </w:rPr>
              <w:t>高、低位水池液位检测</w:t>
            </w:r>
          </w:p>
        </w:tc>
        <w:tc>
          <w:tcPr>
            <w:tcW w:w="1000"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i w:val="0"/>
                <w:iCs w:val="0"/>
                <w:color w:val="000000"/>
                <w:sz w:val="21"/>
                <w:szCs w:val="21"/>
                <w:u w:val="none"/>
                <w:lang w:val="en-US" w:eastAsia="zh-CN"/>
              </w:rPr>
            </w:pPr>
          </w:p>
        </w:tc>
        <w:tc>
          <w:tcPr>
            <w:tcW w:w="8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eastAsiaTheme="minorEastAsia" w:cstheme="minorEastAsia"/>
                <w:color w:val="000000"/>
                <w:sz w:val="21"/>
                <w:szCs w:val="21"/>
              </w:rPr>
            </w:pPr>
            <w:r>
              <w:rPr>
                <w:rFonts w:hint="eastAsia" w:asciiTheme="minorEastAsia" w:hAnsiTheme="minorEastAsia" w:eastAsiaTheme="minorEastAsia" w:cstheme="minorEastAsia"/>
                <w:color w:val="000000"/>
                <w:sz w:val="21"/>
                <w:szCs w:val="21"/>
              </w:rPr>
              <w:t>套</w:t>
            </w:r>
          </w:p>
        </w:tc>
        <w:tc>
          <w:tcPr>
            <w:tcW w:w="967"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eastAsia" w:asciiTheme="minorEastAsia" w:hAnsiTheme="minorEastAsia" w:cstheme="minorEastAsia"/>
                <w:sz w:val="21"/>
                <w:szCs w:val="21"/>
                <w:lang w:val="en-US" w:eastAsia="zh-CN"/>
              </w:rPr>
            </w:pPr>
            <w:r>
              <w:rPr>
                <w:rFonts w:hint="eastAsia" w:asciiTheme="minorEastAsia" w:hAnsiTheme="minorEastAsia" w:cstheme="minorEastAsia"/>
                <w:sz w:val="21"/>
                <w:szCs w:val="21"/>
                <w:lang w:val="en-US" w:eastAsia="zh-CN"/>
              </w:rPr>
              <w:t>1</w:t>
            </w:r>
          </w:p>
        </w:tc>
        <w:tc>
          <w:tcPr>
            <w:tcW w:w="1620"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eastAsia" w:asciiTheme="minorEastAsia" w:hAnsiTheme="minorEastAsia" w:eastAsiaTheme="minorEastAsia" w:cstheme="minorEastAsia"/>
                <w:i w:val="0"/>
                <w:iCs w:val="0"/>
                <w:color w:val="000000"/>
                <w:sz w:val="21"/>
                <w:szCs w:val="21"/>
                <w:u w:val="none"/>
              </w:rPr>
            </w:pPr>
          </w:p>
        </w:tc>
      </w:tr>
    </w:tbl>
    <w:p>
      <w:pPr>
        <w:keepNext w:val="0"/>
        <w:keepLines w:val="0"/>
        <w:pageBreakBefore w:val="0"/>
        <w:kinsoku/>
        <w:wordWrap/>
        <w:overflowPunct/>
        <w:topLinePunct w:val="0"/>
        <w:autoSpaceDE/>
        <w:autoSpaceDN/>
        <w:bidi w:val="0"/>
        <w:adjustRightInd w:val="0"/>
        <w:snapToGrid w:val="0"/>
        <w:spacing w:before="156" w:beforeLines="50" w:after="156" w:afterLines="50" w:line="240" w:lineRule="auto"/>
        <w:rPr>
          <w:rFonts w:hint="eastAsia" w:ascii="微软雅黑" w:hAnsi="微软雅黑" w:eastAsia="微软雅黑" w:cs="微软雅黑"/>
          <w:b/>
          <w:bCs/>
        </w:rPr>
      </w:pPr>
    </w:p>
    <w:p>
      <w:pPr>
        <w:keepNext w:val="0"/>
        <w:keepLines w:val="0"/>
        <w:pageBreakBefore w:val="0"/>
        <w:kinsoku/>
        <w:wordWrap/>
        <w:overflowPunct/>
        <w:topLinePunct w:val="0"/>
        <w:autoSpaceDE/>
        <w:autoSpaceDN/>
        <w:bidi w:val="0"/>
        <w:adjustRightInd w:val="0"/>
        <w:snapToGrid w:val="0"/>
        <w:spacing w:before="156" w:beforeLines="50" w:after="156" w:afterLines="50" w:line="240" w:lineRule="auto"/>
        <w:rPr>
          <w:rFonts w:hint="eastAsia" w:ascii="微软雅黑" w:hAnsi="微软雅黑" w:eastAsia="微软雅黑" w:cs="微软雅黑"/>
          <w:b/>
          <w:bCs/>
        </w:rPr>
      </w:pPr>
    </w:p>
    <w:p>
      <w:pPr>
        <w:keepNext w:val="0"/>
        <w:keepLines w:val="0"/>
        <w:pageBreakBefore w:val="0"/>
        <w:kinsoku/>
        <w:wordWrap/>
        <w:overflowPunct/>
        <w:topLinePunct w:val="0"/>
        <w:autoSpaceDE/>
        <w:autoSpaceDN/>
        <w:bidi w:val="0"/>
        <w:adjustRightInd w:val="0"/>
        <w:snapToGrid w:val="0"/>
        <w:spacing w:before="156" w:beforeLines="50" w:after="156" w:afterLines="50" w:line="240" w:lineRule="auto"/>
        <w:rPr>
          <w:rFonts w:hint="eastAsia" w:ascii="微软雅黑" w:hAnsi="微软雅黑" w:eastAsia="微软雅黑" w:cs="微软雅黑"/>
          <w:b/>
          <w:bCs/>
        </w:rPr>
      </w:pPr>
    </w:p>
    <w:p>
      <w:pPr>
        <w:keepNext w:val="0"/>
        <w:keepLines w:val="0"/>
        <w:pageBreakBefore w:val="0"/>
        <w:kinsoku/>
        <w:wordWrap/>
        <w:overflowPunct/>
        <w:topLinePunct w:val="0"/>
        <w:autoSpaceDE/>
        <w:autoSpaceDN/>
        <w:bidi w:val="0"/>
        <w:adjustRightInd w:val="0"/>
        <w:snapToGrid w:val="0"/>
        <w:spacing w:before="156" w:beforeLines="50" w:after="156" w:afterLines="50" w:line="240" w:lineRule="auto"/>
        <w:rPr>
          <w:rFonts w:hint="eastAsia" w:ascii="微软雅黑" w:hAnsi="微软雅黑" w:eastAsia="微软雅黑" w:cs="微软雅黑"/>
          <w:b/>
          <w:bCs/>
        </w:rPr>
      </w:pPr>
    </w:p>
    <w:p>
      <w:pPr>
        <w:keepNext w:val="0"/>
        <w:keepLines w:val="0"/>
        <w:pageBreakBefore w:val="0"/>
        <w:kinsoku/>
        <w:wordWrap/>
        <w:overflowPunct/>
        <w:topLinePunct w:val="0"/>
        <w:autoSpaceDE/>
        <w:autoSpaceDN/>
        <w:bidi w:val="0"/>
        <w:adjustRightInd w:val="0"/>
        <w:snapToGrid w:val="0"/>
        <w:spacing w:before="156" w:beforeLines="50" w:after="156" w:afterLines="50" w:line="240" w:lineRule="auto"/>
        <w:rPr>
          <w:rFonts w:hint="eastAsia" w:ascii="微软雅黑" w:hAnsi="微软雅黑" w:eastAsia="微软雅黑" w:cs="微软雅黑"/>
          <w:b/>
          <w:bCs/>
        </w:rPr>
      </w:pPr>
    </w:p>
    <w:p>
      <w:pPr>
        <w:keepNext w:val="0"/>
        <w:keepLines w:val="0"/>
        <w:pageBreakBefore w:val="0"/>
        <w:kinsoku/>
        <w:wordWrap/>
        <w:overflowPunct/>
        <w:topLinePunct w:val="0"/>
        <w:autoSpaceDE/>
        <w:autoSpaceDN/>
        <w:bidi w:val="0"/>
        <w:adjustRightInd w:val="0"/>
        <w:snapToGrid w:val="0"/>
        <w:spacing w:before="156" w:beforeLines="50" w:after="156" w:afterLines="50" w:line="240" w:lineRule="auto"/>
        <w:rPr>
          <w:rFonts w:hint="eastAsia" w:ascii="微软雅黑" w:hAnsi="微软雅黑" w:eastAsia="微软雅黑" w:cs="微软雅黑"/>
          <w:sz w:val="24"/>
          <w:szCs w:val="24"/>
          <w:lang w:val="en-US" w:eastAsia="zh-CN" w:bidi="ar-SA"/>
        </w:rPr>
      </w:pPr>
      <w:r>
        <w:rPr>
          <w:rFonts w:hint="eastAsia" w:ascii="微软雅黑" w:hAnsi="微软雅黑" w:eastAsia="微软雅黑" w:cs="微软雅黑"/>
          <w:b/>
          <w:bCs/>
        </w:rPr>
        <w:t>4.2工程量清单</w:t>
      </w:r>
    </w:p>
    <w:tbl>
      <w:tblPr>
        <w:tblStyle w:val="9"/>
        <w:tblpPr w:leftFromText="180" w:rightFromText="180" w:vertAnchor="text" w:horzAnchor="page" w:tblpX="1582" w:tblpY="360"/>
        <w:tblOverlap w:val="never"/>
        <w:tblW w:w="9330" w:type="dxa"/>
        <w:tblInd w:w="0" w:type="dxa"/>
        <w:shd w:val="clear" w:color="auto" w:fill="auto"/>
        <w:tblLayout w:type="fixed"/>
        <w:tblCellMar>
          <w:top w:w="0" w:type="dxa"/>
          <w:left w:w="108" w:type="dxa"/>
          <w:bottom w:w="0" w:type="dxa"/>
          <w:right w:w="108" w:type="dxa"/>
        </w:tblCellMar>
      </w:tblPr>
      <w:tblGrid>
        <w:gridCol w:w="649"/>
        <w:gridCol w:w="1569"/>
        <w:gridCol w:w="2645"/>
        <w:gridCol w:w="700"/>
        <w:gridCol w:w="744"/>
        <w:gridCol w:w="734"/>
        <w:gridCol w:w="711"/>
        <w:gridCol w:w="1578"/>
      </w:tblGrid>
      <w:tr>
        <w:tblPrEx>
          <w:shd w:val="clear" w:color="auto" w:fill="auto"/>
          <w:tblCellMar>
            <w:top w:w="0" w:type="dxa"/>
            <w:left w:w="108" w:type="dxa"/>
            <w:bottom w:w="0" w:type="dxa"/>
            <w:right w:w="108" w:type="dxa"/>
          </w:tblCellMar>
        </w:tblPrEx>
        <w:trPr>
          <w:trHeight w:val="567" w:hRule="atLeast"/>
        </w:trPr>
        <w:tc>
          <w:tcPr>
            <w:tcW w:w="6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spacing w:line="24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spacing w:line="24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设备名称</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spacing w:line="24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规格型号</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spacing w:line="24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单位</w:t>
            </w:r>
          </w:p>
        </w:tc>
        <w:tc>
          <w:tcPr>
            <w:tcW w:w="744" w:type="dxa"/>
            <w:tcBorders>
              <w:top w:val="single" w:color="000000" w:sz="4" w:space="0"/>
              <w:left w:val="nil"/>
              <w:bottom w:val="single" w:color="000000" w:sz="4" w:space="0"/>
              <w:right w:val="nil"/>
            </w:tcBorders>
            <w:shd w:val="clear" w:color="auto" w:fill="auto"/>
            <w:vAlign w:val="center"/>
          </w:tcPr>
          <w:p>
            <w:pPr>
              <w:keepNext w:val="0"/>
              <w:keepLines w:val="0"/>
              <w:pageBreakBefore w:val="0"/>
              <w:widowControl/>
              <w:suppressLineNumbers w:val="0"/>
              <w:kinsoku/>
              <w:wordWrap/>
              <w:overflowPunct/>
              <w:topLinePunct w:val="0"/>
              <w:autoSpaceDE/>
              <w:autoSpaceDN/>
              <w:bidi w:val="0"/>
              <w:spacing w:line="24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数量</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spacing w:line="24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单价</w:t>
            </w: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spacing w:line="24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金额</w:t>
            </w:r>
          </w:p>
        </w:tc>
        <w:tc>
          <w:tcPr>
            <w:tcW w:w="1578"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pageBreakBefore w:val="0"/>
              <w:widowControl/>
              <w:suppressLineNumbers w:val="0"/>
              <w:kinsoku/>
              <w:wordWrap/>
              <w:overflowPunct/>
              <w:topLinePunct w:val="0"/>
              <w:autoSpaceDE/>
              <w:autoSpaceDN/>
              <w:bidi w:val="0"/>
              <w:spacing w:line="240" w:lineRule="auto"/>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tblPrEx>
          <w:shd w:val="clear" w:color="auto" w:fill="auto"/>
          <w:tblCellMar>
            <w:top w:w="0" w:type="dxa"/>
            <w:left w:w="108" w:type="dxa"/>
            <w:bottom w:w="0" w:type="dxa"/>
            <w:right w:w="108" w:type="dxa"/>
          </w:tblCellMar>
        </w:tblPrEx>
        <w:trPr>
          <w:trHeight w:val="1108" w:hRule="atLeast"/>
        </w:trPr>
        <w:tc>
          <w:tcPr>
            <w:tcW w:w="649"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1</w:t>
            </w:r>
          </w:p>
        </w:tc>
        <w:tc>
          <w:tcPr>
            <w:tcW w:w="1569" w:type="dxa"/>
            <w:tcBorders>
              <w:top w:val="single" w:color="000000" w:sz="4" w:space="0"/>
              <w:left w:val="single" w:color="000000" w:sz="4" w:space="0"/>
              <w:bottom w:val="single" w:color="000000" w:sz="4" w:space="0"/>
              <w:right w:val="single" w:color="000000" w:sz="4" w:space="0"/>
            </w:tcBorders>
            <w:shd w:val="clear" w:color="auto" w:fill="auto"/>
            <w:vAlign w:val="center"/>
          </w:tcPr>
          <w:p>
            <w:pPr>
              <w:adjustRightInd/>
              <w:snapToGrid/>
              <w:spacing w:after="0"/>
              <w:jc w:val="center"/>
              <w:rPr>
                <w:rFonts w:hint="default" w:ascii="宋体" w:hAnsi="宋体" w:eastAsia="宋体" w:cs="宋体"/>
                <w:i w:val="0"/>
                <w:iCs w:val="0"/>
                <w:color w:val="000000"/>
                <w:sz w:val="21"/>
                <w:szCs w:val="21"/>
                <w:u w:val="none"/>
                <w:lang w:val="en-US" w:eastAsia="zh-CN" w:bidi="ar-SA"/>
              </w:rPr>
            </w:pPr>
            <w:r>
              <w:rPr>
                <w:rFonts w:hint="eastAsia" w:ascii="宋体" w:hAnsi="宋体" w:eastAsia="宋体" w:cs="宋体"/>
                <w:sz w:val="21"/>
                <w:szCs w:val="21"/>
              </w:rPr>
              <w:t>高</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低</w:t>
            </w:r>
            <w:r>
              <w:rPr>
                <w:rFonts w:hint="eastAsia" w:ascii="宋体" w:hAnsi="宋体" w:eastAsia="宋体" w:cs="宋体"/>
                <w:sz w:val="21"/>
                <w:szCs w:val="21"/>
              </w:rPr>
              <w:t>位水池液位</w:t>
            </w:r>
            <w:r>
              <w:rPr>
                <w:rFonts w:hint="eastAsia" w:ascii="宋体" w:hAnsi="宋体" w:eastAsia="宋体" w:cs="宋体"/>
                <w:sz w:val="21"/>
                <w:szCs w:val="21"/>
                <w:lang w:val="en-US" w:eastAsia="zh-CN"/>
              </w:rPr>
              <w:t>检测设备</w:t>
            </w:r>
          </w:p>
        </w:tc>
        <w:tc>
          <w:tcPr>
            <w:tcW w:w="2645"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default" w:ascii="宋体" w:hAnsi="宋体" w:eastAsia="宋体" w:cs="宋体"/>
                <w:i w:val="0"/>
                <w:iCs w:val="0"/>
                <w:color w:val="000000"/>
                <w:sz w:val="21"/>
                <w:szCs w:val="21"/>
                <w:u w:val="none"/>
                <w:lang w:val="en-US" w:eastAsia="zh-CN"/>
              </w:rPr>
            </w:pPr>
            <w:r>
              <w:rPr>
                <w:rFonts w:hint="eastAsia" w:ascii="宋体" w:hAnsi="宋体" w:eastAsia="宋体" w:cs="宋体"/>
                <w:sz w:val="21"/>
                <w:szCs w:val="21"/>
                <w:lang w:val="en-US" w:eastAsia="zh-CN"/>
              </w:rPr>
              <w:t>含检测传感器、液位显示终端及智能控制和传输设备等</w:t>
            </w:r>
          </w:p>
        </w:tc>
        <w:tc>
          <w:tcPr>
            <w:tcW w:w="70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套</w:t>
            </w:r>
          </w:p>
        </w:tc>
        <w:tc>
          <w:tcPr>
            <w:tcW w:w="74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11</w:t>
            </w:r>
          </w:p>
        </w:tc>
        <w:tc>
          <w:tcPr>
            <w:tcW w:w="734"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lang w:val="en-US" w:eastAsia="zh-CN"/>
              </w:rPr>
            </w:pPr>
          </w:p>
        </w:tc>
        <w:tc>
          <w:tcPr>
            <w:tcW w:w="711"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lang w:val="en-US" w:eastAsia="zh-CN"/>
              </w:rPr>
            </w:pPr>
          </w:p>
        </w:tc>
        <w:tc>
          <w:tcPr>
            <w:tcW w:w="1578" w:type="dxa"/>
            <w:tcBorders>
              <w:top w:val="single" w:color="000000" w:sz="4" w:space="0"/>
              <w:left w:val="single" w:color="000000" w:sz="4" w:space="0"/>
              <w:bottom w:val="single" w:color="000000" w:sz="4" w:space="0"/>
              <w:right w:val="single" w:color="000000" w:sz="4" w:space="0"/>
            </w:tcBorders>
            <w:shd w:val="clear" w:color="auto" w:fill="auto"/>
            <w:vAlign w:val="center"/>
          </w:tcPr>
          <w:p>
            <w:pPr>
              <w:jc w:val="center"/>
              <w:rPr>
                <w:rFonts w:hint="default" w:ascii="宋体" w:hAnsi="宋体" w:eastAsia="宋体" w:cs="宋体"/>
                <w:i w:val="0"/>
                <w:iCs w:val="0"/>
                <w:color w:val="000000"/>
                <w:sz w:val="21"/>
                <w:szCs w:val="21"/>
                <w:u w:val="none"/>
                <w:lang w:val="en-US" w:eastAsia="zh-CN"/>
              </w:rPr>
            </w:pPr>
            <w:r>
              <w:rPr>
                <w:rFonts w:hint="eastAsia" w:ascii="宋体" w:hAnsi="宋体" w:eastAsia="宋体" w:cs="宋体"/>
                <w:sz w:val="21"/>
                <w:szCs w:val="21"/>
                <w:lang w:val="en-US" w:eastAsia="zh-CN"/>
              </w:rPr>
              <w:t>含安装、调试</w:t>
            </w:r>
          </w:p>
        </w:tc>
      </w:tr>
      <w:tr>
        <w:tblPrEx>
          <w:shd w:val="clear" w:color="auto" w:fill="auto"/>
          <w:tblCellMar>
            <w:top w:w="0" w:type="dxa"/>
            <w:left w:w="108" w:type="dxa"/>
            <w:bottom w:w="0" w:type="dxa"/>
            <w:right w:w="108" w:type="dxa"/>
          </w:tblCellMar>
        </w:tblPrEx>
        <w:trPr>
          <w:trHeight w:val="567" w:hRule="atLeast"/>
        </w:trPr>
        <w:tc>
          <w:tcPr>
            <w:tcW w:w="6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sz w:val="21"/>
                <w:szCs w:val="21"/>
                <w:u w:val="none"/>
                <w:lang w:val="en-US" w:eastAsia="zh-CN"/>
              </w:rPr>
              <w:t>2</w:t>
            </w:r>
          </w:p>
        </w:tc>
        <w:tc>
          <w:tcPr>
            <w:tcW w:w="1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adjustRightInd/>
              <w:snapToGrid/>
              <w:spacing w:after="0"/>
              <w:jc w:val="center"/>
              <w:rPr>
                <w:rFonts w:hint="eastAsia" w:ascii="宋体" w:hAnsi="宋体" w:eastAsia="宋体" w:cs="宋体"/>
                <w:color w:val="000000"/>
                <w:sz w:val="21"/>
                <w:szCs w:val="21"/>
                <w:lang w:val="en-US" w:eastAsia="zh-CN" w:bidi="ar-SA"/>
              </w:rPr>
            </w:pPr>
            <w:r>
              <w:rPr>
                <w:rFonts w:hint="eastAsia" w:ascii="宋体" w:hAnsi="宋体" w:eastAsia="宋体" w:cs="宋体"/>
                <w:i w:val="0"/>
                <w:iCs w:val="0"/>
                <w:color w:val="000000"/>
                <w:sz w:val="21"/>
                <w:szCs w:val="21"/>
                <w:u w:val="none"/>
                <w:lang w:val="en-US" w:eastAsia="zh-CN" w:bidi="ar-SA"/>
              </w:rPr>
              <w:t>软件接入调试</w:t>
            </w:r>
          </w:p>
        </w:tc>
        <w:tc>
          <w:tcPr>
            <w:tcW w:w="2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kern w:val="0"/>
                <w:sz w:val="21"/>
                <w:szCs w:val="21"/>
                <w:u w:val="none"/>
                <w:lang w:val="en-US" w:eastAsia="zh-CN" w:bidi="ar"/>
              </w:rPr>
              <w:t>项</w:t>
            </w:r>
          </w:p>
        </w:tc>
        <w:tc>
          <w:tcPr>
            <w:tcW w:w="7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11</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lang w:val="en-US" w:eastAsia="zh-CN"/>
              </w:rPr>
            </w:pPr>
          </w:p>
        </w:tc>
        <w:tc>
          <w:tcPr>
            <w:tcW w:w="1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sz w:val="21"/>
                <w:szCs w:val="21"/>
                <w:u w:val="none"/>
                <w:lang w:val="en-US" w:eastAsia="zh-CN"/>
              </w:rPr>
              <w:t>3</w:t>
            </w:r>
          </w:p>
        </w:tc>
        <w:tc>
          <w:tcPr>
            <w:tcW w:w="1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adjustRightInd/>
              <w:snapToGrid/>
              <w:spacing w:after="0"/>
              <w:jc w:val="center"/>
              <w:rPr>
                <w:rFonts w:hint="eastAsia" w:ascii="宋体" w:hAnsi="宋体" w:eastAsia="宋体" w:cs="宋体"/>
                <w:color w:val="000000"/>
                <w:sz w:val="21"/>
                <w:szCs w:val="21"/>
                <w:lang w:val="en-US" w:eastAsia="zh-CN" w:bidi="ar-SA"/>
              </w:rPr>
            </w:pPr>
            <w:r>
              <w:rPr>
                <w:rFonts w:hint="eastAsia" w:ascii="宋体" w:hAnsi="宋体" w:eastAsia="宋体" w:cs="宋体"/>
                <w:i w:val="0"/>
                <w:iCs w:val="0"/>
                <w:color w:val="000000"/>
                <w:sz w:val="21"/>
                <w:szCs w:val="21"/>
                <w:u w:val="none"/>
                <w:lang w:val="en-US" w:eastAsia="zh-CN" w:bidi="ar-SA"/>
              </w:rPr>
              <w:t>交通组织</w:t>
            </w:r>
          </w:p>
        </w:tc>
        <w:tc>
          <w:tcPr>
            <w:tcW w:w="2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r>
              <w:rPr>
                <w:rFonts w:hint="eastAsia" w:ascii="宋体" w:hAnsi="宋体" w:eastAsia="宋体" w:cs="宋体"/>
                <w:i w:val="0"/>
                <w:iCs w:val="0"/>
                <w:color w:val="000000"/>
                <w:kern w:val="0"/>
                <w:sz w:val="21"/>
                <w:szCs w:val="21"/>
                <w:u w:val="none"/>
                <w:lang w:val="en-US" w:eastAsia="zh-CN" w:bidi="ar"/>
              </w:rPr>
              <w:t>天</w:t>
            </w:r>
          </w:p>
        </w:tc>
        <w:tc>
          <w:tcPr>
            <w:tcW w:w="7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rPr>
            </w:pPr>
            <w:r>
              <w:rPr>
                <w:rFonts w:hint="eastAsia" w:ascii="宋体" w:hAnsi="宋体" w:eastAsia="宋体" w:cs="宋体"/>
                <w:i w:val="0"/>
                <w:iCs w:val="0"/>
                <w:color w:val="000000"/>
                <w:kern w:val="0"/>
                <w:sz w:val="21"/>
                <w:szCs w:val="21"/>
                <w:u w:val="none"/>
                <w:lang w:val="en-US" w:eastAsia="zh-CN" w:bidi="ar"/>
              </w:rPr>
              <w:t>11</w:t>
            </w: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lang w:val="en-US" w:eastAsia="zh-CN"/>
              </w:rPr>
            </w:pPr>
          </w:p>
        </w:tc>
        <w:tc>
          <w:tcPr>
            <w:tcW w:w="1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adjustRightInd/>
              <w:snapToGrid/>
              <w:spacing w:after="0"/>
              <w:jc w:val="center"/>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lang w:val="en-US" w:eastAsia="zh-CN" w:bidi="ar-SA"/>
              </w:rPr>
              <w:t>安全生产费</w:t>
            </w:r>
          </w:p>
        </w:tc>
        <w:tc>
          <w:tcPr>
            <w:tcW w:w="2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lang w:val="en-US" w:eastAsia="zh-CN"/>
              </w:rPr>
            </w:pPr>
          </w:p>
        </w:tc>
        <w:tc>
          <w:tcPr>
            <w:tcW w:w="1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6" w:hRule="atLeast"/>
        </w:trPr>
        <w:tc>
          <w:tcPr>
            <w:tcW w:w="6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adjustRightInd/>
              <w:snapToGrid/>
              <w:spacing w:after="0"/>
              <w:jc w:val="center"/>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lang w:val="en-US" w:eastAsia="zh-CN" w:bidi="ar-SA"/>
              </w:rPr>
              <w:t>税金</w:t>
            </w:r>
          </w:p>
        </w:tc>
        <w:tc>
          <w:tcPr>
            <w:tcW w:w="2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lang w:val="en-US" w:eastAsia="zh-CN"/>
              </w:rPr>
            </w:pPr>
          </w:p>
        </w:tc>
        <w:tc>
          <w:tcPr>
            <w:tcW w:w="1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r>
      <w:tr>
        <w:tblPrEx>
          <w:shd w:val="clear" w:color="auto" w:fill="auto"/>
          <w:tblCellMar>
            <w:top w:w="0" w:type="dxa"/>
            <w:left w:w="108" w:type="dxa"/>
            <w:bottom w:w="0" w:type="dxa"/>
            <w:right w:w="108" w:type="dxa"/>
          </w:tblCellMar>
        </w:tblPrEx>
        <w:trPr>
          <w:trHeight w:val="567" w:hRule="atLeast"/>
        </w:trPr>
        <w:tc>
          <w:tcPr>
            <w:tcW w:w="64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156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color w:val="000000"/>
                <w:sz w:val="21"/>
                <w:szCs w:val="21"/>
                <w:lang w:val="en-US" w:eastAsia="zh-CN" w:bidi="ar-SA"/>
              </w:rPr>
            </w:pPr>
            <w:r>
              <w:rPr>
                <w:rFonts w:hint="eastAsia" w:ascii="宋体" w:hAnsi="宋体" w:eastAsia="宋体" w:cs="宋体"/>
                <w:color w:val="000000"/>
                <w:sz w:val="21"/>
                <w:szCs w:val="21"/>
                <w:lang w:val="en-US" w:eastAsia="zh-CN" w:bidi="ar-SA"/>
              </w:rPr>
              <w:t>总计</w:t>
            </w:r>
          </w:p>
        </w:tc>
        <w:tc>
          <w:tcPr>
            <w:tcW w:w="264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c>
          <w:tcPr>
            <w:tcW w:w="70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lang w:val="en-US" w:eastAsia="zh-CN"/>
              </w:rPr>
            </w:pPr>
          </w:p>
        </w:tc>
        <w:tc>
          <w:tcPr>
            <w:tcW w:w="74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c>
          <w:tcPr>
            <w:tcW w:w="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lang w:val="en-US" w:eastAsia="zh-CN"/>
              </w:rPr>
            </w:pPr>
          </w:p>
        </w:tc>
        <w:tc>
          <w:tcPr>
            <w:tcW w:w="7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eastAsia" w:ascii="宋体" w:hAnsi="宋体" w:eastAsia="宋体" w:cs="宋体"/>
                <w:i w:val="0"/>
                <w:iCs w:val="0"/>
                <w:color w:val="000000"/>
                <w:sz w:val="21"/>
                <w:szCs w:val="21"/>
                <w:u w:val="none"/>
                <w:lang w:val="en-US" w:eastAsia="zh-CN"/>
              </w:rPr>
            </w:pPr>
          </w:p>
        </w:tc>
        <w:tc>
          <w:tcPr>
            <w:tcW w:w="157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eastAsia" w:ascii="宋体" w:hAnsi="宋体" w:eastAsia="宋体" w:cs="宋体"/>
                <w:i w:val="0"/>
                <w:iCs w:val="0"/>
                <w:color w:val="000000"/>
                <w:sz w:val="21"/>
                <w:szCs w:val="21"/>
                <w:u w:val="none"/>
              </w:rPr>
            </w:pPr>
          </w:p>
        </w:tc>
      </w:tr>
      <w:bookmarkEnd w:id="0"/>
      <w:bookmarkEnd w:id="1"/>
      <w:bookmarkEnd w:id="2"/>
      <w:bookmarkEnd w:id="3"/>
      <w:bookmarkEnd w:id="4"/>
    </w:tbl>
    <w:p>
      <w:pPr>
        <w:pStyle w:val="13"/>
        <w:spacing w:line="360" w:lineRule="auto"/>
        <w:ind w:firstLine="0" w:firstLineChars="0"/>
        <w:rPr>
          <w:rFonts w:hint="eastAsia" w:ascii="微软雅黑" w:hAnsi="微软雅黑" w:eastAsia="微软雅黑" w:cs="微软雅黑"/>
          <w:b/>
          <w:sz w:val="28"/>
          <w:szCs w:val="28"/>
        </w:rPr>
      </w:pPr>
      <w:r>
        <w:rPr>
          <w:rFonts w:hint="eastAsia" w:ascii="微软雅黑" w:hAnsi="微软雅黑" w:eastAsia="微软雅黑" w:cs="微软雅黑"/>
          <w:b/>
          <w:sz w:val="28"/>
          <w:szCs w:val="28"/>
          <w:lang w:val="en-US" w:eastAsia="zh-CN"/>
        </w:rPr>
        <w:t>5施工</w:t>
      </w:r>
      <w:r>
        <w:rPr>
          <w:rFonts w:hint="eastAsia" w:ascii="微软雅黑" w:hAnsi="微软雅黑" w:eastAsia="微软雅黑" w:cs="微软雅黑"/>
          <w:b/>
          <w:sz w:val="28"/>
          <w:szCs w:val="28"/>
        </w:rPr>
        <w:t>组织措施</w:t>
      </w:r>
    </w:p>
    <w:p>
      <w:pPr>
        <w:pStyle w:val="13"/>
        <w:spacing w:line="360" w:lineRule="auto"/>
        <w:ind w:firstLine="440" w:firstLineChars="200"/>
        <w:rPr>
          <w:rFonts w:ascii="微软雅黑" w:hAnsi="微软雅黑" w:eastAsia="微软雅黑" w:cs="微软雅黑"/>
          <w:sz w:val="22"/>
          <w:szCs w:val="22"/>
        </w:rPr>
      </w:pPr>
      <w:r>
        <w:rPr>
          <w:rFonts w:hint="eastAsia" w:ascii="微软雅黑" w:hAnsi="微软雅黑" w:eastAsia="微软雅黑" w:cs="微软雅黑"/>
          <w:sz w:val="22"/>
          <w:szCs w:val="22"/>
        </w:rPr>
        <w:t>本次改造是在已通车道路上进行，良好的实施组织计划和保畅方案是工程得以顺利实施的保障。施工组织计划应遵循以下原则：</w:t>
      </w:r>
    </w:p>
    <w:p>
      <w:pPr>
        <w:spacing w:line="360" w:lineRule="auto"/>
        <w:ind w:firstLine="480"/>
        <w:rPr>
          <w:rFonts w:ascii="微软雅黑" w:hAnsi="微软雅黑" w:eastAsia="微软雅黑" w:cs="微软雅黑"/>
          <w:sz w:val="22"/>
          <w:szCs w:val="22"/>
        </w:rPr>
      </w:pPr>
      <w:r>
        <w:rPr>
          <w:rFonts w:hint="eastAsia" w:ascii="微软雅黑" w:hAnsi="微软雅黑" w:eastAsia="微软雅黑" w:cs="微软雅黑"/>
          <w:sz w:val="22"/>
          <w:szCs w:val="22"/>
        </w:rPr>
        <w:t>（1）施工组织应最大限度减小对交通影响。</w:t>
      </w:r>
    </w:p>
    <w:p>
      <w:pPr>
        <w:spacing w:line="360" w:lineRule="auto"/>
        <w:ind w:firstLine="480"/>
        <w:rPr>
          <w:rFonts w:ascii="微软雅黑" w:hAnsi="微软雅黑" w:eastAsia="微软雅黑" w:cs="微软雅黑"/>
          <w:sz w:val="22"/>
          <w:szCs w:val="22"/>
        </w:rPr>
      </w:pPr>
      <w:r>
        <w:rPr>
          <w:rFonts w:hint="eastAsia" w:ascii="微软雅黑" w:hAnsi="微软雅黑" w:eastAsia="微软雅黑" w:cs="微软雅黑"/>
          <w:sz w:val="22"/>
          <w:szCs w:val="22"/>
        </w:rPr>
        <w:t>（2）保障施工人员和设备安全。</w:t>
      </w:r>
    </w:p>
    <w:p>
      <w:pPr>
        <w:spacing w:line="360" w:lineRule="auto"/>
        <w:ind w:firstLine="480"/>
        <w:rPr>
          <w:rFonts w:ascii="微软雅黑" w:hAnsi="微软雅黑" w:eastAsia="微软雅黑" w:cs="微软雅黑"/>
          <w:sz w:val="22"/>
          <w:szCs w:val="22"/>
        </w:rPr>
      </w:pPr>
      <w:r>
        <w:rPr>
          <w:rFonts w:hint="eastAsia" w:ascii="微软雅黑" w:hAnsi="微软雅黑" w:eastAsia="微软雅黑" w:cs="微软雅黑"/>
          <w:sz w:val="22"/>
          <w:szCs w:val="22"/>
        </w:rPr>
        <w:t>（3）需满足重庆市营运高速公路施工标准化管理办法(重庆市交通委员会公布)。</w:t>
      </w:r>
    </w:p>
    <w:p>
      <w:pPr>
        <w:spacing w:line="360" w:lineRule="auto"/>
        <w:ind w:firstLine="480"/>
        <w:rPr>
          <w:rFonts w:ascii="微软雅黑" w:hAnsi="微软雅黑" w:eastAsia="微软雅黑" w:cs="微软雅黑"/>
          <w:sz w:val="22"/>
          <w:szCs w:val="22"/>
        </w:rPr>
      </w:pPr>
      <w:r>
        <w:rPr>
          <w:rFonts w:hint="eastAsia" w:ascii="微软雅黑" w:hAnsi="微软雅黑" w:eastAsia="微软雅黑" w:cs="微软雅黑"/>
          <w:sz w:val="22"/>
          <w:szCs w:val="22"/>
        </w:rPr>
        <w:t>（4）在施工过程中，需封闭施工区域的，应采用封闭施工隧道、车道作业。</w:t>
      </w:r>
    </w:p>
    <w:p>
      <w:pPr>
        <w:spacing w:line="360" w:lineRule="auto"/>
        <w:ind w:firstLine="480"/>
        <w:rPr>
          <w:rFonts w:ascii="微软雅黑" w:hAnsi="微软雅黑" w:eastAsia="微软雅黑" w:cs="微软雅黑"/>
          <w:sz w:val="22"/>
          <w:szCs w:val="22"/>
        </w:rPr>
      </w:pPr>
      <w:r>
        <w:rPr>
          <w:rFonts w:hint="eastAsia" w:ascii="微软雅黑" w:hAnsi="微软雅黑" w:eastAsia="微软雅黑" w:cs="微软雅黑"/>
          <w:sz w:val="22"/>
          <w:szCs w:val="22"/>
        </w:rPr>
        <w:t>（5）施工单位在施工前，应结合本单位自身情况，编写详细施工组织计划，待相关各方批准后方可进行施工。</w:t>
      </w:r>
    </w:p>
    <w:p>
      <w:pPr>
        <w:keepNext w:val="0"/>
        <w:keepLines w:val="0"/>
        <w:pageBreakBefore w:val="0"/>
        <w:kinsoku/>
        <w:wordWrap/>
        <w:overflowPunct/>
        <w:topLinePunct w:val="0"/>
        <w:autoSpaceDE/>
        <w:autoSpaceDN/>
        <w:bidi w:val="0"/>
        <w:adjustRightInd w:val="0"/>
        <w:snapToGrid w:val="0"/>
        <w:spacing w:line="360" w:lineRule="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val="0"/>
        <w:snapToGrid w:val="0"/>
        <w:spacing w:line="360" w:lineRule="auto"/>
        <w:rPr>
          <w:rFonts w:hint="eastAsia" w:ascii="宋体" w:hAnsi="宋体" w:eastAsia="宋体" w:cs="宋体"/>
          <w:bCs/>
          <w:sz w:val="24"/>
          <w:szCs w:val="24"/>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新宋体">
    <w:panose1 w:val="02010609030101010101"/>
    <w:charset w:val="86"/>
    <w:family w:val="modern"/>
    <w:pitch w:val="default"/>
    <w:sig w:usb0="00000203" w:usb1="288F0000" w:usb2="00000006" w:usb3="00000000" w:csb0="00040001" w:csb1="00000000"/>
  </w:font>
  <w:font w:name="微软雅黑">
    <w:panose1 w:val="020B0503020204020204"/>
    <w:charset w:val="86"/>
    <w:family w:val="swiss"/>
    <w:pitch w:val="default"/>
    <w:sig w:usb0="80000287" w:usb1="2ACF3C50" w:usb2="00000016" w:usb3="00000000" w:csb0="0004001F" w:csb1="00000000"/>
  </w:font>
  <w:font w:name="方正楷体_GBK">
    <w:altName w:val="微软雅黑"/>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D"/>
    <w:multiLevelType w:val="multilevel"/>
    <w:tmpl w:val="0000000D"/>
    <w:lvl w:ilvl="0" w:tentative="0">
      <w:start w:val="1"/>
      <w:numFmt w:val="bullet"/>
      <w:lvlText w:val=""/>
      <w:lvlJc w:val="left"/>
      <w:pPr>
        <w:tabs>
          <w:tab w:val="left" w:pos="840"/>
        </w:tabs>
        <w:ind w:left="840" w:hanging="420"/>
      </w:pPr>
      <w:rPr>
        <w:rFonts w:hint="default" w:ascii="Wingdings" w:hAnsi="Wingdings"/>
      </w:rPr>
    </w:lvl>
    <w:lvl w:ilvl="1" w:tentative="0">
      <w:start w:val="1"/>
      <w:numFmt w:val="bullet"/>
      <w:pStyle w:val="12"/>
      <w:lvlText w:val=""/>
      <w:lvlJc w:val="left"/>
      <w:pPr>
        <w:tabs>
          <w:tab w:val="left" w:pos="1260"/>
        </w:tabs>
        <w:ind w:left="1260" w:hanging="420"/>
      </w:pPr>
      <w:rPr>
        <w:rFonts w:hint="default" w:ascii="Wingdings" w:hAnsi="Wingdings"/>
      </w:rPr>
    </w:lvl>
    <w:lvl w:ilvl="2" w:tentative="0">
      <w:start w:val="1"/>
      <w:numFmt w:val="bullet"/>
      <w:lvlText w:val=""/>
      <w:lvlJc w:val="left"/>
      <w:pPr>
        <w:tabs>
          <w:tab w:val="left" w:pos="1680"/>
        </w:tabs>
        <w:ind w:left="1680" w:hanging="420"/>
      </w:pPr>
      <w:rPr>
        <w:rFonts w:hint="default" w:ascii="Wingdings" w:hAnsi="Wingdings"/>
      </w:rPr>
    </w:lvl>
    <w:lvl w:ilvl="3" w:tentative="0">
      <w:start w:val="1"/>
      <w:numFmt w:val="bullet"/>
      <w:lvlText w:val=""/>
      <w:lvlJc w:val="left"/>
      <w:pPr>
        <w:tabs>
          <w:tab w:val="left" w:pos="2100"/>
        </w:tabs>
        <w:ind w:left="2100" w:hanging="420"/>
      </w:pPr>
      <w:rPr>
        <w:rFonts w:hint="default" w:ascii="Wingdings" w:hAnsi="Wingdings"/>
      </w:rPr>
    </w:lvl>
    <w:lvl w:ilvl="4" w:tentative="0">
      <w:start w:val="1"/>
      <w:numFmt w:val="bullet"/>
      <w:lvlText w:val=""/>
      <w:lvlJc w:val="left"/>
      <w:pPr>
        <w:tabs>
          <w:tab w:val="left" w:pos="2520"/>
        </w:tabs>
        <w:ind w:left="2520" w:hanging="420"/>
      </w:pPr>
      <w:rPr>
        <w:rFonts w:hint="default" w:ascii="Wingdings" w:hAnsi="Wingdings"/>
      </w:rPr>
    </w:lvl>
    <w:lvl w:ilvl="5" w:tentative="0">
      <w:start w:val="1"/>
      <w:numFmt w:val="bullet"/>
      <w:lvlText w:val=""/>
      <w:lvlJc w:val="left"/>
      <w:pPr>
        <w:tabs>
          <w:tab w:val="left" w:pos="2940"/>
        </w:tabs>
        <w:ind w:left="2940" w:hanging="420"/>
      </w:pPr>
      <w:rPr>
        <w:rFonts w:hint="default" w:ascii="Wingdings" w:hAnsi="Wingdings"/>
      </w:rPr>
    </w:lvl>
    <w:lvl w:ilvl="6" w:tentative="0">
      <w:start w:val="1"/>
      <w:numFmt w:val="bullet"/>
      <w:lvlText w:val=""/>
      <w:lvlJc w:val="left"/>
      <w:pPr>
        <w:tabs>
          <w:tab w:val="left" w:pos="3360"/>
        </w:tabs>
        <w:ind w:left="3360" w:hanging="420"/>
      </w:pPr>
      <w:rPr>
        <w:rFonts w:hint="default" w:ascii="Wingdings" w:hAnsi="Wingdings"/>
      </w:rPr>
    </w:lvl>
    <w:lvl w:ilvl="7" w:tentative="0">
      <w:start w:val="1"/>
      <w:numFmt w:val="bullet"/>
      <w:lvlText w:val=""/>
      <w:lvlJc w:val="left"/>
      <w:pPr>
        <w:tabs>
          <w:tab w:val="left" w:pos="3780"/>
        </w:tabs>
        <w:ind w:left="3780" w:hanging="420"/>
      </w:pPr>
      <w:rPr>
        <w:rFonts w:hint="default" w:ascii="Wingdings" w:hAnsi="Wingdings"/>
      </w:rPr>
    </w:lvl>
    <w:lvl w:ilvl="8" w:tentative="0">
      <w:start w:val="1"/>
      <w:numFmt w:val="bullet"/>
      <w:lvlText w:val=""/>
      <w:lvlJc w:val="left"/>
      <w:pPr>
        <w:tabs>
          <w:tab w:val="left" w:pos="4200"/>
        </w:tabs>
        <w:ind w:left="4200" w:hanging="420"/>
      </w:pPr>
      <w:rPr>
        <w:rFonts w:hint="default" w:ascii="Wingdings" w:hAnsi="Wingdings"/>
      </w:rPr>
    </w:lvl>
  </w:abstractNum>
  <w:abstractNum w:abstractNumId="1">
    <w:nsid w:val="0A760F1C"/>
    <w:multiLevelType w:val="multilevel"/>
    <w:tmpl w:val="0A760F1C"/>
    <w:lvl w:ilvl="0" w:tentative="0">
      <w:start w:val="1"/>
      <w:numFmt w:val="decimal"/>
      <w:pStyle w:val="19"/>
      <w:suff w:val="space"/>
      <w:lvlText w:val="第%1章"/>
      <w:lvlJc w:val="center"/>
      <w:pPr>
        <w:ind w:left="2689" w:firstLine="288"/>
      </w:pPr>
      <w:rPr>
        <w:rFonts w:hint="eastAsia" w:ascii="黑体" w:hAnsi="黑体" w:eastAsia="黑体"/>
        <w:sz w:val="36"/>
      </w:rPr>
    </w:lvl>
    <w:lvl w:ilvl="1" w:tentative="0">
      <w:start w:val="1"/>
      <w:numFmt w:val="decimal"/>
      <w:pStyle w:val="17"/>
      <w:suff w:val="space"/>
      <w:lvlText w:val="%1.%2"/>
      <w:lvlJc w:val="left"/>
      <w:pPr>
        <w:ind w:left="0" w:firstLine="0"/>
      </w:pPr>
      <w:rPr>
        <w:rFonts w:hint="eastAsia" w:ascii="黑体" w:hAnsi="黑体" w:eastAsia="黑体"/>
        <w:sz w:val="30"/>
      </w:rPr>
    </w:lvl>
    <w:lvl w:ilvl="2" w:tentative="0">
      <w:start w:val="1"/>
      <w:numFmt w:val="decimal"/>
      <w:pStyle w:val="18"/>
      <w:suff w:val="space"/>
      <w:lvlText w:val="%1.%2.%3"/>
      <w:lvlJc w:val="left"/>
      <w:pPr>
        <w:ind w:left="0" w:firstLine="0"/>
      </w:pPr>
      <w:rPr>
        <w:rFonts w:hint="eastAsia" w:ascii="黑体" w:hAnsi="黑体" w:eastAsia="黑体"/>
        <w:sz w:val="28"/>
      </w:rPr>
    </w:lvl>
    <w:lvl w:ilvl="3" w:tentative="0">
      <w:start w:val="1"/>
      <w:numFmt w:val="decimal"/>
      <w:suff w:val="space"/>
      <w:lvlText w:val="%1.%2.%3.%4"/>
      <w:lvlJc w:val="left"/>
      <w:pPr>
        <w:ind w:left="0" w:firstLine="0"/>
      </w:pPr>
      <w:rPr>
        <w:rFonts w:hint="eastAsia" w:ascii="黑体" w:hAnsi="黑体" w:eastAsia="黑体"/>
        <w:sz w:val="24"/>
      </w:rPr>
    </w:lvl>
    <w:lvl w:ilvl="4" w:tentative="0">
      <w:start w:val="1"/>
      <w:numFmt w:val="decimal"/>
      <w:lvlText w:val="%1.%2.%3.%4.%5"/>
      <w:lvlJc w:val="left"/>
      <w:pPr>
        <w:ind w:left="0" w:firstLine="0"/>
      </w:pPr>
      <w:rPr>
        <w:rFonts w:hint="eastAsia"/>
      </w:rPr>
    </w:lvl>
    <w:lvl w:ilvl="5" w:tentative="0">
      <w:start w:val="1"/>
      <w:numFmt w:val="decima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2">
    <w:nsid w:val="13177E1D"/>
    <w:multiLevelType w:val="multilevel"/>
    <w:tmpl w:val="13177E1D"/>
    <w:lvl w:ilvl="0" w:tentative="0">
      <w:start w:val="1"/>
      <w:numFmt w:val="decimal"/>
      <w:lvlText w:val="%1)"/>
      <w:lvlJc w:val="left"/>
      <w:pPr>
        <w:ind w:left="420" w:hanging="420"/>
      </w:pPr>
      <w:rPr>
        <w:rFonts w:hint="default" w:ascii="微软雅黑" w:hAnsi="微软雅黑" w:eastAsia="微软雅黑" w:cs="微软雅黑"/>
        <w:sz w:val="22"/>
        <w:szCs w:val="2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72DC27C7"/>
    <w:multiLevelType w:val="multilevel"/>
    <w:tmpl w:val="72DC27C7"/>
    <w:lvl w:ilvl="0" w:tentative="0">
      <w:start w:val="1"/>
      <w:numFmt w:val="decimal"/>
      <w:pStyle w:val="3"/>
      <w:lvlText w:val="%1"/>
      <w:lvlJc w:val="left"/>
      <w:pPr>
        <w:ind w:left="432" w:hanging="432"/>
      </w:pPr>
    </w:lvl>
    <w:lvl w:ilvl="1" w:tentative="0">
      <w:start w:val="1"/>
      <w:numFmt w:val="decimal"/>
      <w:pStyle w:val="4"/>
      <w:lvlText w:val="%1.%2"/>
      <w:lvlJc w:val="left"/>
      <w:pPr>
        <w:ind w:left="576" w:hanging="576"/>
      </w:pPr>
    </w:lvl>
    <w:lvl w:ilvl="2" w:tentative="0">
      <w:start w:val="1"/>
      <w:numFmt w:val="decimal"/>
      <w:pStyle w:val="5"/>
      <w:lvlText w:val="%1.%2.%3"/>
      <w:lvlJc w:val="left"/>
      <w:pPr>
        <w:ind w:left="720" w:hanging="720"/>
      </w:pPr>
    </w:lvl>
    <w:lvl w:ilvl="3" w:tentative="0">
      <w:start w:val="1"/>
      <w:numFmt w:val="decimal"/>
      <w:lvlText w:val="%1.%2.%3.%4"/>
      <w:lvlJc w:val="left"/>
      <w:pPr>
        <w:ind w:left="864" w:hanging="864"/>
      </w:pPr>
    </w:lvl>
    <w:lvl w:ilvl="4" w:tentative="0">
      <w:start w:val="1"/>
      <w:numFmt w:val="decimal"/>
      <w:lvlText w:val="%1.%2.%3.%4.%5"/>
      <w:lvlJc w:val="left"/>
      <w:pPr>
        <w:ind w:left="1008" w:hanging="1008"/>
      </w:pPr>
    </w:lvl>
    <w:lvl w:ilvl="5" w:tentative="0">
      <w:start w:val="1"/>
      <w:numFmt w:val="decimal"/>
      <w:lvlText w:val="%1.%2.%3.%4.%5.%6"/>
      <w:lvlJc w:val="left"/>
      <w:pPr>
        <w:ind w:left="1152" w:hanging="1152"/>
      </w:pPr>
    </w:lvl>
    <w:lvl w:ilvl="6" w:tentative="0">
      <w:start w:val="1"/>
      <w:numFmt w:val="decimal"/>
      <w:lvlText w:val="%1.%2.%3.%4.%5.%6.%7"/>
      <w:lvlJc w:val="left"/>
      <w:pPr>
        <w:ind w:left="1296" w:hanging="1296"/>
      </w:pPr>
    </w:lvl>
    <w:lvl w:ilvl="7" w:tentative="0">
      <w:start w:val="1"/>
      <w:numFmt w:val="decimal"/>
      <w:lvlText w:val="%1.%2.%3.%4.%5.%6.%7.%8"/>
      <w:lvlJc w:val="left"/>
      <w:pPr>
        <w:ind w:left="1440" w:hanging="1440"/>
      </w:pPr>
    </w:lvl>
    <w:lvl w:ilvl="8" w:tentative="0">
      <w:start w:val="1"/>
      <w:numFmt w:val="decimal"/>
      <w:lvlText w:val="%1.%2.%3.%4.%5.%6.%7.%8.%9"/>
      <w:lvlJc w:val="left"/>
      <w:pPr>
        <w:ind w:left="1584" w:hanging="1584"/>
      </w:p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documentProtection w:enforcement="0"/>
  <w:defaultTabStop w:val="420"/>
  <w:drawingGridVerticalSpacing w:val="156"/>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2"/>
  </w:compat>
  <w:docVars>
    <w:docVar w:name="commondata" w:val="eyJoZGlkIjoiYjIyOTgxZDQ2NDRhY2Q1ZGYxNmUzNGZlNWI1NGM1OWQifQ=="/>
  </w:docVars>
  <w:rsids>
    <w:rsidRoot w:val="00172A27"/>
    <w:rsid w:val="000627DF"/>
    <w:rsid w:val="000C0FE3"/>
    <w:rsid w:val="00162862"/>
    <w:rsid w:val="00172A27"/>
    <w:rsid w:val="001A7194"/>
    <w:rsid w:val="001B6704"/>
    <w:rsid w:val="001D0551"/>
    <w:rsid w:val="00212C47"/>
    <w:rsid w:val="002B292F"/>
    <w:rsid w:val="00327213"/>
    <w:rsid w:val="00355926"/>
    <w:rsid w:val="00375F38"/>
    <w:rsid w:val="0049639E"/>
    <w:rsid w:val="004B4E02"/>
    <w:rsid w:val="00622267"/>
    <w:rsid w:val="00654D03"/>
    <w:rsid w:val="00704AC5"/>
    <w:rsid w:val="007C005D"/>
    <w:rsid w:val="008E4975"/>
    <w:rsid w:val="0090756D"/>
    <w:rsid w:val="009A4B6B"/>
    <w:rsid w:val="00A34BB2"/>
    <w:rsid w:val="00A92EDC"/>
    <w:rsid w:val="00B01516"/>
    <w:rsid w:val="00BC0DAA"/>
    <w:rsid w:val="00C17871"/>
    <w:rsid w:val="00C30B00"/>
    <w:rsid w:val="00C80899"/>
    <w:rsid w:val="00C92E0E"/>
    <w:rsid w:val="00CC6312"/>
    <w:rsid w:val="00D30192"/>
    <w:rsid w:val="00D50F17"/>
    <w:rsid w:val="00E3725E"/>
    <w:rsid w:val="00E53202"/>
    <w:rsid w:val="00ED5F5F"/>
    <w:rsid w:val="01C91719"/>
    <w:rsid w:val="01DF2ED8"/>
    <w:rsid w:val="03254F4B"/>
    <w:rsid w:val="03E81A8E"/>
    <w:rsid w:val="0595616A"/>
    <w:rsid w:val="10D17BBE"/>
    <w:rsid w:val="10DA2A7C"/>
    <w:rsid w:val="118A2528"/>
    <w:rsid w:val="15114852"/>
    <w:rsid w:val="167364D6"/>
    <w:rsid w:val="17DD6D76"/>
    <w:rsid w:val="1AC93139"/>
    <w:rsid w:val="1B110B80"/>
    <w:rsid w:val="1C524DC1"/>
    <w:rsid w:val="1F6B32B7"/>
    <w:rsid w:val="21F030DA"/>
    <w:rsid w:val="22692FED"/>
    <w:rsid w:val="23DB53FF"/>
    <w:rsid w:val="25795BC2"/>
    <w:rsid w:val="264D0480"/>
    <w:rsid w:val="281D3C2A"/>
    <w:rsid w:val="28ED3953"/>
    <w:rsid w:val="2A3A4688"/>
    <w:rsid w:val="2C8E25D3"/>
    <w:rsid w:val="2DC7118A"/>
    <w:rsid w:val="2DC7427F"/>
    <w:rsid w:val="2E23194C"/>
    <w:rsid w:val="2E9F2F97"/>
    <w:rsid w:val="2F7B4DDE"/>
    <w:rsid w:val="2F7D7F00"/>
    <w:rsid w:val="2FD750E0"/>
    <w:rsid w:val="353F29DC"/>
    <w:rsid w:val="35A3428A"/>
    <w:rsid w:val="35E41B3B"/>
    <w:rsid w:val="36527A5E"/>
    <w:rsid w:val="367A3D06"/>
    <w:rsid w:val="3701326B"/>
    <w:rsid w:val="3BA44648"/>
    <w:rsid w:val="3BB152DF"/>
    <w:rsid w:val="3EA51073"/>
    <w:rsid w:val="41A616E8"/>
    <w:rsid w:val="41E97D7E"/>
    <w:rsid w:val="42484493"/>
    <w:rsid w:val="424B5797"/>
    <w:rsid w:val="43660872"/>
    <w:rsid w:val="437A2418"/>
    <w:rsid w:val="43B9736F"/>
    <w:rsid w:val="45986892"/>
    <w:rsid w:val="4C673FD7"/>
    <w:rsid w:val="4EC9395B"/>
    <w:rsid w:val="4FA55161"/>
    <w:rsid w:val="52CD788D"/>
    <w:rsid w:val="53F82195"/>
    <w:rsid w:val="56AE31C9"/>
    <w:rsid w:val="56B544E7"/>
    <w:rsid w:val="59FA6FA2"/>
    <w:rsid w:val="5A1D4A73"/>
    <w:rsid w:val="5B2C47BC"/>
    <w:rsid w:val="5D227CBB"/>
    <w:rsid w:val="5DC86ED4"/>
    <w:rsid w:val="5E337ECD"/>
    <w:rsid w:val="623F41FE"/>
    <w:rsid w:val="62F0460F"/>
    <w:rsid w:val="62FC6537"/>
    <w:rsid w:val="64421942"/>
    <w:rsid w:val="65175067"/>
    <w:rsid w:val="65BC3524"/>
    <w:rsid w:val="664B54E0"/>
    <w:rsid w:val="66933B8F"/>
    <w:rsid w:val="67FB48BC"/>
    <w:rsid w:val="680162BC"/>
    <w:rsid w:val="696A0D56"/>
    <w:rsid w:val="6D336CD5"/>
    <w:rsid w:val="6FA36FD8"/>
    <w:rsid w:val="70056DFD"/>
    <w:rsid w:val="70C01100"/>
    <w:rsid w:val="711B172C"/>
    <w:rsid w:val="738A1D7F"/>
    <w:rsid w:val="73935A4A"/>
    <w:rsid w:val="747F46FE"/>
    <w:rsid w:val="75F85EA4"/>
    <w:rsid w:val="786344AC"/>
    <w:rsid w:val="78DC460F"/>
    <w:rsid w:val="7DF055EC"/>
    <w:rsid w:val="7EB31C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cs="宋体" w:asciiTheme="minorHAnsi" w:hAnsiTheme="minorHAnsi" w:eastAsiaTheme="minorEastAsia"/>
      <w:sz w:val="24"/>
      <w:szCs w:val="24"/>
      <w:lang w:val="en-US" w:eastAsia="zh-CN" w:bidi="ar-SA"/>
    </w:rPr>
  </w:style>
  <w:style w:type="paragraph" w:styleId="3">
    <w:name w:val="heading 1"/>
    <w:basedOn w:val="1"/>
    <w:next w:val="1"/>
    <w:qFormat/>
    <w:uiPriority w:val="0"/>
    <w:pPr>
      <w:keepNext/>
      <w:keepLines/>
      <w:numPr>
        <w:ilvl w:val="0"/>
        <w:numId w:val="1"/>
      </w:numPr>
      <w:spacing w:before="340" w:after="330" w:line="578" w:lineRule="auto"/>
      <w:outlineLvl w:val="0"/>
    </w:pPr>
    <w:rPr>
      <w:b/>
      <w:bCs/>
      <w:kern w:val="44"/>
      <w:sz w:val="44"/>
      <w:szCs w:val="44"/>
    </w:rPr>
  </w:style>
  <w:style w:type="paragraph" w:styleId="4">
    <w:name w:val="heading 2"/>
    <w:basedOn w:val="1"/>
    <w:next w:val="1"/>
    <w:unhideWhenUsed/>
    <w:qFormat/>
    <w:uiPriority w:val="0"/>
    <w:pPr>
      <w:keepNext/>
      <w:keepLines/>
      <w:numPr>
        <w:ilvl w:val="1"/>
        <w:numId w:val="1"/>
      </w:numPr>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unhideWhenUsed/>
    <w:qFormat/>
    <w:uiPriority w:val="0"/>
    <w:pPr>
      <w:keepNext/>
      <w:keepLines/>
      <w:numPr>
        <w:ilvl w:val="2"/>
        <w:numId w:val="1"/>
      </w:numPr>
      <w:spacing w:before="260" w:after="260" w:line="416" w:lineRule="auto"/>
      <w:outlineLvl w:val="2"/>
    </w:pPr>
    <w:rPr>
      <w:b/>
      <w:bCs/>
      <w:sz w:val="32"/>
      <w:szCs w:val="32"/>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toc 1"/>
    <w:basedOn w:val="1"/>
    <w:next w:val="1"/>
    <w:qFormat/>
    <w:uiPriority w:val="0"/>
    <w:pPr>
      <w:widowControl w:val="0"/>
      <w:adjustRightInd/>
      <w:snapToGrid/>
      <w:spacing w:after="0"/>
      <w:jc w:val="both"/>
    </w:pPr>
    <w:rPr>
      <w:rFonts w:ascii="Calibri" w:hAnsi="Calibri" w:eastAsia="宋体" w:cs="Times New Roman"/>
      <w:kern w:val="2"/>
      <w:sz w:val="21"/>
      <w:szCs w:val="20"/>
    </w:rPr>
  </w:style>
  <w:style w:type="paragraph" w:styleId="6">
    <w:name w:val="Date"/>
    <w:basedOn w:val="1"/>
    <w:next w:val="1"/>
    <w:link w:val="22"/>
    <w:qFormat/>
    <w:uiPriority w:val="0"/>
    <w:pPr>
      <w:ind w:left="100" w:leftChars="2500"/>
    </w:pPr>
  </w:style>
  <w:style w:type="paragraph" w:styleId="7">
    <w:name w:val="footer"/>
    <w:basedOn w:val="1"/>
    <w:link w:val="24"/>
    <w:qFormat/>
    <w:uiPriority w:val="0"/>
    <w:pPr>
      <w:tabs>
        <w:tab w:val="center" w:pos="4153"/>
        <w:tab w:val="right" w:pos="8306"/>
      </w:tabs>
      <w:snapToGrid w:val="0"/>
      <w:jc w:val="left"/>
    </w:pPr>
    <w:rPr>
      <w:sz w:val="18"/>
      <w:szCs w:val="18"/>
    </w:rPr>
  </w:style>
  <w:style w:type="paragraph" w:styleId="8">
    <w:name w:val="header"/>
    <w:basedOn w:val="1"/>
    <w:link w:val="23"/>
    <w:qFormat/>
    <w:uiPriority w:val="0"/>
    <w:pPr>
      <w:pBdr>
        <w:bottom w:val="single" w:color="auto" w:sz="6" w:space="1"/>
      </w:pBdr>
      <w:tabs>
        <w:tab w:val="center" w:pos="4153"/>
        <w:tab w:val="right" w:pos="8306"/>
      </w:tabs>
      <w:snapToGrid w:val="0"/>
      <w:jc w:val="center"/>
    </w:pPr>
    <w:rPr>
      <w:sz w:val="18"/>
      <w:szCs w:val="18"/>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2">
    <w:name w:val="设计说明2"/>
    <w:basedOn w:val="1"/>
    <w:qFormat/>
    <w:uiPriority w:val="0"/>
    <w:pPr>
      <w:numPr>
        <w:ilvl w:val="1"/>
        <w:numId w:val="2"/>
      </w:numPr>
      <w:tabs>
        <w:tab w:val="left" w:pos="630"/>
      </w:tabs>
      <w:spacing w:before="120" w:after="120" w:line="400" w:lineRule="exact"/>
      <w:outlineLvl w:val="1"/>
    </w:pPr>
    <w:rPr>
      <w:rFonts w:ascii="新宋体" w:hAnsi="新宋体" w:eastAsia="宋体" w:cs="Times New Roman"/>
      <w:b/>
      <w:kern w:val="2"/>
      <w:sz w:val="28"/>
      <w:szCs w:val="20"/>
    </w:rPr>
  </w:style>
  <w:style w:type="paragraph" w:customStyle="1" w:styleId="13">
    <w:name w:val="内容"/>
    <w:basedOn w:val="1"/>
    <w:qFormat/>
    <w:uiPriority w:val="0"/>
    <w:pPr>
      <w:spacing w:line="480" w:lineRule="exact"/>
      <w:ind w:firstLine="200" w:firstLineChars="200"/>
    </w:pPr>
  </w:style>
  <w:style w:type="paragraph" w:customStyle="1" w:styleId="14">
    <w:name w:val="内容文本"/>
    <w:basedOn w:val="15"/>
    <w:qFormat/>
    <w:uiPriority w:val="0"/>
    <w:pPr>
      <w:ind w:left="0" w:firstLine="200" w:firstLineChars="200"/>
      <w:jc w:val="left"/>
    </w:pPr>
    <w:rPr>
      <w:rFonts w:ascii="宋体" w:hAnsi="宋体"/>
      <w:lang w:eastAsia="en-US" w:bidi="en-US"/>
    </w:rPr>
  </w:style>
  <w:style w:type="paragraph" w:customStyle="1" w:styleId="15">
    <w:name w:val="_Style 4"/>
    <w:basedOn w:val="1"/>
    <w:qFormat/>
    <w:uiPriority w:val="34"/>
    <w:pPr>
      <w:ind w:left="720"/>
      <w:contextualSpacing/>
    </w:pPr>
    <w:rPr>
      <w:rFonts w:ascii="Calibri" w:hAnsi="Calibri"/>
    </w:rPr>
  </w:style>
  <w:style w:type="paragraph" w:customStyle="1" w:styleId="16">
    <w:name w:val="图表批注"/>
    <w:basedOn w:val="14"/>
    <w:qFormat/>
    <w:uiPriority w:val="0"/>
    <w:pPr>
      <w:ind w:firstLine="0" w:firstLineChars="0"/>
      <w:jc w:val="center"/>
    </w:pPr>
    <w:rPr>
      <w:sz w:val="21"/>
    </w:rPr>
  </w:style>
  <w:style w:type="paragraph" w:customStyle="1" w:styleId="17">
    <w:name w:val="2级标题"/>
    <w:basedOn w:val="15"/>
    <w:qFormat/>
    <w:uiPriority w:val="0"/>
    <w:pPr>
      <w:keepLines/>
      <w:numPr>
        <w:ilvl w:val="1"/>
        <w:numId w:val="3"/>
      </w:numPr>
      <w:spacing w:before="240" w:after="120"/>
      <w:jc w:val="left"/>
      <w:outlineLvl w:val="1"/>
    </w:pPr>
    <w:rPr>
      <w:rFonts w:ascii="黑体" w:hAnsi="黑体" w:eastAsia="黑体"/>
      <w:sz w:val="32"/>
      <w:szCs w:val="36"/>
      <w:lang w:eastAsia="en-US" w:bidi="en-US"/>
    </w:rPr>
  </w:style>
  <w:style w:type="paragraph" w:customStyle="1" w:styleId="18">
    <w:name w:val="3级标题"/>
    <w:basedOn w:val="15"/>
    <w:qFormat/>
    <w:uiPriority w:val="0"/>
    <w:pPr>
      <w:keepLines/>
      <w:numPr>
        <w:ilvl w:val="2"/>
        <w:numId w:val="3"/>
      </w:numPr>
      <w:spacing w:before="120" w:after="120"/>
      <w:jc w:val="left"/>
      <w:outlineLvl w:val="2"/>
    </w:pPr>
    <w:rPr>
      <w:rFonts w:ascii="黑体" w:hAnsi="黑体" w:eastAsia="黑体"/>
      <w:sz w:val="28"/>
      <w:szCs w:val="36"/>
      <w:lang w:eastAsia="en-US" w:bidi="en-US"/>
    </w:rPr>
  </w:style>
  <w:style w:type="paragraph" w:customStyle="1" w:styleId="19">
    <w:name w:val="1级标题"/>
    <w:basedOn w:val="15"/>
    <w:qFormat/>
    <w:uiPriority w:val="0"/>
    <w:pPr>
      <w:keepLines/>
      <w:pageBreakBefore/>
      <w:numPr>
        <w:ilvl w:val="0"/>
        <w:numId w:val="3"/>
      </w:numPr>
      <w:spacing w:before="240" w:after="240"/>
      <w:jc w:val="center"/>
      <w:outlineLvl w:val="0"/>
    </w:pPr>
    <w:rPr>
      <w:rFonts w:ascii="黑体" w:hAnsi="黑体" w:eastAsia="黑体"/>
      <w:sz w:val="36"/>
      <w:szCs w:val="36"/>
      <w:lang w:eastAsia="en-US" w:bidi="en-US"/>
    </w:rPr>
  </w:style>
  <w:style w:type="character" w:customStyle="1" w:styleId="20">
    <w:name w:val="font21"/>
    <w:basedOn w:val="11"/>
    <w:qFormat/>
    <w:uiPriority w:val="0"/>
    <w:rPr>
      <w:rFonts w:hint="eastAsia" w:ascii="宋体" w:hAnsi="宋体" w:eastAsia="宋体" w:cs="宋体"/>
      <w:color w:val="000000"/>
      <w:sz w:val="20"/>
      <w:szCs w:val="20"/>
      <w:u w:val="none"/>
    </w:rPr>
  </w:style>
  <w:style w:type="character" w:customStyle="1" w:styleId="21">
    <w:name w:val="font01"/>
    <w:basedOn w:val="11"/>
    <w:qFormat/>
    <w:uiPriority w:val="0"/>
    <w:rPr>
      <w:rFonts w:hint="default" w:ascii="Times New Roman" w:hAnsi="Times New Roman" w:cs="Times New Roman"/>
      <w:color w:val="000000"/>
      <w:sz w:val="20"/>
      <w:szCs w:val="20"/>
      <w:u w:val="none"/>
    </w:rPr>
  </w:style>
  <w:style w:type="character" w:customStyle="1" w:styleId="22">
    <w:name w:val="日期 字符"/>
    <w:basedOn w:val="11"/>
    <w:link w:val="6"/>
    <w:qFormat/>
    <w:uiPriority w:val="0"/>
    <w:rPr>
      <w:rFonts w:cs="宋体" w:asciiTheme="minorHAnsi" w:hAnsiTheme="minorHAnsi" w:eastAsiaTheme="minorEastAsia"/>
      <w:sz w:val="24"/>
      <w:szCs w:val="24"/>
    </w:rPr>
  </w:style>
  <w:style w:type="character" w:customStyle="1" w:styleId="23">
    <w:name w:val="页眉 字符"/>
    <w:basedOn w:val="11"/>
    <w:link w:val="8"/>
    <w:qFormat/>
    <w:uiPriority w:val="0"/>
    <w:rPr>
      <w:rFonts w:cs="宋体" w:asciiTheme="minorHAnsi" w:hAnsiTheme="minorHAnsi" w:eastAsiaTheme="minorEastAsia"/>
      <w:sz w:val="18"/>
      <w:szCs w:val="18"/>
    </w:rPr>
  </w:style>
  <w:style w:type="character" w:customStyle="1" w:styleId="24">
    <w:name w:val="页脚 字符"/>
    <w:basedOn w:val="11"/>
    <w:link w:val="7"/>
    <w:qFormat/>
    <w:uiPriority w:val="0"/>
    <w:rPr>
      <w:rFonts w:cs="宋体" w:asciiTheme="minorHAnsi" w:hAnsiTheme="minorHAnsi" w:eastAsiaTheme="minorEastAsia"/>
      <w:sz w:val="18"/>
      <w:szCs w:val="18"/>
    </w:rPr>
  </w:style>
  <w:style w:type="paragraph" w:customStyle="1" w:styleId="25">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Kingsoft</Company>
  <Pages>8</Pages>
  <Words>2412</Words>
  <Characters>2683</Characters>
  <Lines>42</Lines>
  <Paragraphs>12</Paragraphs>
  <TotalTime>2</TotalTime>
  <ScaleCrop>false</ScaleCrop>
  <LinksUpToDate>false</LinksUpToDate>
  <CharactersWithSpaces>2720</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zhaoxinlei</dc:creator>
  <cp:lastModifiedBy>蘸踪辜糯掖</cp:lastModifiedBy>
  <dcterms:modified xsi:type="dcterms:W3CDTF">2023-08-04T11:10:35Z</dcterms:modified>
  <cp:revision>16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7F08B3E408194BC7A705AF1D897FE586</vt:lpwstr>
  </property>
</Properties>
</file>