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jc w:val="center"/>
        <w:rPr>
          <w:rFonts w:ascii="宋体" w:hAnsi="宋体" w:cs="宋体"/>
          <w:b/>
          <w:sz w:val="32"/>
          <w:szCs w:val="32"/>
        </w:rPr>
      </w:pPr>
      <w:r>
        <w:rPr>
          <w:rFonts w:hint="eastAsia" w:ascii="宋体" w:hAnsi="宋体" w:cs="宋体"/>
          <w:b/>
          <w:sz w:val="32"/>
          <w:szCs w:val="32"/>
        </w:rPr>
        <w:t>项目名称：2023年重庆高速集团网络安全设备采购</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tabs>
          <w:tab w:val="center" w:pos="4819"/>
          <w:tab w:val="left" w:pos="6179"/>
        </w:tabs>
        <w:jc w:val="left"/>
        <w:rPr>
          <w:rFonts w:ascii="宋体" w:hAnsi="宋体" w:cs="宋体"/>
          <w:b/>
          <w:sz w:val="48"/>
          <w:szCs w:val="48"/>
        </w:rPr>
      </w:pPr>
      <w:r>
        <w:rPr>
          <w:rFonts w:ascii="宋体" w:hAnsi="宋体" w:cs="宋体"/>
          <w:b/>
          <w:sz w:val="48"/>
          <w:szCs w:val="48"/>
        </w:rPr>
        <w:tab/>
      </w:r>
      <w:r>
        <w:rPr>
          <w:rFonts w:hint="eastAsia" w:ascii="宋体" w:hAnsi="宋体" w:cs="宋体"/>
          <w:b/>
          <w:sz w:val="48"/>
          <w:szCs w:val="48"/>
        </w:rPr>
        <w:t>性</w:t>
      </w:r>
      <w:r>
        <w:rPr>
          <w:rFonts w:ascii="宋体" w:hAnsi="宋体" w:cs="宋体"/>
          <w:b/>
          <w:sz w:val="48"/>
          <w:szCs w:val="48"/>
        </w:rPr>
        <w:tab/>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ascii="宋体" w:hAnsi="宋体" w:cs="宋体"/>
          <w:b/>
          <w:sz w:val="28"/>
          <w:szCs w:val="28"/>
        </w:rPr>
      </w:pPr>
      <w:r>
        <w:rPr>
          <w:rFonts w:hint="eastAsia" w:ascii="宋体" w:hAnsi="宋体" w:cs="宋体"/>
          <w:b/>
          <w:sz w:val="28"/>
          <w:szCs w:val="28"/>
        </w:rPr>
        <w:t>采购人：重庆首讯科技股份有限公司</w:t>
      </w:r>
    </w:p>
    <w:p>
      <w:pPr>
        <w:jc w:val="center"/>
        <w:rPr>
          <w:rFonts w:ascii="宋体" w:hAnsi="宋体" w:cs="宋体"/>
          <w:b/>
          <w:sz w:val="28"/>
          <w:szCs w:val="28"/>
        </w:rPr>
      </w:pPr>
      <w:r>
        <w:rPr>
          <w:rFonts w:hint="eastAsia" w:ascii="宋体" w:hAnsi="宋体" w:cs="宋体"/>
          <w:b/>
          <w:sz w:val="28"/>
          <w:szCs w:val="28"/>
          <w:u w:val="single"/>
        </w:rPr>
        <w:t>2023</w:t>
      </w:r>
      <w:r>
        <w:rPr>
          <w:rFonts w:hint="eastAsia" w:ascii="宋体" w:hAnsi="宋体" w:cs="宋体"/>
          <w:b/>
          <w:sz w:val="28"/>
          <w:szCs w:val="28"/>
        </w:rPr>
        <w:t>年</w:t>
      </w:r>
      <w:r>
        <w:rPr>
          <w:rFonts w:hint="eastAsia" w:ascii="宋体" w:hAnsi="宋体" w:cs="宋体"/>
          <w:b/>
          <w:sz w:val="28"/>
          <w:szCs w:val="28"/>
          <w:u w:val="single"/>
        </w:rPr>
        <w:t xml:space="preserve"> 8 </w:t>
      </w:r>
      <w:r>
        <w:rPr>
          <w:rFonts w:hint="eastAsia" w:ascii="宋体" w:hAnsi="宋体" w:cs="宋体"/>
          <w:b/>
          <w:sz w:val="28"/>
          <w:szCs w:val="28"/>
        </w:rPr>
        <w:t>月</w:t>
      </w:r>
    </w:p>
    <w:p>
      <w:pPr>
        <w:pStyle w:val="28"/>
        <w:jc w:val="center"/>
        <w:rPr>
          <w:rFonts w:ascii="宋体" w:hAnsi="宋体" w:cs="宋体"/>
          <w:szCs w:val="21"/>
        </w:rPr>
      </w:pPr>
      <w:r>
        <w:br w:type="page"/>
      </w:r>
      <w:bookmarkStart w:id="0" w:name="_Toc247085669"/>
      <w:bookmarkStart w:id="1" w:name="_Toc507319889"/>
      <w:bookmarkStart w:id="2" w:name="_Toc296602400"/>
      <w:bookmarkStart w:id="3" w:name="_Toc246996898"/>
      <w:bookmarkStart w:id="4" w:name="_Toc507428442"/>
      <w:r>
        <w:rPr>
          <w:rFonts w:hint="eastAsia" w:ascii="宋体" w:hAnsi="宋体" w:cs="宋体"/>
          <w:b w:val="0"/>
          <w:sz w:val="32"/>
        </w:rPr>
        <w:t>目   录</w:t>
      </w:r>
      <w:bookmarkEnd w:id="0"/>
      <w:bookmarkEnd w:id="1"/>
      <w:bookmarkEnd w:id="2"/>
      <w:bookmarkEnd w:id="3"/>
      <w:bookmarkEnd w:id="4"/>
    </w:p>
    <w:p>
      <w:pPr>
        <w:pStyle w:val="28"/>
        <w:tabs>
          <w:tab w:val="right" w:leader="dot" w:pos="9638"/>
        </w:tabs>
      </w:pPr>
      <w:r>
        <w:rPr>
          <w:rFonts w:hint="eastAsia" w:ascii="宋体" w:hAnsi="宋体" w:cs="宋体"/>
          <w:b w:val="0"/>
          <w:bCs w:val="0"/>
          <w:caps w:val="0"/>
        </w:rPr>
        <w:fldChar w:fldCharType="begin"/>
      </w:r>
      <w:r>
        <w:rPr>
          <w:rFonts w:hint="eastAsia" w:ascii="宋体" w:hAnsi="宋体" w:cs="宋体"/>
          <w:b w:val="0"/>
          <w:bCs w:val="0"/>
          <w:caps w:val="0"/>
        </w:rPr>
        <w:instrText xml:space="preserve"> TOC \o "1-2" \h \z \u </w:instrText>
      </w:r>
      <w:r>
        <w:rPr>
          <w:rFonts w:hint="eastAsia" w:ascii="宋体" w:hAnsi="宋体" w:cs="宋体"/>
          <w:b w:val="0"/>
          <w:bCs w:val="0"/>
          <w:caps w:val="0"/>
        </w:rPr>
        <w:fldChar w:fldCharType="separate"/>
      </w:r>
      <w:r>
        <w:fldChar w:fldCharType="begin"/>
      </w:r>
      <w:r>
        <w:instrText xml:space="preserve"> HYPERLINK \l "_Toc23793" </w:instrText>
      </w:r>
      <w:r>
        <w:fldChar w:fldCharType="separate"/>
      </w:r>
      <w:r>
        <w:rPr>
          <w:rFonts w:hint="eastAsia" w:ascii="宋体" w:hAnsi="宋体" w:cs="宋体"/>
        </w:rPr>
        <w:t>第一章 比选公告</w:t>
      </w:r>
      <w:r>
        <w:tab/>
      </w:r>
      <w:r>
        <w:fldChar w:fldCharType="begin"/>
      </w:r>
      <w:r>
        <w:instrText xml:space="preserve"> PAGEREF _Toc23793 \h </w:instrText>
      </w:r>
      <w:r>
        <w:fldChar w:fldCharType="separate"/>
      </w:r>
      <w:r>
        <w:t>1</w:t>
      </w:r>
      <w:r>
        <w:fldChar w:fldCharType="end"/>
      </w:r>
      <w:r>
        <w:fldChar w:fldCharType="end"/>
      </w:r>
    </w:p>
    <w:p>
      <w:pPr>
        <w:pStyle w:val="34"/>
        <w:tabs>
          <w:tab w:val="right" w:leader="dot" w:pos="9638"/>
        </w:tabs>
      </w:pPr>
      <w:r>
        <w:fldChar w:fldCharType="begin"/>
      </w:r>
      <w:r>
        <w:instrText xml:space="preserve"> HYPERLINK \l "_Toc22712" </w:instrText>
      </w:r>
      <w:r>
        <w:fldChar w:fldCharType="separate"/>
      </w:r>
      <w:r>
        <w:rPr>
          <w:rFonts w:hint="eastAsia" w:ascii="宋体" w:hAnsi="宋体" w:cs="宋体"/>
        </w:rPr>
        <w:t>1. 比选条件</w:t>
      </w:r>
      <w:r>
        <w:tab/>
      </w:r>
      <w:r>
        <w:fldChar w:fldCharType="begin"/>
      </w:r>
      <w:r>
        <w:instrText xml:space="preserve"> PAGEREF _Toc22712 \h </w:instrText>
      </w:r>
      <w:r>
        <w:fldChar w:fldCharType="separate"/>
      </w:r>
      <w:r>
        <w:t>1</w:t>
      </w:r>
      <w:r>
        <w:fldChar w:fldCharType="end"/>
      </w:r>
      <w:r>
        <w:fldChar w:fldCharType="end"/>
      </w:r>
    </w:p>
    <w:p>
      <w:pPr>
        <w:pStyle w:val="34"/>
        <w:tabs>
          <w:tab w:val="right" w:leader="dot" w:pos="9638"/>
        </w:tabs>
      </w:pPr>
      <w:r>
        <w:fldChar w:fldCharType="begin"/>
      </w:r>
      <w:r>
        <w:instrText xml:space="preserve"> HYPERLINK \l "_Toc4721" </w:instrText>
      </w:r>
      <w:r>
        <w:fldChar w:fldCharType="separate"/>
      </w:r>
      <w:r>
        <w:rPr>
          <w:rFonts w:hint="eastAsia" w:ascii="宋体" w:hAnsi="宋体" w:cs="宋体"/>
        </w:rPr>
        <w:t>2. 项目概况与采购范围</w:t>
      </w:r>
      <w:r>
        <w:tab/>
      </w:r>
      <w:r>
        <w:fldChar w:fldCharType="begin"/>
      </w:r>
      <w:r>
        <w:instrText xml:space="preserve"> PAGEREF _Toc4721 \h </w:instrText>
      </w:r>
      <w:r>
        <w:fldChar w:fldCharType="separate"/>
      </w:r>
      <w:r>
        <w:t>1</w:t>
      </w:r>
      <w:r>
        <w:fldChar w:fldCharType="end"/>
      </w:r>
      <w:r>
        <w:fldChar w:fldCharType="end"/>
      </w:r>
    </w:p>
    <w:p>
      <w:pPr>
        <w:pStyle w:val="34"/>
        <w:tabs>
          <w:tab w:val="right" w:leader="dot" w:pos="9638"/>
        </w:tabs>
      </w:pPr>
      <w:r>
        <w:fldChar w:fldCharType="begin"/>
      </w:r>
      <w:r>
        <w:instrText xml:space="preserve"> HYPERLINK \l "_Toc22406" </w:instrText>
      </w:r>
      <w:r>
        <w:fldChar w:fldCharType="separate"/>
      </w:r>
      <w:r>
        <w:rPr>
          <w:rFonts w:hint="eastAsia" w:ascii="宋体" w:hAnsi="宋体" w:cs="宋体"/>
        </w:rPr>
        <w:t>3. 报价人资格要求</w:t>
      </w:r>
      <w:r>
        <w:tab/>
      </w:r>
      <w:r>
        <w:fldChar w:fldCharType="begin"/>
      </w:r>
      <w:r>
        <w:instrText xml:space="preserve"> PAGEREF _Toc22406 \h </w:instrText>
      </w:r>
      <w:r>
        <w:fldChar w:fldCharType="separate"/>
      </w:r>
      <w:r>
        <w:t>1</w:t>
      </w:r>
      <w:r>
        <w:fldChar w:fldCharType="end"/>
      </w:r>
      <w:r>
        <w:fldChar w:fldCharType="end"/>
      </w:r>
    </w:p>
    <w:p>
      <w:pPr>
        <w:pStyle w:val="34"/>
        <w:tabs>
          <w:tab w:val="right" w:leader="dot" w:pos="9638"/>
        </w:tabs>
      </w:pPr>
      <w:r>
        <w:fldChar w:fldCharType="begin"/>
      </w:r>
      <w:r>
        <w:instrText xml:space="preserve"> HYPERLINK \l "_Toc1332" </w:instrText>
      </w:r>
      <w:r>
        <w:fldChar w:fldCharType="separate"/>
      </w:r>
      <w:r>
        <w:rPr>
          <w:rFonts w:hint="eastAsia" w:ascii="宋体" w:hAnsi="宋体" w:cs="宋体"/>
        </w:rPr>
        <w:t>4. 比选文件的获取</w:t>
      </w:r>
      <w:r>
        <w:tab/>
      </w:r>
      <w:r>
        <w:fldChar w:fldCharType="begin"/>
      </w:r>
      <w:r>
        <w:instrText xml:space="preserve"> PAGEREF _Toc1332 \h </w:instrText>
      </w:r>
      <w:r>
        <w:fldChar w:fldCharType="separate"/>
      </w:r>
      <w:r>
        <w:t>1</w:t>
      </w:r>
      <w:r>
        <w:fldChar w:fldCharType="end"/>
      </w:r>
      <w:r>
        <w:fldChar w:fldCharType="end"/>
      </w:r>
    </w:p>
    <w:p>
      <w:pPr>
        <w:pStyle w:val="34"/>
        <w:tabs>
          <w:tab w:val="right" w:leader="dot" w:pos="9638"/>
        </w:tabs>
      </w:pPr>
      <w:r>
        <w:fldChar w:fldCharType="begin"/>
      </w:r>
      <w:r>
        <w:instrText xml:space="preserve"> HYPERLINK \l "_Toc19030" </w:instrText>
      </w:r>
      <w:r>
        <w:fldChar w:fldCharType="separate"/>
      </w:r>
      <w:r>
        <w:rPr>
          <w:rFonts w:hint="eastAsia" w:ascii="宋体" w:hAnsi="宋体" w:cs="宋体"/>
        </w:rPr>
        <w:t>5. 竞争性比选响应文件的递交及相关事宜</w:t>
      </w:r>
      <w:r>
        <w:tab/>
      </w:r>
      <w:r>
        <w:fldChar w:fldCharType="begin"/>
      </w:r>
      <w:r>
        <w:instrText xml:space="preserve"> PAGEREF _Toc19030 \h </w:instrText>
      </w:r>
      <w:r>
        <w:fldChar w:fldCharType="separate"/>
      </w:r>
      <w:r>
        <w:t>1</w:t>
      </w:r>
      <w:r>
        <w:fldChar w:fldCharType="end"/>
      </w:r>
      <w:r>
        <w:fldChar w:fldCharType="end"/>
      </w:r>
    </w:p>
    <w:p>
      <w:pPr>
        <w:pStyle w:val="34"/>
        <w:tabs>
          <w:tab w:val="right" w:leader="dot" w:pos="9638"/>
        </w:tabs>
      </w:pPr>
      <w:r>
        <w:fldChar w:fldCharType="begin"/>
      </w:r>
      <w:r>
        <w:instrText xml:space="preserve"> HYPERLINK \l "_Toc417" </w:instrText>
      </w:r>
      <w:r>
        <w:fldChar w:fldCharType="separate"/>
      </w:r>
      <w:r>
        <w:rPr>
          <w:rFonts w:hint="eastAsia" w:ascii="宋体" w:hAnsi="宋体" w:cs="宋体"/>
        </w:rPr>
        <w:t>6. 联系方式</w:t>
      </w:r>
      <w:r>
        <w:tab/>
      </w:r>
      <w:r>
        <w:fldChar w:fldCharType="begin"/>
      </w:r>
      <w:r>
        <w:instrText xml:space="preserve"> PAGEREF _Toc417 \h </w:instrText>
      </w:r>
      <w:r>
        <w:fldChar w:fldCharType="separate"/>
      </w:r>
      <w:r>
        <w:t>2</w:t>
      </w:r>
      <w:r>
        <w:fldChar w:fldCharType="end"/>
      </w:r>
      <w:r>
        <w:fldChar w:fldCharType="end"/>
      </w:r>
    </w:p>
    <w:p>
      <w:pPr>
        <w:pStyle w:val="28"/>
        <w:tabs>
          <w:tab w:val="right" w:leader="dot" w:pos="9638"/>
        </w:tabs>
      </w:pPr>
      <w:r>
        <w:fldChar w:fldCharType="begin"/>
      </w:r>
      <w:r>
        <w:instrText xml:space="preserve"> HYPERLINK \l "_Toc13343" </w:instrText>
      </w:r>
      <w:r>
        <w:fldChar w:fldCharType="separate"/>
      </w:r>
      <w:r>
        <w:rPr>
          <w:rFonts w:hint="eastAsia" w:ascii="宋体" w:hAnsi="宋体" w:cs="宋体"/>
        </w:rPr>
        <w:t>第二章 报价人须知</w:t>
      </w:r>
      <w:r>
        <w:tab/>
      </w:r>
      <w:r>
        <w:fldChar w:fldCharType="begin"/>
      </w:r>
      <w:r>
        <w:instrText xml:space="preserve"> PAGEREF _Toc13343 \h </w:instrText>
      </w:r>
      <w:r>
        <w:fldChar w:fldCharType="separate"/>
      </w:r>
      <w:r>
        <w:t>3</w:t>
      </w:r>
      <w:r>
        <w:fldChar w:fldCharType="end"/>
      </w:r>
      <w:r>
        <w:fldChar w:fldCharType="end"/>
      </w:r>
    </w:p>
    <w:p>
      <w:pPr>
        <w:pStyle w:val="34"/>
        <w:tabs>
          <w:tab w:val="right" w:leader="dot" w:pos="9638"/>
        </w:tabs>
      </w:pPr>
      <w:r>
        <w:fldChar w:fldCharType="begin"/>
      </w:r>
      <w:r>
        <w:instrText xml:space="preserve"> HYPERLINK \l "_Toc3639" </w:instrText>
      </w:r>
      <w:r>
        <w:fldChar w:fldCharType="separate"/>
      </w:r>
      <w:r>
        <w:rPr>
          <w:rFonts w:hint="eastAsia" w:ascii="黑体" w:hAnsi="宋体" w:cs="黑体"/>
          <w:szCs w:val="21"/>
        </w:rPr>
        <w:t>报价人须知正文部分：</w:t>
      </w:r>
      <w:r>
        <w:tab/>
      </w:r>
      <w:r>
        <w:fldChar w:fldCharType="begin"/>
      </w:r>
      <w:r>
        <w:instrText xml:space="preserve"> PAGEREF _Toc3639 \h </w:instrText>
      </w:r>
      <w:r>
        <w:fldChar w:fldCharType="separate"/>
      </w:r>
      <w:r>
        <w:t>4</w:t>
      </w:r>
      <w:r>
        <w:fldChar w:fldCharType="end"/>
      </w:r>
      <w:r>
        <w:fldChar w:fldCharType="end"/>
      </w:r>
    </w:p>
    <w:p>
      <w:pPr>
        <w:pStyle w:val="34"/>
        <w:tabs>
          <w:tab w:val="right" w:leader="dot" w:pos="9638"/>
        </w:tabs>
      </w:pPr>
      <w:r>
        <w:fldChar w:fldCharType="begin"/>
      </w:r>
      <w:r>
        <w:instrText xml:space="preserve"> HYPERLINK \l "_Toc31526" </w:instrText>
      </w:r>
      <w:r>
        <w:fldChar w:fldCharType="separate"/>
      </w:r>
      <w:r>
        <w:rPr>
          <w:rFonts w:hint="eastAsia" w:ascii="黑体" w:hAnsi="宋体" w:cs="黑体"/>
          <w:szCs w:val="21"/>
        </w:rPr>
        <w:t>1.  总则</w:t>
      </w:r>
      <w:r>
        <w:tab/>
      </w:r>
      <w:r>
        <w:fldChar w:fldCharType="begin"/>
      </w:r>
      <w:r>
        <w:instrText xml:space="preserve"> PAGEREF _Toc31526 \h </w:instrText>
      </w:r>
      <w:r>
        <w:fldChar w:fldCharType="separate"/>
      </w:r>
      <w:r>
        <w:t>4</w:t>
      </w:r>
      <w:r>
        <w:fldChar w:fldCharType="end"/>
      </w:r>
      <w:r>
        <w:fldChar w:fldCharType="end"/>
      </w:r>
    </w:p>
    <w:p>
      <w:pPr>
        <w:pStyle w:val="34"/>
        <w:tabs>
          <w:tab w:val="right" w:leader="dot" w:pos="9638"/>
        </w:tabs>
      </w:pPr>
      <w:r>
        <w:fldChar w:fldCharType="begin"/>
      </w:r>
      <w:r>
        <w:instrText xml:space="preserve"> HYPERLINK \l "_Toc4839" </w:instrText>
      </w:r>
      <w:r>
        <w:fldChar w:fldCharType="separate"/>
      </w:r>
      <w:r>
        <w:rPr>
          <w:rFonts w:hint="eastAsia" w:ascii="宋体" w:hAnsi="宋体"/>
          <w:szCs w:val="21"/>
        </w:rPr>
        <w:t xml:space="preserve">2.  </w:t>
      </w:r>
      <w:r>
        <w:rPr>
          <w:rFonts w:hint="eastAsia" w:ascii="黑体" w:hAnsi="宋体" w:cs="黑体"/>
          <w:szCs w:val="21"/>
        </w:rPr>
        <w:t>竞争性比选文件</w:t>
      </w:r>
      <w:r>
        <w:tab/>
      </w:r>
      <w:r>
        <w:fldChar w:fldCharType="begin"/>
      </w:r>
      <w:r>
        <w:instrText xml:space="preserve"> PAGEREF _Toc4839 \h </w:instrText>
      </w:r>
      <w:r>
        <w:fldChar w:fldCharType="separate"/>
      </w:r>
      <w:r>
        <w:t>6</w:t>
      </w:r>
      <w:r>
        <w:fldChar w:fldCharType="end"/>
      </w:r>
      <w:r>
        <w:fldChar w:fldCharType="end"/>
      </w:r>
    </w:p>
    <w:p>
      <w:pPr>
        <w:pStyle w:val="34"/>
        <w:tabs>
          <w:tab w:val="right" w:leader="dot" w:pos="9638"/>
        </w:tabs>
      </w:pPr>
      <w:r>
        <w:fldChar w:fldCharType="begin"/>
      </w:r>
      <w:r>
        <w:instrText xml:space="preserve"> HYPERLINK \l "_Toc32620" </w:instrText>
      </w:r>
      <w:r>
        <w:fldChar w:fldCharType="separate"/>
      </w:r>
      <w:r>
        <w:rPr>
          <w:rFonts w:hint="eastAsia" w:ascii="宋体" w:hAnsi="宋体"/>
          <w:szCs w:val="21"/>
        </w:rPr>
        <w:t xml:space="preserve">3.  </w:t>
      </w:r>
      <w:r>
        <w:rPr>
          <w:rFonts w:hint="eastAsia" w:ascii="黑体" w:hAnsi="宋体" w:cs="黑体"/>
          <w:szCs w:val="21"/>
        </w:rPr>
        <w:t>比选响应文件</w:t>
      </w:r>
      <w:r>
        <w:tab/>
      </w:r>
      <w:r>
        <w:fldChar w:fldCharType="begin"/>
      </w:r>
      <w:r>
        <w:instrText xml:space="preserve"> PAGEREF _Toc32620 \h </w:instrText>
      </w:r>
      <w:r>
        <w:fldChar w:fldCharType="separate"/>
      </w:r>
      <w:r>
        <w:t>7</w:t>
      </w:r>
      <w:r>
        <w:fldChar w:fldCharType="end"/>
      </w:r>
      <w:r>
        <w:fldChar w:fldCharType="end"/>
      </w:r>
    </w:p>
    <w:p>
      <w:pPr>
        <w:pStyle w:val="34"/>
        <w:tabs>
          <w:tab w:val="right" w:leader="dot" w:pos="9638"/>
        </w:tabs>
      </w:pPr>
      <w:r>
        <w:fldChar w:fldCharType="begin"/>
      </w:r>
      <w:r>
        <w:instrText xml:space="preserve"> HYPERLINK \l "_Toc28722" </w:instrText>
      </w:r>
      <w:r>
        <w:fldChar w:fldCharType="separate"/>
      </w:r>
      <w:r>
        <w:rPr>
          <w:rFonts w:hint="eastAsia" w:ascii="宋体" w:hAnsi="宋体"/>
          <w:szCs w:val="21"/>
        </w:rPr>
        <w:t xml:space="preserve">4.  </w:t>
      </w:r>
      <w:r>
        <w:rPr>
          <w:rFonts w:hint="eastAsia" w:ascii="黑体" w:hAnsi="宋体" w:cs="黑体"/>
          <w:szCs w:val="21"/>
        </w:rPr>
        <w:t>投标</w:t>
      </w:r>
      <w:r>
        <w:tab/>
      </w:r>
      <w:r>
        <w:fldChar w:fldCharType="begin"/>
      </w:r>
      <w:r>
        <w:instrText xml:space="preserve"> PAGEREF _Toc28722 \h </w:instrText>
      </w:r>
      <w:r>
        <w:fldChar w:fldCharType="separate"/>
      </w:r>
      <w:r>
        <w:t>8</w:t>
      </w:r>
      <w:r>
        <w:fldChar w:fldCharType="end"/>
      </w:r>
      <w:r>
        <w:fldChar w:fldCharType="end"/>
      </w:r>
    </w:p>
    <w:p>
      <w:pPr>
        <w:pStyle w:val="34"/>
        <w:tabs>
          <w:tab w:val="right" w:leader="dot" w:pos="9638"/>
        </w:tabs>
      </w:pPr>
      <w:r>
        <w:fldChar w:fldCharType="begin"/>
      </w:r>
      <w:r>
        <w:instrText xml:space="preserve"> HYPERLINK \l "_Toc17870" </w:instrText>
      </w:r>
      <w:r>
        <w:fldChar w:fldCharType="separate"/>
      </w:r>
      <w:r>
        <w:rPr>
          <w:rFonts w:hint="eastAsia" w:ascii="宋体" w:hAnsi="宋体"/>
          <w:szCs w:val="21"/>
        </w:rPr>
        <w:t xml:space="preserve">5.  </w:t>
      </w:r>
      <w:r>
        <w:rPr>
          <w:rFonts w:hint="eastAsia" w:ascii="黑体" w:hAnsi="宋体" w:cs="黑体"/>
          <w:szCs w:val="21"/>
        </w:rPr>
        <w:t>开标</w:t>
      </w:r>
      <w:r>
        <w:tab/>
      </w:r>
      <w:r>
        <w:fldChar w:fldCharType="begin"/>
      </w:r>
      <w:r>
        <w:instrText xml:space="preserve"> PAGEREF _Toc17870 \h </w:instrText>
      </w:r>
      <w:r>
        <w:fldChar w:fldCharType="separate"/>
      </w:r>
      <w:r>
        <w:t>8</w:t>
      </w:r>
      <w:r>
        <w:fldChar w:fldCharType="end"/>
      </w:r>
      <w:r>
        <w:fldChar w:fldCharType="end"/>
      </w:r>
    </w:p>
    <w:p>
      <w:pPr>
        <w:pStyle w:val="34"/>
        <w:tabs>
          <w:tab w:val="right" w:leader="dot" w:pos="9638"/>
        </w:tabs>
      </w:pPr>
      <w:r>
        <w:fldChar w:fldCharType="begin"/>
      </w:r>
      <w:r>
        <w:instrText xml:space="preserve"> HYPERLINK \l "_Toc11361" </w:instrText>
      </w:r>
      <w:r>
        <w:fldChar w:fldCharType="separate"/>
      </w:r>
      <w:r>
        <w:rPr>
          <w:rFonts w:hint="eastAsia" w:ascii="宋体" w:hAnsi="宋体"/>
          <w:szCs w:val="21"/>
        </w:rPr>
        <w:t xml:space="preserve">6.  </w:t>
      </w:r>
      <w:r>
        <w:rPr>
          <w:rFonts w:hint="eastAsia" w:ascii="黑体" w:hAnsi="宋体" w:cs="黑体"/>
          <w:szCs w:val="21"/>
        </w:rPr>
        <w:t>评标</w:t>
      </w:r>
      <w:r>
        <w:tab/>
      </w:r>
      <w:r>
        <w:fldChar w:fldCharType="begin"/>
      </w:r>
      <w:r>
        <w:instrText xml:space="preserve"> PAGEREF _Toc11361 \h </w:instrText>
      </w:r>
      <w:r>
        <w:fldChar w:fldCharType="separate"/>
      </w:r>
      <w:r>
        <w:t>8</w:t>
      </w:r>
      <w:r>
        <w:fldChar w:fldCharType="end"/>
      </w:r>
      <w:r>
        <w:fldChar w:fldCharType="end"/>
      </w:r>
    </w:p>
    <w:p>
      <w:pPr>
        <w:pStyle w:val="34"/>
        <w:tabs>
          <w:tab w:val="right" w:leader="dot" w:pos="9638"/>
        </w:tabs>
      </w:pPr>
      <w:r>
        <w:fldChar w:fldCharType="begin"/>
      </w:r>
      <w:r>
        <w:instrText xml:space="preserve"> HYPERLINK \l "_Toc25830" </w:instrText>
      </w:r>
      <w:r>
        <w:fldChar w:fldCharType="separate"/>
      </w:r>
      <w:r>
        <w:rPr>
          <w:rFonts w:hint="eastAsia" w:ascii="宋体" w:hAnsi="宋体"/>
          <w:szCs w:val="21"/>
        </w:rPr>
        <w:t xml:space="preserve">7.  </w:t>
      </w:r>
      <w:r>
        <w:rPr>
          <w:rFonts w:hint="eastAsia" w:ascii="宋体" w:hAnsi="宋体" w:cs="宋体"/>
          <w:szCs w:val="21"/>
        </w:rPr>
        <w:t>合同授予</w:t>
      </w:r>
      <w:r>
        <w:tab/>
      </w:r>
      <w:r>
        <w:fldChar w:fldCharType="begin"/>
      </w:r>
      <w:r>
        <w:instrText xml:space="preserve"> PAGEREF _Toc25830 \h </w:instrText>
      </w:r>
      <w:r>
        <w:fldChar w:fldCharType="separate"/>
      </w:r>
      <w:r>
        <w:t>9</w:t>
      </w:r>
      <w:r>
        <w:fldChar w:fldCharType="end"/>
      </w:r>
      <w:r>
        <w:fldChar w:fldCharType="end"/>
      </w:r>
    </w:p>
    <w:p>
      <w:pPr>
        <w:pStyle w:val="34"/>
        <w:tabs>
          <w:tab w:val="right" w:leader="dot" w:pos="9638"/>
        </w:tabs>
      </w:pPr>
      <w:r>
        <w:fldChar w:fldCharType="begin"/>
      </w:r>
      <w:r>
        <w:instrText xml:space="preserve"> HYPERLINK \l "_Toc20301" </w:instrText>
      </w:r>
      <w:r>
        <w:fldChar w:fldCharType="separate"/>
      </w:r>
      <w:r>
        <w:rPr>
          <w:rFonts w:hint="eastAsia" w:ascii="宋体" w:hAnsi="宋体" w:cs="宋体"/>
          <w:szCs w:val="28"/>
        </w:rPr>
        <w:t>附录1  报价人资格要求</w:t>
      </w:r>
      <w:r>
        <w:tab/>
      </w:r>
      <w:r>
        <w:fldChar w:fldCharType="begin"/>
      </w:r>
      <w:r>
        <w:instrText xml:space="preserve"> PAGEREF _Toc20301 \h </w:instrText>
      </w:r>
      <w:r>
        <w:fldChar w:fldCharType="separate"/>
      </w:r>
      <w:r>
        <w:t>11</w:t>
      </w:r>
      <w:r>
        <w:fldChar w:fldCharType="end"/>
      </w:r>
      <w:r>
        <w:fldChar w:fldCharType="end"/>
      </w:r>
    </w:p>
    <w:p>
      <w:pPr>
        <w:pStyle w:val="28"/>
        <w:tabs>
          <w:tab w:val="right" w:leader="dot" w:pos="9638"/>
        </w:tabs>
      </w:pPr>
      <w:r>
        <w:fldChar w:fldCharType="begin"/>
      </w:r>
      <w:r>
        <w:instrText xml:space="preserve"> HYPERLINK \l "_Toc2602" </w:instrText>
      </w:r>
      <w:r>
        <w:fldChar w:fldCharType="separate"/>
      </w:r>
      <w:r>
        <w:rPr>
          <w:rFonts w:hint="eastAsia"/>
        </w:rPr>
        <w:t xml:space="preserve">第三章 </w:t>
      </w:r>
      <w:r>
        <w:rPr>
          <w:rFonts w:hint="eastAsia" w:ascii="宋体" w:hAnsi="宋体" w:cs="宋体"/>
        </w:rPr>
        <w:t>评标办法（综合评估法）</w:t>
      </w:r>
      <w:r>
        <w:tab/>
      </w:r>
      <w:r>
        <w:fldChar w:fldCharType="begin"/>
      </w:r>
      <w:r>
        <w:instrText xml:space="preserve"> PAGEREF _Toc2602 \h </w:instrText>
      </w:r>
      <w:r>
        <w:fldChar w:fldCharType="separate"/>
      </w:r>
      <w:r>
        <w:t>12</w:t>
      </w:r>
      <w:r>
        <w:fldChar w:fldCharType="end"/>
      </w:r>
      <w:r>
        <w:fldChar w:fldCharType="end"/>
      </w:r>
    </w:p>
    <w:p>
      <w:pPr>
        <w:pStyle w:val="34"/>
        <w:tabs>
          <w:tab w:val="right" w:leader="dot" w:pos="9638"/>
        </w:tabs>
      </w:pPr>
      <w:r>
        <w:fldChar w:fldCharType="begin"/>
      </w:r>
      <w:r>
        <w:instrText xml:space="preserve"> HYPERLINK \l "_Toc2445" </w:instrText>
      </w:r>
      <w:r>
        <w:fldChar w:fldCharType="separate"/>
      </w:r>
      <w:r>
        <w:rPr>
          <w:rFonts w:hint="eastAsia" w:ascii="宋体" w:hAnsi="宋体" w:cs="宋体"/>
          <w:szCs w:val="28"/>
        </w:rPr>
        <w:t>评标方法前附表</w:t>
      </w:r>
      <w:r>
        <w:tab/>
      </w:r>
      <w:r>
        <w:fldChar w:fldCharType="begin"/>
      </w:r>
      <w:r>
        <w:instrText xml:space="preserve"> PAGEREF _Toc2445 \h </w:instrText>
      </w:r>
      <w:r>
        <w:fldChar w:fldCharType="separate"/>
      </w:r>
      <w:r>
        <w:t>12</w:t>
      </w:r>
      <w:r>
        <w:fldChar w:fldCharType="end"/>
      </w:r>
      <w:r>
        <w:fldChar w:fldCharType="end"/>
      </w:r>
    </w:p>
    <w:p>
      <w:pPr>
        <w:pStyle w:val="28"/>
        <w:tabs>
          <w:tab w:val="right" w:leader="dot" w:pos="9638"/>
        </w:tabs>
      </w:pPr>
      <w:r>
        <w:fldChar w:fldCharType="begin"/>
      </w:r>
      <w:r>
        <w:instrText xml:space="preserve"> HYPERLINK \l "_Toc24803" </w:instrText>
      </w:r>
      <w:r>
        <w:fldChar w:fldCharType="separate"/>
      </w:r>
      <w:r>
        <w:rPr>
          <w:rFonts w:hint="eastAsia" w:ascii="宋体" w:hAnsi="宋体" w:cs="宋体"/>
        </w:rPr>
        <w:t>第四章 采购清单</w:t>
      </w:r>
      <w:r>
        <w:tab/>
      </w:r>
      <w:r>
        <w:fldChar w:fldCharType="begin"/>
      </w:r>
      <w:r>
        <w:instrText xml:space="preserve"> PAGEREF _Toc24803 \h </w:instrText>
      </w:r>
      <w:r>
        <w:fldChar w:fldCharType="separate"/>
      </w:r>
      <w:r>
        <w:t>17</w:t>
      </w:r>
      <w:r>
        <w:fldChar w:fldCharType="end"/>
      </w:r>
      <w:r>
        <w:fldChar w:fldCharType="end"/>
      </w:r>
    </w:p>
    <w:p>
      <w:pPr>
        <w:pStyle w:val="28"/>
        <w:tabs>
          <w:tab w:val="right" w:leader="dot" w:pos="9638"/>
        </w:tabs>
      </w:pPr>
      <w:r>
        <w:fldChar w:fldCharType="begin"/>
      </w:r>
      <w:r>
        <w:instrText xml:space="preserve"> HYPERLINK \l "_Toc12782" </w:instrText>
      </w:r>
      <w:r>
        <w:fldChar w:fldCharType="separate"/>
      </w:r>
      <w:r>
        <w:rPr>
          <w:rFonts w:hint="eastAsia" w:ascii="宋体" w:hAnsi="宋体" w:cs="宋体"/>
        </w:rPr>
        <w:t>第五章  技术标准</w:t>
      </w:r>
      <w:r>
        <w:tab/>
      </w:r>
      <w:r>
        <w:fldChar w:fldCharType="begin"/>
      </w:r>
      <w:r>
        <w:instrText xml:space="preserve"> PAGEREF _Toc12782 \h </w:instrText>
      </w:r>
      <w:r>
        <w:fldChar w:fldCharType="separate"/>
      </w:r>
      <w:r>
        <w:t>24</w:t>
      </w:r>
      <w:r>
        <w:fldChar w:fldCharType="end"/>
      </w:r>
      <w:r>
        <w:fldChar w:fldCharType="end"/>
      </w:r>
    </w:p>
    <w:p>
      <w:pPr>
        <w:pStyle w:val="28"/>
        <w:tabs>
          <w:tab w:val="right" w:leader="dot" w:pos="9638"/>
        </w:tabs>
      </w:pPr>
      <w:r>
        <w:fldChar w:fldCharType="begin"/>
      </w:r>
      <w:r>
        <w:instrText xml:space="preserve"> HYPERLINK \l "_Toc15708" </w:instrText>
      </w:r>
      <w:r>
        <w:fldChar w:fldCharType="separate"/>
      </w:r>
      <w:r>
        <w:rPr>
          <w:rFonts w:hint="eastAsia" w:ascii="宋体" w:hAnsi="宋体" w:cs="宋体"/>
        </w:rPr>
        <w:t>第六章  竞争性比选响应文件格式</w:t>
      </w:r>
      <w:r>
        <w:tab/>
      </w:r>
      <w:r>
        <w:fldChar w:fldCharType="begin"/>
      </w:r>
      <w:r>
        <w:instrText xml:space="preserve"> PAGEREF _Toc15708 \h </w:instrText>
      </w:r>
      <w:r>
        <w:fldChar w:fldCharType="separate"/>
      </w:r>
      <w:r>
        <w:t>25</w:t>
      </w:r>
      <w:r>
        <w:fldChar w:fldCharType="end"/>
      </w:r>
      <w:r>
        <w:fldChar w:fldCharType="end"/>
      </w:r>
    </w:p>
    <w:p>
      <w:pPr>
        <w:pStyle w:val="34"/>
        <w:tabs>
          <w:tab w:val="right" w:leader="dot" w:pos="9638"/>
        </w:tabs>
      </w:pPr>
      <w:r>
        <w:fldChar w:fldCharType="begin"/>
      </w:r>
      <w:r>
        <w:instrText xml:space="preserve"> HYPERLINK \l "_Toc2657" </w:instrText>
      </w:r>
      <w:r>
        <w:fldChar w:fldCharType="separate"/>
      </w:r>
      <w:r>
        <w:rPr>
          <w:rFonts w:hint="eastAsia" w:ascii="宋体" w:hAnsi="宋体" w:cs="宋体"/>
        </w:rPr>
        <w:t>目    录</w:t>
      </w:r>
      <w:r>
        <w:tab/>
      </w:r>
      <w:r>
        <w:fldChar w:fldCharType="begin"/>
      </w:r>
      <w:r>
        <w:instrText xml:space="preserve"> PAGEREF _Toc2657 \h </w:instrText>
      </w:r>
      <w:r>
        <w:fldChar w:fldCharType="separate"/>
      </w:r>
      <w:r>
        <w:t>27</w:t>
      </w:r>
      <w:r>
        <w:fldChar w:fldCharType="end"/>
      </w:r>
      <w:r>
        <w:fldChar w:fldCharType="end"/>
      </w:r>
    </w:p>
    <w:p>
      <w:pPr>
        <w:pStyle w:val="34"/>
        <w:tabs>
          <w:tab w:val="right" w:leader="dot" w:pos="9638"/>
        </w:tabs>
      </w:pPr>
      <w:r>
        <w:fldChar w:fldCharType="begin"/>
      </w:r>
      <w:r>
        <w:instrText xml:space="preserve"> HYPERLINK \l "_Toc19481" </w:instrText>
      </w:r>
      <w:r>
        <w:fldChar w:fldCharType="separate"/>
      </w:r>
      <w:r>
        <w:rPr>
          <w:rFonts w:hint="eastAsia" w:ascii="宋体" w:hAnsi="宋体" w:cs="宋体"/>
        </w:rPr>
        <w:t>一、 竞争比选响应声明书</w:t>
      </w:r>
      <w:r>
        <w:tab/>
      </w:r>
      <w:r>
        <w:fldChar w:fldCharType="begin"/>
      </w:r>
      <w:r>
        <w:instrText xml:space="preserve"> PAGEREF _Toc19481 \h </w:instrText>
      </w:r>
      <w:r>
        <w:fldChar w:fldCharType="separate"/>
      </w:r>
      <w:r>
        <w:t>28</w:t>
      </w:r>
      <w:r>
        <w:fldChar w:fldCharType="end"/>
      </w:r>
      <w:r>
        <w:fldChar w:fldCharType="end"/>
      </w:r>
    </w:p>
    <w:p>
      <w:pPr>
        <w:pStyle w:val="34"/>
        <w:tabs>
          <w:tab w:val="right" w:leader="dot" w:pos="9638"/>
        </w:tabs>
      </w:pPr>
      <w:r>
        <w:fldChar w:fldCharType="begin"/>
      </w:r>
      <w:r>
        <w:instrText xml:space="preserve"> HYPERLINK \l "_Toc26765" </w:instrText>
      </w:r>
      <w:r>
        <w:fldChar w:fldCharType="separate"/>
      </w:r>
      <w:r>
        <w:rPr>
          <w:rFonts w:hint="eastAsia" w:ascii="宋体" w:hAnsi="宋体" w:cs="宋体"/>
        </w:rPr>
        <w:t>二、 法定代表人身份证明或法定代表人授权委托书</w:t>
      </w:r>
      <w:r>
        <w:tab/>
      </w:r>
      <w:r>
        <w:fldChar w:fldCharType="begin"/>
      </w:r>
      <w:r>
        <w:instrText xml:space="preserve"> PAGEREF _Toc26765 \h </w:instrText>
      </w:r>
      <w:r>
        <w:fldChar w:fldCharType="separate"/>
      </w:r>
      <w:r>
        <w:t>29</w:t>
      </w:r>
      <w:r>
        <w:fldChar w:fldCharType="end"/>
      </w:r>
      <w:r>
        <w:fldChar w:fldCharType="end"/>
      </w:r>
    </w:p>
    <w:p>
      <w:pPr>
        <w:pStyle w:val="34"/>
        <w:tabs>
          <w:tab w:val="right" w:leader="dot" w:pos="9638"/>
        </w:tabs>
      </w:pPr>
      <w:r>
        <w:fldChar w:fldCharType="begin"/>
      </w:r>
      <w:r>
        <w:instrText xml:space="preserve"> HYPERLINK \l "_Toc6792" </w:instrText>
      </w:r>
      <w:r>
        <w:fldChar w:fldCharType="separate"/>
      </w:r>
      <w:r>
        <w:rPr>
          <w:rFonts w:hint="eastAsia" w:ascii="宋体" w:hAnsi="宋体" w:cs="宋体"/>
          <w:szCs w:val="24"/>
        </w:rPr>
        <w:t>（一）法定代表人身份证明</w:t>
      </w:r>
      <w:r>
        <w:tab/>
      </w:r>
      <w:r>
        <w:fldChar w:fldCharType="begin"/>
      </w:r>
      <w:r>
        <w:instrText xml:space="preserve"> PAGEREF _Toc6792 \h </w:instrText>
      </w:r>
      <w:r>
        <w:fldChar w:fldCharType="separate"/>
      </w:r>
      <w:r>
        <w:t>29</w:t>
      </w:r>
      <w:r>
        <w:fldChar w:fldCharType="end"/>
      </w:r>
      <w:r>
        <w:fldChar w:fldCharType="end"/>
      </w:r>
    </w:p>
    <w:p>
      <w:pPr>
        <w:pStyle w:val="34"/>
        <w:tabs>
          <w:tab w:val="right" w:leader="dot" w:pos="9638"/>
        </w:tabs>
      </w:pPr>
      <w:r>
        <w:fldChar w:fldCharType="begin"/>
      </w:r>
      <w:r>
        <w:instrText xml:space="preserve"> HYPERLINK \l "_Toc10751" </w:instrText>
      </w:r>
      <w:r>
        <w:fldChar w:fldCharType="separate"/>
      </w:r>
      <w:r>
        <w:rPr>
          <w:rFonts w:hint="eastAsia" w:ascii="宋体" w:hAnsi="宋体" w:cs="宋体"/>
          <w:szCs w:val="24"/>
        </w:rPr>
        <w:t>（二）法定代表人授权委托书</w:t>
      </w:r>
      <w:r>
        <w:tab/>
      </w:r>
      <w:r>
        <w:fldChar w:fldCharType="begin"/>
      </w:r>
      <w:r>
        <w:instrText xml:space="preserve"> PAGEREF _Toc10751 \h </w:instrText>
      </w:r>
      <w:r>
        <w:fldChar w:fldCharType="separate"/>
      </w:r>
      <w:r>
        <w:t>30</w:t>
      </w:r>
      <w:r>
        <w:fldChar w:fldCharType="end"/>
      </w:r>
      <w:r>
        <w:fldChar w:fldCharType="end"/>
      </w:r>
    </w:p>
    <w:p>
      <w:pPr>
        <w:pStyle w:val="34"/>
        <w:tabs>
          <w:tab w:val="right" w:leader="dot" w:pos="9638"/>
        </w:tabs>
      </w:pPr>
      <w:r>
        <w:fldChar w:fldCharType="begin"/>
      </w:r>
      <w:r>
        <w:instrText xml:space="preserve"> HYPERLINK \l "_Toc6420" </w:instrText>
      </w:r>
      <w:r>
        <w:fldChar w:fldCharType="separate"/>
      </w:r>
      <w:r>
        <w:rPr>
          <w:rFonts w:hint="eastAsia" w:ascii="宋体" w:hAnsi="宋体" w:cs="宋体"/>
        </w:rPr>
        <w:t>三、 报价一览表</w:t>
      </w:r>
      <w:r>
        <w:tab/>
      </w:r>
      <w:r>
        <w:fldChar w:fldCharType="begin"/>
      </w:r>
      <w:r>
        <w:instrText xml:space="preserve"> PAGEREF _Toc6420 \h </w:instrText>
      </w:r>
      <w:r>
        <w:fldChar w:fldCharType="separate"/>
      </w:r>
      <w:r>
        <w:t>31</w:t>
      </w:r>
      <w:r>
        <w:fldChar w:fldCharType="end"/>
      </w:r>
      <w:r>
        <w:fldChar w:fldCharType="end"/>
      </w:r>
    </w:p>
    <w:p>
      <w:pPr>
        <w:pStyle w:val="34"/>
        <w:tabs>
          <w:tab w:val="right" w:leader="dot" w:pos="9638"/>
        </w:tabs>
      </w:pPr>
      <w:r>
        <w:fldChar w:fldCharType="begin"/>
      </w:r>
      <w:r>
        <w:instrText xml:space="preserve"> HYPERLINK \l "_Toc2650" </w:instrText>
      </w:r>
      <w:r>
        <w:fldChar w:fldCharType="separate"/>
      </w:r>
      <w:r>
        <w:rPr>
          <w:rFonts w:hint="eastAsia" w:ascii="宋体" w:hAnsi="宋体" w:cs="宋体"/>
        </w:rPr>
        <w:t>四、 审查资料</w:t>
      </w:r>
      <w:r>
        <w:tab/>
      </w:r>
      <w:r>
        <w:fldChar w:fldCharType="begin"/>
      </w:r>
      <w:r>
        <w:instrText xml:space="preserve"> PAGEREF _Toc2650 \h </w:instrText>
      </w:r>
      <w:r>
        <w:fldChar w:fldCharType="separate"/>
      </w:r>
      <w:r>
        <w:t>32</w:t>
      </w:r>
      <w:r>
        <w:fldChar w:fldCharType="end"/>
      </w:r>
      <w:r>
        <w:fldChar w:fldCharType="end"/>
      </w:r>
    </w:p>
    <w:p>
      <w:pPr>
        <w:pStyle w:val="34"/>
        <w:tabs>
          <w:tab w:val="right" w:leader="dot" w:pos="9638"/>
        </w:tabs>
      </w:pPr>
      <w:r>
        <w:fldChar w:fldCharType="begin"/>
      </w:r>
      <w:r>
        <w:instrText xml:space="preserve"> HYPERLINK \l "_Toc30248" </w:instrText>
      </w:r>
      <w:r>
        <w:fldChar w:fldCharType="separate"/>
      </w:r>
      <w:r>
        <w:rPr>
          <w:rFonts w:hint="eastAsia" w:ascii="宋体" w:hAnsi="宋体" w:cs="宋体"/>
          <w:bCs/>
          <w:kern w:val="0"/>
          <w:szCs w:val="32"/>
        </w:rPr>
        <w:t>（一）资格审查</w:t>
      </w:r>
      <w:r>
        <w:tab/>
      </w:r>
      <w:r>
        <w:fldChar w:fldCharType="begin"/>
      </w:r>
      <w:r>
        <w:instrText xml:space="preserve"> PAGEREF _Toc30248 \h </w:instrText>
      </w:r>
      <w:r>
        <w:fldChar w:fldCharType="separate"/>
      </w:r>
      <w:r>
        <w:t>32</w:t>
      </w:r>
      <w:r>
        <w:fldChar w:fldCharType="end"/>
      </w:r>
      <w:r>
        <w:fldChar w:fldCharType="end"/>
      </w:r>
    </w:p>
    <w:p>
      <w:pPr>
        <w:pStyle w:val="34"/>
        <w:tabs>
          <w:tab w:val="right" w:leader="dot" w:pos="9638"/>
        </w:tabs>
      </w:pPr>
      <w:r>
        <w:fldChar w:fldCharType="begin"/>
      </w:r>
      <w:r>
        <w:instrText xml:space="preserve"> HYPERLINK \l "_Toc16972" </w:instrText>
      </w:r>
      <w:r>
        <w:fldChar w:fldCharType="separate"/>
      </w:r>
      <w:r>
        <w:rPr>
          <w:rFonts w:hint="eastAsia" w:ascii="宋体" w:hAnsi="宋体" w:cs="宋体"/>
          <w:bCs/>
          <w:kern w:val="0"/>
          <w:szCs w:val="32"/>
        </w:rPr>
        <w:t>（二）商务评分资料</w:t>
      </w:r>
      <w:r>
        <w:tab/>
      </w:r>
      <w:r>
        <w:fldChar w:fldCharType="begin"/>
      </w:r>
      <w:r>
        <w:instrText xml:space="preserve"> PAGEREF _Toc16972 \h </w:instrText>
      </w:r>
      <w:r>
        <w:fldChar w:fldCharType="separate"/>
      </w:r>
      <w:r>
        <w:t>33</w:t>
      </w:r>
      <w:r>
        <w:fldChar w:fldCharType="end"/>
      </w:r>
      <w:r>
        <w:fldChar w:fldCharType="end"/>
      </w:r>
    </w:p>
    <w:p>
      <w:pPr>
        <w:pStyle w:val="34"/>
        <w:tabs>
          <w:tab w:val="right" w:leader="dot" w:pos="9638"/>
        </w:tabs>
      </w:pPr>
      <w:r>
        <w:fldChar w:fldCharType="begin"/>
      </w:r>
      <w:r>
        <w:instrText xml:space="preserve"> HYPERLINK \l "_Toc1000" </w:instrText>
      </w:r>
      <w:r>
        <w:fldChar w:fldCharType="separate"/>
      </w:r>
      <w:r>
        <w:rPr>
          <w:rFonts w:hint="eastAsia" w:ascii="宋体" w:hAnsi="宋体" w:cs="宋体"/>
          <w:bCs/>
          <w:kern w:val="0"/>
          <w:szCs w:val="32"/>
        </w:rPr>
        <w:t>（三）技术评分资料</w:t>
      </w:r>
      <w:r>
        <w:tab/>
      </w:r>
      <w:r>
        <w:fldChar w:fldCharType="begin"/>
      </w:r>
      <w:r>
        <w:instrText xml:space="preserve"> PAGEREF _Toc1000 \h </w:instrText>
      </w:r>
      <w:r>
        <w:fldChar w:fldCharType="separate"/>
      </w:r>
      <w:r>
        <w:t>33</w:t>
      </w:r>
      <w:r>
        <w:fldChar w:fldCharType="end"/>
      </w:r>
      <w:r>
        <w:fldChar w:fldCharType="end"/>
      </w:r>
    </w:p>
    <w:p>
      <w:pPr>
        <w:pStyle w:val="34"/>
        <w:tabs>
          <w:tab w:val="right" w:leader="dot" w:pos="9638"/>
        </w:tabs>
      </w:pPr>
      <w:r>
        <w:fldChar w:fldCharType="begin"/>
      </w:r>
      <w:r>
        <w:instrText xml:space="preserve"> HYPERLINK \l "_Toc3821" </w:instrText>
      </w:r>
      <w:r>
        <w:fldChar w:fldCharType="separate"/>
      </w:r>
      <w:r>
        <w:rPr>
          <w:rFonts w:hint="eastAsia" w:ascii="宋体" w:hAnsi="宋体" w:cs="宋体"/>
        </w:rPr>
        <w:t>五、 报价人承诺</w:t>
      </w:r>
      <w:r>
        <w:tab/>
      </w:r>
      <w:r>
        <w:fldChar w:fldCharType="begin"/>
      </w:r>
      <w:r>
        <w:instrText xml:space="preserve"> PAGEREF _Toc3821 \h </w:instrText>
      </w:r>
      <w:r>
        <w:fldChar w:fldCharType="separate"/>
      </w:r>
      <w:r>
        <w:t>34</w:t>
      </w:r>
      <w:r>
        <w:fldChar w:fldCharType="end"/>
      </w:r>
      <w:r>
        <w:fldChar w:fldCharType="end"/>
      </w:r>
    </w:p>
    <w:p>
      <w:pPr>
        <w:pStyle w:val="34"/>
        <w:tabs>
          <w:tab w:val="right" w:leader="dot" w:pos="9638"/>
        </w:tabs>
      </w:pPr>
      <w:r>
        <w:fldChar w:fldCharType="begin"/>
      </w:r>
      <w:r>
        <w:instrText xml:space="preserve"> HYPERLINK \l "_Toc30850" </w:instrText>
      </w:r>
      <w:r>
        <w:fldChar w:fldCharType="separate"/>
      </w:r>
      <w:r>
        <w:rPr>
          <w:rFonts w:hint="eastAsia" w:ascii="宋体" w:hAnsi="宋体" w:cs="宋体"/>
        </w:rPr>
        <w:t>六、 其他资料（如有）</w:t>
      </w:r>
      <w:r>
        <w:tab/>
      </w:r>
      <w:r>
        <w:fldChar w:fldCharType="begin"/>
      </w:r>
      <w:r>
        <w:instrText xml:space="preserve"> PAGEREF _Toc30850 \h </w:instrText>
      </w:r>
      <w:r>
        <w:fldChar w:fldCharType="separate"/>
      </w:r>
      <w:r>
        <w:t>35</w:t>
      </w:r>
      <w:r>
        <w:fldChar w:fldCharType="end"/>
      </w:r>
      <w:r>
        <w:fldChar w:fldCharType="end"/>
      </w:r>
    </w:p>
    <w:p>
      <w:pPr>
        <w:pStyle w:val="34"/>
        <w:tabs>
          <w:tab w:val="right" w:leader="dot" w:pos="9628"/>
        </w:tabs>
        <w:ind w:left="0"/>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rPr>
        <w:fldChar w:fldCharType="end"/>
      </w:r>
    </w:p>
    <w:p>
      <w:pPr>
        <w:pStyle w:val="3"/>
        <w:spacing w:before="0" w:after="0" w:line="360" w:lineRule="auto"/>
        <w:jc w:val="center"/>
        <w:rPr>
          <w:rFonts w:ascii="宋体" w:hAnsi="宋体" w:cs="宋体"/>
        </w:rPr>
      </w:pPr>
      <w:bookmarkStart w:id="5" w:name="_Toc246996157"/>
      <w:bookmarkStart w:id="6" w:name="_Toc247096243"/>
      <w:bookmarkStart w:id="7" w:name="_Toc2000404"/>
      <w:bookmarkStart w:id="8" w:name="_Toc152045511"/>
      <w:bookmarkStart w:id="9" w:name="_Toc507319890"/>
      <w:bookmarkStart w:id="10" w:name="_Toc246996900"/>
      <w:bookmarkStart w:id="11" w:name="_Toc144974479"/>
      <w:bookmarkStart w:id="12" w:name="_Toc152042287"/>
      <w:bookmarkStart w:id="13" w:name="_Toc179632527"/>
      <w:bookmarkStart w:id="14" w:name="_Toc247085671"/>
      <w:bookmarkStart w:id="15" w:name="_Toc23793"/>
      <w:r>
        <w:rPr>
          <w:rFonts w:hint="eastAsia" w:ascii="宋体" w:hAnsi="宋体" w:cs="宋体"/>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rPr>
        <w:t>比选公告</w:t>
      </w:r>
      <w:bookmarkEnd w:id="15"/>
    </w:p>
    <w:p>
      <w:pPr>
        <w:spacing w:line="440" w:lineRule="exact"/>
        <w:jc w:val="center"/>
        <w:rPr>
          <w:rFonts w:ascii="宋体" w:hAnsi="宋体" w:cs="宋体"/>
          <w:b/>
          <w:sz w:val="28"/>
          <w:szCs w:val="28"/>
        </w:rPr>
      </w:pPr>
      <w:bookmarkStart w:id="16" w:name="OLE_LINK3"/>
      <w:bookmarkStart w:id="17" w:name="OLE_LINK2"/>
    </w:p>
    <w:p>
      <w:pPr>
        <w:pStyle w:val="4"/>
        <w:spacing w:before="0" w:after="0" w:line="360" w:lineRule="auto"/>
        <w:rPr>
          <w:rFonts w:ascii="宋体" w:hAnsi="宋体" w:eastAsia="宋体" w:cs="宋体"/>
        </w:rPr>
      </w:pPr>
      <w:bookmarkStart w:id="18" w:name="_Toc10076"/>
      <w:bookmarkStart w:id="19" w:name="_Toc144974480"/>
      <w:bookmarkStart w:id="20" w:name="_Toc179632528"/>
      <w:bookmarkStart w:id="21" w:name="_Toc152042288"/>
      <w:bookmarkStart w:id="22" w:name="_Toc6549"/>
      <w:bookmarkStart w:id="23" w:name="_Toc246996158"/>
      <w:bookmarkStart w:id="24" w:name="_Toc24874"/>
      <w:bookmarkStart w:id="25" w:name="_Toc247085672"/>
      <w:bookmarkStart w:id="26" w:name="_Toc11329213"/>
      <w:bookmarkStart w:id="27" w:name="_Toc152045512"/>
      <w:bookmarkStart w:id="28" w:name="_Toc22712"/>
      <w:bookmarkStart w:id="29" w:name="_Toc507319891"/>
      <w:bookmarkStart w:id="30" w:name="_Toc246996901"/>
      <w:r>
        <w:rPr>
          <w:rFonts w:hint="eastAsia" w:ascii="宋体" w:hAnsi="宋体" w:eastAsia="宋体" w:cs="宋体"/>
        </w:rPr>
        <w:t>1. 比选条件</w:t>
      </w:r>
      <w:bookmarkEnd w:id="18"/>
      <w:bookmarkEnd w:id="19"/>
      <w:bookmarkEnd w:id="20"/>
      <w:bookmarkEnd w:id="21"/>
      <w:bookmarkEnd w:id="22"/>
      <w:bookmarkEnd w:id="23"/>
      <w:bookmarkEnd w:id="24"/>
      <w:bookmarkEnd w:id="25"/>
      <w:bookmarkEnd w:id="26"/>
      <w:bookmarkEnd w:id="27"/>
      <w:bookmarkEnd w:id="28"/>
      <w:bookmarkEnd w:id="29"/>
      <w:bookmarkEnd w:id="30"/>
    </w:p>
    <w:p>
      <w:pPr>
        <w:spacing w:line="400" w:lineRule="exact"/>
        <w:rPr>
          <w:rFonts w:ascii="宋体" w:hAnsi="宋体" w:cs="宋体"/>
          <w:szCs w:val="21"/>
        </w:rPr>
      </w:pPr>
      <w:r>
        <w:rPr>
          <w:rFonts w:hint="eastAsia" w:ascii="宋体" w:hAnsi="宋体" w:cs="宋体"/>
          <w:szCs w:val="21"/>
        </w:rPr>
        <w:t>　　本竞争性比选项目</w:t>
      </w:r>
      <w:r>
        <w:rPr>
          <w:rFonts w:hint="eastAsia" w:ascii="宋体" w:hAnsi="宋体" w:cs="宋体"/>
          <w:szCs w:val="21"/>
          <w:u w:val="single"/>
        </w:rPr>
        <w:t>2023年重庆高速集团网络安全设备采购</w:t>
      </w:r>
      <w:r>
        <w:rPr>
          <w:rFonts w:hint="eastAsia" w:ascii="宋体" w:hAnsi="宋体" w:cs="宋体"/>
          <w:szCs w:val="21"/>
        </w:rPr>
        <w:t>，采购人为</w:t>
      </w:r>
      <w:r>
        <w:rPr>
          <w:rFonts w:hint="eastAsia" w:ascii="宋体" w:hAnsi="宋体" w:cs="宋体"/>
          <w:szCs w:val="21"/>
          <w:u w:val="single"/>
        </w:rPr>
        <w:t xml:space="preserve"> 重庆首讯科技股份有限公司 </w:t>
      </w:r>
      <w:r>
        <w:rPr>
          <w:rFonts w:hint="eastAsia" w:ascii="宋体" w:hAnsi="宋体" w:cs="宋体"/>
          <w:szCs w:val="21"/>
        </w:rPr>
        <w:t>，该项目已具备比选条件，现对该项目进行竞争性比选。</w:t>
      </w:r>
    </w:p>
    <w:p>
      <w:pPr>
        <w:pStyle w:val="4"/>
        <w:spacing w:before="120" w:after="0" w:line="360" w:lineRule="auto"/>
        <w:rPr>
          <w:rFonts w:ascii="宋体" w:hAnsi="宋体" w:eastAsia="宋体" w:cs="宋体"/>
        </w:rPr>
      </w:pPr>
      <w:bookmarkStart w:id="31" w:name="_Toc507319892"/>
      <w:bookmarkStart w:id="32" w:name="_Toc246996159"/>
      <w:bookmarkStart w:id="33" w:name="_Toc21343"/>
      <w:bookmarkStart w:id="34" w:name="_Toc247085673"/>
      <w:bookmarkStart w:id="35" w:name="_Toc246996902"/>
      <w:bookmarkStart w:id="36" w:name="_Toc11329214"/>
      <w:bookmarkStart w:id="37" w:name="_Toc144974481"/>
      <w:bookmarkStart w:id="38" w:name="_Toc152045513"/>
      <w:bookmarkStart w:id="39" w:name="_Toc179632529"/>
      <w:bookmarkStart w:id="40" w:name="_Toc4721"/>
      <w:bookmarkStart w:id="41" w:name="_Toc10952"/>
      <w:bookmarkStart w:id="42" w:name="_Toc18109"/>
      <w:bookmarkStart w:id="43" w:name="_Toc152042289"/>
      <w:r>
        <w:rPr>
          <w:rFonts w:hint="eastAsia" w:ascii="宋体" w:hAnsi="宋体" w:eastAsia="宋体" w:cs="宋体"/>
        </w:rPr>
        <w:t>2. 项目概况与采购范围</w:t>
      </w:r>
      <w:bookmarkEnd w:id="31"/>
      <w:bookmarkEnd w:id="32"/>
      <w:bookmarkEnd w:id="33"/>
      <w:bookmarkEnd w:id="34"/>
      <w:bookmarkEnd w:id="35"/>
      <w:bookmarkEnd w:id="36"/>
      <w:bookmarkEnd w:id="37"/>
      <w:bookmarkEnd w:id="38"/>
      <w:bookmarkEnd w:id="39"/>
      <w:bookmarkEnd w:id="40"/>
      <w:bookmarkEnd w:id="41"/>
      <w:bookmarkEnd w:id="42"/>
      <w:bookmarkEnd w:id="43"/>
    </w:p>
    <w:p>
      <w:pPr>
        <w:pStyle w:val="13"/>
        <w:adjustRightInd w:val="0"/>
        <w:spacing w:line="400" w:lineRule="exact"/>
        <w:rPr>
          <w:rFonts w:ascii="宋体" w:hAnsi="宋体" w:cs="宋体"/>
        </w:rPr>
      </w:pPr>
      <w:bookmarkStart w:id="44" w:name="_Toc446247226"/>
      <w:r>
        <w:rPr>
          <w:rFonts w:hint="eastAsia" w:ascii="宋体" w:hAnsi="宋体" w:cs="宋体"/>
        </w:rPr>
        <w:t xml:space="preserve">2.1 </w:t>
      </w:r>
      <w:bookmarkEnd w:id="44"/>
      <w:r>
        <w:rPr>
          <w:rFonts w:hint="eastAsia" w:ascii="宋体" w:hAnsi="宋体" w:cs="宋体"/>
          <w:szCs w:val="21"/>
        </w:rPr>
        <w:t>项目概况及采购内容：2023年高速集团网络安全咨询维护工作，本次采购内容为网络安全设备采购。</w:t>
      </w:r>
    </w:p>
    <w:p>
      <w:pPr>
        <w:spacing w:line="400" w:lineRule="exact"/>
        <w:ind w:firstLine="420" w:firstLineChars="200"/>
        <w:rPr>
          <w:rFonts w:ascii="宋体" w:hAnsi="宋体" w:cs="宋体"/>
        </w:rPr>
      </w:pPr>
      <w:r>
        <w:rPr>
          <w:rFonts w:hint="eastAsia" w:ascii="宋体" w:hAnsi="宋体" w:cs="宋体"/>
        </w:rPr>
        <w:t>2.2 交货期：合同签订后3</w:t>
      </w:r>
      <w:r>
        <w:rPr>
          <w:rFonts w:ascii="宋体" w:hAnsi="宋体" w:cs="宋体"/>
        </w:rPr>
        <w:t>0</w:t>
      </w:r>
      <w:r>
        <w:rPr>
          <w:rFonts w:hint="eastAsia" w:ascii="宋体" w:hAnsi="宋体" w:cs="宋体"/>
        </w:rPr>
        <w:t>个工作日内完成安装、调试。</w:t>
      </w:r>
    </w:p>
    <w:p>
      <w:pPr>
        <w:spacing w:line="400" w:lineRule="exact"/>
        <w:ind w:firstLine="420" w:firstLineChars="200"/>
        <w:rPr>
          <w:rFonts w:ascii="宋体" w:hAnsi="宋体" w:cs="宋体"/>
          <w:szCs w:val="21"/>
        </w:rPr>
      </w:pPr>
      <w:r>
        <w:rPr>
          <w:rFonts w:hint="eastAsia" w:ascii="宋体" w:hAnsi="宋体" w:cs="宋体"/>
        </w:rPr>
        <w:t>2.3 交货地点：重庆高速公路集团有限公司</w:t>
      </w:r>
      <w:r>
        <w:rPr>
          <w:rFonts w:hint="eastAsia" w:ascii="宋体" w:hAnsi="宋体" w:cs="宋体"/>
          <w:szCs w:val="21"/>
        </w:rPr>
        <w:t>。</w:t>
      </w:r>
    </w:p>
    <w:p>
      <w:pPr>
        <w:pStyle w:val="4"/>
        <w:spacing w:before="120" w:after="0" w:line="360" w:lineRule="auto"/>
        <w:rPr>
          <w:rFonts w:ascii="宋体" w:hAnsi="宋体" w:eastAsia="宋体" w:cs="宋体"/>
        </w:rPr>
      </w:pPr>
      <w:bookmarkStart w:id="45" w:name="_Toc30356"/>
      <w:bookmarkStart w:id="46" w:name="_Toc246996903"/>
      <w:bookmarkStart w:id="47" w:name="_Toc507319893"/>
      <w:bookmarkStart w:id="48" w:name="_Toc10171"/>
      <w:bookmarkStart w:id="49" w:name="_Toc179632530"/>
      <w:bookmarkStart w:id="50" w:name="_Toc144974482"/>
      <w:bookmarkStart w:id="51" w:name="_Toc22406"/>
      <w:bookmarkStart w:id="52" w:name="_Toc152045514"/>
      <w:bookmarkStart w:id="53" w:name="_Toc247085674"/>
      <w:bookmarkStart w:id="54" w:name="_Toc7065"/>
      <w:bookmarkStart w:id="55" w:name="_Toc152042290"/>
      <w:bookmarkStart w:id="56" w:name="_Toc246996160"/>
      <w:bookmarkStart w:id="57" w:name="_Toc11329215"/>
      <w:r>
        <w:rPr>
          <w:rFonts w:hint="eastAsia" w:ascii="宋体" w:hAnsi="宋体" w:eastAsia="宋体" w:cs="宋体"/>
        </w:rPr>
        <w:t>3. 报价人资格要求</w:t>
      </w:r>
      <w:bookmarkEnd w:id="45"/>
      <w:bookmarkEnd w:id="46"/>
      <w:bookmarkEnd w:id="47"/>
      <w:bookmarkEnd w:id="48"/>
      <w:bookmarkEnd w:id="49"/>
      <w:bookmarkEnd w:id="50"/>
      <w:bookmarkEnd w:id="51"/>
      <w:bookmarkEnd w:id="52"/>
      <w:bookmarkEnd w:id="53"/>
      <w:bookmarkEnd w:id="54"/>
      <w:bookmarkEnd w:id="55"/>
      <w:bookmarkEnd w:id="56"/>
      <w:bookmarkEnd w:id="57"/>
    </w:p>
    <w:p>
      <w:pPr>
        <w:spacing w:line="400" w:lineRule="exact"/>
        <w:ind w:firstLine="420" w:firstLineChars="200"/>
        <w:rPr>
          <w:rFonts w:ascii="宋体" w:hAnsi="宋体" w:cs="宋体"/>
          <w:szCs w:val="21"/>
          <w:shd w:val="clear" w:color="auto" w:fill="FFFFFF"/>
        </w:rPr>
      </w:pPr>
      <w:bookmarkStart w:id="58" w:name="_Toc247085675"/>
      <w:bookmarkStart w:id="59" w:name="_Toc144974483"/>
      <w:bookmarkStart w:id="60" w:name="_Toc246996904"/>
      <w:bookmarkStart w:id="61" w:name="_Toc152042291"/>
      <w:bookmarkStart w:id="62" w:name="_Toc152045515"/>
      <w:bookmarkStart w:id="63" w:name="_Toc246996161"/>
      <w:bookmarkStart w:id="64" w:name="_Toc179632531"/>
      <w:r>
        <w:rPr>
          <w:rFonts w:hint="eastAsia" w:ascii="宋体" w:hAnsi="宋体" w:cs="宋体"/>
          <w:szCs w:val="21"/>
          <w:shd w:val="clear" w:color="auto" w:fill="FFFFFF"/>
        </w:rPr>
        <w:t xml:space="preserve">3.1 </w:t>
      </w:r>
      <w:r>
        <w:rPr>
          <w:rFonts w:hint="eastAsia" w:ascii="宋体" w:hAnsi="宋体" w:cs="宋体"/>
          <w:color w:val="333333"/>
          <w:szCs w:val="21"/>
          <w:shd w:val="clear" w:color="auto" w:fill="FFFFFF"/>
        </w:rPr>
        <w:t>应在中国境内注册且具有独立法人资格，</w:t>
      </w:r>
      <w:r>
        <w:rPr>
          <w:rFonts w:hint="eastAsia" w:ascii="宋体" w:hAnsi="宋体" w:cs="宋体"/>
          <w:szCs w:val="21"/>
          <w:shd w:val="clear" w:color="auto" w:fill="FFFFFF"/>
        </w:rPr>
        <w:t>具有有效的营业执照。</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ascii="宋体" w:hAnsi="宋体" w:cs="宋体"/>
          <w:szCs w:val="21"/>
          <w:shd w:val="clear" w:color="auto" w:fill="FFFFFF"/>
        </w:rPr>
        <w:t>2</w:t>
      </w:r>
      <w:r>
        <w:rPr>
          <w:rFonts w:hint="eastAsia" w:ascii="宋体" w:hAnsi="宋体" w:cs="宋体"/>
          <w:szCs w:val="21"/>
          <w:shd w:val="clear" w:color="auto" w:fill="FFFFFF"/>
        </w:rPr>
        <w:t>供应商要求：</w:t>
      </w:r>
    </w:p>
    <w:p>
      <w:pPr>
        <w:spacing w:line="360" w:lineRule="auto"/>
        <w:ind w:firstLine="420" w:firstLineChars="200"/>
        <w:rPr>
          <w:rFonts w:ascii="宋体" w:hAnsi="宋体" w:cs="宋体"/>
          <w:szCs w:val="21"/>
        </w:rPr>
      </w:pPr>
      <w:r>
        <w:rPr>
          <w:rFonts w:hint="eastAsia" w:ascii="宋体" w:hAnsi="宋体" w:cs="宋体"/>
          <w:szCs w:val="21"/>
          <w:shd w:val="clear" w:color="auto" w:fill="FFFFFF"/>
        </w:rPr>
        <w:t>（1）</w:t>
      </w:r>
      <w:r>
        <w:rPr>
          <w:rFonts w:hint="eastAsia" w:ascii="宋体" w:hAnsi="宋体" w:cs="宋体"/>
          <w:szCs w:val="21"/>
        </w:rPr>
        <w:t>报价人须为设备生产厂家或者厂家授权的代理商，如不是设备生产厂家，则需取得设备厂家的项目授权。</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ascii="宋体" w:hAnsi="宋体" w:cs="宋体"/>
          <w:szCs w:val="21"/>
          <w:shd w:val="clear" w:color="auto" w:fill="FFFFFF"/>
        </w:rPr>
        <w:t>3</w:t>
      </w:r>
      <w:r>
        <w:rPr>
          <w:rFonts w:hint="eastAsia" w:ascii="宋体" w:hAnsi="宋体" w:cs="宋体"/>
          <w:szCs w:val="21"/>
          <w:shd w:val="clear" w:color="auto" w:fill="FFFFFF"/>
        </w:rPr>
        <w:t>业绩要求：202</w:t>
      </w:r>
      <w:r>
        <w:rPr>
          <w:rFonts w:ascii="宋体" w:hAnsi="宋体" w:cs="宋体"/>
          <w:szCs w:val="21"/>
          <w:shd w:val="clear" w:color="auto" w:fill="FFFFFF"/>
        </w:rPr>
        <w:t>1</w:t>
      </w:r>
      <w:r>
        <w:rPr>
          <w:rFonts w:hint="eastAsia" w:ascii="宋体" w:hAnsi="宋体" w:cs="宋体"/>
          <w:szCs w:val="21"/>
          <w:shd w:val="clear" w:color="auto" w:fill="FFFFFF"/>
        </w:rPr>
        <w:t>年1月1日至本次竞争性报价截止日期至少具有一个类似项目业绩（以合同签订时间为准，提供合同扫描件）。</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ascii="宋体" w:hAnsi="宋体" w:cs="宋体"/>
          <w:szCs w:val="21"/>
          <w:shd w:val="clear" w:color="auto" w:fill="FFFFFF"/>
        </w:rPr>
        <w:t>4</w:t>
      </w:r>
      <w:r>
        <w:rPr>
          <w:rFonts w:hint="eastAsia" w:ascii="宋体" w:hAnsi="宋体" w:cs="宋体"/>
          <w:szCs w:val="21"/>
          <w:shd w:val="clear" w:color="auto" w:fill="FFFFFF"/>
        </w:rPr>
        <w:t>信誉良好：在国家企业信用信息公示系统（http://www.gsxt.gov.cn/）中未被列入严重违法失信企业名单（黑名单）信息；在“信用中国”网站（http://www.creditchina.gov.cn/）中未被列入失信惩戒执行人名单。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ascii="宋体" w:hAnsi="宋体" w:cs="宋体"/>
          <w:szCs w:val="21"/>
          <w:shd w:val="clear" w:color="auto" w:fill="FFFFFF"/>
        </w:rPr>
        <w:t>5</w:t>
      </w:r>
      <w:r>
        <w:rPr>
          <w:rFonts w:hint="eastAsia" w:ascii="宋体" w:hAnsi="宋体" w:cs="宋体"/>
          <w:szCs w:val="21"/>
          <w:shd w:val="clear" w:color="auto" w:fill="FFFFFF"/>
        </w:rPr>
        <w:t xml:space="preserve"> 本次比选不接受联合体报价。</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3.6 单位负责人为同一人或者存在控股、管理关系的不同单位，不得同时参加本项目报价，否则均按无效报价处理。</w:t>
      </w:r>
    </w:p>
    <w:p>
      <w:pPr>
        <w:pStyle w:val="4"/>
        <w:spacing w:before="120" w:after="0" w:line="400" w:lineRule="exact"/>
        <w:rPr>
          <w:rFonts w:ascii="宋体" w:hAnsi="宋体" w:eastAsia="宋体" w:cs="宋体"/>
        </w:rPr>
      </w:pPr>
      <w:bookmarkStart w:id="65" w:name="_Toc507319894"/>
      <w:bookmarkStart w:id="66" w:name="_Toc1332"/>
      <w:bookmarkStart w:id="67" w:name="_Toc14361"/>
      <w:bookmarkStart w:id="68" w:name="_Toc11329216"/>
      <w:bookmarkStart w:id="69" w:name="_Toc25619"/>
      <w:bookmarkStart w:id="70" w:name="_Toc12460"/>
      <w:r>
        <w:rPr>
          <w:rFonts w:hint="eastAsia" w:ascii="宋体" w:hAnsi="宋体" w:eastAsia="宋体" w:cs="宋体"/>
        </w:rPr>
        <w:t>4. 比选文件的获取</w:t>
      </w:r>
      <w:bookmarkEnd w:id="58"/>
      <w:bookmarkEnd w:id="59"/>
      <w:bookmarkEnd w:id="60"/>
      <w:bookmarkEnd w:id="61"/>
      <w:bookmarkEnd w:id="62"/>
      <w:bookmarkEnd w:id="63"/>
      <w:bookmarkEnd w:id="64"/>
      <w:bookmarkEnd w:id="65"/>
      <w:bookmarkEnd w:id="66"/>
      <w:bookmarkEnd w:id="67"/>
      <w:bookmarkEnd w:id="68"/>
      <w:bookmarkEnd w:id="69"/>
      <w:bookmarkEnd w:id="70"/>
    </w:p>
    <w:p>
      <w:pPr>
        <w:spacing w:line="360" w:lineRule="auto"/>
        <w:ind w:firstLine="420" w:firstLineChars="200"/>
        <w:rPr>
          <w:rFonts w:ascii="宋体" w:hAnsi="宋体"/>
          <w:szCs w:val="21"/>
        </w:rPr>
      </w:pPr>
      <w:bookmarkStart w:id="71" w:name="_Toc144974484"/>
      <w:bookmarkStart w:id="72" w:name="_Toc507319895"/>
      <w:bookmarkStart w:id="73" w:name="_Toc247085676"/>
      <w:bookmarkStart w:id="74" w:name="_Toc246996905"/>
      <w:bookmarkStart w:id="75" w:name="_Toc246996162"/>
      <w:bookmarkStart w:id="76" w:name="_Toc152045516"/>
      <w:bookmarkStart w:id="77" w:name="_Toc179632532"/>
      <w:bookmarkStart w:id="78" w:name="_Toc11329217"/>
      <w:bookmarkStart w:id="79" w:name="_Toc152042292"/>
      <w:r>
        <w:rPr>
          <w:rFonts w:hint="eastAsia" w:ascii="宋体" w:hAnsi="宋体"/>
          <w:szCs w:val="21"/>
        </w:rPr>
        <w:t>凡愿意参加的潜在报价人，在</w:t>
      </w:r>
      <w:r>
        <w:rPr>
          <w:rFonts w:hint="eastAsia" w:ascii="宋体" w:hAnsi="宋体"/>
          <w:szCs w:val="21"/>
          <w:u w:val="single"/>
        </w:rPr>
        <w:t>2023</w:t>
      </w:r>
      <w:r>
        <w:rPr>
          <w:rFonts w:hint="eastAsia" w:ascii="宋体" w:hAnsi="宋体"/>
          <w:szCs w:val="21"/>
        </w:rPr>
        <w:t>年</w:t>
      </w:r>
      <w:r>
        <w:rPr>
          <w:rFonts w:hint="eastAsia" w:ascii="宋体" w:hAnsi="宋体"/>
          <w:szCs w:val="21"/>
          <w:u w:val="single"/>
        </w:rPr>
        <w:t xml:space="preserve"> 8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30</w:t>
      </w:r>
      <w:r>
        <w:rPr>
          <w:rFonts w:hint="eastAsia" w:ascii="宋体" w:hAnsi="宋体"/>
          <w:szCs w:val="21"/>
          <w:u w:val="single"/>
        </w:rPr>
        <w:t xml:space="preserve">  </w:t>
      </w:r>
      <w:r>
        <w:rPr>
          <w:rFonts w:hint="eastAsia" w:ascii="宋体" w:hAnsi="宋体"/>
          <w:szCs w:val="21"/>
        </w:rPr>
        <w:t>日上午</w:t>
      </w:r>
      <w:r>
        <w:rPr>
          <w:rFonts w:hint="eastAsia" w:ascii="宋体" w:hAnsi="宋体"/>
          <w:szCs w:val="21"/>
          <w:u w:val="single"/>
        </w:rPr>
        <w:t>10:00</w:t>
      </w:r>
      <w:r>
        <w:rPr>
          <w:rFonts w:hint="eastAsia" w:ascii="宋体" w:hAnsi="宋体"/>
          <w:szCs w:val="21"/>
        </w:rPr>
        <w:t>前在将响应性文件递交至</w:t>
      </w:r>
      <w:r>
        <w:rPr>
          <w:rFonts w:hint="eastAsia" w:ascii="宋体" w:hAnsi="宋体" w:cs="宋体"/>
          <w:szCs w:val="21"/>
        </w:rPr>
        <w:t>重庆市渝北区新南路52号东界龙湖三楼重庆首讯科技股份有限公司东界龙湖办公区。</w:t>
      </w:r>
      <w:r>
        <w:rPr>
          <w:rFonts w:hint="eastAsia" w:ascii="宋体" w:hAnsi="宋体"/>
          <w:szCs w:val="21"/>
        </w:rPr>
        <w:t>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rPr>
      </w:pPr>
      <w:bookmarkStart w:id="80" w:name="_Toc31493"/>
      <w:bookmarkStart w:id="81" w:name="_Toc19030"/>
      <w:bookmarkStart w:id="82" w:name="_Toc9131"/>
      <w:bookmarkStart w:id="83" w:name="_Toc16686"/>
      <w:r>
        <w:rPr>
          <w:rFonts w:hint="eastAsia" w:ascii="宋体" w:hAnsi="宋体" w:eastAsia="宋体" w:cs="宋体"/>
        </w:rPr>
        <w:t>5. 竞争性比选响应文件的递交</w:t>
      </w:r>
      <w:bookmarkEnd w:id="71"/>
      <w:bookmarkEnd w:id="72"/>
      <w:bookmarkEnd w:id="73"/>
      <w:bookmarkEnd w:id="74"/>
      <w:bookmarkEnd w:id="75"/>
      <w:bookmarkEnd w:id="76"/>
      <w:bookmarkEnd w:id="77"/>
      <w:bookmarkEnd w:id="78"/>
      <w:bookmarkEnd w:id="79"/>
      <w:r>
        <w:rPr>
          <w:rFonts w:hint="eastAsia" w:ascii="宋体" w:hAnsi="宋体" w:eastAsia="宋体" w:cs="宋体"/>
        </w:rPr>
        <w:t>及相关事宜</w:t>
      </w:r>
      <w:bookmarkEnd w:id="80"/>
      <w:bookmarkEnd w:id="81"/>
      <w:bookmarkEnd w:id="82"/>
      <w:bookmarkEnd w:id="83"/>
    </w:p>
    <w:p>
      <w:pPr>
        <w:tabs>
          <w:tab w:val="left" w:pos="360"/>
        </w:tabs>
        <w:spacing w:line="400" w:lineRule="exact"/>
        <w:ind w:firstLine="420" w:firstLineChars="200"/>
        <w:rPr>
          <w:rFonts w:ascii="宋体" w:hAnsi="宋体" w:cs="宋体"/>
          <w:szCs w:val="21"/>
        </w:rPr>
      </w:pPr>
      <w:bookmarkStart w:id="84" w:name="_Toc152045517"/>
      <w:bookmarkStart w:id="85" w:name="_Toc152042293"/>
      <w:bookmarkStart w:id="86" w:name="_Toc246996164"/>
      <w:bookmarkStart w:id="87" w:name="_Toc393"/>
      <w:bookmarkStart w:id="88" w:name="_Toc179632534"/>
      <w:bookmarkStart w:id="89" w:name="_Toc507319897"/>
      <w:bookmarkStart w:id="90" w:name="_Toc246996907"/>
      <w:bookmarkStart w:id="91" w:name="_Toc11329219"/>
      <w:bookmarkStart w:id="92" w:name="_Toc18402"/>
      <w:bookmarkStart w:id="93" w:name="_Toc247085678"/>
      <w:bookmarkStart w:id="94" w:name="_Toc144974485"/>
      <w:bookmarkStart w:id="95" w:name="_Toc21615"/>
      <w:r>
        <w:rPr>
          <w:rFonts w:hint="eastAsia" w:ascii="宋体" w:hAnsi="宋体" w:cs="宋体"/>
          <w:szCs w:val="21"/>
        </w:rPr>
        <w:t>5.1报价截止时间和开标时间：</w:t>
      </w:r>
      <w:r>
        <w:rPr>
          <w:rFonts w:hint="eastAsia" w:ascii="宋体" w:hAnsi="宋体"/>
          <w:szCs w:val="21"/>
          <w:u w:val="single"/>
        </w:rPr>
        <w:t>2023</w:t>
      </w:r>
      <w:r>
        <w:rPr>
          <w:rFonts w:hint="eastAsia" w:ascii="宋体" w:hAnsi="宋体"/>
          <w:szCs w:val="21"/>
        </w:rPr>
        <w:t>年</w:t>
      </w:r>
      <w:r>
        <w:rPr>
          <w:rFonts w:hint="eastAsia" w:ascii="宋体" w:hAnsi="宋体"/>
          <w:szCs w:val="21"/>
          <w:u w:val="single"/>
        </w:rPr>
        <w:t xml:space="preserve"> 8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30</w:t>
      </w:r>
      <w:r>
        <w:rPr>
          <w:rFonts w:hint="eastAsia" w:ascii="宋体" w:hAnsi="宋体"/>
          <w:szCs w:val="21"/>
          <w:u w:val="single"/>
        </w:rPr>
        <w:t xml:space="preserve">  </w:t>
      </w:r>
      <w:r>
        <w:rPr>
          <w:rFonts w:hint="eastAsia" w:ascii="宋体" w:hAnsi="宋体"/>
          <w:szCs w:val="21"/>
        </w:rPr>
        <w:t>日上午</w:t>
      </w:r>
      <w:r>
        <w:rPr>
          <w:rFonts w:hint="eastAsia" w:ascii="宋体" w:hAnsi="宋体" w:cs="宋体"/>
          <w:szCs w:val="21"/>
          <w:u w:val="single"/>
        </w:rPr>
        <w:t xml:space="preserve"> 10</w:t>
      </w:r>
      <w:r>
        <w:rPr>
          <w:rFonts w:hint="eastAsia" w:ascii="宋体" w:hAnsi="宋体" w:cs="宋体"/>
          <w:szCs w:val="21"/>
        </w:rPr>
        <w:t>时</w:t>
      </w:r>
      <w:r>
        <w:rPr>
          <w:rFonts w:hint="eastAsia" w:ascii="宋体" w:hAnsi="宋体" w:cs="宋体"/>
          <w:szCs w:val="21"/>
          <w:u w:val="single"/>
        </w:rPr>
        <w:t xml:space="preserve"> 00 </w:t>
      </w:r>
      <w:r>
        <w:rPr>
          <w:rFonts w:hint="eastAsia" w:ascii="宋体" w:hAnsi="宋体" w:cs="宋体"/>
          <w:szCs w:val="21"/>
        </w:rPr>
        <w:t>分（北京时间）。</w:t>
      </w:r>
    </w:p>
    <w:p>
      <w:pPr>
        <w:tabs>
          <w:tab w:val="left" w:pos="360"/>
        </w:tabs>
        <w:spacing w:line="400" w:lineRule="exact"/>
        <w:ind w:firstLine="420" w:firstLineChars="200"/>
        <w:rPr>
          <w:rFonts w:ascii="宋体" w:hAnsi="宋体" w:cs="宋体"/>
          <w:color w:val="FF0000"/>
          <w:szCs w:val="21"/>
        </w:rPr>
      </w:pPr>
      <w:r>
        <w:rPr>
          <w:rFonts w:hint="eastAsia" w:ascii="宋体" w:hAnsi="宋体" w:cs="宋体"/>
          <w:szCs w:val="21"/>
        </w:rPr>
        <w:t>5.2报价的递交：报价人将完整的密封的报价资料递交至重庆市渝北区新南路52号东界龙湖三楼重庆首讯科技股份有限公司东界龙湖办公区</w:t>
      </w:r>
      <w:r>
        <w:rPr>
          <w:rFonts w:hint="eastAsia" w:ascii="宋体" w:hAnsi="宋体"/>
          <w:szCs w:val="21"/>
        </w:rPr>
        <w:t>。</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5.3</w:t>
      </w:r>
      <w:r>
        <w:rPr>
          <w:rFonts w:ascii="宋体" w:hAnsi="宋体" w:cs="宋体"/>
          <w:szCs w:val="21"/>
        </w:rPr>
        <w:t>采购人不组织工程现场踏勘，不召开报价预备会。</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5.4竞争性比选响应文件提交</w:t>
      </w:r>
      <w:r>
        <w:rPr>
          <w:rFonts w:hint="eastAsia" w:ascii="宋体" w:hAnsi="宋体" w:cs="宋体"/>
          <w:b/>
          <w:bCs/>
          <w:szCs w:val="21"/>
        </w:rPr>
        <w:t>正本1份</w:t>
      </w:r>
      <w:r>
        <w:rPr>
          <w:rFonts w:hint="eastAsia" w:ascii="宋体" w:hAnsi="宋体" w:cs="宋体"/>
          <w:szCs w:val="21"/>
        </w:rPr>
        <w:t>，</w:t>
      </w:r>
      <w:r>
        <w:rPr>
          <w:rFonts w:hint="eastAsia" w:ascii="宋体" w:hAnsi="宋体" w:cs="宋体"/>
          <w:b/>
          <w:bCs/>
          <w:szCs w:val="21"/>
        </w:rPr>
        <w:t>副本1份</w:t>
      </w:r>
      <w:r>
        <w:rPr>
          <w:rFonts w:hint="eastAsia" w:ascii="宋体" w:hAnsi="宋体" w:cs="宋体"/>
          <w:szCs w:val="21"/>
        </w:rPr>
        <w:t>，副本可为正本的复印件，竞争性比选响应文件需</w:t>
      </w:r>
      <w:r>
        <w:rPr>
          <w:rFonts w:hint="eastAsia" w:ascii="宋体" w:hAnsi="宋体" w:cs="宋体"/>
          <w:b/>
          <w:bCs/>
          <w:szCs w:val="21"/>
        </w:rPr>
        <w:t>装订成册</w:t>
      </w:r>
      <w:r>
        <w:rPr>
          <w:rFonts w:hint="eastAsia" w:ascii="宋体" w:hAnsi="宋体" w:cs="宋体"/>
          <w:szCs w:val="21"/>
        </w:rPr>
        <w:t>；报价人应提供竞争性比选响应文件</w:t>
      </w:r>
      <w:r>
        <w:rPr>
          <w:rFonts w:hint="eastAsia" w:ascii="宋体" w:hAnsi="宋体" w:cs="宋体"/>
          <w:b/>
          <w:bCs/>
          <w:szCs w:val="21"/>
        </w:rPr>
        <w:t>电子文件1份</w:t>
      </w:r>
      <w:r>
        <w:rPr>
          <w:rFonts w:hint="eastAsia" w:ascii="宋体" w:hAnsi="宋体" w:cs="宋体"/>
          <w:szCs w:val="21"/>
        </w:rPr>
        <w:t>（U盘1份，电子文件内容须包括竞争性比选响应文件全部内容）。当电子文件与纸质版竞争性比选响应文件不一致时，以纸质版竞争性比选响应文件为准，当正本与副本不一致时，以正本为准。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5.5本次竞争性比选响应文件的组成：竞争性比选响应声明书、法定代表人身份证明或法定代表人授权委托书、报价一览表、资格审查资料、报价人须知前附表规定要求的资料、报价人基本信息及其他材料、低价风险担保提交承诺书、报价人认为需要提供的其他相关文件（注：以上所有文件均须加盖报价人的公章）。</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5.6密封要求：竞争性比选响应文件密封到一个封袋中，在封套上写明：</w:t>
      </w:r>
      <w:r>
        <w:rPr>
          <w:rFonts w:hint="eastAsia" w:ascii="宋体" w:hAnsi="宋体" w:cs="宋体"/>
          <w:b/>
          <w:bCs/>
          <w:szCs w:val="21"/>
          <w:u w:val="single"/>
        </w:rPr>
        <w:t>2023年重庆高速集团网络安全设备采购竞争性比选响应文件，在2023年8月</w:t>
      </w:r>
      <w:r>
        <w:rPr>
          <w:rFonts w:hint="eastAsia" w:ascii="宋体" w:hAnsi="宋体" w:cs="宋体"/>
          <w:b/>
          <w:bCs/>
          <w:szCs w:val="21"/>
          <w:u w:val="single"/>
          <w:lang w:val="en-US" w:eastAsia="zh-CN"/>
        </w:rPr>
        <w:t>30</w:t>
      </w:r>
      <w:r>
        <w:rPr>
          <w:rFonts w:hint="eastAsia" w:ascii="宋体" w:hAnsi="宋体" w:cs="宋体"/>
          <w:b/>
          <w:bCs/>
          <w:szCs w:val="21"/>
          <w:u w:val="single"/>
        </w:rPr>
        <w:t>日10：00时前不得开启</w:t>
      </w:r>
      <w:r>
        <w:rPr>
          <w:rFonts w:hint="eastAsia" w:ascii="宋体" w:hAnsi="宋体" w:cs="宋体"/>
          <w:b/>
          <w:bCs/>
          <w:szCs w:val="21"/>
        </w:rPr>
        <w:t>。</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5.7逾期送达，或未送达指定地点，或未密封的竞争性比选响应文件，采购人不予受理。</w:t>
      </w:r>
    </w:p>
    <w:p>
      <w:pPr>
        <w:pStyle w:val="2"/>
      </w:pPr>
      <w:r>
        <w:rPr>
          <w:rFonts w:hint="eastAsia" w:ascii="宋体" w:hAnsi="宋体" w:cs="宋体"/>
          <w:szCs w:val="21"/>
        </w:rPr>
        <w:t>5.8递交方式：现场递交或邮寄，若采用现场递交方式需在投标截止当天将文件送达并参与现场开标；若采用邮寄方式需用顺丰等快递公司邮寄至重庆首讯科技股份有限公司（重庆市渝北区龙溪街道新南路52号东界龙湖三楼），否则采购人有权拒收，采用邮寄方式的报价人默认认可采购人的开标结果，不得由此提出任何质疑。</w:t>
      </w:r>
    </w:p>
    <w:p>
      <w:pPr>
        <w:pStyle w:val="4"/>
        <w:spacing w:before="120" w:after="0" w:line="400" w:lineRule="exact"/>
        <w:rPr>
          <w:rFonts w:ascii="宋体" w:hAnsi="宋体" w:eastAsia="宋体" w:cs="宋体"/>
        </w:rPr>
      </w:pPr>
      <w:bookmarkStart w:id="96" w:name="_Toc417"/>
      <w:r>
        <w:rPr>
          <w:rFonts w:hint="eastAsia" w:ascii="宋体" w:hAnsi="宋体" w:eastAsia="宋体" w:cs="宋体"/>
        </w:rPr>
        <w:t>6. 联系方式</w:t>
      </w:r>
      <w:bookmarkEnd w:id="84"/>
      <w:bookmarkEnd w:id="85"/>
      <w:bookmarkEnd w:id="86"/>
      <w:bookmarkEnd w:id="87"/>
      <w:bookmarkEnd w:id="88"/>
      <w:bookmarkEnd w:id="89"/>
      <w:bookmarkEnd w:id="90"/>
      <w:bookmarkEnd w:id="91"/>
      <w:bookmarkEnd w:id="92"/>
      <w:bookmarkEnd w:id="93"/>
      <w:bookmarkEnd w:id="94"/>
      <w:bookmarkEnd w:id="95"/>
      <w:bookmarkEnd w:id="96"/>
    </w:p>
    <w:tbl>
      <w:tblPr>
        <w:tblStyle w:val="43"/>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2"/>
              <w:spacing w:before="0" w:beforeAutospacing="0" w:after="0" w:afterAutospacing="0" w:line="400" w:lineRule="exact"/>
              <w:ind w:firstLine="420" w:firstLineChars="200"/>
              <w:jc w:val="both"/>
              <w:rPr>
                <w:rFonts w:ascii="宋体" w:hAnsi="宋体" w:cs="宋体"/>
                <w:kern w:val="2"/>
                <w:sz w:val="21"/>
                <w:szCs w:val="21"/>
              </w:rPr>
            </w:pPr>
            <w:r>
              <w:rPr>
                <w:rFonts w:hint="eastAsia" w:ascii="宋体" w:hAnsi="宋体" w:cs="宋体"/>
                <w:kern w:val="2"/>
                <w:sz w:val="21"/>
                <w:szCs w:val="21"/>
              </w:rPr>
              <w:t>采购人：重庆首讯科技股份有限公司</w:t>
            </w:r>
          </w:p>
        </w:tc>
        <w:tc>
          <w:tcPr>
            <w:tcW w:w="1415" w:type="dxa"/>
            <w:vAlign w:val="center"/>
          </w:tcPr>
          <w:p>
            <w:pPr>
              <w:pStyle w:val="102"/>
              <w:spacing w:before="0" w:beforeAutospacing="0" w:after="0" w:afterAutospacing="0" w:line="400" w:lineRule="exact"/>
              <w:ind w:firstLine="420" w:firstLineChars="200"/>
              <w:jc w:val="both"/>
              <w:rPr>
                <w:rFonts w:ascii="宋体" w:hAnsi="宋体" w:cs="宋体"/>
                <w:kern w:val="2"/>
                <w:sz w:val="21"/>
                <w:szCs w:val="21"/>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rPr>
            </w:pPr>
            <w:r>
              <w:rPr>
                <w:rFonts w:hint="eastAsia" w:ascii="宋体" w:hAnsi="宋体" w:cs="宋体"/>
                <w:szCs w:val="21"/>
              </w:rPr>
              <w:t>地址：重庆市渝北区新南路52号东界龙湖三楼</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ascii="宋体" w:hAnsi="宋体" w:cs="宋体"/>
                <w:szCs w:val="21"/>
              </w:rPr>
            </w:pPr>
            <w:r>
              <w:rPr>
                <w:rFonts w:hint="eastAsia" w:ascii="宋体" w:hAnsi="宋体" w:cs="宋体"/>
                <w:szCs w:val="21"/>
              </w:rPr>
              <w:t>技术联系人：费老师  电 话：13438076652</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62" w:hRule="atLeast"/>
        </w:trPr>
        <w:tc>
          <w:tcPr>
            <w:tcW w:w="8213" w:type="dxa"/>
            <w:vAlign w:val="center"/>
          </w:tcPr>
          <w:p>
            <w:pPr>
              <w:topLinePunct/>
              <w:spacing w:line="420" w:lineRule="exact"/>
              <w:ind w:firstLine="420" w:firstLineChars="200"/>
            </w:pPr>
            <w:r>
              <w:rPr>
                <w:rFonts w:hint="eastAsia" w:ascii="宋体" w:hAnsi="宋体" w:cs="宋体"/>
                <w:szCs w:val="21"/>
              </w:rPr>
              <w:t>商务联系人：毕老师  电 话：18223189022</w:t>
            </w:r>
          </w:p>
        </w:tc>
        <w:tc>
          <w:tcPr>
            <w:tcW w:w="1415" w:type="dxa"/>
            <w:vAlign w:val="center"/>
          </w:tcPr>
          <w:p>
            <w:pPr>
              <w:spacing w:line="400" w:lineRule="exact"/>
              <w:ind w:firstLine="420" w:firstLineChars="200"/>
              <w:rPr>
                <w:rFonts w:ascii="宋体" w:hAnsi="宋体" w:cs="宋体"/>
                <w:szCs w:val="21"/>
              </w:rPr>
            </w:pPr>
          </w:p>
        </w:tc>
      </w:tr>
    </w:tbl>
    <w:p/>
    <w:p>
      <w:pPr>
        <w:pStyle w:val="28"/>
      </w:pPr>
    </w:p>
    <w:p/>
    <w:p>
      <w:pPr>
        <w:pStyle w:val="28"/>
      </w:pPr>
    </w:p>
    <w:p>
      <w:pPr>
        <w:pStyle w:val="28"/>
      </w:pPr>
    </w:p>
    <w:bookmarkEnd w:id="16"/>
    <w:bookmarkEnd w:id="17"/>
    <w:p>
      <w:pPr>
        <w:pStyle w:val="3"/>
        <w:spacing w:before="0" w:after="0" w:line="360" w:lineRule="auto"/>
        <w:jc w:val="center"/>
        <w:rPr>
          <w:rFonts w:ascii="宋体" w:hAnsi="宋体" w:cs="宋体"/>
        </w:rPr>
      </w:pPr>
      <w:bookmarkStart w:id="97" w:name="_Toc152045527"/>
      <w:bookmarkStart w:id="98" w:name="_Toc246996173"/>
      <w:bookmarkStart w:id="99" w:name="_Toc152042303"/>
      <w:bookmarkStart w:id="100" w:name="_Toc507319898"/>
      <w:bookmarkStart w:id="101" w:name="_Toc247085687"/>
      <w:bookmarkStart w:id="102" w:name="_Toc2000405"/>
      <w:bookmarkStart w:id="103" w:name="_Toc179632544"/>
      <w:bookmarkStart w:id="104" w:name="_Toc144974495"/>
      <w:bookmarkStart w:id="105" w:name="_Toc246996916"/>
      <w:r>
        <w:rPr>
          <w:rFonts w:hint="eastAsia" w:ascii="宋体" w:hAnsi="宋体" w:cs="宋体"/>
        </w:rPr>
        <w:br w:type="page"/>
      </w:r>
      <w:bookmarkStart w:id="106" w:name="_Toc13343"/>
      <w:r>
        <w:rPr>
          <w:rFonts w:hint="eastAsia" w:ascii="宋体" w:hAnsi="宋体" w:cs="宋体"/>
        </w:rPr>
        <w:t>第二章 报价人须知</w:t>
      </w:r>
      <w:bookmarkEnd w:id="97"/>
      <w:bookmarkEnd w:id="98"/>
      <w:bookmarkEnd w:id="99"/>
      <w:bookmarkEnd w:id="100"/>
      <w:bookmarkEnd w:id="101"/>
      <w:bookmarkEnd w:id="102"/>
      <w:bookmarkEnd w:id="103"/>
      <w:bookmarkEnd w:id="104"/>
      <w:bookmarkEnd w:id="105"/>
      <w:bookmarkEnd w:id="106"/>
    </w:p>
    <w:p/>
    <w:tbl>
      <w:tblPr>
        <w:tblStyle w:val="4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rPr>
            </w:pPr>
            <w:bookmarkStart w:id="107" w:name="_Toc326760840"/>
            <w:r>
              <w:rPr>
                <w:rFonts w:hint="eastAsia" w:ascii="宋体" w:hAnsi="宋体" w:cs="宋体"/>
                <w:b/>
                <w:kern w:val="0"/>
                <w:szCs w:val="21"/>
              </w:rPr>
              <w:t>序号</w:t>
            </w:r>
          </w:p>
        </w:tc>
        <w:tc>
          <w:tcPr>
            <w:tcW w:w="2106" w:type="dxa"/>
            <w:vAlign w:val="center"/>
          </w:tcPr>
          <w:p>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04" w:type="dxa"/>
            <w:vAlign w:val="center"/>
          </w:tcPr>
          <w:p>
            <w:pPr>
              <w:spacing w:line="400" w:lineRule="exact"/>
              <w:ind w:firstLine="422" w:firstLineChars="200"/>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采购人</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采购人：重庆首讯科技股份有限公司</w:t>
            </w:r>
          </w:p>
          <w:p>
            <w:pPr>
              <w:spacing w:line="400" w:lineRule="exact"/>
              <w:ind w:firstLine="420" w:firstLineChars="200"/>
              <w:rPr>
                <w:rFonts w:ascii="宋体" w:hAnsi="宋体" w:cs="宋体"/>
                <w:szCs w:val="21"/>
              </w:rPr>
            </w:pPr>
            <w:r>
              <w:rPr>
                <w:rFonts w:hint="eastAsia" w:ascii="宋体" w:hAnsi="宋体" w:cs="宋体"/>
                <w:szCs w:val="21"/>
              </w:rPr>
              <w:t>地  址：重庆市渝北区新南路52号东界龙湖三楼</w:t>
            </w:r>
          </w:p>
          <w:p>
            <w:pPr>
              <w:spacing w:line="400" w:lineRule="exact"/>
              <w:ind w:firstLine="420" w:firstLineChars="200"/>
              <w:rPr>
                <w:rFonts w:ascii="宋体" w:hAnsi="宋体" w:cs="宋体"/>
                <w:szCs w:val="21"/>
              </w:rPr>
            </w:pPr>
            <w:r>
              <w:rPr>
                <w:rFonts w:hint="eastAsia" w:ascii="宋体" w:hAnsi="宋体" w:cs="宋体"/>
                <w:szCs w:val="21"/>
              </w:rPr>
              <w:t>联系人：毕老师</w:t>
            </w:r>
          </w:p>
          <w:p>
            <w:pPr>
              <w:topLinePunct/>
              <w:spacing w:line="420" w:lineRule="exact"/>
              <w:ind w:firstLine="420" w:firstLineChars="200"/>
            </w:pPr>
            <w:r>
              <w:rPr>
                <w:rFonts w:hint="eastAsia" w:ascii="宋体" w:hAnsi="宋体" w:cs="宋体"/>
                <w:szCs w:val="21"/>
              </w:rPr>
              <w:t>电  话：18223189022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项目名称</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2023年重庆高速集团网络安全设备采购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项目概况</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采购范围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交货期</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技术标准</w:t>
            </w:r>
          </w:p>
        </w:tc>
        <w:tc>
          <w:tcPr>
            <w:tcW w:w="7104" w:type="dxa"/>
          </w:tcPr>
          <w:p>
            <w:pPr>
              <w:spacing w:line="400" w:lineRule="exact"/>
              <w:ind w:firstLine="420" w:firstLineChars="200"/>
              <w:rPr>
                <w:rFonts w:ascii="宋体" w:hAnsi="宋体" w:cs="宋体"/>
                <w:kern w:val="0"/>
                <w:szCs w:val="21"/>
              </w:rPr>
            </w:pPr>
            <w:r>
              <w:rPr>
                <w:rFonts w:hint="eastAsia" w:ascii="宋体" w:hAnsi="宋体" w:cs="宋体"/>
                <w:szCs w:val="21"/>
              </w:rPr>
              <w:t>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97" w:type="dxa"/>
            <w:vAlign w:val="center"/>
          </w:tcPr>
          <w:p>
            <w:pPr>
              <w:spacing w:line="400" w:lineRule="exact"/>
              <w:jc w:val="center"/>
              <w:rPr>
                <w:rFonts w:ascii="宋体" w:hAnsi="宋体" w:cs="宋体"/>
                <w:szCs w:val="21"/>
              </w:rPr>
            </w:pPr>
            <w:r>
              <w:rPr>
                <w:rFonts w:hint="eastAsia" w:ascii="宋体" w:hAnsi="宋体" w:cs="宋体"/>
                <w:szCs w:val="21"/>
              </w:rPr>
              <w:t>7</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报价人资格要求</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kern w:val="0"/>
                <w:szCs w:val="21"/>
              </w:rPr>
              <w:t>见比选公告及附录1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8</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是否接受</w:t>
            </w:r>
          </w:p>
          <w:p>
            <w:pPr>
              <w:spacing w:line="400" w:lineRule="exact"/>
              <w:jc w:val="center"/>
              <w:rPr>
                <w:rFonts w:ascii="宋体" w:hAnsi="宋体" w:cs="宋体"/>
                <w:kern w:val="0"/>
                <w:szCs w:val="21"/>
              </w:rPr>
            </w:pPr>
            <w:r>
              <w:rPr>
                <w:rFonts w:hint="eastAsia" w:ascii="宋体" w:hAnsi="宋体" w:cs="宋体"/>
                <w:kern w:val="0"/>
                <w:szCs w:val="21"/>
              </w:rPr>
              <w:t>联合体报价</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9</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踏勘现场</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分包</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偏差</w:t>
            </w:r>
          </w:p>
        </w:tc>
        <w:tc>
          <w:tcPr>
            <w:tcW w:w="7104" w:type="dxa"/>
            <w:vAlign w:val="center"/>
          </w:tcPr>
          <w:p>
            <w:pPr>
              <w:spacing w:line="400" w:lineRule="exact"/>
              <w:ind w:firstLine="422" w:firstLineChars="200"/>
              <w:rPr>
                <w:rFonts w:ascii="宋体" w:hAnsi="宋体" w:cs="宋体"/>
                <w:kern w:val="0"/>
                <w:szCs w:val="21"/>
              </w:rPr>
            </w:pPr>
            <w:r>
              <w:rPr>
                <w:rFonts w:hint="eastAsia" w:ascii="宋体" w:hAnsi="宋体" w:cs="宋体"/>
                <w:b/>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12</w:t>
            </w:r>
          </w:p>
        </w:tc>
        <w:tc>
          <w:tcPr>
            <w:tcW w:w="2106" w:type="dxa"/>
            <w:vAlign w:val="center"/>
          </w:tcPr>
          <w:p>
            <w:pPr>
              <w:spacing w:line="440" w:lineRule="exact"/>
              <w:jc w:val="center"/>
              <w:rPr>
                <w:rFonts w:ascii="宋体" w:hAnsi="宋体" w:cs="宋体"/>
                <w:kern w:val="0"/>
                <w:szCs w:val="21"/>
              </w:rPr>
            </w:pPr>
            <w:r>
              <w:rPr>
                <w:rFonts w:hint="eastAsia" w:ascii="宋体" w:hAnsi="宋体" w:cs="宋体"/>
                <w:bCs/>
                <w:szCs w:val="21"/>
              </w:rPr>
              <w:t>构成比选文件的其他材料</w:t>
            </w:r>
          </w:p>
        </w:tc>
        <w:tc>
          <w:tcPr>
            <w:tcW w:w="7104" w:type="dxa"/>
            <w:vAlign w:val="center"/>
          </w:tcPr>
          <w:p>
            <w:pPr>
              <w:spacing w:line="440" w:lineRule="exact"/>
              <w:ind w:firstLine="420" w:firstLineChars="200"/>
              <w:rPr>
                <w:rFonts w:ascii="宋体" w:hAnsi="宋体" w:cs="宋体"/>
                <w:kern w:val="0"/>
                <w:szCs w:val="21"/>
              </w:rPr>
            </w:pPr>
            <w:r>
              <w:rPr>
                <w:rFonts w:hint="eastAsia" w:ascii="宋体" w:hAnsi="宋体" w:cs="宋体"/>
                <w:szCs w:val="21"/>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13</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构成竞争性比选响应文件的其他材料</w:t>
            </w:r>
          </w:p>
        </w:tc>
        <w:tc>
          <w:tcPr>
            <w:tcW w:w="7104" w:type="dxa"/>
            <w:vAlign w:val="center"/>
          </w:tcPr>
          <w:p>
            <w:pPr>
              <w:pStyle w:val="149"/>
              <w:spacing w:before="72" w:line="400" w:lineRule="exact"/>
              <w:ind w:firstLine="420" w:firstLineChars="200"/>
              <w:jc w:val="both"/>
              <w:rPr>
                <w:rFonts w:hAnsi="宋体"/>
                <w:szCs w:val="21"/>
              </w:rPr>
            </w:pPr>
            <w:r>
              <w:rPr>
                <w:rFonts w:hint="eastAsia" w:hAnsi="宋体"/>
                <w:color w:val="auto"/>
                <w:sz w:val="21"/>
                <w:szCs w:val="21"/>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rPr>
            </w:pPr>
            <w:bookmarkStart w:id="108" w:name="_Hlt227984024"/>
            <w:bookmarkEnd w:id="108"/>
            <w:r>
              <w:rPr>
                <w:rFonts w:hint="eastAsia" w:ascii="宋体" w:hAnsi="宋体" w:cs="宋体"/>
                <w:kern w:val="0"/>
                <w:szCs w:val="21"/>
              </w:rPr>
              <w:t>14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报价清单的填写方式</w:t>
            </w:r>
          </w:p>
        </w:tc>
        <w:tc>
          <w:tcPr>
            <w:tcW w:w="7104" w:type="dxa"/>
          </w:tcPr>
          <w:p>
            <w:pPr>
              <w:spacing w:line="400" w:lineRule="exact"/>
              <w:ind w:firstLine="420" w:firstLineChars="200"/>
              <w:jc w:val="left"/>
              <w:rPr>
                <w:rFonts w:ascii="宋体" w:hAnsi="宋体" w:cs="宋体"/>
                <w:szCs w:val="21"/>
              </w:rPr>
            </w:pPr>
            <w:r>
              <w:rPr>
                <w:rFonts w:hint="eastAsia" w:ascii="宋体" w:hAnsi="宋体" w:cs="宋体"/>
              </w:rPr>
              <w:t>报价人按照采购人提供的报价清单填写报价</w:t>
            </w:r>
          </w:p>
          <w:p>
            <w:pPr>
              <w:spacing w:line="400" w:lineRule="exact"/>
              <w:ind w:firstLine="422" w:firstLineChars="200"/>
              <w:rPr>
                <w:rFonts w:ascii="宋体" w:hAnsi="宋体" w:cs="宋体"/>
                <w:b/>
                <w:szCs w:val="21"/>
              </w:rPr>
            </w:pPr>
            <w:r>
              <w:rPr>
                <w:rFonts w:hint="eastAsia" w:ascii="宋体" w:hAnsi="宋体" w:cs="宋体"/>
                <w:b/>
                <w:szCs w:val="21"/>
              </w:rPr>
              <w:t>综合单价取小数点后两位，小数点后第三位四舍五入。</w:t>
            </w:r>
          </w:p>
          <w:p>
            <w:pPr>
              <w:spacing w:line="400" w:lineRule="exact"/>
              <w:ind w:firstLine="422" w:firstLineChars="200"/>
              <w:rPr>
                <w:rFonts w:hAnsi="宋体"/>
                <w:szCs w:val="21"/>
              </w:rPr>
            </w:pPr>
            <w:r>
              <w:rPr>
                <w:rFonts w:hint="eastAsia" w:ascii="宋体" w:hAnsi="宋体" w:cs="宋体"/>
                <w:b/>
                <w:bCs/>
                <w:szCs w:val="21"/>
              </w:rPr>
              <w:t>本项目报价清单及说明随比选文件一并发布，详见附件。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15</w:t>
            </w:r>
          </w:p>
        </w:tc>
        <w:tc>
          <w:tcPr>
            <w:tcW w:w="2106"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kern w:val="0"/>
                <w:szCs w:val="21"/>
              </w:rPr>
              <w:t>最高投标限价</w:t>
            </w:r>
          </w:p>
        </w:tc>
        <w:tc>
          <w:tcPr>
            <w:tcW w:w="7104" w:type="dxa"/>
            <w:tcBorders>
              <w:bottom w:val="single" w:color="auto" w:sz="4" w:space="0"/>
            </w:tcBorders>
          </w:tcPr>
          <w:p>
            <w:pPr>
              <w:spacing w:line="400" w:lineRule="exact"/>
              <w:ind w:firstLine="422" w:firstLineChars="200"/>
              <w:rPr>
                <w:rFonts w:ascii="宋体" w:hAnsi="宋体"/>
                <w:szCs w:val="21"/>
              </w:rPr>
            </w:pPr>
            <w:r>
              <w:rPr>
                <w:rFonts w:hint="eastAsia" w:ascii="宋体" w:hAnsi="宋体"/>
                <w:b/>
                <w:bCs/>
                <w:szCs w:val="21"/>
              </w:rPr>
              <w:t>2023年重庆高速集团网络安全设备采购项目最高限价：</w:t>
            </w:r>
            <w:r>
              <w:rPr>
                <w:rFonts w:hint="eastAsia" w:ascii="宋体" w:hAnsi="宋体"/>
                <w:b/>
                <w:bCs/>
                <w:szCs w:val="21"/>
                <w:u w:val="single"/>
              </w:rPr>
              <w:t>483000</w:t>
            </w:r>
            <w:r>
              <w:rPr>
                <w:rFonts w:hint="eastAsia" w:ascii="宋体" w:hAnsi="宋体"/>
                <w:b/>
                <w:bCs/>
                <w:szCs w:val="21"/>
                <w:u w:val="single"/>
                <w:lang w:val="en-US" w:eastAsia="zh-CN"/>
              </w:rPr>
              <w:t>元</w:t>
            </w:r>
            <w:r>
              <w:rPr>
                <w:rFonts w:hint="eastAsia" w:ascii="宋体" w:hAnsi="宋体"/>
                <w:b/>
                <w:bCs/>
                <w:szCs w:val="21"/>
              </w:rPr>
              <w:t>。</w:t>
            </w:r>
          </w:p>
          <w:p>
            <w:pPr>
              <w:spacing w:line="400" w:lineRule="exact"/>
              <w:ind w:firstLine="422" w:firstLineChars="200"/>
              <w:rPr>
                <w:rFonts w:ascii="宋体" w:hAnsi="宋体" w:cs="宋体"/>
                <w:szCs w:val="21"/>
              </w:rPr>
            </w:pPr>
            <w:r>
              <w:rPr>
                <w:rFonts w:hint="eastAsia" w:ascii="宋体" w:hAnsi="宋体" w:cs="宋体"/>
                <w:b/>
                <w:szCs w:val="21"/>
              </w:rPr>
              <w:t>报价人报价不得高于采购人发布的最高限价，否则其竞争性比选响应文件视为重大偏差，竞争性比选响应文件将按否决报价处理</w:t>
            </w:r>
            <w:r>
              <w:rPr>
                <w:rFonts w:hint="eastAsia" w:ascii="宋体" w:hAnsi="宋体" w:cs="宋体"/>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16</w:t>
            </w:r>
          </w:p>
        </w:tc>
        <w:tc>
          <w:tcPr>
            <w:tcW w:w="2106"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合同支付方式</w:t>
            </w:r>
          </w:p>
        </w:tc>
        <w:tc>
          <w:tcPr>
            <w:tcW w:w="7104" w:type="dxa"/>
            <w:tcBorders>
              <w:bottom w:val="single" w:color="auto" w:sz="4" w:space="0"/>
            </w:tcBorders>
          </w:tcPr>
          <w:p>
            <w:pPr>
              <w:spacing w:line="400" w:lineRule="exact"/>
              <w:ind w:firstLine="420" w:firstLineChars="200"/>
              <w:rPr>
                <w:highlight w:val="none"/>
              </w:rPr>
            </w:pPr>
            <w:r>
              <w:rPr>
                <w:rFonts w:hint="eastAsia"/>
                <w:highlight w:val="none"/>
              </w:rPr>
              <w:t>1、设备供货、安装调试完成后，试运行三个月，经甲方验收合格，5个工作日内甲方支付中标人合同签订金额的9</w:t>
            </w:r>
            <w:r>
              <w:rPr>
                <w:highlight w:val="none"/>
              </w:rPr>
              <w:t>5%</w:t>
            </w:r>
            <w:r>
              <w:rPr>
                <w:rFonts w:hint="eastAsia"/>
                <w:highlight w:val="none"/>
              </w:rPr>
              <w:t>。</w:t>
            </w:r>
          </w:p>
          <w:p>
            <w:pPr>
              <w:spacing w:line="400" w:lineRule="exact"/>
              <w:ind w:firstLine="420" w:firstLineChars="200"/>
              <w:rPr>
                <w:highlight w:val="none"/>
              </w:rPr>
            </w:pPr>
            <w:r>
              <w:rPr>
                <w:rFonts w:hint="eastAsia"/>
                <w:highlight w:val="none"/>
              </w:rPr>
              <w:t>2、剩余5</w:t>
            </w:r>
            <w:r>
              <w:rPr>
                <w:highlight w:val="none"/>
              </w:rPr>
              <w:t>%</w:t>
            </w:r>
            <w:r>
              <w:rPr>
                <w:rFonts w:hint="eastAsia"/>
                <w:highlight w:val="none"/>
              </w:rPr>
              <w:t>作为本项目的质量保证金，质量保修期5年满后支付。</w:t>
            </w:r>
          </w:p>
          <w:p>
            <w:pPr>
              <w:spacing w:line="400" w:lineRule="exact"/>
              <w:ind w:firstLine="420" w:firstLineChars="200"/>
              <w:rPr>
                <w:highlight w:val="none"/>
              </w:rPr>
            </w:pPr>
            <w:r>
              <w:rPr>
                <w:rFonts w:hint="eastAsia"/>
                <w:highlight w:val="none"/>
              </w:rPr>
              <w:t>3、中标人每次应按付款金额提供等额增值税专用发票给甲方作为支付凭证。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szCs w:val="21"/>
              </w:rPr>
            </w:pPr>
            <w:r>
              <w:rPr>
                <w:rFonts w:hint="eastAsia" w:ascii="宋体" w:hAnsi="宋体" w:cs="宋体"/>
                <w:szCs w:val="21"/>
              </w:rPr>
              <w:t>17</w:t>
            </w:r>
          </w:p>
        </w:tc>
        <w:tc>
          <w:tcPr>
            <w:tcW w:w="2106" w:type="dxa"/>
          </w:tcPr>
          <w:p>
            <w:pPr>
              <w:spacing w:line="400" w:lineRule="exact"/>
              <w:jc w:val="center"/>
              <w:rPr>
                <w:rFonts w:ascii="宋体" w:hAnsi="宋体" w:cs="宋体"/>
                <w:szCs w:val="21"/>
              </w:rPr>
            </w:pPr>
            <w:r>
              <w:rPr>
                <w:rFonts w:hint="eastAsia" w:ascii="宋体" w:hAnsi="宋体" w:cs="宋体"/>
                <w:szCs w:val="21"/>
              </w:rPr>
              <w:t>中标候选人的人数</w:t>
            </w:r>
          </w:p>
        </w:tc>
        <w:tc>
          <w:tcPr>
            <w:tcW w:w="7104" w:type="dxa"/>
            <w:vAlign w:val="center"/>
          </w:tcPr>
          <w:p>
            <w:pPr>
              <w:spacing w:line="400" w:lineRule="exact"/>
              <w:ind w:firstLine="420" w:firstLineChars="200"/>
              <w:rPr>
                <w:rFonts w:ascii="宋体" w:hAnsi="宋体" w:cs="宋体"/>
              </w:rPr>
            </w:pPr>
            <w:r>
              <w:rPr>
                <w:rFonts w:hint="eastAsia" w:ascii="宋体" w:hAnsi="宋体" w:cs="宋体"/>
              </w:rPr>
              <w:t>每个标段推荐的中标候选人数：2名。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18</w:t>
            </w:r>
          </w:p>
        </w:tc>
        <w:tc>
          <w:tcPr>
            <w:tcW w:w="2106"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保证金</w:t>
            </w:r>
          </w:p>
        </w:tc>
        <w:tc>
          <w:tcPr>
            <w:tcW w:w="7104" w:type="dxa"/>
            <w:vAlign w:val="center"/>
          </w:tcPr>
          <w:p>
            <w:pPr>
              <w:snapToGrid w:val="0"/>
              <w:spacing w:line="400" w:lineRule="exact"/>
              <w:ind w:firstLine="420" w:firstLineChars="200"/>
              <w:rPr>
                <w:rFonts w:ascii="宋体" w:hAnsi="宋体" w:cs="宋体"/>
              </w:rPr>
            </w:pPr>
            <w:r>
              <w:rPr>
                <w:rFonts w:hint="eastAsia" w:ascii="宋体" w:hAnsi="宋体" w:cs="宋体"/>
              </w:rPr>
              <w:t>一、投标保证金</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无</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二、履约保证金</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无</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四、采购人指定的开户银行及账号如下：</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账户名称：重庆首讯科技股份有限公司</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开户银行：兴业银行重庆分行营业部</w:t>
            </w:r>
          </w:p>
          <w:p>
            <w:pPr>
              <w:pStyle w:val="149"/>
              <w:spacing w:line="400" w:lineRule="exact"/>
              <w:ind w:firstLine="420" w:firstLineChars="200"/>
              <w:rPr>
                <w:rFonts w:hAnsi="宋体"/>
                <w:color w:val="auto"/>
                <w:kern w:val="2"/>
                <w:sz w:val="21"/>
              </w:rPr>
            </w:pPr>
            <w:r>
              <w:rPr>
                <w:rFonts w:hint="eastAsia" w:hAnsi="宋体"/>
                <w:color w:val="auto"/>
                <w:kern w:val="2"/>
                <w:sz w:val="21"/>
                <w:szCs w:val="21"/>
              </w:rPr>
              <w:t>帐    号：3460 1010 0100 4791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Ansi="宋体"/>
                <w:color w:val="auto"/>
                <w:sz w:val="21"/>
                <w:szCs w:val="21"/>
              </w:rPr>
            </w:pPr>
            <w:r>
              <w:rPr>
                <w:rFonts w:hint="eastAsia" w:hAnsi="宋体"/>
                <w:color w:val="auto"/>
                <w:sz w:val="21"/>
                <w:szCs w:val="21"/>
              </w:rPr>
              <w:t>19</w:t>
            </w:r>
          </w:p>
        </w:tc>
        <w:tc>
          <w:tcPr>
            <w:tcW w:w="2106" w:type="dxa"/>
            <w:vAlign w:val="center"/>
          </w:tcPr>
          <w:p>
            <w:pPr>
              <w:pStyle w:val="149"/>
              <w:spacing w:line="400" w:lineRule="exact"/>
              <w:jc w:val="center"/>
              <w:rPr>
                <w:rFonts w:hAnsi="宋体"/>
                <w:color w:val="auto"/>
                <w:sz w:val="21"/>
                <w:szCs w:val="21"/>
              </w:rPr>
            </w:pPr>
            <w:r>
              <w:rPr>
                <w:rFonts w:hint="eastAsia" w:hAnsi="宋体"/>
                <w:color w:val="auto"/>
                <w:kern w:val="2"/>
                <w:sz w:val="21"/>
                <w:szCs w:val="21"/>
              </w:rPr>
              <w:t>监督部门</w:t>
            </w:r>
          </w:p>
        </w:tc>
        <w:tc>
          <w:tcPr>
            <w:tcW w:w="7104" w:type="dxa"/>
            <w:vAlign w:val="center"/>
          </w:tcPr>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监督部门：重庆首讯科技股份有限公司合规监管部</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地    址：重庆市渝北区新南路52号东界龙湖三楼</w:t>
            </w:r>
          </w:p>
          <w:p>
            <w:pPr>
              <w:pStyle w:val="149"/>
              <w:spacing w:line="400" w:lineRule="exact"/>
              <w:ind w:firstLine="420" w:firstLineChars="200"/>
              <w:rPr>
                <w:rFonts w:hAnsi="宋体"/>
                <w:color w:val="auto"/>
                <w:sz w:val="21"/>
                <w:szCs w:val="21"/>
              </w:rPr>
            </w:pPr>
            <w:r>
              <w:rPr>
                <w:rFonts w:hint="eastAsia" w:hAnsi="宋体"/>
                <w:color w:val="auto"/>
                <w:kern w:val="2"/>
                <w:sz w:val="21"/>
                <w:szCs w:val="21"/>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Ansi="宋体"/>
                <w:color w:val="auto"/>
                <w:sz w:val="21"/>
                <w:szCs w:val="21"/>
              </w:rPr>
            </w:pPr>
            <w:r>
              <w:rPr>
                <w:rFonts w:hint="eastAsia" w:hAnsi="宋体"/>
                <w:color w:val="auto"/>
                <w:sz w:val="21"/>
                <w:szCs w:val="21"/>
              </w:rPr>
              <w:t>20</w:t>
            </w:r>
          </w:p>
        </w:tc>
        <w:tc>
          <w:tcPr>
            <w:tcW w:w="2106"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竞争性比选响应文件的组成</w:t>
            </w:r>
          </w:p>
        </w:tc>
        <w:tc>
          <w:tcPr>
            <w:tcW w:w="7104" w:type="dxa"/>
            <w:vAlign w:val="center"/>
          </w:tcPr>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1.竞争性比选文件需加盖报价人的公章，竞争性比选响应文件提交</w:t>
            </w:r>
            <w:r>
              <w:rPr>
                <w:rFonts w:hint="eastAsia" w:hAnsi="宋体"/>
                <w:b/>
                <w:bCs/>
                <w:color w:val="auto"/>
                <w:kern w:val="2"/>
                <w:sz w:val="21"/>
                <w:szCs w:val="21"/>
              </w:rPr>
              <w:t>正本1份，副本1份，电子文件1份</w:t>
            </w:r>
            <w:r>
              <w:rPr>
                <w:rFonts w:hint="eastAsia" w:hAnsi="宋体"/>
                <w:color w:val="auto"/>
                <w:kern w:val="2"/>
                <w:sz w:val="21"/>
                <w:szCs w:val="21"/>
              </w:rPr>
              <w:t>，副本可为正本的复印件，竞争性比选响应文件需装订成册；电子文件1份应提供竞争性比选响应文件（盖章版）扫描版PDF电子版本（U盘1份，电子文件内容须包括竞争性比选响应文件全部内容）。当电子文件与纸质版竞争性比选响应文件不一致时，以纸质版竞争性比选响应文件为准，当正本与副本不一致时，以正本为准。</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2.竞争性比选响应声明书、报价函、资格要求材料、报价人认为需要提供的其他相关文件（注：以</w:t>
            </w:r>
            <w:r>
              <w:rPr>
                <w:rFonts w:hint="eastAsia" w:hAnsi="宋体"/>
                <w:b/>
                <w:bCs/>
                <w:color w:val="auto"/>
                <w:kern w:val="2"/>
                <w:sz w:val="21"/>
                <w:szCs w:val="21"/>
              </w:rPr>
              <w:t>上所有文件均须逐页加盖报价人的公章</w:t>
            </w:r>
            <w:r>
              <w:rPr>
                <w:rFonts w:hint="eastAsia" w:hAnsi="宋体"/>
                <w:color w:val="auto"/>
                <w:kern w:val="2"/>
                <w:sz w:val="21"/>
                <w:szCs w:val="21"/>
              </w:rPr>
              <w:t>）。</w:t>
            </w:r>
          </w:p>
          <w:p>
            <w:pPr>
              <w:pStyle w:val="149"/>
              <w:spacing w:line="400" w:lineRule="exact"/>
              <w:ind w:firstLine="422" w:firstLineChars="200"/>
              <w:rPr>
                <w:rFonts w:hAnsi="宋体"/>
                <w:b/>
                <w:bCs/>
                <w:color w:val="auto"/>
                <w:kern w:val="2"/>
                <w:sz w:val="21"/>
                <w:szCs w:val="21"/>
              </w:rPr>
            </w:pPr>
            <w:r>
              <w:rPr>
                <w:rFonts w:hint="eastAsia" w:hAnsi="宋体"/>
                <w:b/>
                <w:bCs/>
                <w:color w:val="auto"/>
                <w:kern w:val="2"/>
                <w:sz w:val="21"/>
                <w:szCs w:val="21"/>
              </w:rPr>
              <w:t>3.密封要求：</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竞争性比选响应文件密封到一个封袋中，在封套上写明：</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2023年重庆高速集团网络安全设备采购项目竞争性比选响应文件（加盖报价人的公章）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Ansi="宋体"/>
                <w:color w:val="auto"/>
                <w:sz w:val="21"/>
                <w:szCs w:val="21"/>
              </w:rPr>
            </w:pPr>
            <w:r>
              <w:rPr>
                <w:rFonts w:hint="eastAsia" w:hAnsi="宋体"/>
                <w:color w:val="auto"/>
                <w:sz w:val="21"/>
                <w:szCs w:val="21"/>
              </w:rPr>
              <w:t>22</w:t>
            </w:r>
          </w:p>
        </w:tc>
        <w:tc>
          <w:tcPr>
            <w:tcW w:w="2106" w:type="dxa"/>
            <w:vAlign w:val="center"/>
          </w:tcPr>
          <w:p>
            <w:pPr>
              <w:spacing w:line="400" w:lineRule="exact"/>
              <w:jc w:val="center"/>
              <w:rPr>
                <w:rFonts w:hAnsi="宋体"/>
                <w:szCs w:val="21"/>
              </w:rPr>
            </w:pPr>
            <w:r>
              <w:rPr>
                <w:rFonts w:hint="eastAsia"/>
              </w:rPr>
              <w:t>中标候选人公示</w:t>
            </w:r>
          </w:p>
        </w:tc>
        <w:tc>
          <w:tcPr>
            <w:tcW w:w="7104" w:type="dxa"/>
            <w:vAlign w:val="center"/>
          </w:tcPr>
          <w:p>
            <w:pPr>
              <w:spacing w:line="400" w:lineRule="exact"/>
              <w:ind w:firstLine="420" w:firstLineChars="200"/>
              <w:rPr>
                <w:rFonts w:hAnsi="宋体"/>
                <w:szCs w:val="21"/>
              </w:rPr>
            </w:pPr>
            <w:r>
              <w:rPr>
                <w:rFonts w:hint="eastAsia"/>
              </w:rPr>
              <w:t>评标结果将在重庆高速集团官网（http://www.cegc.com.cn）上进行公示，公示期为 3 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23</w:t>
            </w:r>
          </w:p>
        </w:tc>
        <w:tc>
          <w:tcPr>
            <w:tcW w:w="9210" w:type="dxa"/>
            <w:gridSpan w:val="2"/>
            <w:vAlign w:val="center"/>
          </w:tcPr>
          <w:p>
            <w:pPr>
              <w:pStyle w:val="149"/>
              <w:spacing w:line="400" w:lineRule="exact"/>
              <w:ind w:firstLine="482" w:firstLineChars="200"/>
              <w:jc w:val="center"/>
              <w:rPr>
                <w:rFonts w:hAnsi="宋体"/>
                <w:color w:val="auto"/>
                <w:kern w:val="2"/>
                <w:sz w:val="21"/>
                <w:szCs w:val="21"/>
              </w:rPr>
            </w:pPr>
            <w:r>
              <w:rPr>
                <w:rFonts w:hAnsi="宋体"/>
                <w:b/>
                <w:bCs/>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23.1</w:t>
            </w:r>
          </w:p>
        </w:tc>
        <w:tc>
          <w:tcPr>
            <w:tcW w:w="9210" w:type="dxa"/>
            <w:gridSpan w:val="2"/>
            <w:vAlign w:val="center"/>
          </w:tcPr>
          <w:p>
            <w:pPr>
              <w:pStyle w:val="149"/>
              <w:spacing w:line="400" w:lineRule="exact"/>
              <w:ind w:firstLine="420" w:firstLineChars="200"/>
              <w:rPr>
                <w:rFonts w:hAnsi="宋体"/>
                <w:b/>
                <w:bCs/>
                <w:szCs w:val="21"/>
              </w:rPr>
            </w:pPr>
            <w:r>
              <w:rPr>
                <w:rFonts w:hint="eastAsia" w:hAnsi="宋体"/>
                <w:sz w:val="21"/>
                <w:szCs w:val="21"/>
              </w:rPr>
              <w:t>截止竞争性比选响应文件递交时间，递交竞争性比选响应文件不足3家的不得开启竞争性比选文件。重新招标后报价人仍少于3个，按法定程序开标和评标，确定中标人。</w:t>
            </w:r>
          </w:p>
        </w:tc>
      </w:tr>
      <w:bookmarkEnd w:id="107"/>
    </w:tbl>
    <w:p>
      <w:pPr>
        <w:pStyle w:val="4"/>
        <w:widowControl/>
        <w:spacing w:before="0" w:after="0" w:line="300" w:lineRule="exact"/>
        <w:rPr>
          <w:rFonts w:ascii="黑体" w:hAnsi="宋体" w:cs="黑体"/>
          <w:sz w:val="21"/>
          <w:szCs w:val="21"/>
        </w:rPr>
      </w:pPr>
      <w:bookmarkStart w:id="109" w:name="_Toc224103317"/>
      <w:bookmarkStart w:id="110" w:name="_Toc3639"/>
      <w:r>
        <w:rPr>
          <w:rFonts w:hint="eastAsia" w:ascii="黑体" w:hAnsi="宋体" w:cs="黑体"/>
          <w:sz w:val="21"/>
          <w:szCs w:val="21"/>
        </w:rPr>
        <w:t>报价人须知正文部分：</w:t>
      </w:r>
      <w:bookmarkEnd w:id="109"/>
      <w:bookmarkEnd w:id="110"/>
    </w:p>
    <w:p>
      <w:pPr>
        <w:pStyle w:val="4"/>
        <w:widowControl/>
        <w:spacing w:before="0" w:after="0" w:line="300" w:lineRule="exact"/>
        <w:rPr>
          <w:rFonts w:ascii="宋体" w:hAnsi="宋体"/>
          <w:sz w:val="21"/>
          <w:szCs w:val="21"/>
        </w:rPr>
      </w:pPr>
      <w:bookmarkStart w:id="111" w:name="_Toc5673"/>
      <w:bookmarkEnd w:id="111"/>
      <w:bookmarkStart w:id="112" w:name="_Toc17808"/>
      <w:bookmarkEnd w:id="112"/>
      <w:bookmarkStart w:id="113" w:name="_Toc9035"/>
      <w:bookmarkEnd w:id="113"/>
      <w:bookmarkStart w:id="114" w:name="_Toc28401"/>
      <w:bookmarkStart w:id="115" w:name="_Toc31526"/>
      <w:r>
        <w:rPr>
          <w:rFonts w:hint="eastAsia" w:ascii="黑体" w:hAnsi="宋体" w:cs="黑体"/>
          <w:sz w:val="21"/>
          <w:szCs w:val="21"/>
        </w:rPr>
        <w:t xml:space="preserve">1.  </w:t>
      </w:r>
      <w:bookmarkEnd w:id="114"/>
      <w:r>
        <w:rPr>
          <w:rFonts w:hint="eastAsia" w:ascii="黑体" w:hAnsi="宋体" w:cs="黑体"/>
          <w:sz w:val="21"/>
          <w:szCs w:val="21"/>
        </w:rPr>
        <w:t>总则</w:t>
      </w:r>
      <w:bookmarkEnd w:id="115"/>
    </w:p>
    <w:p>
      <w:pPr>
        <w:pStyle w:val="5"/>
        <w:widowControl/>
        <w:spacing w:before="0" w:after="0" w:line="300" w:lineRule="exact"/>
        <w:rPr>
          <w:rFonts w:ascii="宋体" w:hAnsi="宋体"/>
          <w:kern w:val="2"/>
          <w:sz w:val="21"/>
          <w:szCs w:val="21"/>
        </w:rPr>
      </w:pPr>
      <w:bookmarkStart w:id="116" w:name="_Toc287607747"/>
      <w:bookmarkEnd w:id="116"/>
      <w:bookmarkStart w:id="117" w:name="_Toc40455646"/>
      <w:bookmarkEnd w:id="117"/>
      <w:bookmarkStart w:id="118" w:name="_Toc200513127"/>
      <w:bookmarkEnd w:id="118"/>
      <w:bookmarkStart w:id="119" w:name="_Toc4661429"/>
      <w:bookmarkEnd w:id="119"/>
      <w:bookmarkStart w:id="120" w:name="_Toc40455273"/>
      <w:bookmarkEnd w:id="120"/>
      <w:bookmarkStart w:id="121" w:name="_Toc4661907"/>
      <w:bookmarkEnd w:id="121"/>
      <w:bookmarkStart w:id="122" w:name="_Toc11657"/>
      <w:bookmarkEnd w:id="122"/>
      <w:bookmarkStart w:id="123" w:name="_Toc4661671"/>
      <w:bookmarkEnd w:id="123"/>
      <w:bookmarkStart w:id="124" w:name="_Toc277082553"/>
      <w:bookmarkEnd w:id="124"/>
      <w:bookmarkStart w:id="125" w:name="_Toc4662143"/>
      <w:bookmarkEnd w:id="125"/>
      <w:bookmarkStart w:id="126" w:name="_Toc224103318"/>
      <w:bookmarkEnd w:id="126"/>
      <w:bookmarkStart w:id="127" w:name="_Toc40780255"/>
      <w:r>
        <w:rPr>
          <w:rFonts w:hint="eastAsia" w:ascii="宋体" w:hAnsi="宋体"/>
          <w:kern w:val="2"/>
          <w:sz w:val="21"/>
          <w:szCs w:val="21"/>
        </w:rPr>
        <w:t xml:space="preserve">1.1  </w:t>
      </w:r>
      <w:bookmarkEnd w:id="127"/>
      <w:r>
        <w:rPr>
          <w:rFonts w:hint="eastAsia" w:ascii="宋体" w:hAnsi="宋体" w:cs="宋体"/>
          <w:kern w:val="2"/>
          <w:sz w:val="21"/>
          <w:szCs w:val="21"/>
        </w:rPr>
        <w:t>项目概况</w:t>
      </w:r>
    </w:p>
    <w:p>
      <w:pPr>
        <w:autoSpaceDE w:val="0"/>
        <w:autoSpaceDN w:val="0"/>
        <w:adjustRightInd w:val="0"/>
        <w:spacing w:line="300" w:lineRule="exact"/>
        <w:ind w:firstLine="354" w:firstLineChars="169"/>
        <w:jc w:val="left"/>
        <w:rPr>
          <w:rFonts w:ascii="宋体" w:hAnsi="宋体" w:cs="Calibri"/>
          <w:kern w:val="0"/>
          <w:szCs w:val="21"/>
        </w:rPr>
      </w:pPr>
      <w:r>
        <w:rPr>
          <w:rFonts w:hint="eastAsia" w:ascii="宋体" w:hAnsi="宋体" w:cs="Calibri"/>
          <w:kern w:val="0"/>
          <w:szCs w:val="21"/>
          <w:lang w:bidi="ar"/>
        </w:rPr>
        <w:t xml:space="preserve">1.1.1  </w:t>
      </w:r>
      <w:r>
        <w:rPr>
          <w:rFonts w:hint="eastAsia" w:ascii="宋体" w:hAnsi="宋体" w:cs="宋体"/>
          <w:kern w:val="0"/>
          <w:szCs w:val="21"/>
          <w:lang w:bidi="ar"/>
        </w:rPr>
        <w:t>根据国家有关法律、法规和规章的规定，本竞争性比选项目已具备竞争性比选条件，现对本项目进行竞争性比选。</w:t>
      </w:r>
    </w:p>
    <w:p>
      <w:pPr>
        <w:autoSpaceDE w:val="0"/>
        <w:autoSpaceDN w:val="0"/>
        <w:adjustRightInd w:val="0"/>
        <w:spacing w:line="300" w:lineRule="exact"/>
        <w:ind w:firstLine="354" w:firstLineChars="169"/>
        <w:jc w:val="left"/>
        <w:rPr>
          <w:rFonts w:ascii="宋体" w:hAnsi="宋体" w:cs="MingLiU"/>
          <w:kern w:val="0"/>
          <w:szCs w:val="21"/>
        </w:rPr>
      </w:pPr>
      <w:r>
        <w:rPr>
          <w:rFonts w:hint="eastAsia" w:ascii="宋体" w:hAnsi="宋体" w:cs="Calibri"/>
          <w:kern w:val="0"/>
          <w:szCs w:val="21"/>
          <w:lang w:bidi="ar"/>
        </w:rPr>
        <w:t xml:space="preserve">1.1.2  </w:t>
      </w:r>
      <w:r>
        <w:rPr>
          <w:rFonts w:hint="eastAsia" w:ascii="宋体" w:hAnsi="宋体" w:cs="宋体"/>
          <w:kern w:val="0"/>
          <w:szCs w:val="21"/>
          <w:lang w:bidi="ar"/>
        </w:rPr>
        <w:t>本竞争性比选项目采购人：见报价人须知前附表。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1.1.3 </w:t>
      </w:r>
      <w:r>
        <w:rPr>
          <w:rFonts w:hint="eastAsia" w:ascii="宋体" w:hAnsi="宋体" w:cs="宋体"/>
          <w:kern w:val="0"/>
          <w:szCs w:val="21"/>
          <w:lang w:bidi="ar"/>
        </w:rPr>
        <w:t>本竞争性比选项目名称：见报价人须知前附表。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1.1.4  </w:t>
      </w:r>
      <w:r>
        <w:rPr>
          <w:rFonts w:hint="eastAsia" w:ascii="宋体" w:hAnsi="宋体" w:cs="宋体"/>
          <w:kern w:val="0"/>
          <w:szCs w:val="21"/>
          <w:lang w:bidi="ar"/>
        </w:rPr>
        <w:t>本项目建设地点：见报价人须知前附表。</w:t>
      </w:r>
    </w:p>
    <w:p>
      <w:pPr>
        <w:pStyle w:val="5"/>
        <w:widowControl/>
        <w:spacing w:before="0" w:after="0" w:line="300" w:lineRule="exact"/>
        <w:rPr>
          <w:rFonts w:ascii="宋体" w:hAnsi="宋体"/>
          <w:kern w:val="2"/>
          <w:sz w:val="21"/>
          <w:szCs w:val="21"/>
        </w:rPr>
      </w:pPr>
      <w:bookmarkStart w:id="128" w:name="_Toc21776"/>
      <w:bookmarkEnd w:id="128"/>
      <w:bookmarkStart w:id="129" w:name="_Toc287607748"/>
      <w:bookmarkEnd w:id="129"/>
      <w:bookmarkStart w:id="130" w:name="_Toc40455647"/>
      <w:bookmarkEnd w:id="130"/>
      <w:bookmarkStart w:id="131" w:name="_Toc4662144"/>
      <w:bookmarkEnd w:id="131"/>
      <w:bookmarkStart w:id="132" w:name="_Toc40780256"/>
      <w:bookmarkEnd w:id="132"/>
      <w:bookmarkStart w:id="133" w:name="_Toc4661430"/>
      <w:bookmarkEnd w:id="133"/>
      <w:bookmarkStart w:id="134" w:name="_Toc40455274"/>
      <w:bookmarkEnd w:id="134"/>
      <w:bookmarkStart w:id="135" w:name="_Toc4661908"/>
      <w:bookmarkEnd w:id="135"/>
      <w:bookmarkStart w:id="136" w:name="_Toc224103319"/>
      <w:bookmarkEnd w:id="136"/>
      <w:bookmarkStart w:id="137" w:name="_Toc200513128"/>
      <w:bookmarkEnd w:id="137"/>
      <w:bookmarkStart w:id="138" w:name="_Toc4661672"/>
      <w:bookmarkEnd w:id="138"/>
      <w:bookmarkStart w:id="139" w:name="_Toc277082554"/>
      <w:r>
        <w:rPr>
          <w:rFonts w:hint="eastAsia" w:ascii="宋体" w:hAnsi="宋体"/>
          <w:kern w:val="2"/>
          <w:sz w:val="21"/>
          <w:szCs w:val="21"/>
        </w:rPr>
        <w:t xml:space="preserve">1.2  </w:t>
      </w:r>
      <w:bookmarkEnd w:id="139"/>
      <w:r>
        <w:rPr>
          <w:rFonts w:hint="eastAsia" w:ascii="宋体" w:hAnsi="宋体" w:cs="宋体"/>
          <w:kern w:val="2"/>
          <w:sz w:val="21"/>
          <w:szCs w:val="21"/>
        </w:rPr>
        <w:t>资金来源和落实情况</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1.2.1  </w:t>
      </w:r>
      <w:r>
        <w:rPr>
          <w:rFonts w:hint="eastAsia" w:ascii="宋体" w:hAnsi="宋体" w:cs="宋体"/>
          <w:kern w:val="0"/>
          <w:szCs w:val="21"/>
          <w:lang w:bidi="ar"/>
        </w:rPr>
        <w:t>本竞争性比选项目的资金来源：见报价人须知前附表。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1.2.2  </w:t>
      </w:r>
      <w:r>
        <w:rPr>
          <w:rFonts w:hint="eastAsia" w:ascii="宋体" w:hAnsi="宋体" w:cs="宋体"/>
          <w:kern w:val="0"/>
          <w:szCs w:val="21"/>
          <w:lang w:bidi="ar"/>
        </w:rPr>
        <w:t>本竞争性比选项目的出资比例：见报价人须知前附表。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1.2.3  </w:t>
      </w:r>
      <w:r>
        <w:rPr>
          <w:rFonts w:hint="eastAsia" w:ascii="宋体" w:hAnsi="宋体" w:cs="宋体"/>
          <w:kern w:val="0"/>
          <w:szCs w:val="21"/>
          <w:lang w:bidi="ar"/>
        </w:rPr>
        <w:t>本竞争性比选项目的资金落实情况：见报价人须知前附表。</w:t>
      </w:r>
    </w:p>
    <w:p>
      <w:pPr>
        <w:pStyle w:val="5"/>
        <w:widowControl/>
        <w:spacing w:before="0" w:after="0" w:line="300" w:lineRule="exact"/>
        <w:rPr>
          <w:rFonts w:ascii="宋体" w:hAnsi="宋体"/>
          <w:kern w:val="2"/>
          <w:sz w:val="21"/>
          <w:szCs w:val="21"/>
        </w:rPr>
      </w:pPr>
      <w:bookmarkStart w:id="140" w:name="_Toc287607749"/>
      <w:bookmarkEnd w:id="140"/>
      <w:bookmarkStart w:id="141" w:name="_Toc4661431"/>
      <w:bookmarkEnd w:id="141"/>
      <w:bookmarkStart w:id="142" w:name="_Toc277082555"/>
      <w:bookmarkEnd w:id="142"/>
      <w:bookmarkStart w:id="143" w:name="_Toc40455648"/>
      <w:bookmarkEnd w:id="143"/>
      <w:bookmarkStart w:id="144" w:name="_Toc4661909"/>
      <w:bookmarkEnd w:id="144"/>
      <w:bookmarkStart w:id="145" w:name="_Toc4661673"/>
      <w:bookmarkEnd w:id="145"/>
      <w:bookmarkStart w:id="146" w:name="_Toc40780257"/>
      <w:bookmarkEnd w:id="146"/>
      <w:bookmarkStart w:id="147" w:name="_Toc40455275"/>
      <w:bookmarkEnd w:id="147"/>
      <w:bookmarkStart w:id="148" w:name="_Toc4662145"/>
      <w:bookmarkEnd w:id="148"/>
      <w:bookmarkStart w:id="149" w:name="_Toc200513129"/>
      <w:bookmarkEnd w:id="149"/>
      <w:bookmarkStart w:id="150" w:name="_Toc224103320"/>
      <w:bookmarkEnd w:id="150"/>
      <w:bookmarkStart w:id="151" w:name="_Toc11911"/>
      <w:r>
        <w:rPr>
          <w:rFonts w:hint="eastAsia" w:ascii="宋体" w:hAnsi="宋体"/>
          <w:kern w:val="2"/>
          <w:sz w:val="21"/>
          <w:szCs w:val="21"/>
        </w:rPr>
        <w:t xml:space="preserve">1.3  </w:t>
      </w:r>
      <w:bookmarkEnd w:id="151"/>
      <w:r>
        <w:rPr>
          <w:rFonts w:hint="eastAsia" w:ascii="宋体" w:hAnsi="宋体" w:cs="宋体"/>
          <w:kern w:val="2"/>
          <w:sz w:val="21"/>
          <w:szCs w:val="21"/>
        </w:rPr>
        <w:t>竞争性比选范围、工期和质量要求</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1.3.1  </w:t>
      </w:r>
      <w:r>
        <w:rPr>
          <w:rFonts w:hint="eastAsia" w:ascii="宋体" w:hAnsi="宋体" w:cs="宋体"/>
          <w:kern w:val="0"/>
          <w:szCs w:val="21"/>
          <w:lang w:bidi="ar"/>
        </w:rPr>
        <w:t>本次竞争性比选范围：见报价人须知前附表。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1.3.2  </w:t>
      </w:r>
      <w:r>
        <w:rPr>
          <w:rFonts w:hint="eastAsia" w:ascii="宋体" w:hAnsi="宋体" w:cs="宋体"/>
          <w:kern w:val="0"/>
          <w:szCs w:val="21"/>
          <w:lang w:bidi="ar"/>
        </w:rPr>
        <w:t>本项目的计划工期：见报价人须知前附表。</w:t>
      </w:r>
    </w:p>
    <w:p>
      <w:pPr>
        <w:autoSpaceDE w:val="0"/>
        <w:autoSpaceDN w:val="0"/>
        <w:adjustRightInd w:val="0"/>
        <w:spacing w:line="300" w:lineRule="exact"/>
        <w:ind w:left="359" w:leftChars="171"/>
        <w:jc w:val="left"/>
        <w:rPr>
          <w:rFonts w:ascii="宋体" w:hAnsi="宋体" w:cs="宋体"/>
          <w:kern w:val="0"/>
          <w:szCs w:val="21"/>
          <w:lang w:bidi="ar"/>
        </w:rPr>
      </w:pPr>
      <w:r>
        <w:rPr>
          <w:rFonts w:hint="eastAsia" w:ascii="宋体" w:hAnsi="宋体" w:cs="Calibri"/>
          <w:kern w:val="0"/>
          <w:szCs w:val="21"/>
          <w:lang w:bidi="ar"/>
        </w:rPr>
        <w:t xml:space="preserve">1.3.3  </w:t>
      </w:r>
      <w:r>
        <w:rPr>
          <w:rFonts w:hint="eastAsia" w:ascii="宋体" w:hAnsi="宋体" w:cs="宋体"/>
          <w:kern w:val="0"/>
          <w:szCs w:val="21"/>
          <w:lang w:bidi="ar"/>
        </w:rPr>
        <w:t>本项目的质量要求：见报价人须知前附表。</w:t>
      </w:r>
    </w:p>
    <w:p>
      <w:pPr>
        <w:autoSpaceDE w:val="0"/>
        <w:autoSpaceDN w:val="0"/>
        <w:adjustRightInd w:val="0"/>
        <w:spacing w:line="300" w:lineRule="exact"/>
        <w:ind w:left="359" w:leftChars="171"/>
        <w:jc w:val="left"/>
      </w:pPr>
      <w:r>
        <w:rPr>
          <w:rFonts w:hint="eastAsia" w:ascii="宋体" w:hAnsi="宋体" w:cs="Calibri"/>
          <w:kern w:val="0"/>
          <w:szCs w:val="21"/>
          <w:lang w:bidi="ar"/>
        </w:rPr>
        <w:t xml:space="preserve">1.3.4  </w:t>
      </w:r>
      <w:r>
        <w:rPr>
          <w:rFonts w:hint="eastAsia" w:ascii="宋体" w:hAnsi="宋体" w:cs="宋体"/>
          <w:kern w:val="0"/>
          <w:szCs w:val="21"/>
          <w:lang w:bidi="ar"/>
        </w:rPr>
        <w:t>本项目的安全目标：见报价人须知前附表。</w:t>
      </w:r>
    </w:p>
    <w:p>
      <w:pPr>
        <w:pStyle w:val="5"/>
        <w:widowControl/>
        <w:spacing w:before="0" w:after="0" w:line="300" w:lineRule="exact"/>
        <w:rPr>
          <w:rFonts w:ascii="宋体" w:hAnsi="宋体"/>
          <w:kern w:val="2"/>
          <w:sz w:val="21"/>
          <w:szCs w:val="21"/>
        </w:rPr>
      </w:pPr>
      <w:bookmarkStart w:id="152" w:name="_Toc40455649"/>
      <w:bookmarkEnd w:id="152"/>
      <w:bookmarkStart w:id="153" w:name="_Toc4661910"/>
      <w:bookmarkEnd w:id="153"/>
      <w:bookmarkStart w:id="154" w:name="_Toc4661674"/>
      <w:bookmarkEnd w:id="154"/>
      <w:bookmarkStart w:id="155" w:name="_Toc4662146"/>
      <w:bookmarkEnd w:id="155"/>
      <w:bookmarkStart w:id="156" w:name="_Toc40780258"/>
      <w:bookmarkEnd w:id="156"/>
      <w:bookmarkStart w:id="157" w:name="_Toc224103322"/>
      <w:bookmarkEnd w:id="157"/>
      <w:bookmarkStart w:id="158" w:name="_Toc40455276"/>
      <w:bookmarkEnd w:id="158"/>
      <w:bookmarkStart w:id="159" w:name="_Toc4661432"/>
      <w:bookmarkEnd w:id="159"/>
      <w:bookmarkStart w:id="160" w:name="_Toc15725"/>
      <w:bookmarkEnd w:id="160"/>
      <w:bookmarkStart w:id="161" w:name="_Toc287607751"/>
      <w:bookmarkEnd w:id="161"/>
      <w:bookmarkStart w:id="162" w:name="_Toc200513131"/>
      <w:bookmarkEnd w:id="162"/>
      <w:bookmarkStart w:id="163" w:name="_Toc277082557"/>
      <w:r>
        <w:rPr>
          <w:rFonts w:hint="eastAsia" w:ascii="宋体" w:hAnsi="宋体"/>
          <w:kern w:val="2"/>
          <w:sz w:val="21"/>
          <w:szCs w:val="21"/>
        </w:rPr>
        <w:t xml:space="preserve">1.4  </w:t>
      </w:r>
      <w:bookmarkEnd w:id="163"/>
      <w:r>
        <w:rPr>
          <w:rFonts w:hint="eastAsia" w:ascii="宋体" w:hAnsi="宋体" w:cs="宋体"/>
          <w:kern w:val="2"/>
          <w:sz w:val="21"/>
          <w:szCs w:val="21"/>
        </w:rPr>
        <w:t>报价人资格要求</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Calibri"/>
          <w:kern w:val="0"/>
          <w:szCs w:val="21"/>
          <w:lang w:bidi="ar"/>
        </w:rPr>
        <w:t xml:space="preserve">1.4.1 </w:t>
      </w:r>
      <w:r>
        <w:rPr>
          <w:rFonts w:hint="eastAsia" w:ascii="宋体" w:hAnsi="宋体" w:cs="宋体"/>
          <w:kern w:val="0"/>
          <w:szCs w:val="21"/>
          <w:lang w:bidi="ar"/>
        </w:rPr>
        <w:t>报价人应具备承担本项目的资质条件、能力和信誉。</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1</w:t>
      </w:r>
      <w:r>
        <w:rPr>
          <w:rFonts w:hint="eastAsia" w:ascii="宋体" w:hAnsi="宋体" w:cs="宋体"/>
          <w:kern w:val="0"/>
          <w:szCs w:val="21"/>
          <w:lang w:bidi="ar"/>
        </w:rPr>
        <w:t>）</w:t>
      </w:r>
      <w:r>
        <w:rPr>
          <w:rFonts w:hint="eastAsia" w:ascii="宋体" w:hAnsi="宋体" w:cs="宋体"/>
          <w:szCs w:val="21"/>
          <w:lang w:bidi="ar"/>
        </w:rPr>
        <w:t>营业执照、资质要求</w:t>
      </w:r>
      <w:r>
        <w:rPr>
          <w:rFonts w:hint="eastAsia" w:ascii="宋体" w:hAnsi="宋体" w:cs="宋体"/>
          <w:kern w:val="0"/>
          <w:szCs w:val="21"/>
          <w:lang w:bidi="ar"/>
        </w:rPr>
        <w:t>：见报价人须知前附表；</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2</w:t>
      </w:r>
      <w:r>
        <w:rPr>
          <w:rFonts w:hint="eastAsia" w:ascii="宋体" w:hAnsi="宋体" w:cs="宋体"/>
          <w:kern w:val="0"/>
          <w:szCs w:val="21"/>
          <w:lang w:bidi="ar"/>
        </w:rPr>
        <w:t>）业绩要求：见报价人须知前附表；</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3</w:t>
      </w:r>
      <w:r>
        <w:rPr>
          <w:rFonts w:hint="eastAsia" w:ascii="宋体" w:hAnsi="宋体" w:cs="宋体"/>
          <w:kern w:val="0"/>
          <w:szCs w:val="21"/>
          <w:lang w:bidi="ar"/>
        </w:rPr>
        <w:t>）财务要求：见报价人须知前附表；</w:t>
      </w:r>
    </w:p>
    <w:p>
      <w:pPr>
        <w:autoSpaceDE w:val="0"/>
        <w:autoSpaceDN w:val="0"/>
        <w:adjustRightInd w:val="0"/>
        <w:spacing w:line="300" w:lineRule="exact"/>
        <w:ind w:firstLine="357" w:firstLineChars="170"/>
        <w:jc w:val="left"/>
        <w:rPr>
          <w:rFonts w:ascii="宋体" w:hAnsi="宋体" w:cs="Calibri"/>
          <w:kern w:val="0"/>
          <w:szCs w:val="21"/>
        </w:rPr>
      </w:pPr>
      <w:r>
        <w:rPr>
          <w:rFonts w:hint="eastAsia" w:ascii="宋体" w:hAnsi="宋体" w:cs="宋体"/>
          <w:kern w:val="0"/>
          <w:szCs w:val="21"/>
          <w:lang w:bidi="ar"/>
        </w:rPr>
        <w:t>（</w:t>
      </w:r>
      <w:r>
        <w:rPr>
          <w:rFonts w:hint="eastAsia" w:ascii="宋体" w:hAnsi="宋体" w:cs="Calibri"/>
          <w:kern w:val="0"/>
          <w:szCs w:val="21"/>
          <w:lang w:bidi="ar"/>
        </w:rPr>
        <w:t>4</w:t>
      </w:r>
      <w:r>
        <w:rPr>
          <w:rFonts w:hint="eastAsia" w:ascii="宋体" w:hAnsi="宋体" w:cs="宋体"/>
          <w:kern w:val="0"/>
          <w:szCs w:val="21"/>
          <w:lang w:bidi="ar"/>
        </w:rPr>
        <w:t>）项目主要人员要求：见报价人须知前附表；</w:t>
      </w:r>
    </w:p>
    <w:p>
      <w:pPr>
        <w:autoSpaceDE w:val="0"/>
        <w:autoSpaceDN w:val="0"/>
        <w:adjustRightInd w:val="0"/>
        <w:spacing w:line="300" w:lineRule="exact"/>
        <w:ind w:firstLine="357" w:firstLineChars="170"/>
        <w:jc w:val="left"/>
        <w:rPr>
          <w:rFonts w:ascii="宋体" w:hAnsi="宋体" w:cs="宋体"/>
          <w:kern w:val="0"/>
          <w:szCs w:val="21"/>
          <w:lang w:bidi="ar"/>
        </w:rPr>
      </w:pPr>
      <w:r>
        <w:rPr>
          <w:rFonts w:hint="eastAsia" w:ascii="宋体" w:hAnsi="宋体" w:cs="宋体"/>
          <w:kern w:val="0"/>
          <w:szCs w:val="21"/>
          <w:lang w:bidi="ar"/>
        </w:rPr>
        <w:t>（</w:t>
      </w:r>
      <w:r>
        <w:rPr>
          <w:rFonts w:hint="eastAsia" w:ascii="宋体" w:hAnsi="宋体" w:cs="Calibri"/>
          <w:kern w:val="0"/>
          <w:szCs w:val="21"/>
          <w:lang w:bidi="ar"/>
        </w:rPr>
        <w:t>5</w:t>
      </w:r>
      <w:r>
        <w:rPr>
          <w:rFonts w:hint="eastAsia" w:ascii="宋体" w:hAnsi="宋体" w:cs="宋体"/>
          <w:kern w:val="0"/>
          <w:szCs w:val="21"/>
          <w:lang w:bidi="ar"/>
        </w:rPr>
        <w:t>）信誉要求：见报价人须知前附表。</w:t>
      </w:r>
    </w:p>
    <w:p>
      <w:pPr>
        <w:autoSpaceDE w:val="0"/>
        <w:autoSpaceDN w:val="0"/>
        <w:adjustRightInd w:val="0"/>
        <w:spacing w:line="300" w:lineRule="exact"/>
        <w:ind w:firstLine="357" w:firstLineChars="170"/>
        <w:jc w:val="left"/>
      </w:pPr>
      <w:r>
        <w:rPr>
          <w:rFonts w:hint="eastAsia" w:ascii="宋体" w:hAnsi="宋体" w:cs="宋体"/>
          <w:kern w:val="0"/>
          <w:szCs w:val="21"/>
          <w:lang w:bidi="ar"/>
        </w:rPr>
        <w:t>（</w:t>
      </w:r>
      <w:r>
        <w:rPr>
          <w:rFonts w:hint="eastAsia" w:ascii="宋体" w:hAnsi="宋体" w:cs="Calibri"/>
          <w:kern w:val="0"/>
          <w:szCs w:val="21"/>
          <w:lang w:bidi="ar"/>
        </w:rPr>
        <w:t>6</w:t>
      </w:r>
      <w:r>
        <w:rPr>
          <w:rFonts w:hint="eastAsia" w:ascii="宋体" w:hAnsi="宋体" w:cs="宋体"/>
          <w:kern w:val="0"/>
          <w:szCs w:val="21"/>
          <w:lang w:bidi="ar"/>
        </w:rPr>
        <w:t>）其他要求：见报价人须知前附表。</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Calibri"/>
          <w:kern w:val="0"/>
          <w:szCs w:val="21"/>
          <w:lang w:bidi="ar"/>
        </w:rPr>
        <w:t xml:space="preserve">1.4.2  </w:t>
      </w:r>
      <w:r>
        <w:rPr>
          <w:rFonts w:hint="eastAsia" w:ascii="宋体" w:hAnsi="宋体" w:cs="宋体"/>
          <w:kern w:val="0"/>
          <w:szCs w:val="21"/>
          <w:lang w:bidi="ar"/>
        </w:rPr>
        <w:t>报价人须知前附表规定接受联合体投标的，除应符合本章第</w:t>
      </w:r>
      <w:r>
        <w:rPr>
          <w:rFonts w:hint="eastAsia" w:ascii="宋体" w:hAnsi="宋体" w:cs="Calibri"/>
          <w:kern w:val="0"/>
          <w:szCs w:val="21"/>
          <w:lang w:bidi="ar"/>
        </w:rPr>
        <w:t>1.4.1</w:t>
      </w:r>
      <w:r>
        <w:rPr>
          <w:rFonts w:hint="eastAsia" w:ascii="宋体" w:hAnsi="宋体" w:cs="宋体"/>
          <w:kern w:val="0"/>
          <w:szCs w:val="21"/>
          <w:lang w:bidi="ar"/>
        </w:rPr>
        <w:t>项和报价人须知前附表的要求外，还应遵守以下规定：</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1</w:t>
      </w:r>
      <w:r>
        <w:rPr>
          <w:rFonts w:hint="eastAsia" w:ascii="宋体" w:hAnsi="宋体" w:cs="宋体"/>
          <w:kern w:val="0"/>
          <w:szCs w:val="21"/>
          <w:lang w:bidi="ar"/>
        </w:rPr>
        <w:t>）联合体各方应按竞争性比选文件提供的格式签订联合体协议书，明确联合体牵头人和各方权利义务；</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2</w:t>
      </w:r>
      <w:r>
        <w:rPr>
          <w:rFonts w:hint="eastAsia" w:ascii="宋体" w:hAnsi="宋体" w:cs="宋体"/>
          <w:kern w:val="0"/>
          <w:szCs w:val="21"/>
          <w:lang w:bidi="ar"/>
        </w:rPr>
        <w:t>）由同一专业的单位组成的联合体，按照资质等级较低的单位确定资质等级；</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3</w:t>
      </w:r>
      <w:r>
        <w:rPr>
          <w:rFonts w:hint="eastAsia" w:ascii="宋体" w:hAnsi="宋体" w:cs="宋体"/>
          <w:kern w:val="0"/>
          <w:szCs w:val="21"/>
          <w:lang w:bidi="ar"/>
        </w:rPr>
        <w:t>）联合体各方不得再以自己名义单独或参加其他联合体在同一项目中投标。</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Calibri"/>
          <w:kern w:val="0"/>
          <w:szCs w:val="21"/>
          <w:lang w:bidi="ar"/>
        </w:rPr>
        <w:t xml:space="preserve">1.4.3  </w:t>
      </w:r>
      <w:r>
        <w:rPr>
          <w:rFonts w:hint="eastAsia" w:ascii="宋体" w:hAnsi="宋体" w:cs="宋体"/>
          <w:kern w:val="0"/>
          <w:szCs w:val="21"/>
          <w:lang w:bidi="ar"/>
        </w:rPr>
        <w:t>报价人不得存在下列情形之一：</w:t>
      </w:r>
    </w:p>
    <w:p>
      <w:pPr>
        <w:autoSpaceDE w:val="0"/>
        <w:autoSpaceDN w:val="0"/>
        <w:adjustRightInd w:val="0"/>
        <w:spacing w:line="300" w:lineRule="exact"/>
        <w:ind w:firstLine="420"/>
        <w:jc w:val="left"/>
        <w:rPr>
          <w:rFonts w:ascii="宋体" w:hAnsi="宋体" w:cs="MingLiU"/>
          <w:kern w:val="0"/>
          <w:szCs w:val="21"/>
        </w:rPr>
      </w:pPr>
      <w:bookmarkStart w:id="164" w:name="_Toc4661433"/>
      <w:bookmarkEnd w:id="164"/>
      <w:bookmarkStart w:id="165" w:name="_Toc40455277"/>
      <w:bookmarkEnd w:id="165"/>
      <w:bookmarkStart w:id="166" w:name="_Toc40455650"/>
      <w:bookmarkEnd w:id="166"/>
      <w:bookmarkStart w:id="167" w:name="_Toc4662147"/>
      <w:bookmarkEnd w:id="167"/>
      <w:bookmarkStart w:id="168" w:name="_Toc4661675"/>
      <w:bookmarkEnd w:id="168"/>
      <w:bookmarkStart w:id="169" w:name="_Toc4661911"/>
      <w:bookmarkEnd w:id="169"/>
      <w:bookmarkStart w:id="170" w:name="_Toc277082558"/>
      <w:bookmarkEnd w:id="170"/>
      <w:bookmarkStart w:id="171" w:name="_Toc200513132"/>
      <w:bookmarkEnd w:id="171"/>
      <w:bookmarkStart w:id="172" w:name="_Toc287607752"/>
      <w:bookmarkEnd w:id="172"/>
      <w:bookmarkStart w:id="173" w:name="_Toc224103323"/>
      <w:bookmarkEnd w:id="173"/>
      <w:bookmarkStart w:id="174" w:name="_Toc40780259"/>
      <w:bookmarkEnd w:id="174"/>
      <w:bookmarkStart w:id="175" w:name="_Toc23688"/>
      <w:r>
        <w:rPr>
          <w:rFonts w:hint="eastAsia" w:ascii="宋体" w:hAnsi="宋体" w:cs="宋体"/>
          <w:kern w:val="0"/>
          <w:szCs w:val="21"/>
          <w:lang w:bidi="ar"/>
        </w:rPr>
        <w:t>（</w:t>
      </w:r>
      <w:r>
        <w:rPr>
          <w:rFonts w:hint="eastAsia" w:ascii="宋体" w:hAnsi="宋体" w:cs="MingLiU"/>
          <w:kern w:val="0"/>
          <w:szCs w:val="21"/>
          <w:lang w:bidi="ar"/>
        </w:rPr>
        <w:t>1）与采购人存在利害关系且可能影响竞争性比选公正性；</w:t>
      </w:r>
      <w:bookmarkEnd w:id="175"/>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2）与本竞争性比选项目的其他报价人为同一个单位负责人；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3）与本竞争性比选项目的其他报价人存在控股、管理关系；</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4）被依法暂停或者取消投标资格；</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5）被责令停产停业、暂扣或者吊销许可证、暂扣或者吊销执照；</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6）进入清算程序，或被宣告破产，或其他丧失履约能力的情形；</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7）在最近三年内发生重大产品质量问题；</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8）被工商行政管理机关在全国企业信用信息公示系统中列入严重违法失信企业名单；</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9）在“信用中国”网站（www.creditchina.gov.cn）中被列入失信惩戒对象名单；</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10）在国家企业信用信息公示系统（http://www.gsxt.gov.cn/）中被列入严重违法失信企业名单；</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11）2018年1月1日至投标截止日止报价人或其法定代表人有行贿犯罪行为的；</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12）有过以他人名义投标或以其他方式弄虚作假，骗取中标行为；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13）财产被重组、接管、查封、扣押或冻结的；</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14）被国家、重庆市（含市或任意区县）有关行政部门处以暂停投标资格行政处罚，且在处罚期限内；</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15）法律法规或报价人须知前附表规定的其他情形。</w:t>
      </w:r>
    </w:p>
    <w:p>
      <w:pPr>
        <w:pStyle w:val="5"/>
        <w:widowControl/>
        <w:spacing w:before="0" w:after="0" w:line="300" w:lineRule="exact"/>
        <w:rPr>
          <w:rFonts w:ascii="宋体" w:hAnsi="宋体"/>
          <w:kern w:val="2"/>
          <w:sz w:val="21"/>
          <w:szCs w:val="21"/>
        </w:rPr>
      </w:pPr>
      <w:r>
        <w:rPr>
          <w:rFonts w:hint="eastAsia" w:ascii="宋体" w:hAnsi="宋体"/>
          <w:kern w:val="2"/>
          <w:sz w:val="21"/>
          <w:szCs w:val="21"/>
        </w:rPr>
        <w:t>1.5  费用承担</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报价人准备和参加竞争性比选活动发生的费用自理。</w:t>
      </w:r>
    </w:p>
    <w:p>
      <w:pPr>
        <w:pStyle w:val="5"/>
        <w:widowControl/>
        <w:spacing w:before="0" w:after="0" w:line="300" w:lineRule="exact"/>
        <w:rPr>
          <w:rFonts w:ascii="宋体" w:hAnsi="宋体"/>
          <w:kern w:val="2"/>
          <w:sz w:val="21"/>
          <w:szCs w:val="21"/>
        </w:rPr>
      </w:pPr>
      <w:bookmarkStart w:id="176" w:name="_Toc277082559"/>
      <w:bookmarkEnd w:id="176"/>
      <w:bookmarkStart w:id="177" w:name="_Toc4661434"/>
      <w:bookmarkEnd w:id="177"/>
      <w:bookmarkStart w:id="178" w:name="_Toc40455651"/>
      <w:bookmarkEnd w:id="178"/>
      <w:bookmarkStart w:id="179" w:name="_Toc287607753"/>
      <w:bookmarkEnd w:id="179"/>
      <w:bookmarkStart w:id="180" w:name="_Toc4661912"/>
      <w:bookmarkEnd w:id="180"/>
      <w:bookmarkStart w:id="181" w:name="_Toc706"/>
      <w:bookmarkEnd w:id="181"/>
      <w:bookmarkStart w:id="182" w:name="_Toc40455278"/>
      <w:bookmarkEnd w:id="182"/>
      <w:bookmarkStart w:id="183" w:name="_Toc4661676"/>
      <w:bookmarkEnd w:id="183"/>
      <w:bookmarkStart w:id="184" w:name="_Toc224103324"/>
      <w:bookmarkEnd w:id="184"/>
      <w:bookmarkStart w:id="185" w:name="_Toc4662148"/>
      <w:bookmarkEnd w:id="185"/>
      <w:bookmarkStart w:id="186" w:name="_Toc200513133"/>
      <w:bookmarkEnd w:id="186"/>
      <w:bookmarkStart w:id="187" w:name="_Toc40780260"/>
      <w:r>
        <w:rPr>
          <w:rFonts w:hint="eastAsia" w:ascii="宋体" w:hAnsi="宋体"/>
          <w:kern w:val="2"/>
          <w:sz w:val="21"/>
          <w:szCs w:val="21"/>
        </w:rPr>
        <w:t xml:space="preserve">1.6  </w:t>
      </w:r>
      <w:bookmarkEnd w:id="187"/>
      <w:r>
        <w:rPr>
          <w:rFonts w:hint="eastAsia" w:ascii="宋体" w:hAnsi="宋体" w:cs="宋体"/>
          <w:kern w:val="2"/>
          <w:sz w:val="21"/>
          <w:szCs w:val="21"/>
        </w:rPr>
        <w:t>保密</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参与竞争性比选投标活动的各方应对竞争性比选文件和比选响应文件中的商业和技术等秘密保密，违者应对由此造成的后果承担法律责任。</w:t>
      </w:r>
    </w:p>
    <w:p>
      <w:pPr>
        <w:pStyle w:val="5"/>
        <w:widowControl/>
        <w:spacing w:before="0" w:after="0" w:line="300" w:lineRule="exact"/>
        <w:rPr>
          <w:rFonts w:ascii="宋体" w:hAnsi="宋体"/>
          <w:kern w:val="2"/>
          <w:sz w:val="21"/>
          <w:szCs w:val="21"/>
        </w:rPr>
      </w:pPr>
      <w:bookmarkStart w:id="188" w:name="_Toc4264"/>
      <w:bookmarkEnd w:id="188"/>
      <w:bookmarkStart w:id="189" w:name="_Toc4661913"/>
      <w:bookmarkEnd w:id="189"/>
      <w:bookmarkStart w:id="190" w:name="_Toc4661435"/>
      <w:bookmarkEnd w:id="190"/>
      <w:bookmarkStart w:id="191" w:name="_Toc224103325"/>
      <w:bookmarkEnd w:id="191"/>
      <w:bookmarkStart w:id="192" w:name="_Toc40780261"/>
      <w:bookmarkEnd w:id="192"/>
      <w:bookmarkStart w:id="193" w:name="_Toc287607754"/>
      <w:bookmarkEnd w:id="193"/>
      <w:bookmarkStart w:id="194" w:name="_Toc4661677"/>
      <w:bookmarkEnd w:id="194"/>
      <w:bookmarkStart w:id="195" w:name="_Toc277082560"/>
      <w:bookmarkEnd w:id="195"/>
      <w:bookmarkStart w:id="196" w:name="_Toc40455652"/>
      <w:bookmarkEnd w:id="196"/>
      <w:bookmarkStart w:id="197" w:name="_Toc200513134"/>
      <w:bookmarkEnd w:id="197"/>
      <w:bookmarkStart w:id="198" w:name="_Toc40455279"/>
      <w:bookmarkEnd w:id="198"/>
      <w:bookmarkStart w:id="199" w:name="_Toc4662149"/>
      <w:r>
        <w:rPr>
          <w:rFonts w:hint="eastAsia" w:ascii="宋体" w:hAnsi="宋体"/>
          <w:kern w:val="2"/>
          <w:sz w:val="21"/>
          <w:szCs w:val="21"/>
        </w:rPr>
        <w:t xml:space="preserve">1.7  </w:t>
      </w:r>
      <w:bookmarkEnd w:id="199"/>
      <w:r>
        <w:rPr>
          <w:rFonts w:hint="eastAsia" w:ascii="宋体" w:hAnsi="宋体" w:cs="宋体"/>
          <w:kern w:val="2"/>
          <w:sz w:val="21"/>
          <w:szCs w:val="21"/>
        </w:rPr>
        <w:t>语言文字</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除专用术语外，与竞争性比选投标有关的语言均使用中文。必要时专用术语应附有中文注释。</w:t>
      </w:r>
    </w:p>
    <w:p>
      <w:pPr>
        <w:pStyle w:val="5"/>
        <w:widowControl/>
        <w:spacing w:before="0" w:after="0" w:line="300" w:lineRule="exact"/>
        <w:rPr>
          <w:rFonts w:ascii="宋体" w:hAnsi="宋体"/>
          <w:kern w:val="2"/>
          <w:sz w:val="21"/>
          <w:szCs w:val="21"/>
        </w:rPr>
      </w:pPr>
      <w:bookmarkStart w:id="200" w:name="_Toc277082561"/>
      <w:bookmarkEnd w:id="200"/>
      <w:bookmarkStart w:id="201" w:name="_Toc224103326"/>
      <w:bookmarkEnd w:id="201"/>
      <w:bookmarkStart w:id="202" w:name="_Toc934"/>
      <w:bookmarkEnd w:id="202"/>
      <w:bookmarkStart w:id="203" w:name="_Toc200513135"/>
      <w:bookmarkEnd w:id="203"/>
      <w:bookmarkStart w:id="204" w:name="_Toc40455280"/>
      <w:bookmarkEnd w:id="204"/>
      <w:bookmarkStart w:id="205" w:name="_Toc4661678"/>
      <w:bookmarkEnd w:id="205"/>
      <w:bookmarkStart w:id="206" w:name="_Toc4662150"/>
      <w:bookmarkEnd w:id="206"/>
      <w:bookmarkStart w:id="207" w:name="_Toc287607755"/>
      <w:bookmarkEnd w:id="207"/>
      <w:bookmarkStart w:id="208" w:name="_Toc40780262"/>
      <w:bookmarkEnd w:id="208"/>
      <w:bookmarkStart w:id="209" w:name="_Toc4661436"/>
      <w:bookmarkEnd w:id="209"/>
      <w:bookmarkStart w:id="210" w:name="_Toc40455653"/>
      <w:bookmarkEnd w:id="210"/>
      <w:bookmarkStart w:id="211" w:name="_Toc4661914"/>
      <w:r>
        <w:rPr>
          <w:rFonts w:hint="eastAsia" w:ascii="宋体" w:hAnsi="宋体"/>
          <w:kern w:val="2"/>
          <w:sz w:val="21"/>
          <w:szCs w:val="21"/>
        </w:rPr>
        <w:t xml:space="preserve">1.8  </w:t>
      </w:r>
      <w:bookmarkEnd w:id="211"/>
      <w:r>
        <w:rPr>
          <w:rFonts w:hint="eastAsia" w:ascii="宋体" w:hAnsi="宋体" w:cs="宋体"/>
          <w:kern w:val="2"/>
          <w:sz w:val="21"/>
          <w:szCs w:val="21"/>
        </w:rPr>
        <w:t>计量单位</w:t>
      </w:r>
    </w:p>
    <w:p>
      <w:pPr>
        <w:autoSpaceDE w:val="0"/>
        <w:autoSpaceDN w:val="0"/>
        <w:adjustRightInd w:val="0"/>
        <w:spacing w:line="300" w:lineRule="exact"/>
        <w:ind w:firstLine="424" w:firstLineChars="202"/>
        <w:jc w:val="left"/>
        <w:rPr>
          <w:rFonts w:ascii="宋体" w:hAnsi="宋体" w:cs="MingLiU"/>
          <w:kern w:val="0"/>
          <w:szCs w:val="21"/>
        </w:rPr>
      </w:pPr>
      <w:r>
        <w:rPr>
          <w:rFonts w:hint="eastAsia" w:ascii="宋体" w:hAnsi="宋体" w:cs="宋体"/>
          <w:kern w:val="0"/>
          <w:szCs w:val="21"/>
          <w:lang w:bidi="ar"/>
        </w:rPr>
        <w:t>所有计量均采用中华人民共和国法定计量单位。</w:t>
      </w:r>
    </w:p>
    <w:p>
      <w:pPr>
        <w:pStyle w:val="5"/>
        <w:widowControl/>
        <w:spacing w:before="0" w:after="0" w:line="300" w:lineRule="exact"/>
        <w:rPr>
          <w:rFonts w:ascii="宋体" w:hAnsi="宋体"/>
          <w:kern w:val="2"/>
          <w:sz w:val="21"/>
          <w:szCs w:val="21"/>
        </w:rPr>
      </w:pPr>
      <w:bookmarkStart w:id="212" w:name="_Toc224103327"/>
      <w:bookmarkEnd w:id="212"/>
      <w:bookmarkStart w:id="213" w:name="_Toc14666"/>
      <w:bookmarkEnd w:id="213"/>
      <w:bookmarkStart w:id="214" w:name="_Toc4661915"/>
      <w:bookmarkEnd w:id="214"/>
      <w:bookmarkStart w:id="215" w:name="_Toc287607756"/>
      <w:bookmarkEnd w:id="215"/>
      <w:bookmarkStart w:id="216" w:name="_Toc4661437"/>
      <w:bookmarkEnd w:id="216"/>
      <w:bookmarkStart w:id="217" w:name="_Toc200513136"/>
      <w:bookmarkEnd w:id="217"/>
      <w:bookmarkStart w:id="218" w:name="_Toc4661679"/>
      <w:bookmarkEnd w:id="218"/>
      <w:bookmarkStart w:id="219" w:name="_Toc277082562"/>
      <w:bookmarkEnd w:id="219"/>
      <w:bookmarkStart w:id="220" w:name="_Toc40455281"/>
      <w:bookmarkEnd w:id="220"/>
      <w:bookmarkStart w:id="221" w:name="_Toc40455654"/>
      <w:bookmarkEnd w:id="221"/>
      <w:bookmarkStart w:id="222" w:name="_Toc4662151"/>
      <w:bookmarkEnd w:id="222"/>
      <w:bookmarkStart w:id="223" w:name="_Toc40780263"/>
      <w:r>
        <w:rPr>
          <w:rFonts w:hint="eastAsia" w:ascii="宋体" w:hAnsi="宋体"/>
          <w:kern w:val="2"/>
          <w:sz w:val="21"/>
          <w:szCs w:val="21"/>
        </w:rPr>
        <w:t xml:space="preserve">1.9  </w:t>
      </w:r>
      <w:bookmarkEnd w:id="223"/>
      <w:r>
        <w:rPr>
          <w:rFonts w:hint="eastAsia" w:ascii="宋体" w:hAnsi="宋体" w:cs="宋体"/>
          <w:kern w:val="2"/>
          <w:sz w:val="21"/>
          <w:szCs w:val="21"/>
        </w:rPr>
        <w:t>踏勘现场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 xml:space="preserve">1.9.1  </w:t>
      </w:r>
      <w:r>
        <w:rPr>
          <w:rFonts w:hint="eastAsia" w:ascii="宋体" w:hAnsi="宋体" w:cs="宋体"/>
          <w:kern w:val="0"/>
          <w:szCs w:val="21"/>
          <w:lang w:bidi="ar"/>
        </w:rPr>
        <w:t>报价人须知前附表规定组织踏勘现场的，采购人按报价人须知前附表规定的时间、</w:t>
      </w:r>
      <w:r>
        <w:rPr>
          <w:rFonts w:hint="eastAsia" w:ascii="宋体" w:hAnsi="宋体" w:cs="MingLiU"/>
          <w:kern w:val="0"/>
          <w:szCs w:val="21"/>
          <w:lang w:bidi="ar"/>
        </w:rPr>
        <w:t xml:space="preserve"> </w:t>
      </w:r>
      <w:r>
        <w:rPr>
          <w:rFonts w:hint="eastAsia" w:ascii="宋体" w:hAnsi="宋体" w:cs="宋体"/>
          <w:kern w:val="0"/>
          <w:szCs w:val="21"/>
          <w:lang w:bidi="ar"/>
        </w:rPr>
        <w:t>地点组织报价人踏勘项目现场。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 xml:space="preserve">1.9.2  </w:t>
      </w:r>
      <w:r>
        <w:rPr>
          <w:rFonts w:hint="eastAsia" w:ascii="宋体" w:hAnsi="宋体" w:cs="宋体"/>
          <w:kern w:val="0"/>
          <w:szCs w:val="21"/>
          <w:lang w:bidi="ar"/>
        </w:rPr>
        <w:t>报价人踏勘现场发生的费用自理。</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 xml:space="preserve">1.9.3  </w:t>
      </w:r>
      <w:r>
        <w:rPr>
          <w:rFonts w:hint="eastAsia" w:ascii="宋体" w:hAnsi="宋体" w:cs="宋体"/>
          <w:kern w:val="0"/>
          <w:szCs w:val="21"/>
          <w:lang w:bidi="ar"/>
        </w:rPr>
        <w:t>除采购人的原因外，报价人自行负责在踏勘现场中所发生的人员伤亡和财产损失。</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1.9.4  </w:t>
      </w:r>
      <w:r>
        <w:rPr>
          <w:rFonts w:hint="eastAsia" w:ascii="宋体" w:hAnsi="宋体" w:cs="宋体"/>
          <w:kern w:val="0"/>
          <w:szCs w:val="21"/>
          <w:lang w:bidi="ar"/>
        </w:rPr>
        <w:t>采购人在踏勘现场中介绍的工程场地和相关的周边环境情况，供报价人在编制投</w:t>
      </w:r>
      <w:r>
        <w:rPr>
          <w:rFonts w:hint="eastAsia" w:ascii="宋体" w:hAnsi="宋体" w:cs="Calibri"/>
          <w:kern w:val="0"/>
          <w:szCs w:val="21"/>
          <w:lang w:bidi="ar"/>
        </w:rPr>
        <w:t xml:space="preserve"> </w:t>
      </w:r>
      <w:r>
        <w:rPr>
          <w:rFonts w:hint="eastAsia" w:ascii="宋体" w:hAnsi="宋体" w:cs="宋体"/>
          <w:kern w:val="0"/>
          <w:szCs w:val="21"/>
          <w:lang w:bidi="ar"/>
        </w:rPr>
        <w:t>标文件时参考，采购人不对报价人据此做出的判断和决策负责。</w:t>
      </w:r>
    </w:p>
    <w:p>
      <w:pPr>
        <w:pStyle w:val="5"/>
        <w:widowControl/>
        <w:spacing w:before="0" w:after="0" w:line="300" w:lineRule="exact"/>
        <w:rPr>
          <w:rFonts w:ascii="宋体" w:hAnsi="宋体"/>
          <w:kern w:val="2"/>
          <w:sz w:val="21"/>
          <w:szCs w:val="21"/>
        </w:rPr>
      </w:pPr>
      <w:bookmarkStart w:id="224" w:name="_Toc277082563"/>
      <w:bookmarkEnd w:id="224"/>
      <w:bookmarkStart w:id="225" w:name="_Toc4661438"/>
      <w:bookmarkEnd w:id="225"/>
      <w:bookmarkStart w:id="226" w:name="_Toc200513137"/>
      <w:bookmarkEnd w:id="226"/>
      <w:bookmarkStart w:id="227" w:name="_Toc287607757"/>
      <w:bookmarkEnd w:id="227"/>
      <w:bookmarkStart w:id="228" w:name="_Toc224103328"/>
      <w:bookmarkEnd w:id="228"/>
      <w:bookmarkStart w:id="229" w:name="_Toc40780264"/>
      <w:bookmarkEnd w:id="229"/>
      <w:bookmarkStart w:id="230" w:name="_Toc4662152"/>
      <w:bookmarkEnd w:id="230"/>
      <w:bookmarkStart w:id="231" w:name="_Toc32378"/>
      <w:bookmarkEnd w:id="231"/>
      <w:bookmarkStart w:id="232" w:name="_Toc4661916"/>
      <w:bookmarkEnd w:id="232"/>
      <w:bookmarkStart w:id="233" w:name="_Toc40455282"/>
      <w:bookmarkEnd w:id="233"/>
      <w:bookmarkStart w:id="234" w:name="_Toc4661680"/>
      <w:bookmarkEnd w:id="234"/>
      <w:bookmarkStart w:id="235" w:name="_Toc40455655"/>
      <w:r>
        <w:rPr>
          <w:rFonts w:hint="eastAsia" w:ascii="宋体" w:hAnsi="宋体"/>
          <w:kern w:val="2"/>
          <w:sz w:val="21"/>
          <w:szCs w:val="21"/>
        </w:rPr>
        <w:t xml:space="preserve">1.10  </w:t>
      </w:r>
      <w:bookmarkEnd w:id="235"/>
      <w:r>
        <w:rPr>
          <w:rFonts w:hint="eastAsia" w:ascii="宋体" w:hAnsi="宋体" w:cs="宋体"/>
          <w:kern w:val="2"/>
          <w:sz w:val="21"/>
          <w:szCs w:val="21"/>
        </w:rPr>
        <w:t>投标预备会</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1.10.1  </w:t>
      </w:r>
      <w:r>
        <w:rPr>
          <w:rFonts w:hint="eastAsia" w:ascii="宋体" w:hAnsi="宋体" w:cs="宋体"/>
          <w:kern w:val="0"/>
          <w:szCs w:val="21"/>
          <w:lang w:bidi="ar"/>
        </w:rPr>
        <w:t>报价人须知前附表规定召开投标预备会的，采购人按报价人须知前附表规定的时间和地点召开投标预备会，澄清报价人提出的问题。</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1.10.2  </w:t>
      </w:r>
      <w:r>
        <w:rPr>
          <w:rFonts w:hint="eastAsia" w:ascii="宋体" w:hAnsi="宋体" w:cs="宋体"/>
          <w:kern w:val="0"/>
          <w:szCs w:val="21"/>
          <w:lang w:bidi="ar"/>
        </w:rPr>
        <w:t>报价人应在报价人须知前附表规定的时间前，以书面形式将提出的问题送达采购人，以便采购人在会议期间澄清。</w:t>
      </w:r>
    </w:p>
    <w:p>
      <w:pPr>
        <w:autoSpaceDE w:val="0"/>
        <w:autoSpaceDN w:val="0"/>
        <w:adjustRightInd w:val="0"/>
        <w:spacing w:line="300" w:lineRule="exact"/>
        <w:ind w:firstLine="424" w:firstLineChars="202"/>
        <w:jc w:val="left"/>
        <w:rPr>
          <w:rFonts w:ascii="宋体" w:hAnsi="宋体" w:cs="MingLiU"/>
          <w:kern w:val="0"/>
          <w:szCs w:val="21"/>
        </w:rPr>
      </w:pPr>
      <w:r>
        <w:rPr>
          <w:rFonts w:hint="eastAsia" w:ascii="宋体" w:hAnsi="宋体" w:cs="Calibri"/>
          <w:kern w:val="0"/>
          <w:szCs w:val="21"/>
          <w:lang w:bidi="ar"/>
        </w:rPr>
        <w:t xml:space="preserve">1.10.3  </w:t>
      </w:r>
      <w:r>
        <w:rPr>
          <w:rFonts w:hint="eastAsia" w:ascii="宋体" w:hAnsi="宋体" w:cs="宋体"/>
          <w:kern w:val="0"/>
          <w:szCs w:val="21"/>
          <w:lang w:bidi="ar"/>
        </w:rPr>
        <w:t>投标预备会后，采购人在报价人须知前附表规定的时间内，将对报价人所提问题</w:t>
      </w:r>
      <w:r>
        <w:rPr>
          <w:rFonts w:hint="eastAsia" w:ascii="宋体" w:hAnsi="宋体" w:cs="宋体"/>
          <w:kern w:val="0"/>
          <w:position w:val="-2"/>
          <w:szCs w:val="21"/>
          <w:lang w:bidi="ar"/>
        </w:rPr>
        <w:t>的澄清，以书面方式通知所有购买竞争性比选文件的报价人。该澄清内容为竞争性比选文件的组成部分。</w:t>
      </w:r>
    </w:p>
    <w:p>
      <w:pPr>
        <w:pStyle w:val="5"/>
        <w:widowControl/>
        <w:spacing w:before="0" w:after="0" w:line="300" w:lineRule="exact"/>
        <w:rPr>
          <w:rFonts w:ascii="宋体" w:hAnsi="宋体"/>
          <w:kern w:val="2"/>
          <w:sz w:val="21"/>
          <w:szCs w:val="21"/>
        </w:rPr>
      </w:pPr>
      <w:bookmarkStart w:id="236" w:name="_Toc277082564"/>
      <w:bookmarkEnd w:id="236"/>
      <w:bookmarkStart w:id="237" w:name="_Toc40455656"/>
      <w:bookmarkEnd w:id="237"/>
      <w:bookmarkStart w:id="238" w:name="_Toc4661681"/>
      <w:bookmarkEnd w:id="238"/>
      <w:bookmarkStart w:id="239" w:name="_Toc4661439"/>
      <w:bookmarkEnd w:id="239"/>
      <w:bookmarkStart w:id="240" w:name="_Toc287607758"/>
      <w:bookmarkEnd w:id="240"/>
      <w:bookmarkStart w:id="241" w:name="_Toc4662153"/>
      <w:bookmarkEnd w:id="241"/>
      <w:bookmarkStart w:id="242" w:name="_Toc40780265"/>
      <w:bookmarkEnd w:id="242"/>
      <w:bookmarkStart w:id="243" w:name="_Toc40455283"/>
      <w:bookmarkEnd w:id="243"/>
      <w:bookmarkStart w:id="244" w:name="_Toc224103329"/>
      <w:bookmarkEnd w:id="244"/>
      <w:bookmarkStart w:id="245" w:name="_Toc1732"/>
      <w:bookmarkEnd w:id="245"/>
      <w:bookmarkStart w:id="246" w:name="_Toc4661917"/>
      <w:bookmarkEnd w:id="246"/>
      <w:bookmarkStart w:id="247" w:name="_Toc200513138"/>
      <w:r>
        <w:rPr>
          <w:rFonts w:hint="eastAsia" w:ascii="宋体" w:hAnsi="宋体"/>
          <w:kern w:val="2"/>
          <w:sz w:val="21"/>
          <w:szCs w:val="21"/>
        </w:rPr>
        <w:t xml:space="preserve">1.11  </w:t>
      </w:r>
      <w:bookmarkEnd w:id="247"/>
      <w:r>
        <w:rPr>
          <w:rFonts w:hint="eastAsia" w:ascii="宋体" w:hAnsi="宋体" w:cs="宋体"/>
          <w:kern w:val="2"/>
          <w:sz w:val="21"/>
          <w:szCs w:val="21"/>
        </w:rPr>
        <w:t>分包</w:t>
      </w:r>
    </w:p>
    <w:p>
      <w:pPr>
        <w:pStyle w:val="5"/>
        <w:widowControl/>
        <w:spacing w:before="0" w:after="0" w:line="300" w:lineRule="exact"/>
        <w:rPr>
          <w:rFonts w:ascii="宋体" w:hAnsi="宋体" w:cs="MingLiU"/>
          <w:b w:val="0"/>
          <w:sz w:val="21"/>
          <w:szCs w:val="21"/>
        </w:rPr>
      </w:pPr>
      <w:bookmarkStart w:id="248" w:name="_Toc4661440"/>
      <w:bookmarkEnd w:id="248"/>
      <w:bookmarkStart w:id="249" w:name="_Toc287607759"/>
      <w:bookmarkEnd w:id="249"/>
      <w:bookmarkStart w:id="250" w:name="_Toc277082565"/>
      <w:bookmarkEnd w:id="250"/>
      <w:bookmarkStart w:id="251" w:name="_Toc200513139"/>
      <w:bookmarkEnd w:id="251"/>
      <w:bookmarkStart w:id="252" w:name="_Toc40455657"/>
      <w:bookmarkEnd w:id="252"/>
      <w:bookmarkStart w:id="253" w:name="_Toc40780266"/>
      <w:bookmarkEnd w:id="253"/>
      <w:bookmarkStart w:id="254" w:name="_Toc4661918"/>
      <w:bookmarkEnd w:id="254"/>
      <w:bookmarkStart w:id="255" w:name="_Toc4661682"/>
      <w:bookmarkEnd w:id="255"/>
      <w:bookmarkStart w:id="256" w:name="_Toc4662154"/>
      <w:bookmarkEnd w:id="256"/>
      <w:bookmarkStart w:id="257" w:name="_Toc40455284"/>
      <w:bookmarkEnd w:id="257"/>
      <w:bookmarkStart w:id="258" w:name="_Toc1991"/>
      <w:bookmarkEnd w:id="258"/>
      <w:bookmarkStart w:id="259" w:name="_Toc224103330"/>
      <w:r>
        <w:rPr>
          <w:rFonts w:hint="eastAsia" w:ascii="宋体" w:hAnsi="宋体" w:cs="MingLiU"/>
          <w:b w:val="0"/>
          <w:sz w:val="21"/>
          <w:szCs w:val="21"/>
        </w:rPr>
        <w:t>1.11.1本项目竞争性比选范围内的内容如需分包，分包单位的确定须采购人书面批准同意。否则采购人均有权取消中标人资格。</w:t>
      </w:r>
      <w:bookmarkEnd w:id="259"/>
    </w:p>
    <w:p>
      <w:pPr>
        <w:pStyle w:val="5"/>
        <w:widowControl/>
        <w:spacing w:before="0" w:after="0" w:line="300" w:lineRule="exact"/>
        <w:rPr>
          <w:rFonts w:ascii="宋体" w:hAnsi="宋体" w:cs="MingLiU"/>
          <w:b w:val="0"/>
          <w:sz w:val="21"/>
          <w:szCs w:val="21"/>
        </w:rPr>
      </w:pPr>
      <w:r>
        <w:rPr>
          <w:rFonts w:hint="eastAsia" w:ascii="宋体" w:hAnsi="宋体" w:cs="MingLiU"/>
          <w:b w:val="0"/>
          <w:sz w:val="21"/>
          <w:szCs w:val="21"/>
        </w:rPr>
        <w:t>1.12  偏离</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报价人须知前附表允许比选响应文件偏离竞争性比选文件某些要求的，偏离应当符合竞争性比选文件规定</w:t>
      </w:r>
      <w:r>
        <w:rPr>
          <w:rFonts w:hint="eastAsia" w:ascii="宋体" w:hAnsi="宋体" w:cs="Calibri"/>
          <w:kern w:val="0"/>
          <w:szCs w:val="21"/>
          <w:lang w:bidi="ar"/>
        </w:rPr>
        <w:t xml:space="preserve"> </w:t>
      </w:r>
      <w:r>
        <w:rPr>
          <w:rFonts w:hint="eastAsia" w:ascii="宋体" w:hAnsi="宋体" w:cs="宋体"/>
          <w:kern w:val="0"/>
          <w:szCs w:val="21"/>
          <w:lang w:bidi="ar"/>
        </w:rPr>
        <w:t>的偏离范围和幅度。</w:t>
      </w:r>
    </w:p>
    <w:p>
      <w:pPr>
        <w:pStyle w:val="4"/>
        <w:widowControl/>
        <w:spacing w:before="0" w:after="0" w:line="300" w:lineRule="exact"/>
        <w:rPr>
          <w:rFonts w:ascii="宋体" w:hAnsi="宋体"/>
          <w:sz w:val="21"/>
          <w:szCs w:val="21"/>
        </w:rPr>
      </w:pPr>
      <w:bookmarkStart w:id="260" w:name="_Toc224103331"/>
      <w:bookmarkEnd w:id="260"/>
      <w:bookmarkStart w:id="261" w:name="_Toc287607760"/>
      <w:bookmarkEnd w:id="261"/>
      <w:bookmarkStart w:id="262" w:name="_Toc40455658"/>
      <w:bookmarkEnd w:id="262"/>
      <w:bookmarkStart w:id="263" w:name="_Toc200513140"/>
      <w:bookmarkEnd w:id="263"/>
      <w:bookmarkStart w:id="264" w:name="_Toc143"/>
      <w:bookmarkEnd w:id="264"/>
      <w:bookmarkStart w:id="265" w:name="_Toc25763"/>
      <w:bookmarkEnd w:id="265"/>
      <w:bookmarkStart w:id="266" w:name="_Toc4661919"/>
      <w:bookmarkEnd w:id="266"/>
      <w:bookmarkStart w:id="267" w:name="_Toc4806"/>
      <w:bookmarkEnd w:id="267"/>
      <w:bookmarkStart w:id="268" w:name="_Toc30989"/>
      <w:bookmarkEnd w:id="268"/>
      <w:bookmarkStart w:id="269" w:name="_Toc277082566"/>
      <w:bookmarkEnd w:id="269"/>
      <w:bookmarkStart w:id="270" w:name="_Toc4662155"/>
      <w:bookmarkEnd w:id="270"/>
      <w:bookmarkStart w:id="271" w:name="_Toc4661441"/>
      <w:bookmarkEnd w:id="271"/>
      <w:bookmarkStart w:id="272" w:name="_Toc27390"/>
      <w:bookmarkEnd w:id="272"/>
      <w:bookmarkStart w:id="273" w:name="_Toc40455285"/>
      <w:bookmarkEnd w:id="273"/>
      <w:bookmarkStart w:id="274" w:name="_Toc4661683"/>
      <w:bookmarkEnd w:id="274"/>
      <w:bookmarkStart w:id="275" w:name="_Toc24734"/>
      <w:bookmarkStart w:id="276" w:name="_Toc4839"/>
      <w:r>
        <w:rPr>
          <w:rFonts w:hint="eastAsia" w:ascii="宋体" w:hAnsi="宋体"/>
          <w:sz w:val="21"/>
          <w:szCs w:val="21"/>
        </w:rPr>
        <w:t xml:space="preserve">2.  </w:t>
      </w:r>
      <w:bookmarkEnd w:id="275"/>
      <w:r>
        <w:rPr>
          <w:rFonts w:hint="eastAsia" w:ascii="黑体" w:hAnsi="宋体" w:cs="黑体"/>
          <w:sz w:val="21"/>
          <w:szCs w:val="21"/>
        </w:rPr>
        <w:t>竞争性比选文件</w:t>
      </w:r>
      <w:bookmarkEnd w:id="276"/>
    </w:p>
    <w:p>
      <w:pPr>
        <w:pStyle w:val="5"/>
        <w:widowControl/>
        <w:spacing w:before="0" w:after="0" w:line="300" w:lineRule="exact"/>
        <w:rPr>
          <w:rFonts w:ascii="宋体" w:hAnsi="宋体"/>
          <w:kern w:val="2"/>
          <w:sz w:val="21"/>
          <w:szCs w:val="21"/>
        </w:rPr>
      </w:pPr>
      <w:bookmarkStart w:id="277" w:name="_Toc200513141"/>
      <w:bookmarkEnd w:id="277"/>
      <w:bookmarkStart w:id="278" w:name="_Toc4662156"/>
      <w:bookmarkEnd w:id="278"/>
      <w:bookmarkStart w:id="279" w:name="_Toc40780268"/>
      <w:bookmarkEnd w:id="279"/>
      <w:bookmarkStart w:id="280" w:name="_Toc29861"/>
      <w:bookmarkEnd w:id="280"/>
      <w:bookmarkStart w:id="281" w:name="_Toc287607761"/>
      <w:bookmarkEnd w:id="281"/>
      <w:bookmarkStart w:id="282" w:name="_Toc40455286"/>
      <w:bookmarkEnd w:id="282"/>
      <w:bookmarkStart w:id="283" w:name="_Toc277082567"/>
      <w:bookmarkEnd w:id="283"/>
      <w:bookmarkStart w:id="284" w:name="_Toc224103332"/>
      <w:bookmarkEnd w:id="284"/>
      <w:bookmarkStart w:id="285" w:name="_Toc40455659"/>
      <w:bookmarkEnd w:id="285"/>
      <w:bookmarkStart w:id="286" w:name="_Toc4661684"/>
      <w:bookmarkEnd w:id="286"/>
      <w:bookmarkStart w:id="287" w:name="_Toc4661920"/>
      <w:bookmarkEnd w:id="287"/>
      <w:bookmarkStart w:id="288" w:name="_Toc4661442"/>
      <w:r>
        <w:rPr>
          <w:rFonts w:hint="eastAsia" w:ascii="宋体" w:hAnsi="宋体"/>
          <w:kern w:val="2"/>
          <w:sz w:val="21"/>
          <w:szCs w:val="21"/>
        </w:rPr>
        <w:t xml:space="preserve">2.1  </w:t>
      </w:r>
      <w:bookmarkEnd w:id="288"/>
      <w:r>
        <w:rPr>
          <w:rFonts w:hint="eastAsia" w:ascii="宋体" w:hAnsi="宋体" w:cs="宋体"/>
          <w:kern w:val="2"/>
          <w:sz w:val="21"/>
          <w:szCs w:val="21"/>
        </w:rPr>
        <w:t>竞争性比选文件的组成</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本竞争性比选文件包括：</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1</w:t>
      </w:r>
      <w:r>
        <w:rPr>
          <w:rFonts w:hint="eastAsia" w:ascii="宋体" w:hAnsi="宋体" w:cs="宋体"/>
          <w:kern w:val="0"/>
          <w:szCs w:val="21"/>
          <w:lang w:bidi="ar"/>
        </w:rPr>
        <w:t>）竞争性比选公告；</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2</w:t>
      </w:r>
      <w:r>
        <w:rPr>
          <w:rFonts w:hint="eastAsia" w:ascii="宋体" w:hAnsi="宋体" w:cs="宋体"/>
          <w:kern w:val="0"/>
          <w:szCs w:val="21"/>
          <w:lang w:bidi="ar"/>
        </w:rPr>
        <w:t>）报价人须知；</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3</w:t>
      </w:r>
      <w:r>
        <w:rPr>
          <w:rFonts w:hint="eastAsia" w:ascii="宋体" w:hAnsi="宋体" w:cs="宋体"/>
          <w:kern w:val="0"/>
          <w:szCs w:val="21"/>
          <w:lang w:bidi="ar"/>
        </w:rPr>
        <w:t>）评标办法；</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4</w:t>
      </w:r>
      <w:r>
        <w:rPr>
          <w:rFonts w:hint="eastAsia" w:ascii="宋体" w:hAnsi="宋体" w:cs="宋体"/>
          <w:kern w:val="0"/>
          <w:szCs w:val="21"/>
          <w:lang w:bidi="ar"/>
        </w:rPr>
        <w:t>）合同条款及格式；</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5</w:t>
      </w:r>
      <w:r>
        <w:rPr>
          <w:rFonts w:hint="eastAsia" w:ascii="宋体" w:hAnsi="宋体" w:cs="宋体"/>
          <w:kern w:val="0"/>
          <w:szCs w:val="21"/>
          <w:lang w:bidi="ar"/>
        </w:rPr>
        <w:t>）技术标准和要求；</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6</w:t>
      </w:r>
      <w:r>
        <w:rPr>
          <w:rFonts w:hint="eastAsia" w:ascii="宋体" w:hAnsi="宋体" w:cs="宋体"/>
          <w:kern w:val="0"/>
          <w:szCs w:val="21"/>
          <w:lang w:bidi="ar"/>
        </w:rPr>
        <w:t>）比选响应文件格式；</w:t>
      </w:r>
    </w:p>
    <w:p>
      <w:pPr>
        <w:pStyle w:val="169"/>
        <w:widowControl/>
        <w:spacing w:line="300" w:lineRule="exact"/>
        <w:ind w:firstLine="420"/>
        <w:rPr>
          <w:rFonts w:hint="default" w:cs="Calibri"/>
        </w:rPr>
      </w:pPr>
      <w:r>
        <w:rPr>
          <w:rFonts w:cs="宋体"/>
          <w:spacing w:val="0"/>
          <w:sz w:val="21"/>
          <w:szCs w:val="21"/>
        </w:rPr>
        <w:t>（</w:t>
      </w:r>
      <w:r>
        <w:rPr>
          <w:rFonts w:cs="MingLiU"/>
          <w:spacing w:val="0"/>
          <w:sz w:val="21"/>
          <w:szCs w:val="21"/>
        </w:rPr>
        <w:t>7）报价人须知前附表规定的其他材料。</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根据本章第</w:t>
      </w:r>
      <w:r>
        <w:rPr>
          <w:rFonts w:hint="eastAsia" w:ascii="宋体" w:hAnsi="宋体" w:cs="Calibri"/>
          <w:kern w:val="0"/>
          <w:szCs w:val="21"/>
          <w:lang w:bidi="ar"/>
        </w:rPr>
        <w:t>1.10</w:t>
      </w:r>
      <w:r>
        <w:rPr>
          <w:rFonts w:hint="eastAsia" w:ascii="宋体" w:hAnsi="宋体" w:cs="宋体"/>
          <w:kern w:val="0"/>
          <w:szCs w:val="21"/>
          <w:lang w:bidi="ar"/>
        </w:rPr>
        <w:t>款、第</w:t>
      </w:r>
      <w:r>
        <w:rPr>
          <w:rFonts w:hint="eastAsia" w:ascii="宋体" w:hAnsi="宋体" w:cs="Calibri"/>
          <w:kern w:val="0"/>
          <w:szCs w:val="21"/>
          <w:lang w:bidi="ar"/>
        </w:rPr>
        <w:t>2.2</w:t>
      </w:r>
      <w:r>
        <w:rPr>
          <w:rFonts w:hint="eastAsia" w:ascii="宋体" w:hAnsi="宋体" w:cs="宋体"/>
          <w:kern w:val="0"/>
          <w:szCs w:val="21"/>
          <w:lang w:bidi="ar"/>
        </w:rPr>
        <w:t>款和第</w:t>
      </w:r>
      <w:r>
        <w:rPr>
          <w:rFonts w:hint="eastAsia" w:ascii="宋体" w:hAnsi="宋体" w:cs="Calibri"/>
          <w:kern w:val="0"/>
          <w:szCs w:val="21"/>
          <w:lang w:bidi="ar"/>
        </w:rPr>
        <w:t>2.3</w:t>
      </w:r>
      <w:r>
        <w:rPr>
          <w:rFonts w:hint="eastAsia" w:ascii="宋体" w:hAnsi="宋体" w:cs="宋体"/>
          <w:kern w:val="0"/>
          <w:szCs w:val="21"/>
          <w:lang w:bidi="ar"/>
        </w:rPr>
        <w:t>款对竞争性比选文件所作的澄清、修改，构成竞争性比选文件的组成部分。</w:t>
      </w:r>
    </w:p>
    <w:p>
      <w:pPr>
        <w:pStyle w:val="5"/>
        <w:widowControl/>
        <w:spacing w:before="0" w:after="0" w:line="300" w:lineRule="exact"/>
        <w:rPr>
          <w:rFonts w:ascii="宋体" w:hAnsi="宋体"/>
          <w:kern w:val="2"/>
          <w:sz w:val="21"/>
          <w:szCs w:val="21"/>
        </w:rPr>
      </w:pPr>
      <w:bookmarkStart w:id="289" w:name="_Toc200513142"/>
      <w:bookmarkEnd w:id="289"/>
      <w:bookmarkStart w:id="290" w:name="_Toc4661443"/>
      <w:bookmarkEnd w:id="290"/>
      <w:bookmarkStart w:id="291" w:name="_Toc224103333"/>
      <w:bookmarkEnd w:id="291"/>
      <w:bookmarkStart w:id="292" w:name="_Toc4661921"/>
      <w:bookmarkEnd w:id="292"/>
      <w:bookmarkStart w:id="293" w:name="_Toc40455660"/>
      <w:bookmarkEnd w:id="293"/>
      <w:bookmarkStart w:id="294" w:name="_Toc40780269"/>
      <w:bookmarkEnd w:id="294"/>
      <w:bookmarkStart w:id="295" w:name="_Toc287607762"/>
      <w:bookmarkEnd w:id="295"/>
      <w:bookmarkStart w:id="296" w:name="_Toc4662157"/>
      <w:bookmarkEnd w:id="296"/>
      <w:bookmarkStart w:id="297" w:name="_Toc277082568"/>
      <w:bookmarkEnd w:id="297"/>
      <w:bookmarkStart w:id="298" w:name="_Toc32674"/>
      <w:bookmarkEnd w:id="298"/>
      <w:bookmarkStart w:id="299" w:name="_Toc40455287"/>
      <w:bookmarkEnd w:id="299"/>
      <w:bookmarkStart w:id="300" w:name="_Toc4661685"/>
      <w:r>
        <w:rPr>
          <w:rFonts w:hint="eastAsia" w:ascii="宋体" w:hAnsi="宋体"/>
          <w:kern w:val="2"/>
          <w:sz w:val="21"/>
          <w:szCs w:val="21"/>
        </w:rPr>
        <w:t xml:space="preserve">2.2  </w:t>
      </w:r>
      <w:bookmarkEnd w:id="300"/>
      <w:r>
        <w:rPr>
          <w:rFonts w:hint="eastAsia" w:ascii="宋体" w:hAnsi="宋体" w:cs="宋体"/>
          <w:kern w:val="2"/>
          <w:sz w:val="21"/>
          <w:szCs w:val="21"/>
        </w:rPr>
        <w:t>竞争性比选文件的澄清</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2.2.1  </w:t>
      </w:r>
      <w:r>
        <w:rPr>
          <w:rFonts w:hint="eastAsia" w:ascii="宋体" w:hAnsi="宋体" w:cs="宋体"/>
          <w:kern w:val="0"/>
          <w:szCs w:val="21"/>
          <w:lang w:bidi="ar"/>
        </w:rPr>
        <w:t>报价人应仔细阅读和检查竞争性比选文件的全部内容。如发现缺页或附件不全，应及时向采购人提出，以便补齐。如有疑问，应在报价人须知前附表规定的时间前在重庆市公共资源交易网</w:t>
      </w:r>
      <w:r>
        <w:fldChar w:fldCharType="begin"/>
      </w:r>
      <w:r>
        <w:instrText xml:space="preserve"> HYPERLINK "http://www.cpcb.com.cn/Front.aspx/Zydy" </w:instrText>
      </w:r>
      <w:r>
        <w:fldChar w:fldCharType="separate"/>
      </w:r>
      <w:r>
        <w:rPr>
          <w:rStyle w:val="49"/>
          <w:rFonts w:hint="eastAsia" w:ascii="宋体" w:hAnsi="宋体" w:cs="宋体"/>
          <w:kern w:val="0"/>
        </w:rPr>
        <w:t>报价人</w:t>
      </w:r>
      <w:r>
        <w:rPr>
          <w:rStyle w:val="49"/>
          <w:rFonts w:hint="eastAsia" w:ascii="宋体" w:hAnsi="宋体" w:eastAsia="宋体" w:cs="宋体"/>
          <w:kern w:val="0"/>
        </w:rPr>
        <w:t>质疑区</w:t>
      </w:r>
      <w:r>
        <w:rPr>
          <w:rStyle w:val="49"/>
          <w:rFonts w:hint="eastAsia" w:ascii="宋体" w:hAnsi="宋体" w:eastAsia="宋体" w:cs="宋体"/>
          <w:kern w:val="0"/>
        </w:rPr>
        <w:fldChar w:fldCharType="end"/>
      </w:r>
      <w:r>
        <w:rPr>
          <w:rFonts w:hint="eastAsia" w:ascii="宋体" w:hAnsi="宋体" w:cs="宋体"/>
          <w:kern w:val="0"/>
          <w:szCs w:val="21"/>
          <w:lang w:bidi="ar"/>
        </w:rPr>
        <w:t>提交质疑，要求采购人对竞争性比选文件予以澄清。</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2.2.2  </w:t>
      </w:r>
      <w:r>
        <w:rPr>
          <w:rFonts w:hint="eastAsia" w:ascii="宋体" w:hAnsi="宋体" w:cs="宋体"/>
          <w:kern w:val="0"/>
          <w:szCs w:val="21"/>
          <w:lang w:bidi="ar"/>
        </w:rPr>
        <w:t>竞争性比选文件的澄清将在报价人须知前附表规定的投标截止时间</w:t>
      </w:r>
      <w:r>
        <w:rPr>
          <w:rFonts w:hint="eastAsia" w:ascii="宋体" w:hAnsi="宋体" w:cs="Calibri"/>
          <w:kern w:val="0"/>
          <w:szCs w:val="21"/>
          <w:lang w:bidi="ar"/>
        </w:rPr>
        <w:t>15</w:t>
      </w:r>
      <w:r>
        <w:rPr>
          <w:rFonts w:hint="eastAsia" w:ascii="宋体" w:hAnsi="宋体" w:cs="宋体"/>
          <w:kern w:val="0"/>
          <w:szCs w:val="21"/>
          <w:lang w:bidi="ar"/>
        </w:rPr>
        <w:t>天前在重庆市公共资源交易网答疑区发布答疑，但不指明澄清问题的来源。如果澄清发出的时间距投标截止时间不足</w:t>
      </w:r>
      <w:r>
        <w:rPr>
          <w:rFonts w:hint="eastAsia" w:ascii="宋体" w:hAnsi="宋体" w:cs="Calibri"/>
          <w:kern w:val="0"/>
          <w:szCs w:val="21"/>
          <w:lang w:bidi="ar"/>
        </w:rPr>
        <w:t>15</w:t>
      </w:r>
      <w:r>
        <w:rPr>
          <w:rFonts w:hint="eastAsia" w:ascii="宋体" w:hAnsi="宋体" w:cs="宋体"/>
          <w:kern w:val="0"/>
          <w:szCs w:val="21"/>
          <w:lang w:bidi="ar"/>
        </w:rPr>
        <w:t>天，相应延长投标截止时间。</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Calibri"/>
          <w:kern w:val="0"/>
          <w:position w:val="-2"/>
          <w:szCs w:val="21"/>
          <w:lang w:bidi="ar"/>
        </w:rPr>
        <w:t xml:space="preserve">2.2.3  </w:t>
      </w:r>
      <w:r>
        <w:rPr>
          <w:rFonts w:hint="eastAsia" w:ascii="宋体" w:hAnsi="宋体" w:cs="宋体"/>
          <w:kern w:val="0"/>
          <w:szCs w:val="21"/>
          <w:lang w:bidi="ar"/>
        </w:rPr>
        <w:t>补遗内容可能影响比选响应文件编制的，须在投标截止时间</w:t>
      </w:r>
      <w:r>
        <w:rPr>
          <w:rFonts w:hint="eastAsia" w:ascii="宋体" w:hAnsi="宋体" w:cs="MingLiU"/>
          <w:kern w:val="0"/>
          <w:szCs w:val="21"/>
          <w:lang w:bidi="ar"/>
        </w:rPr>
        <w:t>15日前发布，发布时间至投标截止时间不足15日的，须相应延后投标截止时间。</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MingLiU"/>
          <w:kern w:val="0"/>
          <w:szCs w:val="21"/>
          <w:lang w:bidi="ar"/>
        </w:rPr>
        <w:t xml:space="preserve">2.2.4  </w:t>
      </w:r>
      <w:r>
        <w:rPr>
          <w:rFonts w:hint="eastAsia" w:ascii="宋体" w:hAnsi="宋体" w:cs="宋体"/>
          <w:kern w:val="0"/>
          <w:position w:val="-2"/>
          <w:szCs w:val="21"/>
          <w:lang w:bidi="ar"/>
        </w:rPr>
        <w:t>报价人对竞争性比选文件和答疑补遗有异议的，应当在投标截止时间</w:t>
      </w:r>
      <w:r>
        <w:rPr>
          <w:rFonts w:hint="eastAsia" w:ascii="宋体" w:hAnsi="宋体" w:cs="Calibri"/>
          <w:kern w:val="0"/>
          <w:position w:val="-2"/>
          <w:szCs w:val="21"/>
          <w:lang w:bidi="ar"/>
        </w:rPr>
        <w:t>10日前，</w:t>
      </w:r>
      <w:r>
        <w:rPr>
          <w:rFonts w:hint="eastAsia" w:ascii="宋体" w:hAnsi="宋体" w:cs="宋体"/>
          <w:kern w:val="0"/>
          <w:position w:val="-2"/>
          <w:szCs w:val="21"/>
          <w:lang w:bidi="ar"/>
        </w:rPr>
        <w:t>以书面形式通知采购人</w:t>
      </w:r>
      <w:r>
        <w:rPr>
          <w:rFonts w:hint="eastAsia" w:ascii="宋体" w:hAnsi="宋体" w:cs="宋体"/>
          <w:kern w:val="0"/>
          <w:szCs w:val="21"/>
          <w:lang w:bidi="ar"/>
        </w:rPr>
        <w:t>或竞争性比选代理机构。采购人应当自收到异议之日起</w:t>
      </w:r>
      <w:r>
        <w:rPr>
          <w:rFonts w:hint="eastAsia" w:ascii="宋体" w:hAnsi="宋体" w:cs="MingLiU"/>
          <w:kern w:val="0"/>
          <w:szCs w:val="21"/>
          <w:lang w:bidi="ar"/>
        </w:rPr>
        <w:t>3日内做出答复，并将答复内容以补遗的形式在</w:t>
      </w:r>
      <w:r>
        <w:rPr>
          <w:rFonts w:hint="eastAsia" w:ascii="宋体" w:hAnsi="宋体" w:cs="宋体"/>
          <w:kern w:val="0"/>
          <w:szCs w:val="21"/>
          <w:lang w:bidi="ar"/>
        </w:rPr>
        <w:t>重庆市公共资源交易网</w:t>
      </w:r>
      <w:r>
        <w:fldChar w:fldCharType="begin"/>
      </w:r>
      <w:r>
        <w:instrText xml:space="preserve"> HYPERLINK "http://www.cpcb.com.cn/Front.aspx/Zydy" </w:instrText>
      </w:r>
      <w:r>
        <w:fldChar w:fldCharType="separate"/>
      </w:r>
      <w:r>
        <w:rPr>
          <w:rStyle w:val="49"/>
          <w:rFonts w:hint="eastAsia" w:ascii="宋体" w:hAnsi="宋体" w:eastAsia="宋体" w:cs="宋体"/>
          <w:kern w:val="0"/>
        </w:rPr>
        <w:t>答疑补遗区</w:t>
      </w:r>
      <w:r>
        <w:rPr>
          <w:rStyle w:val="49"/>
          <w:rFonts w:hint="eastAsia" w:ascii="宋体" w:hAnsi="宋体" w:eastAsia="宋体" w:cs="宋体"/>
          <w:kern w:val="0"/>
        </w:rPr>
        <w:fldChar w:fldCharType="end"/>
      </w:r>
      <w:r>
        <w:rPr>
          <w:rFonts w:hint="eastAsia" w:ascii="宋体" w:hAnsi="宋体" w:cs="宋体"/>
          <w:kern w:val="0"/>
          <w:szCs w:val="21"/>
          <w:lang w:bidi="ar"/>
        </w:rPr>
        <w:t>发布。补遗内容可能影响比选响应文件编制的，须在投标截止时间</w:t>
      </w:r>
      <w:r>
        <w:rPr>
          <w:rFonts w:hint="eastAsia" w:ascii="宋体" w:hAnsi="宋体" w:cs="MingLiU"/>
          <w:kern w:val="0"/>
          <w:szCs w:val="21"/>
          <w:lang w:bidi="ar"/>
        </w:rPr>
        <w:t>15日前发布，发布时间至投标截止时间不足15日的，须相应延后投标截止时间。</w:t>
      </w:r>
    </w:p>
    <w:p>
      <w:pPr>
        <w:pStyle w:val="5"/>
        <w:widowControl/>
        <w:spacing w:before="0" w:after="0" w:line="300" w:lineRule="exact"/>
        <w:rPr>
          <w:rFonts w:ascii="宋体" w:hAnsi="宋体" w:cs="MingLiU"/>
          <w:b w:val="0"/>
          <w:sz w:val="21"/>
          <w:szCs w:val="21"/>
        </w:rPr>
      </w:pPr>
      <w:bookmarkStart w:id="301" w:name="_Toc40780270"/>
      <w:bookmarkEnd w:id="301"/>
      <w:bookmarkStart w:id="302" w:name="_Toc4662158"/>
      <w:bookmarkEnd w:id="302"/>
      <w:bookmarkStart w:id="303" w:name="_Toc287607763"/>
      <w:bookmarkEnd w:id="303"/>
      <w:bookmarkStart w:id="304" w:name="_Toc4661444"/>
      <w:bookmarkEnd w:id="304"/>
      <w:bookmarkStart w:id="305" w:name="_Toc4661686"/>
      <w:bookmarkEnd w:id="305"/>
      <w:bookmarkStart w:id="306" w:name="_Toc224103334"/>
      <w:bookmarkEnd w:id="306"/>
      <w:bookmarkStart w:id="307" w:name="_Toc24909"/>
      <w:bookmarkEnd w:id="307"/>
      <w:bookmarkStart w:id="308" w:name="_Toc277082569"/>
      <w:bookmarkEnd w:id="308"/>
      <w:bookmarkStart w:id="309" w:name="_Toc200513143"/>
      <w:bookmarkEnd w:id="309"/>
      <w:bookmarkStart w:id="310" w:name="_Toc40455288"/>
      <w:bookmarkEnd w:id="310"/>
      <w:bookmarkStart w:id="311" w:name="_Toc4661922"/>
      <w:bookmarkEnd w:id="311"/>
      <w:bookmarkStart w:id="312" w:name="_Toc40455661"/>
      <w:r>
        <w:rPr>
          <w:rFonts w:hint="eastAsia" w:ascii="宋体" w:hAnsi="宋体" w:cs="MingLiU"/>
          <w:b w:val="0"/>
          <w:sz w:val="21"/>
          <w:szCs w:val="21"/>
        </w:rPr>
        <w:t>1.11.2.严禁转包、转让中标项目，也不得将中标项目肢解后分别转包、转让，否则采购人有权取消中标人资格。</w:t>
      </w:r>
    </w:p>
    <w:p>
      <w:pPr>
        <w:pStyle w:val="5"/>
        <w:widowControl/>
        <w:spacing w:before="0" w:after="0" w:line="300" w:lineRule="exact"/>
        <w:rPr>
          <w:rFonts w:ascii="宋体" w:hAnsi="宋体"/>
          <w:kern w:val="2"/>
          <w:sz w:val="21"/>
          <w:szCs w:val="21"/>
        </w:rPr>
      </w:pPr>
      <w:r>
        <w:rPr>
          <w:rFonts w:hint="eastAsia" w:ascii="宋体" w:hAnsi="宋体"/>
          <w:kern w:val="2"/>
          <w:sz w:val="21"/>
          <w:szCs w:val="21"/>
        </w:rPr>
        <w:t xml:space="preserve">2.3  </w:t>
      </w:r>
      <w:bookmarkEnd w:id="312"/>
      <w:r>
        <w:rPr>
          <w:rFonts w:hint="eastAsia" w:ascii="宋体" w:hAnsi="宋体" w:cs="宋体"/>
          <w:kern w:val="2"/>
          <w:sz w:val="21"/>
          <w:szCs w:val="21"/>
        </w:rPr>
        <w:t>投标截止时间</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详见报价人须知前附表。</w:t>
      </w:r>
    </w:p>
    <w:p>
      <w:pPr>
        <w:pStyle w:val="4"/>
        <w:widowControl/>
        <w:spacing w:before="0" w:after="0" w:line="300" w:lineRule="exact"/>
        <w:rPr>
          <w:rFonts w:ascii="宋体" w:hAnsi="宋体"/>
          <w:sz w:val="21"/>
          <w:szCs w:val="21"/>
        </w:rPr>
      </w:pPr>
      <w:bookmarkStart w:id="313" w:name="_Toc200513144"/>
      <w:bookmarkEnd w:id="313"/>
      <w:bookmarkStart w:id="314" w:name="_Toc9348"/>
      <w:bookmarkEnd w:id="314"/>
      <w:bookmarkStart w:id="315" w:name="_Toc287607764"/>
      <w:bookmarkEnd w:id="315"/>
      <w:bookmarkStart w:id="316" w:name="_Toc6279"/>
      <w:bookmarkEnd w:id="316"/>
      <w:bookmarkStart w:id="317" w:name="_Toc4661445"/>
      <w:bookmarkEnd w:id="317"/>
      <w:bookmarkStart w:id="318" w:name="_Toc4661687"/>
      <w:bookmarkEnd w:id="318"/>
      <w:bookmarkStart w:id="319" w:name="_Toc14104"/>
      <w:bookmarkEnd w:id="319"/>
      <w:bookmarkStart w:id="320" w:name="_Toc6118"/>
      <w:bookmarkEnd w:id="320"/>
      <w:bookmarkStart w:id="321" w:name="_Toc4662159"/>
      <w:bookmarkEnd w:id="321"/>
      <w:bookmarkStart w:id="322" w:name="_Toc40455662"/>
      <w:bookmarkEnd w:id="322"/>
      <w:bookmarkStart w:id="323" w:name="_Toc4661923"/>
      <w:bookmarkEnd w:id="323"/>
      <w:bookmarkStart w:id="324" w:name="_Toc22553"/>
      <w:bookmarkEnd w:id="324"/>
      <w:bookmarkStart w:id="325" w:name="_Toc277082570"/>
      <w:bookmarkEnd w:id="325"/>
      <w:bookmarkStart w:id="326" w:name="_Toc224103335"/>
      <w:bookmarkEnd w:id="326"/>
      <w:bookmarkStart w:id="327" w:name="_Toc40455289"/>
      <w:bookmarkEnd w:id="327"/>
      <w:bookmarkStart w:id="328" w:name="_Toc26853"/>
      <w:bookmarkStart w:id="329" w:name="_Toc32620"/>
      <w:r>
        <w:rPr>
          <w:rFonts w:hint="eastAsia" w:ascii="宋体" w:hAnsi="宋体"/>
          <w:sz w:val="21"/>
          <w:szCs w:val="21"/>
        </w:rPr>
        <w:t xml:space="preserve">3.  </w:t>
      </w:r>
      <w:bookmarkEnd w:id="328"/>
      <w:r>
        <w:rPr>
          <w:rFonts w:hint="eastAsia" w:ascii="黑体" w:hAnsi="宋体" w:cs="黑体"/>
          <w:sz w:val="21"/>
          <w:szCs w:val="21"/>
        </w:rPr>
        <w:t>比选响应文件</w:t>
      </w:r>
      <w:bookmarkEnd w:id="329"/>
    </w:p>
    <w:p>
      <w:pPr>
        <w:pStyle w:val="5"/>
        <w:widowControl/>
        <w:spacing w:before="0" w:after="0" w:line="300" w:lineRule="exact"/>
        <w:rPr>
          <w:rFonts w:ascii="宋体" w:hAnsi="宋体"/>
          <w:kern w:val="2"/>
          <w:sz w:val="21"/>
          <w:szCs w:val="21"/>
        </w:rPr>
      </w:pPr>
      <w:bookmarkStart w:id="330" w:name="_Toc4662160"/>
      <w:bookmarkEnd w:id="330"/>
      <w:bookmarkStart w:id="331" w:name="_Toc40455290"/>
      <w:bookmarkEnd w:id="331"/>
      <w:bookmarkStart w:id="332" w:name="_Toc4661446"/>
      <w:bookmarkEnd w:id="332"/>
      <w:bookmarkStart w:id="333" w:name="_Toc40455663"/>
      <w:bookmarkEnd w:id="333"/>
      <w:bookmarkStart w:id="334" w:name="_Toc4661688"/>
      <w:bookmarkEnd w:id="334"/>
      <w:bookmarkStart w:id="335" w:name="_Toc200513145"/>
      <w:bookmarkEnd w:id="335"/>
      <w:bookmarkStart w:id="336" w:name="_Toc277082571"/>
      <w:bookmarkEnd w:id="336"/>
      <w:bookmarkStart w:id="337" w:name="_Toc224103336"/>
      <w:bookmarkEnd w:id="337"/>
      <w:bookmarkStart w:id="338" w:name="_Toc287607765"/>
      <w:bookmarkEnd w:id="338"/>
      <w:bookmarkStart w:id="339" w:name="_Toc32064"/>
      <w:bookmarkEnd w:id="339"/>
      <w:bookmarkStart w:id="340" w:name="_Toc40780272"/>
      <w:bookmarkEnd w:id="340"/>
      <w:bookmarkStart w:id="341" w:name="_Toc4661924"/>
      <w:r>
        <w:rPr>
          <w:rFonts w:hint="eastAsia" w:ascii="宋体" w:hAnsi="宋体"/>
          <w:kern w:val="2"/>
          <w:sz w:val="21"/>
          <w:szCs w:val="21"/>
        </w:rPr>
        <w:t xml:space="preserve">3.1  </w:t>
      </w:r>
      <w:bookmarkEnd w:id="341"/>
      <w:r>
        <w:rPr>
          <w:rFonts w:hint="eastAsia" w:ascii="宋体" w:hAnsi="宋体" w:cs="宋体"/>
          <w:kern w:val="2"/>
          <w:sz w:val="21"/>
          <w:szCs w:val="21"/>
        </w:rPr>
        <w:t>比选响应文件的组成</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Calibri"/>
          <w:kern w:val="0"/>
          <w:szCs w:val="21"/>
          <w:lang w:bidi="ar"/>
        </w:rPr>
        <w:t xml:space="preserve">3.1.1 </w:t>
      </w:r>
      <w:r>
        <w:rPr>
          <w:rFonts w:hint="eastAsia" w:ascii="宋体" w:hAnsi="宋体" w:cs="宋体"/>
          <w:kern w:val="0"/>
          <w:szCs w:val="21"/>
          <w:lang w:bidi="ar"/>
        </w:rPr>
        <w:t>比选响应文件应包括下列内容：</w:t>
      </w:r>
    </w:p>
    <w:p>
      <w:pPr>
        <w:spacing w:line="300" w:lineRule="exact"/>
        <w:ind w:firstLine="420" w:firstLineChars="200"/>
        <w:rPr>
          <w:rFonts w:ascii="宋体" w:hAnsi="宋体" w:cs="Calibri"/>
          <w:szCs w:val="21"/>
        </w:rPr>
      </w:pPr>
      <w:r>
        <w:rPr>
          <w:rFonts w:hint="eastAsia" w:ascii="宋体" w:hAnsi="宋体" w:cs="Calibri"/>
          <w:szCs w:val="21"/>
          <w:lang w:bidi="ar"/>
        </w:rPr>
        <w:t xml:space="preserve">3.1.1.1 </w:t>
      </w:r>
      <w:r>
        <w:rPr>
          <w:rFonts w:hint="eastAsia" w:ascii="宋体" w:hAnsi="宋体" w:cs="宋体"/>
          <w:szCs w:val="21"/>
          <w:lang w:bidi="ar"/>
        </w:rPr>
        <w:t>比选响应文件及报价人与采购人之间与投标有关的来往通知、函件和文件均应使用中文。</w:t>
      </w:r>
    </w:p>
    <w:p>
      <w:pPr>
        <w:spacing w:line="300" w:lineRule="exact"/>
        <w:ind w:firstLine="420" w:firstLineChars="200"/>
        <w:rPr>
          <w:rFonts w:ascii="宋体" w:hAnsi="宋体" w:cs="Calibri"/>
          <w:szCs w:val="21"/>
        </w:rPr>
      </w:pPr>
      <w:r>
        <w:rPr>
          <w:rFonts w:hint="eastAsia" w:ascii="宋体" w:hAnsi="宋体" w:cs="Calibri"/>
          <w:szCs w:val="21"/>
          <w:lang w:bidi="ar"/>
        </w:rPr>
        <w:t>3.1.1.2比选响应文件由以下内容组成：</w:t>
      </w:r>
    </w:p>
    <w:p>
      <w:pPr>
        <w:spacing w:line="300" w:lineRule="exact"/>
        <w:ind w:firstLine="420" w:firstLineChars="200"/>
        <w:rPr>
          <w:rFonts w:ascii="宋体" w:hAnsi="宋体" w:cs="Calibri"/>
          <w:szCs w:val="21"/>
        </w:rPr>
      </w:pPr>
      <w:r>
        <w:rPr>
          <w:rFonts w:hint="eastAsia" w:ascii="宋体" w:hAnsi="宋体" w:cs="宋体"/>
          <w:szCs w:val="21"/>
          <w:lang w:bidi="ar"/>
        </w:rPr>
        <w:t>详见第九章</w:t>
      </w:r>
    </w:p>
    <w:p>
      <w:pPr>
        <w:pStyle w:val="5"/>
        <w:widowControl/>
        <w:spacing w:before="0" w:after="0" w:line="300" w:lineRule="exact"/>
        <w:rPr>
          <w:rFonts w:ascii="宋体" w:hAnsi="宋体"/>
          <w:kern w:val="2"/>
          <w:sz w:val="21"/>
          <w:szCs w:val="21"/>
        </w:rPr>
      </w:pPr>
      <w:bookmarkStart w:id="342" w:name="_Toc4661447"/>
      <w:bookmarkEnd w:id="342"/>
      <w:bookmarkStart w:id="343" w:name="_Toc224103337"/>
      <w:bookmarkEnd w:id="343"/>
      <w:bookmarkStart w:id="344" w:name="_Toc40455664"/>
      <w:bookmarkEnd w:id="344"/>
      <w:bookmarkStart w:id="345" w:name="_Toc27743"/>
      <w:bookmarkEnd w:id="345"/>
      <w:bookmarkStart w:id="346" w:name="_Toc277082572"/>
      <w:bookmarkEnd w:id="346"/>
      <w:bookmarkStart w:id="347" w:name="_Toc287607766"/>
      <w:bookmarkEnd w:id="347"/>
      <w:bookmarkStart w:id="348" w:name="_Toc4661689"/>
      <w:bookmarkEnd w:id="348"/>
      <w:bookmarkStart w:id="349" w:name="_Toc4661925"/>
      <w:bookmarkEnd w:id="349"/>
      <w:bookmarkStart w:id="350" w:name="_Toc200513146"/>
      <w:bookmarkEnd w:id="350"/>
      <w:bookmarkStart w:id="351" w:name="_Toc40455291"/>
      <w:bookmarkEnd w:id="351"/>
      <w:bookmarkStart w:id="352" w:name="_Toc40780273"/>
      <w:bookmarkEnd w:id="352"/>
      <w:bookmarkStart w:id="353" w:name="_Toc4662161"/>
      <w:r>
        <w:rPr>
          <w:rFonts w:hint="eastAsia" w:ascii="宋体" w:hAnsi="宋体"/>
          <w:kern w:val="2"/>
          <w:sz w:val="21"/>
          <w:szCs w:val="21"/>
        </w:rPr>
        <w:t xml:space="preserve">3.2  </w:t>
      </w:r>
      <w:bookmarkEnd w:id="353"/>
      <w:r>
        <w:rPr>
          <w:rFonts w:hint="eastAsia" w:ascii="宋体" w:hAnsi="宋体" w:cs="宋体"/>
          <w:kern w:val="2"/>
          <w:sz w:val="21"/>
          <w:szCs w:val="21"/>
        </w:rPr>
        <w:t>投标报价</w:t>
      </w:r>
    </w:p>
    <w:p>
      <w:pPr>
        <w:spacing w:line="300" w:lineRule="exact"/>
        <w:ind w:firstLine="420" w:firstLineChars="200"/>
        <w:rPr>
          <w:rFonts w:ascii="宋体" w:hAnsi="宋体" w:cs="MingLiU"/>
          <w:kern w:val="0"/>
          <w:szCs w:val="21"/>
        </w:rPr>
      </w:pPr>
      <w:r>
        <w:rPr>
          <w:rFonts w:hint="eastAsia" w:ascii="宋体" w:hAnsi="宋体" w:cs="宋体"/>
          <w:kern w:val="0"/>
          <w:szCs w:val="21"/>
          <w:lang w:bidi="ar"/>
        </w:rPr>
        <w:t>见本章报价人须知前附表。</w:t>
      </w:r>
      <w:bookmarkStart w:id="354" w:name="_Toc20908"/>
      <w:bookmarkEnd w:id="354"/>
      <w:bookmarkStart w:id="355" w:name="_Toc4661926"/>
      <w:bookmarkEnd w:id="355"/>
      <w:bookmarkStart w:id="356" w:name="_Toc4661690"/>
      <w:bookmarkEnd w:id="356"/>
      <w:bookmarkStart w:id="357" w:name="_Toc200513147"/>
      <w:bookmarkEnd w:id="357"/>
      <w:bookmarkStart w:id="358" w:name="_Toc4662162"/>
      <w:bookmarkEnd w:id="358"/>
      <w:bookmarkStart w:id="359" w:name="_Toc40780274"/>
      <w:bookmarkEnd w:id="359"/>
      <w:bookmarkStart w:id="360" w:name="_Toc40455665"/>
      <w:bookmarkEnd w:id="360"/>
      <w:bookmarkStart w:id="361" w:name="_Toc4661448"/>
      <w:bookmarkEnd w:id="361"/>
      <w:bookmarkStart w:id="362" w:name="_Toc277082573"/>
      <w:bookmarkEnd w:id="362"/>
      <w:bookmarkStart w:id="363" w:name="_Toc224103338"/>
      <w:bookmarkEnd w:id="363"/>
      <w:bookmarkStart w:id="364" w:name="_Toc287607767"/>
      <w:bookmarkEnd w:id="364"/>
    </w:p>
    <w:p>
      <w:pPr>
        <w:pStyle w:val="5"/>
        <w:widowControl/>
        <w:spacing w:before="0" w:after="0" w:line="300" w:lineRule="exact"/>
        <w:rPr>
          <w:rFonts w:ascii="宋体" w:hAnsi="宋体"/>
          <w:kern w:val="2"/>
          <w:sz w:val="21"/>
          <w:szCs w:val="21"/>
        </w:rPr>
      </w:pPr>
      <w:bookmarkStart w:id="365" w:name="_Toc40455293"/>
      <w:bookmarkEnd w:id="365"/>
      <w:bookmarkStart w:id="366" w:name="_Toc40780275"/>
      <w:bookmarkEnd w:id="366"/>
      <w:bookmarkStart w:id="367" w:name="_Toc4661691"/>
      <w:bookmarkEnd w:id="367"/>
      <w:bookmarkStart w:id="368" w:name="_Toc4661927"/>
      <w:bookmarkEnd w:id="368"/>
      <w:bookmarkStart w:id="369" w:name="_Toc40455666"/>
      <w:bookmarkEnd w:id="369"/>
      <w:bookmarkStart w:id="370" w:name="_Toc4662163"/>
      <w:bookmarkEnd w:id="370"/>
      <w:bookmarkStart w:id="371" w:name="_Toc200513148"/>
      <w:bookmarkEnd w:id="371"/>
      <w:bookmarkStart w:id="372" w:name="_Toc224103339"/>
      <w:bookmarkEnd w:id="372"/>
      <w:bookmarkStart w:id="373" w:name="_Toc4661449"/>
      <w:bookmarkEnd w:id="373"/>
      <w:bookmarkStart w:id="374" w:name="_Toc277082574"/>
      <w:bookmarkEnd w:id="374"/>
      <w:bookmarkStart w:id="375" w:name="_Toc287607768"/>
      <w:bookmarkEnd w:id="375"/>
      <w:bookmarkStart w:id="376" w:name="_Toc25463"/>
      <w:r>
        <w:rPr>
          <w:rFonts w:hint="eastAsia" w:ascii="宋体" w:hAnsi="宋体"/>
          <w:kern w:val="2"/>
          <w:sz w:val="21"/>
          <w:szCs w:val="21"/>
        </w:rPr>
        <w:t xml:space="preserve">3.3  </w:t>
      </w:r>
      <w:bookmarkEnd w:id="376"/>
      <w:r>
        <w:rPr>
          <w:rFonts w:hint="eastAsia" w:ascii="宋体" w:hAnsi="宋体" w:cs="宋体"/>
          <w:kern w:val="2"/>
          <w:sz w:val="21"/>
          <w:szCs w:val="21"/>
        </w:rPr>
        <w:t>保证金</w:t>
      </w:r>
    </w:p>
    <w:p>
      <w:pPr>
        <w:autoSpaceDE w:val="0"/>
        <w:autoSpaceDN w:val="0"/>
        <w:adjustRightInd w:val="0"/>
        <w:spacing w:line="300" w:lineRule="exact"/>
        <w:ind w:firstLine="420" w:firstLineChars="200"/>
        <w:rPr>
          <w:rFonts w:ascii="宋体" w:hAnsi="宋体" w:cs="MingLiU"/>
          <w:kern w:val="0"/>
          <w:szCs w:val="21"/>
        </w:rPr>
      </w:pPr>
      <w:r>
        <w:rPr>
          <w:rFonts w:hint="eastAsia" w:ascii="宋体" w:hAnsi="宋体" w:cs="Calibri"/>
          <w:kern w:val="0"/>
          <w:szCs w:val="21"/>
          <w:lang w:bidi="ar"/>
        </w:rPr>
        <w:t xml:space="preserve">3.3.1  </w:t>
      </w:r>
      <w:r>
        <w:rPr>
          <w:rFonts w:hint="eastAsia" w:ascii="宋体" w:hAnsi="宋体" w:cs="宋体"/>
          <w:kern w:val="0"/>
          <w:szCs w:val="21"/>
          <w:lang w:bidi="ar"/>
        </w:rPr>
        <w:t>报价人在递交比选响应文件的同时，应按报价人须知前附表规定的金额、担保形式递交投标保证金，并作为其比选响应文件的组成部分。联合体投标的，其投标保证金由牵头人递交，并应符合报价人须知前附表的规定。</w:t>
      </w:r>
    </w:p>
    <w:p>
      <w:pPr>
        <w:autoSpaceDE w:val="0"/>
        <w:autoSpaceDN w:val="0"/>
        <w:adjustRightInd w:val="0"/>
        <w:spacing w:line="300" w:lineRule="exact"/>
        <w:ind w:left="13" w:leftChars="6" w:firstLine="403" w:firstLineChars="192"/>
        <w:jc w:val="left"/>
        <w:rPr>
          <w:rFonts w:ascii="宋体" w:hAnsi="宋体" w:cs="MingLiU"/>
          <w:kern w:val="0"/>
          <w:szCs w:val="21"/>
        </w:rPr>
      </w:pPr>
      <w:r>
        <w:rPr>
          <w:rFonts w:hint="eastAsia" w:ascii="宋体" w:hAnsi="宋体" w:cs="Calibri"/>
          <w:kern w:val="0"/>
          <w:szCs w:val="21"/>
          <w:lang w:bidi="ar"/>
        </w:rPr>
        <w:t xml:space="preserve">3.3.2  </w:t>
      </w:r>
      <w:r>
        <w:rPr>
          <w:rFonts w:hint="eastAsia" w:ascii="宋体" w:hAnsi="宋体" w:cs="宋体"/>
          <w:kern w:val="0"/>
          <w:szCs w:val="21"/>
          <w:lang w:bidi="ar"/>
        </w:rPr>
        <w:t>报价人不按本章第</w:t>
      </w:r>
      <w:r>
        <w:rPr>
          <w:rFonts w:hint="eastAsia" w:ascii="宋体" w:hAnsi="宋体" w:cs="Calibri"/>
          <w:kern w:val="0"/>
          <w:szCs w:val="21"/>
          <w:lang w:bidi="ar"/>
        </w:rPr>
        <w:t xml:space="preserve"> 3.4.1 </w:t>
      </w:r>
      <w:r>
        <w:rPr>
          <w:rFonts w:hint="eastAsia" w:ascii="宋体" w:hAnsi="宋体" w:cs="宋体"/>
          <w:kern w:val="0"/>
          <w:szCs w:val="21"/>
          <w:lang w:bidi="ar"/>
        </w:rPr>
        <w:t>项要求提交投标保证金的，其比选响应文件作否决投标处理。</w:t>
      </w:r>
    </w:p>
    <w:p>
      <w:pPr>
        <w:autoSpaceDE w:val="0"/>
        <w:autoSpaceDN w:val="0"/>
        <w:adjustRightInd w:val="0"/>
        <w:spacing w:line="300" w:lineRule="exact"/>
        <w:ind w:left="13" w:leftChars="6" w:firstLine="403" w:firstLineChars="192"/>
        <w:jc w:val="left"/>
        <w:rPr>
          <w:rFonts w:ascii="宋体" w:hAnsi="宋体" w:cs="MingLiU"/>
          <w:kern w:val="0"/>
          <w:szCs w:val="21"/>
        </w:rPr>
      </w:pPr>
      <w:r>
        <w:rPr>
          <w:rFonts w:hint="eastAsia" w:ascii="宋体" w:hAnsi="宋体" w:cs="Calibri"/>
          <w:kern w:val="0"/>
          <w:szCs w:val="21"/>
          <w:lang w:bidi="ar"/>
        </w:rPr>
        <w:t xml:space="preserve">3.3.3  </w:t>
      </w:r>
      <w:r>
        <w:rPr>
          <w:rFonts w:hint="eastAsia" w:ascii="宋体" w:hAnsi="宋体" w:cs="宋体"/>
          <w:kern w:val="0"/>
          <w:szCs w:val="21"/>
          <w:lang w:bidi="ar"/>
        </w:rPr>
        <w:t>投标</w:t>
      </w:r>
      <w:r>
        <w:rPr>
          <w:rFonts w:hint="eastAsia" w:ascii="宋体" w:hAnsi="宋体" w:cs="宋体"/>
          <w:kern w:val="0"/>
          <w:position w:val="-2"/>
          <w:szCs w:val="21"/>
          <w:lang w:bidi="ar"/>
        </w:rPr>
        <w:t>保证金</w:t>
      </w:r>
      <w:r>
        <w:rPr>
          <w:rFonts w:hint="eastAsia" w:ascii="宋体" w:hAnsi="宋体" w:cs="宋体"/>
          <w:kern w:val="0"/>
          <w:szCs w:val="21"/>
          <w:lang w:bidi="ar"/>
        </w:rPr>
        <w:t>退还：见报价人须知前附表</w:t>
      </w:r>
      <w:r>
        <w:rPr>
          <w:rFonts w:hint="eastAsia" w:ascii="宋体" w:hAnsi="宋体" w:cs="宋体"/>
          <w:kern w:val="0"/>
          <w:position w:val="-2"/>
          <w:szCs w:val="21"/>
          <w:lang w:bidi="ar"/>
        </w:rPr>
        <w:t>。</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Calibri"/>
          <w:kern w:val="0"/>
          <w:szCs w:val="21"/>
          <w:lang w:bidi="ar"/>
        </w:rPr>
        <w:t xml:space="preserve">3.3.4  </w:t>
      </w:r>
      <w:r>
        <w:rPr>
          <w:rFonts w:hint="eastAsia" w:ascii="宋体" w:hAnsi="宋体" w:cs="宋体"/>
          <w:kern w:val="0"/>
          <w:szCs w:val="21"/>
          <w:lang w:bidi="ar"/>
        </w:rPr>
        <w:t>有下列情形之一的，投标保证金将不予退还：</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1</w:t>
      </w:r>
      <w:r>
        <w:rPr>
          <w:rFonts w:hint="eastAsia" w:ascii="宋体" w:hAnsi="宋体" w:cs="宋体"/>
          <w:kern w:val="0"/>
          <w:szCs w:val="21"/>
          <w:lang w:bidi="ar"/>
        </w:rPr>
        <w:t>）报价人在规定的投标有效期内撤销或修改其比选响应文件；</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2</w:t>
      </w:r>
      <w:r>
        <w:rPr>
          <w:rFonts w:hint="eastAsia" w:ascii="宋体" w:hAnsi="宋体" w:cs="宋体"/>
          <w:kern w:val="0"/>
          <w:szCs w:val="21"/>
          <w:lang w:bidi="ar"/>
        </w:rPr>
        <w:t>）中标人在收到中标通知书后，无正当理由拒签合同协议书或未按竞争性比选文件规定提交履约担保；</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3）法律法规和本竞争性比选文件规定的其他情形。</w:t>
      </w:r>
    </w:p>
    <w:p>
      <w:pPr>
        <w:pStyle w:val="5"/>
        <w:widowControl/>
        <w:spacing w:before="0" w:after="0" w:line="300" w:lineRule="exact"/>
        <w:rPr>
          <w:rFonts w:ascii="宋体" w:hAnsi="宋体"/>
          <w:kern w:val="2"/>
          <w:sz w:val="21"/>
          <w:szCs w:val="21"/>
        </w:rPr>
      </w:pPr>
      <w:bookmarkStart w:id="377" w:name="_Toc40780276"/>
      <w:bookmarkEnd w:id="377"/>
      <w:bookmarkStart w:id="378" w:name="_Toc277082576"/>
      <w:bookmarkEnd w:id="378"/>
      <w:bookmarkStart w:id="379" w:name="_Toc200513150"/>
      <w:bookmarkEnd w:id="379"/>
      <w:bookmarkStart w:id="380" w:name="_Toc4662164"/>
      <w:bookmarkEnd w:id="380"/>
      <w:bookmarkStart w:id="381" w:name="_Toc4661692"/>
      <w:bookmarkEnd w:id="381"/>
      <w:bookmarkStart w:id="382" w:name="_Toc4661928"/>
      <w:bookmarkEnd w:id="382"/>
      <w:bookmarkStart w:id="383" w:name="_Toc224103341"/>
      <w:bookmarkEnd w:id="383"/>
      <w:bookmarkStart w:id="384" w:name="_Toc287607770"/>
      <w:bookmarkEnd w:id="384"/>
      <w:bookmarkStart w:id="385" w:name="_Toc40455294"/>
      <w:bookmarkEnd w:id="385"/>
      <w:bookmarkStart w:id="386" w:name="_Toc40455667"/>
      <w:bookmarkEnd w:id="386"/>
      <w:bookmarkStart w:id="387" w:name="_Toc7158"/>
      <w:bookmarkEnd w:id="387"/>
      <w:bookmarkStart w:id="388" w:name="_Toc4661450"/>
      <w:r>
        <w:rPr>
          <w:rFonts w:hint="eastAsia" w:ascii="宋体" w:hAnsi="宋体"/>
          <w:kern w:val="2"/>
          <w:sz w:val="21"/>
          <w:szCs w:val="21"/>
        </w:rPr>
        <w:t xml:space="preserve">3.4  </w:t>
      </w:r>
      <w:bookmarkEnd w:id="388"/>
      <w:r>
        <w:rPr>
          <w:rFonts w:hint="eastAsia" w:ascii="宋体" w:hAnsi="宋体" w:cs="宋体"/>
          <w:kern w:val="2"/>
          <w:sz w:val="21"/>
          <w:szCs w:val="21"/>
        </w:rPr>
        <w:t>资格审查资料</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详见报价人须知前附表。</w:t>
      </w:r>
    </w:p>
    <w:p>
      <w:pPr>
        <w:pStyle w:val="5"/>
        <w:widowControl/>
        <w:spacing w:before="0" w:after="0" w:line="300" w:lineRule="exact"/>
        <w:rPr>
          <w:rFonts w:ascii="宋体" w:hAnsi="宋体"/>
          <w:kern w:val="2"/>
          <w:sz w:val="21"/>
          <w:szCs w:val="21"/>
        </w:rPr>
      </w:pPr>
      <w:bookmarkStart w:id="389" w:name="_Toc4661451"/>
      <w:bookmarkEnd w:id="389"/>
      <w:bookmarkStart w:id="390" w:name="_Toc40455668"/>
      <w:bookmarkEnd w:id="390"/>
      <w:bookmarkStart w:id="391" w:name="_Toc200513151"/>
      <w:bookmarkEnd w:id="391"/>
      <w:bookmarkStart w:id="392" w:name="_Toc40455295"/>
      <w:bookmarkEnd w:id="392"/>
      <w:bookmarkStart w:id="393" w:name="_Toc287607771"/>
      <w:bookmarkEnd w:id="393"/>
      <w:bookmarkStart w:id="394" w:name="_Toc277082577"/>
      <w:bookmarkEnd w:id="394"/>
      <w:bookmarkStart w:id="395" w:name="_Toc224103342"/>
      <w:bookmarkEnd w:id="395"/>
      <w:bookmarkStart w:id="396" w:name="_Toc4661693"/>
      <w:bookmarkEnd w:id="396"/>
      <w:bookmarkStart w:id="397" w:name="_Toc4662165"/>
      <w:bookmarkEnd w:id="397"/>
      <w:bookmarkStart w:id="398" w:name="_Toc40780277"/>
      <w:bookmarkEnd w:id="398"/>
      <w:bookmarkStart w:id="399" w:name="_Toc20488"/>
      <w:bookmarkEnd w:id="399"/>
      <w:bookmarkStart w:id="400" w:name="_Toc4661929"/>
      <w:r>
        <w:rPr>
          <w:rFonts w:hint="eastAsia" w:ascii="宋体" w:hAnsi="宋体"/>
          <w:kern w:val="2"/>
          <w:sz w:val="21"/>
          <w:szCs w:val="21"/>
        </w:rPr>
        <w:t xml:space="preserve">3.5 </w:t>
      </w:r>
      <w:bookmarkEnd w:id="400"/>
      <w:r>
        <w:rPr>
          <w:rFonts w:hint="eastAsia" w:ascii="宋体" w:hAnsi="宋体" w:cs="宋体"/>
          <w:kern w:val="2"/>
          <w:sz w:val="21"/>
          <w:szCs w:val="21"/>
        </w:rPr>
        <w:t>备选投标方案</w:t>
      </w:r>
    </w:p>
    <w:p>
      <w:pPr>
        <w:autoSpaceDE w:val="0"/>
        <w:autoSpaceDN w:val="0"/>
        <w:adjustRightInd w:val="0"/>
        <w:spacing w:line="300" w:lineRule="exact"/>
        <w:ind w:left="120" w:right="-109" w:firstLine="420"/>
        <w:jc w:val="left"/>
        <w:rPr>
          <w:rFonts w:ascii="宋体" w:hAnsi="宋体" w:cs="黑体"/>
          <w:kern w:val="0"/>
          <w:szCs w:val="21"/>
        </w:rPr>
      </w:pPr>
      <w:bookmarkStart w:id="401" w:name="_Toc287607772"/>
      <w:bookmarkEnd w:id="401"/>
      <w:bookmarkStart w:id="402" w:name="_Toc224103343"/>
      <w:bookmarkEnd w:id="402"/>
      <w:bookmarkStart w:id="403" w:name="_Toc4661694"/>
      <w:bookmarkEnd w:id="403"/>
      <w:bookmarkStart w:id="404" w:name="_Toc4661930"/>
      <w:bookmarkEnd w:id="404"/>
      <w:bookmarkStart w:id="405" w:name="_Toc200513152"/>
      <w:bookmarkEnd w:id="405"/>
      <w:bookmarkStart w:id="406" w:name="_Toc4661452"/>
      <w:bookmarkEnd w:id="406"/>
      <w:bookmarkStart w:id="407" w:name="_Toc277082578"/>
      <w:bookmarkEnd w:id="407"/>
      <w:bookmarkStart w:id="408" w:name="_Toc4662166"/>
      <w:r>
        <w:rPr>
          <w:rFonts w:hint="eastAsia" w:ascii="宋体" w:hAnsi="宋体" w:cs="宋体"/>
          <w:kern w:val="0"/>
          <w:szCs w:val="21"/>
          <w:lang w:bidi="ar"/>
        </w:rPr>
        <w:t>采购人不接受报价人的备选投标方案。</w:t>
      </w:r>
      <w:bookmarkEnd w:id="408"/>
    </w:p>
    <w:p>
      <w:pPr>
        <w:pStyle w:val="5"/>
        <w:widowControl/>
        <w:spacing w:before="0" w:after="0" w:line="300" w:lineRule="exact"/>
        <w:rPr>
          <w:rFonts w:ascii="宋体" w:hAnsi="宋体"/>
          <w:kern w:val="2"/>
          <w:sz w:val="21"/>
          <w:szCs w:val="21"/>
        </w:rPr>
      </w:pPr>
      <w:bookmarkStart w:id="409" w:name="_Toc40780278"/>
      <w:bookmarkEnd w:id="409"/>
      <w:bookmarkStart w:id="410" w:name="_Toc40455669"/>
      <w:bookmarkEnd w:id="410"/>
      <w:bookmarkStart w:id="411" w:name="_Toc26001"/>
      <w:bookmarkEnd w:id="411"/>
      <w:bookmarkStart w:id="412" w:name="_Toc40455296"/>
      <w:r>
        <w:rPr>
          <w:rFonts w:hint="eastAsia" w:ascii="宋体" w:hAnsi="宋体"/>
          <w:kern w:val="2"/>
          <w:sz w:val="21"/>
          <w:szCs w:val="21"/>
        </w:rPr>
        <w:t>3</w:t>
      </w:r>
      <w:bookmarkEnd w:id="412"/>
      <w:r>
        <w:rPr>
          <w:rFonts w:hint="eastAsia" w:ascii="宋体" w:hAnsi="宋体"/>
          <w:kern w:val="2"/>
          <w:sz w:val="21"/>
          <w:szCs w:val="21"/>
        </w:rPr>
        <w:t xml:space="preserve">.6  </w:t>
      </w:r>
      <w:r>
        <w:rPr>
          <w:rFonts w:hint="eastAsia" w:ascii="宋体" w:hAnsi="宋体" w:cs="宋体"/>
          <w:kern w:val="2"/>
          <w:sz w:val="21"/>
          <w:szCs w:val="21"/>
        </w:rPr>
        <w:t>比选响应文件的编制</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3.6.1  </w:t>
      </w:r>
      <w:r>
        <w:rPr>
          <w:rFonts w:hint="eastAsia" w:ascii="宋体" w:hAnsi="宋体" w:cs="宋体"/>
          <w:kern w:val="0"/>
          <w:szCs w:val="21"/>
          <w:lang w:bidi="ar"/>
        </w:rPr>
        <w:t>比选响应文件应按第九章</w:t>
      </w:r>
      <w:r>
        <w:rPr>
          <w:rFonts w:hint="eastAsia" w:ascii="宋体" w:hAnsi="宋体" w:cs="MingLiU"/>
          <w:kern w:val="0"/>
          <w:szCs w:val="21"/>
          <w:lang w:bidi="ar"/>
        </w:rPr>
        <w:t>“比选响应文件格式”进行编写，如有必要，可以增加附页，作为比选响应文件的组成部分。其中，投标函附录在满足竞争性比选文件实质性要求的基础上，可以提出比竞争性比选文件要求更有利于采购人的承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3.6.2  </w:t>
      </w:r>
      <w:r>
        <w:rPr>
          <w:rFonts w:hint="eastAsia" w:ascii="宋体" w:hAnsi="宋体" w:cs="宋体"/>
          <w:kern w:val="0"/>
          <w:szCs w:val="21"/>
          <w:lang w:bidi="ar"/>
        </w:rPr>
        <w:t>比选响应文件应当对竞争性比选文件有关工期、投标有效期、质量要求、技术标准和要求、服务要求、竞争性比选范围等实质性内容做出响应。</w:t>
      </w:r>
    </w:p>
    <w:p>
      <w:pPr>
        <w:autoSpaceDE w:val="0"/>
        <w:autoSpaceDN w:val="0"/>
        <w:adjustRightInd w:val="0"/>
        <w:spacing w:line="300" w:lineRule="exact"/>
        <w:ind w:firstLine="424" w:firstLineChars="202"/>
        <w:jc w:val="left"/>
        <w:rPr>
          <w:rFonts w:ascii="宋体" w:hAnsi="宋体" w:cs="MingLiU"/>
          <w:kern w:val="0"/>
          <w:szCs w:val="21"/>
        </w:rPr>
      </w:pPr>
      <w:r>
        <w:rPr>
          <w:rFonts w:hint="eastAsia" w:ascii="宋体" w:hAnsi="宋体" w:cs="Calibri"/>
          <w:kern w:val="0"/>
          <w:position w:val="-2"/>
          <w:szCs w:val="21"/>
          <w:lang w:bidi="ar"/>
        </w:rPr>
        <w:t xml:space="preserve">3.6.3  </w:t>
      </w:r>
      <w:r>
        <w:rPr>
          <w:rFonts w:hint="eastAsia" w:ascii="宋体" w:hAnsi="宋体" w:cs="宋体"/>
          <w:kern w:val="0"/>
          <w:position w:val="-2"/>
          <w:szCs w:val="21"/>
          <w:lang w:bidi="ar"/>
        </w:rPr>
        <w:t>比选响应文件应用不褪色的材料书写或打印，并由报价人的法定代表人或其委托代理</w:t>
      </w:r>
      <w:r>
        <w:rPr>
          <w:rFonts w:hint="eastAsia" w:ascii="宋体" w:hAnsi="宋体" w:cs="宋体"/>
          <w:kern w:val="0"/>
          <w:szCs w:val="21"/>
          <w:lang w:bidi="ar"/>
        </w:rPr>
        <w:t>人签字、盖单位公章。委托代理人签字的，比选响应文件应附法定代表人签署的授权委托书。比选响应文件应尽量避免涂改、行间插字或删除。如果出现上述情况，改动之处应加盖单位公章或由报价人的法定代表人或其授权的代理人签字确认。签字或盖章的具体要求见报价人须知前附表。</w:t>
      </w:r>
    </w:p>
    <w:p>
      <w:pPr>
        <w:autoSpaceDE w:val="0"/>
        <w:autoSpaceDN w:val="0"/>
        <w:adjustRightInd w:val="0"/>
        <w:spacing w:line="300" w:lineRule="exact"/>
        <w:ind w:right="-164" w:firstLine="426"/>
        <w:jc w:val="left"/>
        <w:rPr>
          <w:rFonts w:ascii="宋体" w:hAnsi="宋体" w:cs="MingLiU"/>
          <w:kern w:val="0"/>
          <w:szCs w:val="21"/>
        </w:rPr>
      </w:pPr>
      <w:r>
        <w:rPr>
          <w:rFonts w:hint="eastAsia" w:ascii="宋体" w:hAnsi="宋体" w:cs="Calibri"/>
          <w:kern w:val="0"/>
          <w:szCs w:val="21"/>
          <w:lang w:bidi="ar"/>
        </w:rPr>
        <w:t xml:space="preserve">3.6.4  </w:t>
      </w:r>
      <w:r>
        <w:rPr>
          <w:rFonts w:hint="eastAsia" w:ascii="宋体" w:hAnsi="宋体" w:cs="宋体"/>
          <w:kern w:val="0"/>
          <w:szCs w:val="21"/>
          <w:lang w:bidi="ar"/>
        </w:rPr>
        <w:t>比选响应文件正本一份，副本份数见报价人须知前附表。正本和副本的封面上应清楚地标记</w:t>
      </w:r>
      <w:r>
        <w:rPr>
          <w:rFonts w:hint="eastAsia" w:ascii="宋体" w:hAnsi="宋体" w:cs="MingLiU"/>
          <w:kern w:val="0"/>
          <w:szCs w:val="21"/>
          <w:lang w:bidi="ar"/>
        </w:rPr>
        <w:t>“正本”或“副本”的字样，正本和副本封面均须加盖单位公章（鲜章）。当副本和正本不一致时，以正本为准。</w:t>
      </w:r>
    </w:p>
    <w:p>
      <w:pPr>
        <w:autoSpaceDE w:val="0"/>
        <w:autoSpaceDN w:val="0"/>
        <w:adjustRightInd w:val="0"/>
        <w:spacing w:line="300" w:lineRule="exact"/>
        <w:ind w:right="-109" w:firstLine="426"/>
        <w:jc w:val="left"/>
        <w:rPr>
          <w:rFonts w:ascii="宋体" w:hAnsi="宋体" w:cs="MingLiU"/>
          <w:kern w:val="0"/>
          <w:szCs w:val="21"/>
        </w:rPr>
      </w:pPr>
      <w:r>
        <w:rPr>
          <w:rFonts w:hint="eastAsia" w:ascii="宋体" w:hAnsi="宋体" w:cs="Calibri"/>
          <w:kern w:val="0"/>
          <w:szCs w:val="21"/>
          <w:lang w:bidi="ar"/>
        </w:rPr>
        <w:t xml:space="preserve">3.6.5  </w:t>
      </w:r>
      <w:r>
        <w:rPr>
          <w:rFonts w:hint="eastAsia" w:ascii="宋体" w:hAnsi="宋体" w:cs="宋体"/>
          <w:kern w:val="0"/>
          <w:szCs w:val="21"/>
          <w:lang w:bidi="ar"/>
        </w:rPr>
        <w:t>比选响应文件的正本与副本应分别装订成册，并编制目录，具体装订要求见报价人须知前附表规定。</w:t>
      </w:r>
    </w:p>
    <w:p>
      <w:pPr>
        <w:pStyle w:val="4"/>
        <w:widowControl/>
        <w:spacing w:before="0" w:after="0" w:line="300" w:lineRule="exact"/>
        <w:rPr>
          <w:rFonts w:ascii="宋体" w:hAnsi="宋体"/>
          <w:sz w:val="21"/>
          <w:szCs w:val="21"/>
        </w:rPr>
      </w:pPr>
      <w:bookmarkStart w:id="413" w:name="_Toc200513153"/>
      <w:bookmarkEnd w:id="413"/>
      <w:bookmarkStart w:id="414" w:name="_Toc40455670"/>
      <w:bookmarkEnd w:id="414"/>
      <w:bookmarkStart w:id="415" w:name="_Toc778"/>
      <w:bookmarkEnd w:id="415"/>
      <w:bookmarkStart w:id="416" w:name="_Toc4661931"/>
      <w:bookmarkEnd w:id="416"/>
      <w:bookmarkStart w:id="417" w:name="_Toc40455297"/>
      <w:bookmarkEnd w:id="417"/>
      <w:bookmarkStart w:id="418" w:name="_Toc277082579"/>
      <w:bookmarkEnd w:id="418"/>
      <w:bookmarkStart w:id="419" w:name="_Toc28775"/>
      <w:bookmarkEnd w:id="419"/>
      <w:bookmarkStart w:id="420" w:name="_Toc7095"/>
      <w:bookmarkEnd w:id="420"/>
      <w:bookmarkStart w:id="421" w:name="_Toc224103344"/>
      <w:bookmarkEnd w:id="421"/>
      <w:bookmarkStart w:id="422" w:name="_Toc287607773"/>
      <w:bookmarkEnd w:id="422"/>
      <w:bookmarkStart w:id="423" w:name="_Toc4662167"/>
      <w:bookmarkEnd w:id="423"/>
      <w:bookmarkStart w:id="424" w:name="_Toc4661453"/>
      <w:bookmarkEnd w:id="424"/>
      <w:bookmarkStart w:id="425" w:name="_Toc4661695"/>
      <w:bookmarkEnd w:id="425"/>
      <w:bookmarkStart w:id="426" w:name="_Toc16777"/>
      <w:bookmarkEnd w:id="426"/>
      <w:bookmarkStart w:id="427" w:name="_Toc30351"/>
      <w:bookmarkEnd w:id="427"/>
      <w:bookmarkStart w:id="428" w:name="_Toc4633"/>
      <w:bookmarkStart w:id="429" w:name="_Toc28722"/>
      <w:r>
        <w:rPr>
          <w:rFonts w:hint="eastAsia" w:ascii="宋体" w:hAnsi="宋体"/>
          <w:sz w:val="21"/>
          <w:szCs w:val="21"/>
        </w:rPr>
        <w:t xml:space="preserve">4.  </w:t>
      </w:r>
      <w:bookmarkEnd w:id="428"/>
      <w:r>
        <w:rPr>
          <w:rFonts w:hint="eastAsia" w:ascii="黑体" w:hAnsi="宋体" w:cs="黑体"/>
          <w:sz w:val="21"/>
          <w:szCs w:val="21"/>
        </w:rPr>
        <w:t>投标</w:t>
      </w:r>
      <w:bookmarkEnd w:id="429"/>
    </w:p>
    <w:p>
      <w:pPr>
        <w:pStyle w:val="5"/>
        <w:widowControl/>
        <w:spacing w:before="0" w:after="0" w:line="300" w:lineRule="exact"/>
        <w:rPr>
          <w:rFonts w:ascii="宋体" w:hAnsi="宋体"/>
          <w:kern w:val="2"/>
          <w:sz w:val="21"/>
          <w:szCs w:val="21"/>
        </w:rPr>
      </w:pPr>
      <w:bookmarkStart w:id="430" w:name="_Toc40455671"/>
      <w:bookmarkEnd w:id="430"/>
      <w:bookmarkStart w:id="431" w:name="_Toc277082580"/>
      <w:bookmarkEnd w:id="431"/>
      <w:bookmarkStart w:id="432" w:name="_Toc40455298"/>
      <w:bookmarkEnd w:id="432"/>
      <w:bookmarkStart w:id="433" w:name="_Toc2952"/>
      <w:bookmarkEnd w:id="433"/>
      <w:bookmarkStart w:id="434" w:name="_Toc4662168"/>
      <w:bookmarkEnd w:id="434"/>
      <w:bookmarkStart w:id="435" w:name="_Toc4661696"/>
      <w:bookmarkEnd w:id="435"/>
      <w:bookmarkStart w:id="436" w:name="_Toc4661454"/>
      <w:bookmarkEnd w:id="436"/>
      <w:bookmarkStart w:id="437" w:name="_Toc40780280"/>
      <w:bookmarkEnd w:id="437"/>
      <w:bookmarkStart w:id="438" w:name="_Toc200513154"/>
      <w:bookmarkEnd w:id="438"/>
      <w:bookmarkStart w:id="439" w:name="_Toc4661932"/>
      <w:bookmarkEnd w:id="439"/>
      <w:bookmarkStart w:id="440" w:name="_Toc287607774"/>
      <w:bookmarkEnd w:id="440"/>
      <w:bookmarkStart w:id="441" w:name="_Toc224103345"/>
      <w:r>
        <w:rPr>
          <w:rFonts w:hint="eastAsia" w:ascii="宋体" w:hAnsi="宋体"/>
          <w:kern w:val="2"/>
          <w:sz w:val="21"/>
          <w:szCs w:val="21"/>
        </w:rPr>
        <w:t xml:space="preserve">4.1  </w:t>
      </w:r>
      <w:bookmarkEnd w:id="441"/>
      <w:r>
        <w:rPr>
          <w:rFonts w:hint="eastAsia" w:ascii="宋体" w:hAnsi="宋体" w:cs="宋体"/>
          <w:kern w:val="2"/>
          <w:sz w:val="21"/>
          <w:szCs w:val="21"/>
        </w:rPr>
        <w:t>比选响应文件的密封和标记</w:t>
      </w:r>
    </w:p>
    <w:p>
      <w:pPr>
        <w:autoSpaceDE w:val="0"/>
        <w:autoSpaceDN w:val="0"/>
        <w:adjustRightInd w:val="0"/>
        <w:spacing w:line="300" w:lineRule="exact"/>
        <w:ind w:left="359" w:leftChars="171"/>
        <w:jc w:val="left"/>
        <w:rPr>
          <w:rFonts w:ascii="宋体" w:hAnsi="宋体" w:cs="MingLiU"/>
          <w:kern w:val="0"/>
          <w:szCs w:val="21"/>
        </w:rPr>
      </w:pPr>
      <w:bookmarkStart w:id="442" w:name="_Toc200513155"/>
      <w:bookmarkEnd w:id="442"/>
      <w:r>
        <w:rPr>
          <w:rFonts w:hint="eastAsia" w:ascii="宋体" w:hAnsi="宋体" w:cs="MingLiU"/>
          <w:kern w:val="0"/>
          <w:szCs w:val="21"/>
          <w:lang w:bidi="ar"/>
        </w:rPr>
        <w:t>4.1.1  比选响应文件的正本与副本密封见报价人须知前附表。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MingLiU"/>
          <w:kern w:val="0"/>
          <w:szCs w:val="21"/>
          <w:lang w:bidi="ar"/>
        </w:rPr>
        <w:t>4.1.2  比选响应文件的封套上应写明的内容见报价人须知前附表。</w:t>
      </w:r>
    </w:p>
    <w:p>
      <w:pPr>
        <w:pStyle w:val="5"/>
        <w:widowControl/>
        <w:spacing w:before="0" w:after="0" w:line="300" w:lineRule="exact"/>
        <w:rPr>
          <w:rFonts w:ascii="宋体" w:hAnsi="宋体"/>
          <w:kern w:val="2"/>
          <w:sz w:val="21"/>
          <w:szCs w:val="21"/>
        </w:rPr>
      </w:pPr>
      <w:bookmarkStart w:id="443" w:name="_Toc40780281"/>
      <w:bookmarkEnd w:id="443"/>
      <w:bookmarkStart w:id="444" w:name="_Toc4661933"/>
      <w:bookmarkEnd w:id="444"/>
      <w:bookmarkStart w:id="445" w:name="_Toc277082581"/>
      <w:bookmarkEnd w:id="445"/>
      <w:bookmarkStart w:id="446" w:name="_Toc28009"/>
      <w:bookmarkEnd w:id="446"/>
      <w:bookmarkStart w:id="447" w:name="_Toc4661697"/>
      <w:bookmarkEnd w:id="447"/>
      <w:bookmarkStart w:id="448" w:name="_Toc4661455"/>
      <w:bookmarkEnd w:id="448"/>
      <w:bookmarkStart w:id="449" w:name="_Toc224103346"/>
      <w:bookmarkEnd w:id="449"/>
      <w:bookmarkStart w:id="450" w:name="_Toc4662169"/>
      <w:bookmarkEnd w:id="450"/>
      <w:bookmarkStart w:id="451" w:name="_Toc40455299"/>
      <w:bookmarkEnd w:id="451"/>
      <w:bookmarkStart w:id="452" w:name="_Toc40455672"/>
      <w:bookmarkEnd w:id="452"/>
      <w:bookmarkStart w:id="453" w:name="_Toc287607775"/>
      <w:r>
        <w:rPr>
          <w:rFonts w:hint="eastAsia" w:ascii="宋体" w:hAnsi="宋体"/>
          <w:kern w:val="2"/>
          <w:sz w:val="21"/>
          <w:szCs w:val="21"/>
        </w:rPr>
        <w:t xml:space="preserve">4.2  </w:t>
      </w:r>
      <w:bookmarkEnd w:id="453"/>
      <w:r>
        <w:rPr>
          <w:rFonts w:hint="eastAsia" w:ascii="宋体" w:hAnsi="宋体" w:cs="宋体"/>
          <w:kern w:val="2"/>
          <w:sz w:val="21"/>
          <w:szCs w:val="21"/>
        </w:rPr>
        <w:t>比选响应文件的递交</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4.2.1  </w:t>
      </w:r>
      <w:r>
        <w:rPr>
          <w:rFonts w:hint="eastAsia" w:ascii="宋体" w:hAnsi="宋体" w:cs="宋体"/>
          <w:kern w:val="0"/>
          <w:szCs w:val="21"/>
          <w:lang w:bidi="ar"/>
        </w:rPr>
        <w:t>报价人应在本章第</w:t>
      </w:r>
      <w:r>
        <w:rPr>
          <w:rFonts w:hint="eastAsia" w:ascii="宋体" w:hAnsi="宋体" w:cs="Calibri"/>
          <w:kern w:val="0"/>
          <w:szCs w:val="21"/>
          <w:lang w:bidi="ar"/>
        </w:rPr>
        <w:t xml:space="preserve"> 2.2.2 </w:t>
      </w:r>
      <w:r>
        <w:rPr>
          <w:rFonts w:hint="eastAsia" w:ascii="宋体" w:hAnsi="宋体" w:cs="宋体"/>
          <w:kern w:val="0"/>
          <w:szCs w:val="21"/>
          <w:lang w:bidi="ar"/>
        </w:rPr>
        <w:t>项规定的投标截止时间前递交比选响应文件。</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4.2.2  </w:t>
      </w:r>
      <w:r>
        <w:rPr>
          <w:rFonts w:hint="eastAsia" w:ascii="宋体" w:hAnsi="宋体" w:cs="宋体"/>
          <w:kern w:val="0"/>
          <w:szCs w:val="21"/>
          <w:lang w:bidi="ar"/>
        </w:rPr>
        <w:t>报价人递交比选响应文件的地点：见报价人须知前附表。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4.2.3  </w:t>
      </w:r>
      <w:r>
        <w:rPr>
          <w:rFonts w:hint="eastAsia" w:ascii="宋体" w:hAnsi="宋体" w:cs="宋体"/>
          <w:kern w:val="0"/>
          <w:szCs w:val="21"/>
          <w:lang w:bidi="ar"/>
        </w:rPr>
        <w:t>除报价人须知前附表另有规定外，报价人所递交的比选响应文件不予退还。</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4.2.4  </w:t>
      </w:r>
      <w:r>
        <w:rPr>
          <w:rFonts w:hint="eastAsia" w:ascii="宋体" w:hAnsi="宋体" w:cs="宋体"/>
          <w:kern w:val="0"/>
          <w:szCs w:val="21"/>
          <w:lang w:bidi="ar"/>
        </w:rPr>
        <w:t>采购人收到比选响应文件后，向报价人出具签收凭证。</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4.2.5  </w:t>
      </w:r>
      <w:r>
        <w:rPr>
          <w:rFonts w:hint="eastAsia" w:ascii="宋体" w:hAnsi="宋体" w:cs="宋体"/>
          <w:kern w:val="0"/>
          <w:szCs w:val="21"/>
          <w:lang w:bidi="ar"/>
        </w:rPr>
        <w:t>逾期送达的或者未送达指定地点的比选响应文件，采购人不予受理。</w:t>
      </w:r>
    </w:p>
    <w:p>
      <w:pPr>
        <w:pStyle w:val="5"/>
        <w:widowControl/>
        <w:spacing w:before="0" w:after="0" w:line="300" w:lineRule="exact"/>
        <w:rPr>
          <w:rFonts w:ascii="宋体" w:hAnsi="宋体"/>
          <w:kern w:val="2"/>
          <w:sz w:val="21"/>
          <w:szCs w:val="21"/>
        </w:rPr>
      </w:pPr>
      <w:bookmarkStart w:id="454" w:name="_Toc287607776"/>
      <w:bookmarkEnd w:id="454"/>
      <w:bookmarkStart w:id="455" w:name="_Toc4661698"/>
      <w:bookmarkEnd w:id="455"/>
      <w:bookmarkStart w:id="456" w:name="_Toc4661934"/>
      <w:bookmarkEnd w:id="456"/>
      <w:bookmarkStart w:id="457" w:name="_Toc40455300"/>
      <w:bookmarkEnd w:id="457"/>
      <w:bookmarkStart w:id="458" w:name="_Toc40455673"/>
      <w:bookmarkEnd w:id="458"/>
      <w:bookmarkStart w:id="459" w:name="_Toc200513156"/>
      <w:bookmarkEnd w:id="459"/>
      <w:bookmarkStart w:id="460" w:name="_Toc15210"/>
      <w:bookmarkEnd w:id="460"/>
      <w:bookmarkStart w:id="461" w:name="_Toc224103347"/>
      <w:bookmarkEnd w:id="461"/>
      <w:bookmarkStart w:id="462" w:name="_Toc4661456"/>
      <w:bookmarkEnd w:id="462"/>
      <w:bookmarkStart w:id="463" w:name="_Toc40780282"/>
      <w:bookmarkEnd w:id="463"/>
      <w:bookmarkStart w:id="464" w:name="_Toc277082582"/>
      <w:bookmarkEnd w:id="464"/>
      <w:bookmarkStart w:id="465" w:name="_Toc4662170"/>
      <w:r>
        <w:rPr>
          <w:rFonts w:hint="eastAsia" w:ascii="宋体" w:hAnsi="宋体"/>
          <w:kern w:val="2"/>
          <w:sz w:val="21"/>
          <w:szCs w:val="21"/>
        </w:rPr>
        <w:t xml:space="preserve">4.3  </w:t>
      </w:r>
      <w:bookmarkEnd w:id="465"/>
      <w:r>
        <w:rPr>
          <w:rFonts w:hint="eastAsia" w:ascii="宋体" w:hAnsi="宋体" w:cs="宋体"/>
          <w:kern w:val="2"/>
          <w:sz w:val="21"/>
          <w:szCs w:val="21"/>
        </w:rPr>
        <w:t>比选响应文件的修改与撤回</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4.3.1  </w:t>
      </w:r>
      <w:r>
        <w:rPr>
          <w:rFonts w:hint="eastAsia" w:ascii="宋体" w:hAnsi="宋体" w:cs="宋体"/>
          <w:kern w:val="0"/>
          <w:szCs w:val="21"/>
          <w:lang w:bidi="ar"/>
        </w:rPr>
        <w:t>在本章第</w:t>
      </w:r>
      <w:r>
        <w:rPr>
          <w:rFonts w:hint="eastAsia" w:ascii="宋体" w:hAnsi="宋体" w:cs="Calibri"/>
          <w:kern w:val="0"/>
          <w:szCs w:val="21"/>
          <w:lang w:bidi="ar"/>
        </w:rPr>
        <w:t>2.2.2</w:t>
      </w:r>
      <w:r>
        <w:rPr>
          <w:rFonts w:hint="eastAsia" w:ascii="宋体" w:hAnsi="宋体" w:cs="宋体"/>
          <w:kern w:val="0"/>
          <w:szCs w:val="21"/>
          <w:lang w:bidi="ar"/>
        </w:rPr>
        <w:t>项规定的投标截止时间前，报价人可以修改或撤回已递交的比选响应文件，但应以书面形式通知采购人。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4.3.2  </w:t>
      </w:r>
      <w:r>
        <w:rPr>
          <w:rFonts w:hint="eastAsia" w:ascii="宋体" w:hAnsi="宋体" w:cs="宋体"/>
          <w:kern w:val="0"/>
          <w:szCs w:val="21"/>
          <w:lang w:bidi="ar"/>
        </w:rPr>
        <w:t>报价人修改或撤回已递交比选响应文件的书面通知应按照本章第</w:t>
      </w:r>
      <w:r>
        <w:rPr>
          <w:rFonts w:hint="eastAsia" w:ascii="宋体" w:hAnsi="宋体" w:cs="Calibri"/>
          <w:kern w:val="0"/>
          <w:szCs w:val="21"/>
          <w:lang w:bidi="ar"/>
        </w:rPr>
        <w:t>3.7.3</w:t>
      </w:r>
      <w:r>
        <w:rPr>
          <w:rFonts w:hint="eastAsia" w:ascii="宋体" w:hAnsi="宋体" w:cs="宋体"/>
          <w:kern w:val="0"/>
          <w:szCs w:val="21"/>
          <w:lang w:bidi="ar"/>
        </w:rPr>
        <w:t>项的要求签字或盖章。采购人收到书面通知后，向报价人出具签收凭证。</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4.3.3  </w:t>
      </w:r>
      <w:r>
        <w:rPr>
          <w:rFonts w:hint="eastAsia" w:ascii="宋体" w:hAnsi="宋体" w:cs="宋体"/>
          <w:kern w:val="0"/>
          <w:szCs w:val="21"/>
          <w:lang w:bidi="ar"/>
        </w:rPr>
        <w:t>修改的内容为比选响应文件的组成部分。修改的比选响应文件应按照本章第</w:t>
      </w:r>
      <w:r>
        <w:rPr>
          <w:rFonts w:hint="eastAsia" w:ascii="宋体" w:hAnsi="宋体" w:cs="Calibri"/>
          <w:kern w:val="0"/>
          <w:szCs w:val="21"/>
          <w:lang w:bidi="ar"/>
        </w:rPr>
        <w:t>3</w:t>
      </w:r>
      <w:r>
        <w:rPr>
          <w:rFonts w:hint="eastAsia" w:ascii="宋体" w:hAnsi="宋体" w:cs="宋体"/>
          <w:kern w:val="0"/>
          <w:szCs w:val="21"/>
          <w:lang w:bidi="ar"/>
        </w:rPr>
        <w:t>条、第</w:t>
      </w:r>
      <w:r>
        <w:rPr>
          <w:rFonts w:hint="eastAsia" w:ascii="宋体" w:hAnsi="宋体" w:cs="Calibri"/>
          <w:kern w:val="0"/>
          <w:szCs w:val="21"/>
          <w:lang w:bidi="ar"/>
        </w:rPr>
        <w:t>4</w:t>
      </w:r>
      <w:r>
        <w:rPr>
          <w:rFonts w:hint="eastAsia" w:ascii="宋体" w:hAnsi="宋体" w:cs="宋体"/>
          <w:kern w:val="0"/>
          <w:szCs w:val="21"/>
          <w:lang w:bidi="ar"/>
        </w:rPr>
        <w:t>条规定进行编制、密封、标记和递交，并标明</w:t>
      </w:r>
      <w:r>
        <w:rPr>
          <w:rFonts w:hint="eastAsia" w:ascii="宋体" w:hAnsi="宋体" w:cs="MingLiU"/>
          <w:kern w:val="0"/>
          <w:szCs w:val="21"/>
          <w:lang w:bidi="ar"/>
        </w:rPr>
        <w:t>“修改”字样。</w:t>
      </w:r>
    </w:p>
    <w:p>
      <w:pPr>
        <w:pStyle w:val="4"/>
        <w:widowControl/>
        <w:spacing w:before="0" w:after="0" w:line="300" w:lineRule="exact"/>
        <w:rPr>
          <w:rFonts w:ascii="宋体" w:hAnsi="宋体"/>
          <w:sz w:val="21"/>
          <w:szCs w:val="21"/>
        </w:rPr>
      </w:pPr>
      <w:bookmarkStart w:id="466" w:name="_Toc4661457"/>
      <w:bookmarkEnd w:id="466"/>
      <w:bookmarkStart w:id="467" w:name="_Toc200513157"/>
      <w:bookmarkEnd w:id="467"/>
      <w:bookmarkStart w:id="468" w:name="_Toc224103348"/>
      <w:bookmarkEnd w:id="468"/>
      <w:bookmarkStart w:id="469" w:name="_Toc13110"/>
      <w:bookmarkEnd w:id="469"/>
      <w:bookmarkStart w:id="470" w:name="_Toc4661699"/>
      <w:bookmarkEnd w:id="470"/>
      <w:bookmarkStart w:id="471" w:name="_Toc26569"/>
      <w:bookmarkEnd w:id="471"/>
      <w:bookmarkStart w:id="472" w:name="_Toc4661935"/>
      <w:bookmarkEnd w:id="472"/>
      <w:bookmarkStart w:id="473" w:name="_Toc40455301"/>
      <w:bookmarkEnd w:id="473"/>
      <w:bookmarkStart w:id="474" w:name="_Toc27819"/>
      <w:bookmarkEnd w:id="474"/>
      <w:bookmarkStart w:id="475" w:name="_Toc277082583"/>
      <w:bookmarkEnd w:id="475"/>
      <w:bookmarkStart w:id="476" w:name="_Toc40455674"/>
      <w:bookmarkEnd w:id="476"/>
      <w:bookmarkStart w:id="477" w:name="_Toc2667"/>
      <w:bookmarkEnd w:id="477"/>
      <w:bookmarkStart w:id="478" w:name="_Toc4662171"/>
      <w:bookmarkEnd w:id="478"/>
      <w:bookmarkStart w:id="479" w:name="_Toc3631"/>
      <w:bookmarkEnd w:id="479"/>
      <w:bookmarkStart w:id="480" w:name="_Toc287607777"/>
      <w:bookmarkEnd w:id="480"/>
      <w:bookmarkStart w:id="481" w:name="_Toc665"/>
      <w:bookmarkStart w:id="482" w:name="_Toc17870"/>
      <w:r>
        <w:rPr>
          <w:rFonts w:hint="eastAsia" w:ascii="宋体" w:hAnsi="宋体"/>
          <w:sz w:val="21"/>
          <w:szCs w:val="21"/>
        </w:rPr>
        <w:t xml:space="preserve">5.  </w:t>
      </w:r>
      <w:bookmarkEnd w:id="481"/>
      <w:r>
        <w:rPr>
          <w:rFonts w:hint="eastAsia" w:ascii="黑体" w:hAnsi="宋体" w:cs="黑体"/>
          <w:sz w:val="21"/>
          <w:szCs w:val="21"/>
        </w:rPr>
        <w:t>开标</w:t>
      </w:r>
      <w:bookmarkEnd w:id="482"/>
    </w:p>
    <w:p>
      <w:pPr>
        <w:pStyle w:val="5"/>
        <w:widowControl/>
        <w:spacing w:before="0" w:after="0" w:line="300" w:lineRule="exact"/>
        <w:rPr>
          <w:rFonts w:ascii="宋体" w:hAnsi="宋体"/>
          <w:kern w:val="2"/>
          <w:sz w:val="21"/>
          <w:szCs w:val="21"/>
        </w:rPr>
      </w:pPr>
      <w:bookmarkStart w:id="483" w:name="_Toc224103349"/>
      <w:bookmarkEnd w:id="483"/>
      <w:bookmarkStart w:id="484" w:name="_Toc277082584"/>
      <w:bookmarkEnd w:id="484"/>
      <w:bookmarkStart w:id="485" w:name="_Toc4661458"/>
      <w:bookmarkEnd w:id="485"/>
      <w:bookmarkStart w:id="486" w:name="_Toc40455302"/>
      <w:bookmarkEnd w:id="486"/>
      <w:bookmarkStart w:id="487" w:name="_Toc4662172"/>
      <w:bookmarkEnd w:id="487"/>
      <w:bookmarkStart w:id="488" w:name="_Toc4661700"/>
      <w:bookmarkEnd w:id="488"/>
      <w:bookmarkStart w:id="489" w:name="_Toc40455675"/>
      <w:bookmarkEnd w:id="489"/>
      <w:bookmarkStart w:id="490" w:name="_Toc22642"/>
      <w:bookmarkEnd w:id="490"/>
      <w:bookmarkStart w:id="491" w:name="_Toc287607778"/>
      <w:bookmarkEnd w:id="491"/>
      <w:bookmarkStart w:id="492" w:name="_Toc40780284"/>
      <w:bookmarkEnd w:id="492"/>
      <w:bookmarkStart w:id="493" w:name="_Toc200513158"/>
      <w:bookmarkEnd w:id="493"/>
      <w:bookmarkStart w:id="494" w:name="_Toc4661936"/>
      <w:r>
        <w:rPr>
          <w:rFonts w:hint="eastAsia" w:ascii="宋体" w:hAnsi="宋体"/>
          <w:kern w:val="2"/>
          <w:sz w:val="21"/>
          <w:szCs w:val="21"/>
        </w:rPr>
        <w:t>5.1  开标时间和地点</w:t>
      </w:r>
      <w:bookmarkEnd w:id="494"/>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采购人在本章第</w:t>
      </w:r>
      <w:r>
        <w:rPr>
          <w:rFonts w:hint="eastAsia" w:ascii="宋体" w:hAnsi="宋体" w:cs="Calibri"/>
          <w:kern w:val="0"/>
          <w:szCs w:val="21"/>
          <w:lang w:bidi="ar"/>
        </w:rPr>
        <w:t xml:space="preserve"> 2.2.2 </w:t>
      </w:r>
      <w:r>
        <w:rPr>
          <w:rFonts w:hint="eastAsia" w:ascii="宋体" w:hAnsi="宋体" w:cs="宋体"/>
          <w:kern w:val="0"/>
          <w:szCs w:val="21"/>
          <w:lang w:bidi="ar"/>
        </w:rPr>
        <w:t>项规定的投标截止时间（开标时间）和报价人须知前附表规定的情况进行开标。</w:t>
      </w:r>
    </w:p>
    <w:p>
      <w:pPr>
        <w:pStyle w:val="5"/>
        <w:widowControl/>
        <w:spacing w:before="0" w:after="0" w:line="300" w:lineRule="exact"/>
        <w:rPr>
          <w:rFonts w:ascii="宋体" w:hAnsi="宋体"/>
          <w:kern w:val="2"/>
          <w:sz w:val="21"/>
          <w:szCs w:val="21"/>
        </w:rPr>
      </w:pPr>
      <w:bookmarkStart w:id="495" w:name="_Toc224103350"/>
      <w:bookmarkEnd w:id="495"/>
      <w:bookmarkStart w:id="496" w:name="_Toc40455676"/>
      <w:bookmarkEnd w:id="496"/>
      <w:bookmarkStart w:id="497" w:name="_Toc4661937"/>
      <w:bookmarkEnd w:id="497"/>
      <w:bookmarkStart w:id="498" w:name="_Toc40780285"/>
      <w:bookmarkEnd w:id="498"/>
      <w:bookmarkStart w:id="499" w:name="_Toc4661459"/>
      <w:bookmarkEnd w:id="499"/>
      <w:bookmarkStart w:id="500" w:name="_Toc40455303"/>
      <w:bookmarkEnd w:id="500"/>
      <w:bookmarkStart w:id="501" w:name="_Toc4662173"/>
      <w:bookmarkEnd w:id="501"/>
      <w:bookmarkStart w:id="502" w:name="_Toc1823"/>
      <w:bookmarkEnd w:id="502"/>
      <w:bookmarkStart w:id="503" w:name="_Toc277082585"/>
      <w:bookmarkEnd w:id="503"/>
      <w:bookmarkStart w:id="504" w:name="_Toc4661701"/>
      <w:bookmarkEnd w:id="504"/>
      <w:bookmarkStart w:id="505" w:name="_Toc287607779"/>
      <w:bookmarkEnd w:id="505"/>
      <w:bookmarkStart w:id="506" w:name="_Toc200513159"/>
      <w:r>
        <w:rPr>
          <w:rFonts w:hint="eastAsia" w:ascii="宋体" w:hAnsi="宋体"/>
          <w:kern w:val="2"/>
          <w:sz w:val="21"/>
          <w:szCs w:val="21"/>
        </w:rPr>
        <w:t xml:space="preserve">5.2  </w:t>
      </w:r>
      <w:bookmarkEnd w:id="506"/>
      <w:r>
        <w:rPr>
          <w:rFonts w:hint="eastAsia" w:ascii="宋体" w:hAnsi="宋体" w:cs="宋体"/>
          <w:kern w:val="2"/>
          <w:sz w:val="21"/>
          <w:szCs w:val="21"/>
        </w:rPr>
        <w:t>开标程序</w:t>
      </w:r>
    </w:p>
    <w:p>
      <w:pPr>
        <w:autoSpaceDE w:val="0"/>
        <w:autoSpaceDN w:val="0"/>
        <w:adjustRightInd w:val="0"/>
        <w:spacing w:line="300" w:lineRule="exact"/>
        <w:ind w:firstLine="420" w:firstLineChars="200"/>
        <w:jc w:val="left"/>
        <w:rPr>
          <w:rFonts w:ascii="宋体" w:hAnsi="宋体" w:cs="MingLiU"/>
          <w:kern w:val="0"/>
          <w:szCs w:val="21"/>
        </w:rPr>
      </w:pPr>
      <w:bookmarkStart w:id="507" w:name="_Toc277082586"/>
      <w:bookmarkEnd w:id="507"/>
      <w:bookmarkStart w:id="508" w:name="_Toc287607780"/>
      <w:bookmarkEnd w:id="508"/>
      <w:bookmarkStart w:id="509" w:name="_Toc200513160"/>
      <w:bookmarkEnd w:id="509"/>
      <w:bookmarkStart w:id="510" w:name="_Toc224103351"/>
      <w:r>
        <w:rPr>
          <w:rFonts w:hint="eastAsia" w:ascii="宋体" w:hAnsi="宋体" w:cs="宋体"/>
          <w:kern w:val="0"/>
          <w:szCs w:val="21"/>
          <w:lang w:bidi="ar"/>
        </w:rPr>
        <w:t>见报价人须知前附表。</w:t>
      </w:r>
      <w:bookmarkEnd w:id="510"/>
    </w:p>
    <w:p>
      <w:pPr>
        <w:pStyle w:val="4"/>
        <w:widowControl/>
        <w:spacing w:before="0" w:after="0" w:line="300" w:lineRule="exact"/>
        <w:rPr>
          <w:rFonts w:ascii="宋体" w:hAnsi="宋体"/>
          <w:sz w:val="21"/>
          <w:szCs w:val="21"/>
        </w:rPr>
      </w:pPr>
      <w:bookmarkStart w:id="511" w:name="_Toc4661702"/>
      <w:bookmarkEnd w:id="511"/>
      <w:bookmarkStart w:id="512" w:name="_Toc40455304"/>
      <w:bookmarkEnd w:id="512"/>
      <w:bookmarkStart w:id="513" w:name="_Toc4661460"/>
      <w:bookmarkEnd w:id="513"/>
      <w:bookmarkStart w:id="514" w:name="_Toc6592"/>
      <w:bookmarkEnd w:id="514"/>
      <w:bookmarkStart w:id="515" w:name="_Toc4662174"/>
      <w:bookmarkEnd w:id="515"/>
      <w:bookmarkStart w:id="516" w:name="_Toc4661938"/>
      <w:bookmarkEnd w:id="516"/>
      <w:bookmarkStart w:id="517" w:name="_Toc26714"/>
      <w:bookmarkEnd w:id="517"/>
      <w:bookmarkStart w:id="518" w:name="_Toc5895"/>
      <w:bookmarkEnd w:id="518"/>
      <w:bookmarkStart w:id="519" w:name="_Toc4904"/>
      <w:bookmarkEnd w:id="519"/>
      <w:bookmarkStart w:id="520" w:name="_Toc29816"/>
      <w:bookmarkEnd w:id="520"/>
      <w:bookmarkStart w:id="521" w:name="_Toc40455677"/>
      <w:bookmarkEnd w:id="521"/>
      <w:bookmarkStart w:id="522" w:name="_Toc5685"/>
      <w:bookmarkStart w:id="523" w:name="_Toc11361"/>
      <w:r>
        <w:rPr>
          <w:rFonts w:hint="eastAsia" w:ascii="宋体" w:hAnsi="宋体"/>
          <w:sz w:val="21"/>
          <w:szCs w:val="21"/>
        </w:rPr>
        <w:t xml:space="preserve">6.  </w:t>
      </w:r>
      <w:bookmarkEnd w:id="522"/>
      <w:r>
        <w:rPr>
          <w:rFonts w:hint="eastAsia" w:ascii="黑体" w:hAnsi="宋体" w:cs="黑体"/>
          <w:sz w:val="21"/>
          <w:szCs w:val="21"/>
        </w:rPr>
        <w:t>评标</w:t>
      </w:r>
      <w:bookmarkEnd w:id="523"/>
    </w:p>
    <w:p>
      <w:pPr>
        <w:pStyle w:val="5"/>
        <w:widowControl/>
        <w:spacing w:before="0" w:after="0" w:line="300" w:lineRule="exact"/>
        <w:rPr>
          <w:rFonts w:ascii="宋体" w:hAnsi="宋体"/>
          <w:kern w:val="2"/>
          <w:sz w:val="21"/>
          <w:szCs w:val="21"/>
        </w:rPr>
      </w:pPr>
      <w:bookmarkStart w:id="524" w:name="_Toc224103352"/>
      <w:bookmarkEnd w:id="524"/>
      <w:bookmarkStart w:id="525" w:name="_Toc9614"/>
      <w:bookmarkEnd w:id="525"/>
      <w:bookmarkStart w:id="526" w:name="_Toc4661703"/>
      <w:bookmarkEnd w:id="526"/>
      <w:bookmarkStart w:id="527" w:name="_Toc40455305"/>
      <w:bookmarkEnd w:id="527"/>
      <w:bookmarkStart w:id="528" w:name="_Toc200513161"/>
      <w:bookmarkEnd w:id="528"/>
      <w:bookmarkStart w:id="529" w:name="_Toc287607781"/>
      <w:bookmarkEnd w:id="529"/>
      <w:bookmarkStart w:id="530" w:name="_Toc277082587"/>
      <w:bookmarkEnd w:id="530"/>
      <w:bookmarkStart w:id="531" w:name="_Toc40780287"/>
      <w:bookmarkEnd w:id="531"/>
      <w:bookmarkStart w:id="532" w:name="_Toc4662175"/>
      <w:bookmarkEnd w:id="532"/>
      <w:bookmarkStart w:id="533" w:name="_Toc40455678"/>
      <w:bookmarkEnd w:id="533"/>
      <w:bookmarkStart w:id="534" w:name="_Toc4661461"/>
      <w:bookmarkEnd w:id="534"/>
      <w:bookmarkStart w:id="535" w:name="_Toc4661939"/>
      <w:r>
        <w:rPr>
          <w:rFonts w:hint="eastAsia" w:ascii="宋体" w:hAnsi="宋体"/>
          <w:kern w:val="2"/>
          <w:sz w:val="21"/>
          <w:szCs w:val="21"/>
        </w:rPr>
        <w:t xml:space="preserve">6.1  </w:t>
      </w:r>
      <w:bookmarkEnd w:id="535"/>
      <w:r>
        <w:rPr>
          <w:rFonts w:hint="eastAsia" w:ascii="宋体" w:hAnsi="宋体" w:cs="宋体"/>
          <w:kern w:val="2"/>
          <w:sz w:val="21"/>
          <w:szCs w:val="21"/>
        </w:rPr>
        <w:t>评标委员会</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6.1.1  </w:t>
      </w:r>
      <w:r>
        <w:rPr>
          <w:rFonts w:hint="eastAsia" w:ascii="宋体" w:hAnsi="宋体" w:cs="宋体"/>
          <w:kern w:val="0"/>
          <w:szCs w:val="21"/>
          <w:lang w:bidi="ar"/>
        </w:rPr>
        <w:t>评标由采购人依法组建的评标委员会负责。评标委员会由采购人或其委托的竞争性比选代理机构熟悉相关业务的代表，以及有关技术、经济等方面的专家组成。评标委员会成员人数以及技术、经济等方面专家的确定方式见报价人须知前附表。</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Calibri"/>
          <w:kern w:val="0"/>
          <w:szCs w:val="21"/>
          <w:lang w:bidi="ar"/>
        </w:rPr>
        <w:t xml:space="preserve">6.1.2  </w:t>
      </w:r>
      <w:r>
        <w:rPr>
          <w:rFonts w:hint="eastAsia" w:ascii="宋体" w:hAnsi="宋体" w:cs="宋体"/>
          <w:kern w:val="0"/>
          <w:szCs w:val="21"/>
          <w:lang w:bidi="ar"/>
        </w:rPr>
        <w:t>评标委员会成员有下列情形之一的，应当回避：</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1）采购人或竞争性比选代理机构主要负责人的近亲属，或与报价人法定代表人或其委托代理人有近亲属关系；</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2</w:t>
      </w:r>
      <w:r>
        <w:rPr>
          <w:rFonts w:hint="eastAsia" w:ascii="宋体" w:hAnsi="宋体" w:cs="宋体"/>
          <w:kern w:val="0"/>
          <w:szCs w:val="21"/>
          <w:lang w:bidi="ar"/>
        </w:rPr>
        <w:t>）为报价人的工作人员或退休人员；</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3</w:t>
      </w:r>
      <w:r>
        <w:rPr>
          <w:rFonts w:hint="eastAsia" w:ascii="宋体" w:hAnsi="宋体" w:cs="宋体"/>
          <w:kern w:val="0"/>
          <w:szCs w:val="21"/>
          <w:lang w:bidi="ar"/>
        </w:rPr>
        <w:t>）与报价人有其他利害关系，可能影响评标活动公正性；</w:t>
      </w:r>
    </w:p>
    <w:p>
      <w:pPr>
        <w:autoSpaceDE w:val="0"/>
        <w:autoSpaceDN w:val="0"/>
        <w:adjustRightInd w:val="0"/>
        <w:spacing w:line="300" w:lineRule="exact"/>
        <w:ind w:firstLine="361" w:firstLineChars="172"/>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4）在与竞争性比选投标有关的活动中有过违法违规行为、曾受过行政处罚或刑事处罚；</w:t>
      </w:r>
    </w:p>
    <w:p>
      <w:pPr>
        <w:autoSpaceDE w:val="0"/>
        <w:autoSpaceDN w:val="0"/>
        <w:adjustRightInd w:val="0"/>
        <w:spacing w:line="300" w:lineRule="exact"/>
        <w:ind w:firstLine="361" w:firstLineChars="172"/>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5）采购人及其子公司、采购人的上级主管部门或者控股公司、竞争性比选代理机构的工作人员或者退休人员；</w:t>
      </w:r>
    </w:p>
    <w:p>
      <w:pPr>
        <w:autoSpaceDE w:val="0"/>
        <w:autoSpaceDN w:val="0"/>
        <w:adjustRightInd w:val="0"/>
        <w:spacing w:line="300" w:lineRule="exact"/>
        <w:ind w:firstLine="361" w:firstLineChars="172"/>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6）近3年在采购人、报价人或竞争性比选代理机构工作过的人员。</w:t>
      </w:r>
    </w:p>
    <w:p>
      <w:pPr>
        <w:pStyle w:val="5"/>
        <w:widowControl/>
        <w:spacing w:before="0" w:after="0" w:line="300" w:lineRule="exact"/>
        <w:rPr>
          <w:rFonts w:ascii="宋体" w:hAnsi="宋体"/>
          <w:kern w:val="2"/>
          <w:sz w:val="21"/>
          <w:szCs w:val="21"/>
        </w:rPr>
      </w:pPr>
      <w:bookmarkStart w:id="536" w:name="_Toc277082588"/>
      <w:bookmarkEnd w:id="536"/>
      <w:bookmarkStart w:id="537" w:name="_Toc200513162"/>
      <w:bookmarkEnd w:id="537"/>
      <w:bookmarkStart w:id="538" w:name="_Toc287607782"/>
      <w:bookmarkEnd w:id="538"/>
      <w:bookmarkStart w:id="539" w:name="_Toc4661704"/>
      <w:bookmarkEnd w:id="539"/>
      <w:bookmarkStart w:id="540" w:name="_Toc224103353"/>
      <w:bookmarkEnd w:id="540"/>
      <w:bookmarkStart w:id="541" w:name="_Toc4661940"/>
      <w:bookmarkEnd w:id="541"/>
      <w:bookmarkStart w:id="542" w:name="_Toc4662176"/>
      <w:bookmarkEnd w:id="542"/>
      <w:bookmarkStart w:id="543" w:name="_Toc4661462"/>
      <w:bookmarkEnd w:id="543"/>
      <w:bookmarkStart w:id="544" w:name="_Toc40455679"/>
      <w:bookmarkEnd w:id="544"/>
      <w:bookmarkStart w:id="545" w:name="_Toc40780288"/>
      <w:bookmarkEnd w:id="545"/>
      <w:bookmarkStart w:id="546" w:name="_Toc40455306"/>
      <w:bookmarkEnd w:id="546"/>
      <w:bookmarkStart w:id="547" w:name="_Toc3788"/>
      <w:r>
        <w:rPr>
          <w:rFonts w:hint="eastAsia" w:ascii="宋体" w:hAnsi="宋体"/>
          <w:kern w:val="2"/>
          <w:sz w:val="21"/>
          <w:szCs w:val="21"/>
        </w:rPr>
        <w:t xml:space="preserve">6.2  </w:t>
      </w:r>
      <w:bookmarkEnd w:id="547"/>
      <w:r>
        <w:rPr>
          <w:rFonts w:hint="eastAsia" w:ascii="宋体" w:hAnsi="宋体" w:cs="宋体"/>
          <w:kern w:val="2"/>
          <w:sz w:val="21"/>
          <w:szCs w:val="21"/>
        </w:rPr>
        <w:t>评标原则</w:t>
      </w:r>
    </w:p>
    <w:p>
      <w:pPr>
        <w:autoSpaceDE w:val="0"/>
        <w:autoSpaceDN w:val="0"/>
        <w:adjustRightInd w:val="0"/>
        <w:spacing w:line="300" w:lineRule="exact"/>
        <w:jc w:val="left"/>
        <w:rPr>
          <w:rFonts w:ascii="宋体" w:hAnsi="宋体" w:cs="MingLiU"/>
          <w:kern w:val="0"/>
          <w:szCs w:val="21"/>
        </w:rPr>
      </w:pPr>
      <w:r>
        <w:rPr>
          <w:rFonts w:hint="eastAsia" w:ascii="宋体" w:hAnsi="宋体" w:cs="MingLiU"/>
          <w:kern w:val="0"/>
          <w:szCs w:val="21"/>
          <w:lang w:bidi="ar"/>
        </w:rPr>
        <w:t xml:space="preserve">    </w:t>
      </w:r>
      <w:r>
        <w:rPr>
          <w:rFonts w:hint="eastAsia" w:ascii="宋体" w:hAnsi="宋体" w:cs="宋体"/>
          <w:kern w:val="0"/>
          <w:szCs w:val="21"/>
          <w:lang w:bidi="ar"/>
        </w:rPr>
        <w:t>评标活动遵循公平、公正、科学和择优的原则。</w:t>
      </w:r>
    </w:p>
    <w:p>
      <w:pPr>
        <w:pStyle w:val="5"/>
        <w:widowControl/>
        <w:spacing w:before="0" w:after="0" w:line="300" w:lineRule="exact"/>
        <w:rPr>
          <w:rFonts w:ascii="宋体" w:hAnsi="宋体"/>
          <w:kern w:val="2"/>
          <w:sz w:val="21"/>
          <w:szCs w:val="21"/>
        </w:rPr>
      </w:pPr>
      <w:bookmarkStart w:id="548" w:name="_Toc224103354"/>
      <w:bookmarkEnd w:id="548"/>
      <w:bookmarkStart w:id="549" w:name="_Toc40455307"/>
      <w:bookmarkEnd w:id="549"/>
      <w:bookmarkStart w:id="550" w:name="_Toc200513163"/>
      <w:bookmarkEnd w:id="550"/>
      <w:bookmarkStart w:id="551" w:name="_Toc277082589"/>
      <w:bookmarkEnd w:id="551"/>
      <w:bookmarkStart w:id="552" w:name="_Toc40780289"/>
      <w:bookmarkEnd w:id="552"/>
      <w:bookmarkStart w:id="553" w:name="_Toc26101"/>
      <w:bookmarkEnd w:id="553"/>
      <w:bookmarkStart w:id="554" w:name="_Toc40455680"/>
      <w:bookmarkEnd w:id="554"/>
      <w:bookmarkStart w:id="555" w:name="_Toc4661705"/>
      <w:bookmarkEnd w:id="555"/>
      <w:bookmarkStart w:id="556" w:name="_Toc4661941"/>
      <w:bookmarkEnd w:id="556"/>
      <w:bookmarkStart w:id="557" w:name="_Toc4661463"/>
      <w:bookmarkEnd w:id="557"/>
      <w:bookmarkStart w:id="558" w:name="_Toc287607783"/>
      <w:bookmarkEnd w:id="558"/>
      <w:bookmarkStart w:id="559" w:name="_Toc4662177"/>
      <w:r>
        <w:rPr>
          <w:rFonts w:hint="eastAsia" w:ascii="宋体" w:hAnsi="宋体"/>
          <w:kern w:val="2"/>
          <w:sz w:val="21"/>
          <w:szCs w:val="21"/>
        </w:rPr>
        <w:t xml:space="preserve">6.3  </w:t>
      </w:r>
      <w:bookmarkEnd w:id="559"/>
      <w:r>
        <w:rPr>
          <w:rFonts w:hint="eastAsia" w:ascii="宋体" w:hAnsi="宋体" w:cs="宋体"/>
          <w:kern w:val="2"/>
          <w:sz w:val="21"/>
          <w:szCs w:val="21"/>
        </w:rPr>
        <w:t>评标</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6.3.1评标委员会按照第三章“评标办法”规定的方法、评审因素、标准和程序对比选响应文件进行评审。第三章“评标办法”没有规定的方法、评审因素和标准，不得作为评标依据。</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6.3.2评标完成后，评标委员会应向采购人提交书面评标报告和中标候选人名单。评标委员会推荐中标候选人的人数见报价人须知前附表。</w:t>
      </w:r>
    </w:p>
    <w:p>
      <w:pPr>
        <w:pStyle w:val="4"/>
        <w:widowControl/>
        <w:spacing w:before="0" w:after="0" w:line="300" w:lineRule="exact"/>
        <w:rPr>
          <w:rFonts w:ascii="宋体" w:hAnsi="宋体"/>
          <w:sz w:val="21"/>
          <w:szCs w:val="21"/>
        </w:rPr>
      </w:pPr>
      <w:bookmarkStart w:id="560" w:name="_Toc40455681"/>
      <w:bookmarkEnd w:id="560"/>
      <w:bookmarkStart w:id="561" w:name="_Toc4661464"/>
      <w:bookmarkEnd w:id="561"/>
      <w:bookmarkStart w:id="562" w:name="_Toc40455308"/>
      <w:bookmarkEnd w:id="562"/>
      <w:bookmarkStart w:id="563" w:name="_Toc4661706"/>
      <w:bookmarkEnd w:id="563"/>
      <w:bookmarkStart w:id="564" w:name="_Toc277082590"/>
      <w:bookmarkEnd w:id="564"/>
      <w:bookmarkStart w:id="565" w:name="_Toc200513164"/>
      <w:bookmarkEnd w:id="565"/>
      <w:bookmarkStart w:id="566" w:name="_Toc20858"/>
      <w:bookmarkEnd w:id="566"/>
      <w:bookmarkStart w:id="567" w:name="_Toc13060"/>
      <w:bookmarkEnd w:id="567"/>
      <w:bookmarkStart w:id="568" w:name="_Toc287607784"/>
      <w:bookmarkEnd w:id="568"/>
      <w:bookmarkStart w:id="569" w:name="_Toc28253"/>
      <w:bookmarkEnd w:id="569"/>
      <w:bookmarkStart w:id="570" w:name="_Toc4661942"/>
      <w:bookmarkEnd w:id="570"/>
      <w:bookmarkStart w:id="571" w:name="_Toc2883"/>
      <w:bookmarkEnd w:id="571"/>
      <w:bookmarkStart w:id="572" w:name="_Toc6853"/>
      <w:bookmarkEnd w:id="572"/>
      <w:bookmarkStart w:id="573" w:name="_Toc4662178"/>
      <w:bookmarkEnd w:id="573"/>
      <w:bookmarkStart w:id="574" w:name="_Toc224103355"/>
      <w:bookmarkEnd w:id="574"/>
      <w:bookmarkStart w:id="575" w:name="_Toc28602"/>
      <w:bookmarkStart w:id="576" w:name="_Toc25830"/>
      <w:r>
        <w:rPr>
          <w:rFonts w:hint="eastAsia" w:ascii="宋体" w:hAnsi="宋体"/>
          <w:sz w:val="21"/>
          <w:szCs w:val="21"/>
        </w:rPr>
        <w:t xml:space="preserve">7.  </w:t>
      </w:r>
      <w:bookmarkEnd w:id="575"/>
      <w:r>
        <w:rPr>
          <w:rFonts w:hint="eastAsia" w:ascii="宋体" w:hAnsi="宋体" w:eastAsia="宋体" w:cs="宋体"/>
          <w:kern w:val="2"/>
          <w:sz w:val="21"/>
          <w:szCs w:val="21"/>
        </w:rPr>
        <w:t>合同授予</w:t>
      </w:r>
      <w:bookmarkEnd w:id="576"/>
    </w:p>
    <w:p>
      <w:pPr>
        <w:pStyle w:val="5"/>
        <w:widowControl/>
        <w:spacing w:before="0" w:after="0" w:line="300" w:lineRule="exact"/>
        <w:rPr>
          <w:rFonts w:ascii="宋体" w:hAnsi="宋体"/>
          <w:kern w:val="2"/>
          <w:sz w:val="21"/>
          <w:szCs w:val="21"/>
        </w:rPr>
      </w:pPr>
      <w:bookmarkStart w:id="577" w:name="_Toc12458"/>
      <w:bookmarkEnd w:id="577"/>
      <w:bookmarkStart w:id="578" w:name="_Toc4661943"/>
      <w:bookmarkEnd w:id="578"/>
      <w:bookmarkStart w:id="579" w:name="_Toc40455682"/>
      <w:bookmarkEnd w:id="579"/>
      <w:bookmarkStart w:id="580" w:name="_Toc4661707"/>
      <w:bookmarkEnd w:id="580"/>
      <w:bookmarkStart w:id="581" w:name="_Toc287607785"/>
      <w:bookmarkEnd w:id="581"/>
      <w:bookmarkStart w:id="582" w:name="_Toc200513165"/>
      <w:bookmarkEnd w:id="582"/>
      <w:bookmarkStart w:id="583" w:name="_Toc277082591"/>
      <w:bookmarkEnd w:id="583"/>
      <w:bookmarkStart w:id="584" w:name="_Toc40455309"/>
      <w:bookmarkEnd w:id="584"/>
      <w:bookmarkStart w:id="585" w:name="_Toc4661465"/>
      <w:bookmarkEnd w:id="585"/>
      <w:bookmarkStart w:id="586" w:name="_Toc4662179"/>
      <w:bookmarkEnd w:id="586"/>
      <w:bookmarkStart w:id="587" w:name="_Toc224103356"/>
      <w:bookmarkEnd w:id="587"/>
      <w:bookmarkStart w:id="588" w:name="_Toc40780291"/>
      <w:r>
        <w:rPr>
          <w:rFonts w:hint="eastAsia" w:ascii="宋体" w:hAnsi="宋体"/>
          <w:kern w:val="2"/>
          <w:sz w:val="21"/>
          <w:szCs w:val="21"/>
        </w:rPr>
        <w:t xml:space="preserve">7.1  </w:t>
      </w:r>
      <w:bookmarkEnd w:id="588"/>
      <w:r>
        <w:rPr>
          <w:rFonts w:hint="eastAsia" w:ascii="宋体" w:hAnsi="宋体" w:cs="宋体"/>
          <w:kern w:val="2"/>
          <w:sz w:val="21"/>
          <w:szCs w:val="21"/>
        </w:rPr>
        <w:t>定标方式</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除报价人须知前附表规定评标委员会直接确定中标人外，采购人依据评标委员会推荐的中标候选人中的第一名综合得分者为中标人，评标委员会推荐中标候选人的人数见报价人须知前附表。</w:t>
      </w:r>
    </w:p>
    <w:p>
      <w:pPr>
        <w:pStyle w:val="5"/>
        <w:widowControl/>
        <w:spacing w:before="0" w:after="0" w:line="300" w:lineRule="exact"/>
        <w:rPr>
          <w:rFonts w:ascii="宋体" w:hAnsi="宋体"/>
          <w:kern w:val="2"/>
          <w:sz w:val="21"/>
          <w:szCs w:val="21"/>
        </w:rPr>
      </w:pPr>
      <w:bookmarkStart w:id="589" w:name="_Toc4661466"/>
      <w:bookmarkEnd w:id="589"/>
      <w:bookmarkStart w:id="590" w:name="_Toc200513166"/>
      <w:bookmarkEnd w:id="590"/>
      <w:bookmarkStart w:id="591" w:name="_Toc40455683"/>
      <w:bookmarkEnd w:id="591"/>
      <w:bookmarkStart w:id="592" w:name="_Toc40455310"/>
      <w:bookmarkEnd w:id="592"/>
      <w:bookmarkStart w:id="593" w:name="_Toc277082592"/>
      <w:bookmarkEnd w:id="593"/>
      <w:bookmarkStart w:id="594" w:name="_Toc287607786"/>
      <w:bookmarkEnd w:id="594"/>
      <w:bookmarkStart w:id="595" w:name="_Toc4662180"/>
      <w:bookmarkEnd w:id="595"/>
      <w:bookmarkStart w:id="596" w:name="_Toc4661944"/>
      <w:bookmarkEnd w:id="596"/>
      <w:bookmarkStart w:id="597" w:name="_Toc40780292"/>
      <w:bookmarkEnd w:id="597"/>
      <w:bookmarkStart w:id="598" w:name="_Toc32622"/>
      <w:bookmarkEnd w:id="598"/>
      <w:bookmarkStart w:id="599" w:name="_Toc4661708"/>
      <w:bookmarkEnd w:id="599"/>
      <w:bookmarkStart w:id="600" w:name="_Toc224103357"/>
      <w:r>
        <w:rPr>
          <w:rFonts w:hint="eastAsia" w:ascii="宋体" w:hAnsi="宋体"/>
          <w:kern w:val="2"/>
          <w:sz w:val="21"/>
          <w:szCs w:val="21"/>
        </w:rPr>
        <w:t xml:space="preserve">7.2  </w:t>
      </w:r>
      <w:bookmarkEnd w:id="600"/>
      <w:r>
        <w:rPr>
          <w:rFonts w:hint="eastAsia" w:ascii="宋体" w:hAnsi="宋体" w:cs="宋体"/>
          <w:kern w:val="2"/>
          <w:sz w:val="21"/>
          <w:szCs w:val="21"/>
        </w:rPr>
        <w:t>中标通知</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在本章第</w:t>
      </w:r>
      <w:r>
        <w:rPr>
          <w:rFonts w:hint="eastAsia" w:ascii="宋体" w:hAnsi="宋体" w:cs="Calibri"/>
          <w:kern w:val="0"/>
          <w:szCs w:val="21"/>
          <w:lang w:bidi="ar"/>
        </w:rPr>
        <w:t xml:space="preserve"> 3.3 </w:t>
      </w:r>
      <w:r>
        <w:rPr>
          <w:rFonts w:hint="eastAsia" w:ascii="宋体" w:hAnsi="宋体" w:cs="宋体"/>
          <w:kern w:val="0"/>
          <w:szCs w:val="21"/>
          <w:lang w:bidi="ar"/>
        </w:rPr>
        <w:t>款规定的投标有效期内，采购人以书面形式向中标人发出中标通知书，同时将中标结果通知未中标的报价人。</w:t>
      </w:r>
    </w:p>
    <w:p>
      <w:pPr>
        <w:pStyle w:val="5"/>
        <w:widowControl/>
        <w:spacing w:before="0" w:after="0" w:line="300" w:lineRule="exact"/>
        <w:rPr>
          <w:rFonts w:ascii="宋体" w:hAnsi="宋体"/>
          <w:kern w:val="2"/>
          <w:sz w:val="21"/>
          <w:szCs w:val="21"/>
        </w:rPr>
      </w:pPr>
      <w:bookmarkStart w:id="601" w:name="_Toc277082593"/>
      <w:bookmarkEnd w:id="601"/>
      <w:bookmarkStart w:id="602" w:name="_Toc224103358"/>
      <w:bookmarkEnd w:id="602"/>
      <w:bookmarkStart w:id="603" w:name="_Toc200513167"/>
      <w:bookmarkEnd w:id="603"/>
      <w:bookmarkStart w:id="604" w:name="_Toc4661945"/>
      <w:bookmarkEnd w:id="604"/>
      <w:bookmarkStart w:id="605" w:name="_Toc6509"/>
      <w:bookmarkEnd w:id="605"/>
      <w:bookmarkStart w:id="606" w:name="_Toc4661709"/>
      <w:bookmarkEnd w:id="606"/>
      <w:bookmarkStart w:id="607" w:name="_Toc40780293"/>
      <w:bookmarkEnd w:id="607"/>
      <w:bookmarkStart w:id="608" w:name="_Toc40455684"/>
      <w:bookmarkEnd w:id="608"/>
      <w:bookmarkStart w:id="609" w:name="_Toc40455311"/>
      <w:bookmarkEnd w:id="609"/>
      <w:bookmarkStart w:id="610" w:name="_Toc287607787"/>
      <w:bookmarkEnd w:id="610"/>
      <w:bookmarkStart w:id="611" w:name="_Toc4661467"/>
      <w:bookmarkEnd w:id="611"/>
      <w:bookmarkStart w:id="612" w:name="_Toc4662181"/>
      <w:r>
        <w:rPr>
          <w:rFonts w:hint="eastAsia" w:ascii="宋体" w:hAnsi="宋体"/>
          <w:kern w:val="2"/>
          <w:sz w:val="21"/>
          <w:szCs w:val="21"/>
        </w:rPr>
        <w:t xml:space="preserve">7.3  </w:t>
      </w:r>
      <w:bookmarkEnd w:id="612"/>
      <w:r>
        <w:rPr>
          <w:rFonts w:hint="eastAsia" w:ascii="宋体" w:hAnsi="宋体" w:cs="宋体"/>
          <w:kern w:val="2"/>
          <w:sz w:val="21"/>
          <w:szCs w:val="21"/>
        </w:rPr>
        <w:t>履约担保</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7.3.1  </w:t>
      </w:r>
      <w:r>
        <w:rPr>
          <w:rFonts w:hint="eastAsia" w:ascii="宋体" w:hAnsi="宋体" w:cs="宋体"/>
          <w:kern w:val="0"/>
          <w:szCs w:val="21"/>
          <w:lang w:bidi="ar"/>
        </w:rPr>
        <w:t>在签订合同前，中标人应按报价人须知前附表规定的金额、担保形式和竞争性比选文件</w:t>
      </w:r>
      <w:r>
        <w:rPr>
          <w:rFonts w:hint="eastAsia" w:ascii="宋体" w:hAnsi="宋体" w:cs="Calibri"/>
          <w:kern w:val="0"/>
          <w:szCs w:val="21"/>
          <w:lang w:bidi="ar"/>
        </w:rPr>
        <w:t xml:space="preserve"> </w:t>
      </w:r>
      <w:r>
        <w:rPr>
          <w:rFonts w:hint="eastAsia" w:ascii="宋体" w:hAnsi="宋体" w:cs="宋体"/>
          <w:kern w:val="0"/>
          <w:szCs w:val="21"/>
          <w:lang w:bidi="ar"/>
        </w:rPr>
        <w:t>第四章</w:t>
      </w:r>
      <w:r>
        <w:rPr>
          <w:rFonts w:hint="eastAsia" w:ascii="宋体" w:hAnsi="宋体" w:cs="MingLiU"/>
          <w:kern w:val="0"/>
          <w:szCs w:val="21"/>
          <w:lang w:bidi="ar"/>
        </w:rPr>
        <w:t>“合同条款及格式”规定的履约担保格式向采购人提交履约担保。联合体中标的，其履约担保由牵头人递交，并应符合报价人须知前附表规定的金额、担保形式等缴纳履约保证金。</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7.3.2  </w:t>
      </w:r>
      <w:r>
        <w:rPr>
          <w:rFonts w:hint="eastAsia" w:ascii="宋体" w:hAnsi="宋体" w:cs="宋体"/>
          <w:kern w:val="0"/>
          <w:szCs w:val="21"/>
          <w:lang w:bidi="ar"/>
        </w:rPr>
        <w:t>中标人不能按本章第</w:t>
      </w:r>
      <w:r>
        <w:rPr>
          <w:rFonts w:hint="eastAsia" w:ascii="宋体" w:hAnsi="宋体" w:cs="Calibri"/>
          <w:kern w:val="0"/>
          <w:szCs w:val="21"/>
          <w:lang w:bidi="ar"/>
        </w:rPr>
        <w:t xml:space="preserve"> 7.3.1 </w:t>
      </w:r>
      <w:r>
        <w:rPr>
          <w:rFonts w:hint="eastAsia" w:ascii="宋体" w:hAnsi="宋体" w:cs="宋体"/>
          <w:kern w:val="0"/>
          <w:szCs w:val="21"/>
          <w:lang w:bidi="ar"/>
        </w:rPr>
        <w:t>项要求提交履约担保的，视为放弃中标，其投标保证金不予退还，给采购人造成的损失超过投标保证金数额的，中标人还应当对超过部分予以赔偿。</w:t>
      </w:r>
    </w:p>
    <w:p>
      <w:pPr>
        <w:pStyle w:val="5"/>
        <w:widowControl/>
        <w:spacing w:before="0" w:after="0" w:line="300" w:lineRule="exact"/>
        <w:rPr>
          <w:rFonts w:ascii="宋体" w:hAnsi="宋体"/>
          <w:kern w:val="2"/>
          <w:sz w:val="21"/>
          <w:szCs w:val="21"/>
        </w:rPr>
      </w:pPr>
      <w:bookmarkStart w:id="613" w:name="_Toc4661946"/>
      <w:bookmarkEnd w:id="613"/>
      <w:bookmarkStart w:id="614" w:name="_Toc4662182"/>
      <w:bookmarkEnd w:id="614"/>
      <w:bookmarkStart w:id="615" w:name="_Toc40780294"/>
      <w:bookmarkEnd w:id="615"/>
      <w:bookmarkStart w:id="616" w:name="_Toc224103359"/>
      <w:bookmarkEnd w:id="616"/>
      <w:bookmarkStart w:id="617" w:name="_Toc40455312"/>
      <w:bookmarkEnd w:id="617"/>
      <w:bookmarkStart w:id="618" w:name="_Toc200513168"/>
      <w:bookmarkEnd w:id="618"/>
      <w:bookmarkStart w:id="619" w:name="_Toc4661468"/>
      <w:bookmarkEnd w:id="619"/>
      <w:bookmarkStart w:id="620" w:name="_Toc12031"/>
      <w:bookmarkEnd w:id="620"/>
      <w:bookmarkStart w:id="621" w:name="_Toc277082594"/>
      <w:bookmarkEnd w:id="621"/>
      <w:bookmarkStart w:id="622" w:name="_Toc40455685"/>
      <w:bookmarkEnd w:id="622"/>
      <w:bookmarkStart w:id="623" w:name="_Toc4661710"/>
      <w:bookmarkEnd w:id="623"/>
      <w:bookmarkStart w:id="624" w:name="_Toc287607788"/>
      <w:r>
        <w:rPr>
          <w:rFonts w:hint="eastAsia" w:ascii="宋体" w:hAnsi="宋体"/>
          <w:kern w:val="2"/>
          <w:sz w:val="21"/>
          <w:szCs w:val="21"/>
        </w:rPr>
        <w:t xml:space="preserve">7.4  </w:t>
      </w:r>
      <w:bookmarkEnd w:id="624"/>
      <w:r>
        <w:rPr>
          <w:rFonts w:hint="eastAsia" w:ascii="宋体" w:hAnsi="宋体" w:cs="宋体"/>
          <w:kern w:val="2"/>
          <w:sz w:val="21"/>
          <w:szCs w:val="21"/>
        </w:rPr>
        <w:t>签订合同</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7.4.1 </w:t>
      </w:r>
      <w:r>
        <w:rPr>
          <w:rFonts w:hint="eastAsia" w:ascii="宋体" w:hAnsi="宋体" w:cs="宋体"/>
          <w:kern w:val="0"/>
          <w:szCs w:val="21"/>
          <w:lang w:bidi="ar"/>
        </w:rPr>
        <w:t>采购人和中标人应当自中标通知书发出之日起</w:t>
      </w:r>
      <w:r>
        <w:rPr>
          <w:rFonts w:hint="eastAsia" w:ascii="宋体" w:hAnsi="宋体" w:cs="Calibri"/>
          <w:kern w:val="0"/>
          <w:szCs w:val="21"/>
          <w:lang w:bidi="ar"/>
        </w:rPr>
        <w:t xml:space="preserve"> 30 </w:t>
      </w:r>
      <w:r>
        <w:rPr>
          <w:rFonts w:hint="eastAsia" w:ascii="宋体" w:hAnsi="宋体" w:cs="宋体"/>
          <w:kern w:val="0"/>
          <w:szCs w:val="21"/>
          <w:lang w:bidi="ar"/>
        </w:rPr>
        <w:t>天内，根据竞争性比选文件和中标人的比选响应文件订立书面合同。中标人无正当理由拒签合同的，采购人取消其中标资格，其投标保证金不予退还；给采购人造成的损失超过投标保证金数额的，中标人还应当对超过部分予以赔偿。</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7.4.2  </w:t>
      </w:r>
      <w:r>
        <w:rPr>
          <w:rFonts w:hint="eastAsia" w:ascii="宋体" w:hAnsi="宋体" w:cs="宋体"/>
          <w:kern w:val="0"/>
          <w:szCs w:val="21"/>
          <w:lang w:bidi="ar"/>
        </w:rPr>
        <w:t>发出中标通知书后，采购人无正当理由拒签合同的，采购人向中标人退还投标保证金；给中标人造成损失的，还应当赔偿损失。</w:t>
      </w:r>
    </w:p>
    <w:p>
      <w:pPr>
        <w:autoSpaceDE w:val="0"/>
        <w:autoSpaceDN w:val="0"/>
        <w:adjustRightInd w:val="0"/>
        <w:spacing w:line="300" w:lineRule="exact"/>
        <w:jc w:val="left"/>
        <w:rPr>
          <w:rFonts w:ascii="宋体" w:hAnsi="宋体"/>
          <w:b/>
          <w:szCs w:val="21"/>
        </w:rPr>
      </w:pPr>
      <w:bookmarkStart w:id="625" w:name="_Toc200513169"/>
      <w:bookmarkEnd w:id="625"/>
      <w:bookmarkStart w:id="626" w:name="_Toc8265"/>
      <w:bookmarkEnd w:id="626"/>
      <w:bookmarkStart w:id="627" w:name="_Toc287607789"/>
      <w:bookmarkEnd w:id="627"/>
      <w:bookmarkStart w:id="628" w:name="_Toc277082595"/>
      <w:bookmarkEnd w:id="628"/>
      <w:bookmarkStart w:id="629" w:name="_Toc4661711"/>
      <w:bookmarkEnd w:id="629"/>
      <w:bookmarkStart w:id="630" w:name="_Toc4661469"/>
      <w:bookmarkEnd w:id="630"/>
      <w:bookmarkStart w:id="631" w:name="_Toc40455313"/>
      <w:bookmarkEnd w:id="631"/>
      <w:bookmarkStart w:id="632" w:name="_Toc224103360"/>
      <w:bookmarkEnd w:id="632"/>
      <w:bookmarkStart w:id="633" w:name="_Toc4661947"/>
      <w:bookmarkEnd w:id="633"/>
      <w:bookmarkStart w:id="634" w:name="_Toc4662183"/>
      <w:bookmarkEnd w:id="634"/>
      <w:bookmarkStart w:id="635" w:name="_Toc40455686"/>
      <w:bookmarkEnd w:id="635"/>
      <w:bookmarkStart w:id="636" w:name="_Toc14976"/>
      <w:r>
        <w:rPr>
          <w:rFonts w:hint="eastAsia" w:ascii="宋体" w:hAnsi="宋体"/>
          <w:b/>
          <w:szCs w:val="21"/>
          <w:lang w:bidi="ar"/>
        </w:rPr>
        <w:t xml:space="preserve">8.  </w:t>
      </w:r>
      <w:bookmarkEnd w:id="636"/>
      <w:bookmarkStart w:id="637" w:name="_Toc4661950"/>
      <w:bookmarkEnd w:id="637"/>
      <w:bookmarkStart w:id="638" w:name="_Toc224103363"/>
      <w:bookmarkEnd w:id="638"/>
      <w:bookmarkStart w:id="639" w:name="_Toc200513172"/>
      <w:bookmarkEnd w:id="639"/>
      <w:bookmarkStart w:id="640" w:name="_Toc4661472"/>
      <w:bookmarkEnd w:id="640"/>
      <w:bookmarkStart w:id="641" w:name="_Toc4662186"/>
      <w:bookmarkEnd w:id="641"/>
      <w:bookmarkStart w:id="642" w:name="_Toc40455316"/>
      <w:bookmarkEnd w:id="642"/>
      <w:bookmarkStart w:id="643" w:name="_Toc277082598"/>
      <w:bookmarkEnd w:id="643"/>
      <w:bookmarkStart w:id="644" w:name="_Toc40455689"/>
      <w:bookmarkEnd w:id="644"/>
      <w:bookmarkStart w:id="645" w:name="_Toc4661714"/>
      <w:bookmarkEnd w:id="645"/>
      <w:bookmarkStart w:id="646" w:name="_Toc14831"/>
      <w:bookmarkEnd w:id="646"/>
      <w:bookmarkStart w:id="647" w:name="_Toc31835"/>
      <w:bookmarkEnd w:id="647"/>
      <w:bookmarkStart w:id="648" w:name="_Toc287607792"/>
      <w:bookmarkEnd w:id="648"/>
      <w:r>
        <w:rPr>
          <w:rFonts w:hint="eastAsia" w:ascii="宋体" w:hAnsi="宋体"/>
          <w:b/>
          <w:szCs w:val="21"/>
          <w:lang w:bidi="ar"/>
        </w:rPr>
        <w:t xml:space="preserve"> </w:t>
      </w:r>
      <w:r>
        <w:rPr>
          <w:rFonts w:hint="eastAsia" w:ascii="宋体" w:hAnsi="宋体" w:cs="宋体"/>
          <w:b/>
          <w:szCs w:val="21"/>
          <w:lang w:bidi="ar"/>
        </w:rPr>
        <w:t>纪律和监督</w:t>
      </w:r>
    </w:p>
    <w:p>
      <w:pPr>
        <w:pStyle w:val="5"/>
        <w:widowControl/>
        <w:spacing w:before="0" w:after="0" w:line="300" w:lineRule="exact"/>
        <w:rPr>
          <w:rFonts w:ascii="宋体" w:hAnsi="宋体"/>
          <w:kern w:val="2"/>
          <w:sz w:val="21"/>
          <w:szCs w:val="21"/>
        </w:rPr>
      </w:pPr>
      <w:bookmarkStart w:id="649" w:name="_Toc277082599"/>
      <w:bookmarkEnd w:id="649"/>
      <w:bookmarkStart w:id="650" w:name="_Toc4661715"/>
      <w:bookmarkEnd w:id="650"/>
      <w:bookmarkStart w:id="651" w:name="_Toc40455690"/>
      <w:bookmarkEnd w:id="651"/>
      <w:bookmarkStart w:id="652" w:name="_Toc287607793"/>
      <w:bookmarkEnd w:id="652"/>
      <w:bookmarkStart w:id="653" w:name="_Toc200513173"/>
      <w:bookmarkEnd w:id="653"/>
      <w:bookmarkStart w:id="654" w:name="_Toc4661473"/>
      <w:bookmarkEnd w:id="654"/>
      <w:bookmarkStart w:id="655" w:name="_Toc224103364"/>
      <w:bookmarkEnd w:id="655"/>
      <w:bookmarkStart w:id="656" w:name="_Toc40455317"/>
      <w:bookmarkEnd w:id="656"/>
      <w:bookmarkStart w:id="657" w:name="_Toc40780299"/>
      <w:bookmarkEnd w:id="657"/>
      <w:bookmarkStart w:id="658" w:name="_Toc8515"/>
      <w:bookmarkEnd w:id="658"/>
      <w:bookmarkStart w:id="659" w:name="_Toc4662187"/>
      <w:bookmarkEnd w:id="659"/>
      <w:bookmarkStart w:id="660" w:name="_Toc4661951"/>
      <w:r>
        <w:rPr>
          <w:rFonts w:hint="eastAsia" w:ascii="宋体" w:hAnsi="宋体"/>
          <w:kern w:val="2"/>
          <w:sz w:val="21"/>
          <w:szCs w:val="21"/>
        </w:rPr>
        <w:t>8</w:t>
      </w:r>
      <w:bookmarkEnd w:id="660"/>
      <w:r>
        <w:rPr>
          <w:rFonts w:hint="eastAsia" w:ascii="宋体" w:hAnsi="宋体"/>
          <w:kern w:val="2"/>
          <w:sz w:val="21"/>
          <w:szCs w:val="21"/>
        </w:rPr>
        <w:t xml:space="preserve">.1  </w:t>
      </w:r>
      <w:r>
        <w:rPr>
          <w:rFonts w:hint="eastAsia" w:ascii="宋体" w:hAnsi="宋体" w:cs="宋体"/>
          <w:kern w:val="2"/>
          <w:sz w:val="21"/>
          <w:szCs w:val="21"/>
        </w:rPr>
        <w:t>对采购人的纪律要求</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采购人不得泄漏竞争性比选投标活动中应当保密的情况和资料，不得与报价人串通损害国家利益、社会公共利益或者他人合法权益，</w:t>
      </w:r>
      <w:r>
        <w:rPr>
          <w:rFonts w:hint="eastAsia" w:ascii="宋体" w:hAnsi="宋体" w:cs="宋体"/>
          <w:szCs w:val="21"/>
          <w:lang w:bidi="ar"/>
        </w:rPr>
        <w:t>禁止采购人与报价人串通投标。</w:t>
      </w:r>
      <w:r>
        <w:rPr>
          <w:rFonts w:hint="eastAsia" w:ascii="宋体" w:hAnsi="宋体" w:cs="Calibri"/>
          <w:szCs w:val="21"/>
          <w:lang w:bidi="ar"/>
        </w:rPr>
        <w:br w:type="textWrapping"/>
      </w:r>
      <w:r>
        <w:rPr>
          <w:rFonts w:hint="eastAsia" w:ascii="宋体" w:hAnsi="宋体" w:cs="Calibri"/>
          <w:szCs w:val="21"/>
          <w:lang w:bidi="ar"/>
        </w:rPr>
        <w:t xml:space="preserve">   有下列情形之一的，属于采购人与报价人串通投标：</w:t>
      </w:r>
      <w:r>
        <w:rPr>
          <w:rFonts w:hint="eastAsia" w:ascii="宋体" w:hAnsi="宋体" w:cs="Calibri"/>
          <w:szCs w:val="21"/>
          <w:lang w:bidi="ar"/>
        </w:rPr>
        <w:br w:type="textWrapping"/>
      </w:r>
      <w:r>
        <w:rPr>
          <w:rFonts w:hint="eastAsia" w:ascii="宋体" w:hAnsi="宋体" w:cs="Calibri"/>
          <w:szCs w:val="21"/>
          <w:lang w:bidi="ar"/>
        </w:rPr>
        <w:t xml:space="preserve">  （1）采购人在开标前开启比选响应文件并将有关信息泄露给其他报价人;</w:t>
      </w:r>
      <w:r>
        <w:rPr>
          <w:rFonts w:hint="eastAsia" w:ascii="宋体" w:hAnsi="宋体" w:cs="Calibri"/>
          <w:szCs w:val="21"/>
          <w:lang w:bidi="ar"/>
        </w:rPr>
        <w:br w:type="textWrapping"/>
      </w:r>
      <w:r>
        <w:rPr>
          <w:rFonts w:hint="eastAsia" w:ascii="宋体" w:hAnsi="宋体" w:cs="Calibri"/>
          <w:szCs w:val="21"/>
          <w:lang w:bidi="ar"/>
        </w:rPr>
        <w:t xml:space="preserve">  （2）采购人直接或者间接向报价人泄露标底、评标委员会成员等信息；</w:t>
      </w:r>
      <w:r>
        <w:rPr>
          <w:rFonts w:hint="eastAsia" w:ascii="宋体" w:hAnsi="宋体" w:cs="Calibri"/>
          <w:szCs w:val="21"/>
          <w:lang w:bidi="ar"/>
        </w:rPr>
        <w:br w:type="textWrapping"/>
      </w:r>
      <w:r>
        <w:rPr>
          <w:rFonts w:hint="eastAsia" w:ascii="宋体" w:hAnsi="宋体" w:cs="Calibri"/>
          <w:szCs w:val="21"/>
          <w:lang w:bidi="ar"/>
        </w:rPr>
        <w:t xml:space="preserve">  （3）采购人明示或者暗示报价人压低或者抬高投标报价；</w:t>
      </w:r>
      <w:r>
        <w:rPr>
          <w:rFonts w:hint="eastAsia" w:ascii="宋体" w:hAnsi="宋体" w:cs="Calibri"/>
          <w:szCs w:val="21"/>
          <w:lang w:bidi="ar"/>
        </w:rPr>
        <w:br w:type="textWrapping"/>
      </w:r>
      <w:r>
        <w:rPr>
          <w:rFonts w:hint="eastAsia" w:ascii="宋体" w:hAnsi="宋体" w:cs="Calibri"/>
          <w:szCs w:val="21"/>
          <w:lang w:bidi="ar"/>
        </w:rPr>
        <w:t xml:space="preserve">  （4）采购人授意报价人撤换、修改比选响应文件；</w:t>
      </w:r>
      <w:r>
        <w:rPr>
          <w:rFonts w:hint="eastAsia" w:ascii="宋体" w:hAnsi="宋体" w:cs="Calibri"/>
          <w:szCs w:val="21"/>
          <w:lang w:bidi="ar"/>
        </w:rPr>
        <w:br w:type="textWrapping"/>
      </w:r>
      <w:r>
        <w:rPr>
          <w:rFonts w:hint="eastAsia" w:ascii="宋体" w:hAnsi="宋体" w:cs="Calibri"/>
          <w:szCs w:val="21"/>
          <w:lang w:bidi="ar"/>
        </w:rPr>
        <w:t xml:space="preserve">  （5）采购人明示或者暗示报价人为特定报价人中标提供方便；</w:t>
      </w:r>
      <w:r>
        <w:rPr>
          <w:rFonts w:hint="eastAsia" w:ascii="宋体" w:hAnsi="宋体" w:cs="Calibri"/>
          <w:szCs w:val="21"/>
          <w:lang w:bidi="ar"/>
        </w:rPr>
        <w:br w:type="textWrapping"/>
      </w:r>
      <w:r>
        <w:rPr>
          <w:rFonts w:hint="eastAsia" w:ascii="宋体" w:hAnsi="宋体" w:cs="Calibri"/>
          <w:szCs w:val="21"/>
          <w:lang w:bidi="ar"/>
        </w:rPr>
        <w:t xml:space="preserve">  （6）采购人与报价人为谋求特定报价人中标而采取的其他串通行为。</w:t>
      </w:r>
    </w:p>
    <w:p>
      <w:pPr>
        <w:pStyle w:val="5"/>
        <w:widowControl/>
        <w:spacing w:before="0" w:after="0" w:line="300" w:lineRule="exact"/>
        <w:rPr>
          <w:rFonts w:ascii="宋体" w:hAnsi="宋体"/>
          <w:kern w:val="2"/>
          <w:sz w:val="21"/>
          <w:szCs w:val="21"/>
        </w:rPr>
      </w:pPr>
      <w:bookmarkStart w:id="661" w:name="_Toc19536"/>
      <w:bookmarkEnd w:id="661"/>
      <w:bookmarkStart w:id="662" w:name="_Toc4661474"/>
      <w:bookmarkEnd w:id="662"/>
      <w:bookmarkStart w:id="663" w:name="_Toc40780300"/>
      <w:bookmarkEnd w:id="663"/>
      <w:bookmarkStart w:id="664" w:name="_Toc4662188"/>
      <w:bookmarkEnd w:id="664"/>
      <w:bookmarkStart w:id="665" w:name="_Toc40455318"/>
      <w:bookmarkEnd w:id="665"/>
      <w:bookmarkStart w:id="666" w:name="_Toc40455691"/>
      <w:bookmarkEnd w:id="666"/>
      <w:bookmarkStart w:id="667" w:name="_Toc224103365"/>
      <w:bookmarkEnd w:id="667"/>
      <w:bookmarkStart w:id="668" w:name="_Toc4661952"/>
      <w:bookmarkEnd w:id="668"/>
      <w:bookmarkStart w:id="669" w:name="_Toc287607794"/>
      <w:bookmarkEnd w:id="669"/>
      <w:bookmarkStart w:id="670" w:name="_Toc4661716"/>
      <w:bookmarkEnd w:id="670"/>
      <w:bookmarkStart w:id="671" w:name="_Toc200513174"/>
      <w:bookmarkEnd w:id="671"/>
      <w:bookmarkStart w:id="672" w:name="_Toc277082600"/>
      <w:r>
        <w:rPr>
          <w:rFonts w:hint="eastAsia" w:ascii="宋体" w:hAnsi="宋体"/>
          <w:kern w:val="2"/>
          <w:sz w:val="21"/>
          <w:szCs w:val="21"/>
        </w:rPr>
        <w:t>8</w:t>
      </w:r>
      <w:bookmarkEnd w:id="672"/>
      <w:r>
        <w:rPr>
          <w:rFonts w:hint="eastAsia" w:ascii="宋体" w:hAnsi="宋体"/>
          <w:kern w:val="2"/>
          <w:sz w:val="21"/>
          <w:szCs w:val="21"/>
        </w:rPr>
        <w:t xml:space="preserve">.2  </w:t>
      </w:r>
      <w:r>
        <w:rPr>
          <w:rFonts w:hint="eastAsia" w:ascii="宋体" w:hAnsi="宋体" w:cs="宋体"/>
          <w:kern w:val="2"/>
          <w:sz w:val="21"/>
          <w:szCs w:val="21"/>
        </w:rPr>
        <w:t>对报价人的纪律要求</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kern w:val="0"/>
          <w:szCs w:val="21"/>
          <w:lang w:bidi="ar"/>
        </w:rPr>
        <w:t>报价人不得相互串通投标或者与采购人串通投标，不得向采购人或者评标委员会成员行贿谋取中标，不得以他人名义投标或者以其他方式弄虚作假骗取中标；报价人不得以任何方式干扰、影响评标工作。</w:t>
      </w:r>
    </w:p>
    <w:p>
      <w:pPr>
        <w:autoSpaceDE w:val="0"/>
        <w:autoSpaceDN w:val="0"/>
        <w:adjustRightInd w:val="0"/>
        <w:spacing w:line="300" w:lineRule="exact"/>
        <w:ind w:firstLine="420"/>
        <w:rPr>
          <w:rFonts w:ascii="宋体" w:hAnsi="宋体" w:cs="Calibri"/>
          <w:szCs w:val="21"/>
        </w:rPr>
      </w:pPr>
      <w:r>
        <w:rPr>
          <w:rFonts w:hint="eastAsia" w:ascii="宋体" w:hAnsi="宋体" w:cs="Calibri"/>
          <w:szCs w:val="21"/>
          <w:lang w:bidi="ar"/>
        </w:rPr>
        <w:t>8.2.1有下列情形之一的，属于报价人相互串通投标：</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1）报价人之间协商投标报价等比选响应文件的实质性内容；</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2）报价人之间约定中标人；</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3）报价人之间约定部分报价人放弃投标或者中标；</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4）属于同一集团、协会、商会等组织成员的报价人按照该组织要求协同投标；</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5）报价人之间为谋取中标或者排斥特定报价人而采取的其他联合行动。</w:t>
      </w:r>
    </w:p>
    <w:p>
      <w:pPr>
        <w:autoSpaceDE w:val="0"/>
        <w:autoSpaceDN w:val="0"/>
        <w:adjustRightInd w:val="0"/>
        <w:spacing w:line="300" w:lineRule="exact"/>
        <w:ind w:firstLine="420"/>
        <w:rPr>
          <w:rFonts w:ascii="宋体" w:hAnsi="宋体" w:cs="Calibri"/>
          <w:szCs w:val="21"/>
        </w:rPr>
      </w:pPr>
      <w:r>
        <w:rPr>
          <w:rFonts w:hint="eastAsia" w:ascii="宋体" w:hAnsi="宋体" w:cs="Calibri"/>
          <w:szCs w:val="21"/>
          <w:lang w:bidi="ar"/>
        </w:rPr>
        <w:t>8.2.2有下列情形之一的，视为报价人相互串通投标：</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1）不同报价人的比选响应文件由同一单位或者个人编制；</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2）不同报价人委托同一单位或者个人办理投标事宜；</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3）不同报价人的比选响应文件载明的项目管理成员为同一人；</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4）不同报价人的比选响应文件异常一致或者投标报价呈规律性差异；</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5）不同报价人的比选响应文件相互混装；</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6）不同报价人的投标保证金从同一单位或者个人的账户转出。</w:t>
      </w:r>
    </w:p>
    <w:p>
      <w:pPr>
        <w:autoSpaceDE w:val="0"/>
        <w:autoSpaceDN w:val="0"/>
        <w:adjustRightInd w:val="0"/>
        <w:spacing w:line="300" w:lineRule="exact"/>
        <w:ind w:firstLine="420"/>
        <w:rPr>
          <w:rFonts w:ascii="宋体" w:hAnsi="宋体" w:cs="Calibri"/>
          <w:szCs w:val="21"/>
        </w:rPr>
      </w:pPr>
      <w:r>
        <w:rPr>
          <w:rFonts w:hint="eastAsia" w:ascii="宋体" w:hAnsi="宋体" w:cs="Calibri"/>
          <w:szCs w:val="21"/>
          <w:lang w:bidi="ar"/>
        </w:rPr>
        <w:t>8.2.3使用通过受让或者租借等方式获取的资格、资质证书投标的，属于以他人名义投标。</w:t>
      </w:r>
    </w:p>
    <w:p>
      <w:pPr>
        <w:autoSpaceDE w:val="0"/>
        <w:autoSpaceDN w:val="0"/>
        <w:adjustRightInd w:val="0"/>
        <w:spacing w:line="300" w:lineRule="exact"/>
        <w:ind w:firstLine="420"/>
        <w:rPr>
          <w:rFonts w:ascii="宋体" w:hAnsi="宋体" w:cs="Calibri"/>
          <w:szCs w:val="21"/>
        </w:rPr>
      </w:pPr>
      <w:r>
        <w:rPr>
          <w:rFonts w:hint="eastAsia" w:ascii="宋体" w:hAnsi="宋体" w:cs="Calibri"/>
          <w:szCs w:val="21"/>
          <w:lang w:bidi="ar"/>
        </w:rPr>
        <w:t>8.2.4报价人有下列情形之一的，属于以其他方式弄虚作假的行为：</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1）使用伪造、变造的许可证件；</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2）提供虚假的财务状况或者业绩；</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3）提供虚假的项目负责人或者主要技术人员简历、劳动关系证明；</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4）提供虚假的信用状况；</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szCs w:val="21"/>
          <w:lang w:bidi="ar"/>
        </w:rPr>
        <w:t>（</w:t>
      </w:r>
      <w:r>
        <w:rPr>
          <w:rFonts w:hint="eastAsia" w:ascii="宋体" w:hAnsi="宋体" w:cs="Calibri"/>
          <w:szCs w:val="21"/>
          <w:lang w:bidi="ar"/>
        </w:rPr>
        <w:t>5）其他弄虚作假的行为。</w:t>
      </w:r>
    </w:p>
    <w:p>
      <w:pPr>
        <w:pStyle w:val="5"/>
        <w:widowControl/>
        <w:spacing w:before="0" w:after="0" w:line="300" w:lineRule="exact"/>
        <w:rPr>
          <w:rFonts w:ascii="宋体" w:hAnsi="宋体"/>
          <w:kern w:val="2"/>
          <w:sz w:val="21"/>
          <w:szCs w:val="21"/>
        </w:rPr>
      </w:pPr>
      <w:bookmarkStart w:id="673" w:name="_Toc277082601"/>
      <w:bookmarkEnd w:id="673"/>
      <w:bookmarkStart w:id="674" w:name="_Toc4661717"/>
      <w:bookmarkEnd w:id="674"/>
      <w:bookmarkStart w:id="675" w:name="_Toc40780301"/>
      <w:bookmarkEnd w:id="675"/>
      <w:bookmarkStart w:id="676" w:name="_Toc4661475"/>
      <w:bookmarkEnd w:id="676"/>
      <w:bookmarkStart w:id="677" w:name="_Toc224103366"/>
      <w:bookmarkEnd w:id="677"/>
      <w:bookmarkStart w:id="678" w:name="_Toc4662189"/>
      <w:bookmarkEnd w:id="678"/>
      <w:bookmarkStart w:id="679" w:name="_Toc287607795"/>
      <w:bookmarkEnd w:id="679"/>
      <w:bookmarkStart w:id="680" w:name="_Toc6459"/>
      <w:bookmarkEnd w:id="680"/>
      <w:bookmarkStart w:id="681" w:name="_Toc40455319"/>
      <w:bookmarkEnd w:id="681"/>
      <w:bookmarkStart w:id="682" w:name="_Toc200513175"/>
      <w:bookmarkEnd w:id="682"/>
      <w:bookmarkStart w:id="683" w:name="_Toc40455692"/>
      <w:bookmarkEnd w:id="683"/>
      <w:bookmarkStart w:id="684" w:name="_Toc4661953"/>
      <w:r>
        <w:rPr>
          <w:rFonts w:hint="eastAsia" w:ascii="宋体" w:hAnsi="宋体"/>
          <w:kern w:val="2"/>
          <w:sz w:val="21"/>
          <w:szCs w:val="21"/>
        </w:rPr>
        <w:t>8</w:t>
      </w:r>
      <w:bookmarkEnd w:id="684"/>
      <w:r>
        <w:rPr>
          <w:rFonts w:hint="eastAsia" w:ascii="宋体" w:hAnsi="宋体"/>
          <w:kern w:val="2"/>
          <w:sz w:val="21"/>
          <w:szCs w:val="21"/>
        </w:rPr>
        <w:t xml:space="preserve">.3  </w:t>
      </w:r>
      <w:r>
        <w:rPr>
          <w:rFonts w:hint="eastAsia" w:ascii="宋体" w:hAnsi="宋体" w:cs="宋体"/>
          <w:kern w:val="2"/>
          <w:sz w:val="21"/>
          <w:szCs w:val="21"/>
        </w:rPr>
        <w:t>对评标委员会成员的纪律要求</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kern w:val="0"/>
          <w:szCs w:val="21"/>
          <w:lang w:bidi="ar"/>
        </w:rPr>
        <w:t>评标委员会成员不得收受他人的财物或者其他好处，不得向他人透漏对比选响应文件的评审和比较、中标候选人的推荐情况以及评标有关的其他情况。在评标活动中，评标委员会成员不得擅离职守，影响评标程序正常进行，不得使用第三章</w:t>
      </w:r>
      <w:r>
        <w:rPr>
          <w:rFonts w:hint="eastAsia" w:ascii="宋体" w:hAnsi="宋体" w:cs="MingLiU"/>
          <w:kern w:val="0"/>
          <w:szCs w:val="21"/>
          <w:lang w:bidi="ar"/>
        </w:rPr>
        <w:t>“评标办法”没有规定的评审因素和标准进行评标。</w:t>
      </w:r>
    </w:p>
    <w:p>
      <w:pPr>
        <w:pStyle w:val="5"/>
        <w:widowControl/>
        <w:spacing w:before="0" w:after="0" w:line="300" w:lineRule="exact"/>
        <w:rPr>
          <w:rFonts w:ascii="宋体" w:hAnsi="宋体"/>
          <w:kern w:val="2"/>
          <w:sz w:val="21"/>
          <w:szCs w:val="21"/>
        </w:rPr>
      </w:pPr>
      <w:bookmarkStart w:id="685" w:name="_Toc40780302"/>
      <w:bookmarkEnd w:id="685"/>
      <w:bookmarkStart w:id="686" w:name="_Toc40455320"/>
      <w:bookmarkEnd w:id="686"/>
      <w:bookmarkStart w:id="687" w:name="_Toc287607796"/>
      <w:bookmarkEnd w:id="687"/>
      <w:bookmarkStart w:id="688" w:name="_Toc224103367"/>
      <w:bookmarkEnd w:id="688"/>
      <w:bookmarkStart w:id="689" w:name="_Toc277082602"/>
      <w:bookmarkEnd w:id="689"/>
      <w:bookmarkStart w:id="690" w:name="_Toc4662190"/>
      <w:bookmarkEnd w:id="690"/>
      <w:bookmarkStart w:id="691" w:name="_Toc4661954"/>
      <w:bookmarkEnd w:id="691"/>
      <w:bookmarkStart w:id="692" w:name="_Toc40455693"/>
      <w:bookmarkEnd w:id="692"/>
      <w:bookmarkStart w:id="693" w:name="_Toc13495"/>
      <w:bookmarkEnd w:id="693"/>
      <w:bookmarkStart w:id="694" w:name="_Toc4661476"/>
      <w:bookmarkEnd w:id="694"/>
      <w:bookmarkStart w:id="695" w:name="_Toc200513176"/>
      <w:bookmarkEnd w:id="695"/>
      <w:bookmarkStart w:id="696" w:name="_Toc4661718"/>
      <w:r>
        <w:rPr>
          <w:rFonts w:hint="eastAsia" w:ascii="宋体" w:hAnsi="宋体"/>
          <w:kern w:val="2"/>
          <w:sz w:val="21"/>
          <w:szCs w:val="21"/>
        </w:rPr>
        <w:t>8</w:t>
      </w:r>
      <w:bookmarkEnd w:id="696"/>
      <w:r>
        <w:rPr>
          <w:rFonts w:hint="eastAsia" w:ascii="宋体" w:hAnsi="宋体"/>
          <w:kern w:val="2"/>
          <w:sz w:val="21"/>
          <w:szCs w:val="21"/>
        </w:rPr>
        <w:t xml:space="preserve">.4  </w:t>
      </w:r>
      <w:r>
        <w:rPr>
          <w:rFonts w:hint="eastAsia" w:ascii="宋体" w:hAnsi="宋体" w:cs="宋体"/>
          <w:kern w:val="2"/>
          <w:sz w:val="21"/>
          <w:szCs w:val="21"/>
        </w:rPr>
        <w:t>对与评标活动有关的工作人员的纪律要求</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kern w:val="0"/>
          <w:szCs w:val="21"/>
          <w:lang w:bidi="ar"/>
        </w:rPr>
        <w:t>与评标活动有关的工作人员不得收受他人的财物或者其他好处，不得向他人透漏对比选响应文件的评审和比较、中标候选人的推荐情况以及与评标有关的其他情况。在评标活动中，与评标活动有关的工作人员不得擅离职守，影响评标程序正常进行。</w:t>
      </w:r>
    </w:p>
    <w:p>
      <w:pPr>
        <w:pStyle w:val="5"/>
        <w:widowControl/>
        <w:spacing w:before="0" w:after="0" w:line="300" w:lineRule="exact"/>
        <w:rPr>
          <w:rFonts w:ascii="宋体" w:hAnsi="宋体"/>
          <w:kern w:val="2"/>
          <w:sz w:val="21"/>
          <w:szCs w:val="21"/>
        </w:rPr>
      </w:pPr>
      <w:bookmarkStart w:id="697" w:name="_Toc4661719"/>
      <w:bookmarkEnd w:id="697"/>
      <w:bookmarkStart w:id="698" w:name="_Toc40780303"/>
      <w:bookmarkEnd w:id="698"/>
      <w:bookmarkStart w:id="699" w:name="_Toc4662191"/>
      <w:bookmarkEnd w:id="699"/>
      <w:bookmarkStart w:id="700" w:name="_Toc224103368"/>
      <w:bookmarkEnd w:id="700"/>
      <w:bookmarkStart w:id="701" w:name="_Toc4661477"/>
      <w:bookmarkEnd w:id="701"/>
      <w:bookmarkStart w:id="702" w:name="_Toc40455321"/>
      <w:bookmarkEnd w:id="702"/>
      <w:bookmarkStart w:id="703" w:name="_Toc287607797"/>
      <w:bookmarkEnd w:id="703"/>
      <w:bookmarkStart w:id="704" w:name="_Toc22072"/>
      <w:bookmarkEnd w:id="704"/>
      <w:bookmarkStart w:id="705" w:name="_Toc200513177"/>
      <w:bookmarkEnd w:id="705"/>
      <w:bookmarkStart w:id="706" w:name="_Toc40455694"/>
      <w:bookmarkEnd w:id="706"/>
      <w:bookmarkStart w:id="707" w:name="_Toc277082603"/>
      <w:bookmarkEnd w:id="707"/>
      <w:bookmarkStart w:id="708" w:name="_Toc4661955"/>
      <w:r>
        <w:rPr>
          <w:rFonts w:hint="eastAsia" w:ascii="宋体" w:hAnsi="宋体"/>
          <w:kern w:val="2"/>
          <w:sz w:val="21"/>
          <w:szCs w:val="21"/>
        </w:rPr>
        <w:t>8</w:t>
      </w:r>
      <w:bookmarkEnd w:id="708"/>
      <w:r>
        <w:rPr>
          <w:rFonts w:hint="eastAsia" w:ascii="宋体" w:hAnsi="宋体"/>
          <w:kern w:val="2"/>
          <w:sz w:val="21"/>
          <w:szCs w:val="21"/>
        </w:rPr>
        <w:t xml:space="preserve">.5  </w:t>
      </w:r>
      <w:r>
        <w:rPr>
          <w:rFonts w:hint="eastAsia" w:ascii="宋体" w:hAnsi="宋体" w:cs="宋体"/>
          <w:kern w:val="2"/>
          <w:sz w:val="21"/>
          <w:szCs w:val="21"/>
        </w:rPr>
        <w:t>投诉</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报价人和其他利害关系人认为本次竞争性比选活动违反法律、法规和规章规定的，有权向有关监督部门投诉。具体见报价人须知前附表。</w:t>
      </w:r>
    </w:p>
    <w:p>
      <w:pPr>
        <w:pStyle w:val="5"/>
        <w:widowControl/>
        <w:spacing w:before="0" w:after="0" w:line="300" w:lineRule="exact"/>
        <w:rPr>
          <w:rFonts w:ascii="宋体" w:hAnsi="宋体"/>
          <w:kern w:val="2"/>
          <w:sz w:val="21"/>
          <w:szCs w:val="21"/>
        </w:rPr>
      </w:pPr>
      <w:bookmarkStart w:id="709" w:name="_Toc4661478"/>
      <w:bookmarkEnd w:id="709"/>
      <w:bookmarkStart w:id="710" w:name="_Toc287607798"/>
      <w:bookmarkEnd w:id="710"/>
      <w:bookmarkStart w:id="711" w:name="_Toc40455695"/>
      <w:bookmarkEnd w:id="711"/>
      <w:bookmarkStart w:id="712" w:name="_Toc26060"/>
      <w:bookmarkEnd w:id="712"/>
      <w:bookmarkStart w:id="713" w:name="_Toc4662192"/>
      <w:bookmarkEnd w:id="713"/>
      <w:bookmarkStart w:id="714" w:name="_Toc4661956"/>
      <w:bookmarkEnd w:id="714"/>
      <w:bookmarkStart w:id="715" w:name="_Toc4661720"/>
      <w:bookmarkEnd w:id="715"/>
      <w:bookmarkStart w:id="716" w:name="_Toc287620737"/>
      <w:bookmarkEnd w:id="716"/>
      <w:bookmarkStart w:id="717" w:name="_Toc277082604"/>
      <w:bookmarkEnd w:id="717"/>
      <w:bookmarkStart w:id="718" w:name="_Toc40455322"/>
      <w:bookmarkEnd w:id="718"/>
      <w:bookmarkStart w:id="719" w:name="_Toc224103369"/>
      <w:bookmarkEnd w:id="719"/>
      <w:bookmarkStart w:id="720" w:name="_Toc200513178"/>
      <w:r>
        <w:rPr>
          <w:rFonts w:hint="eastAsia" w:ascii="宋体" w:hAnsi="宋体"/>
          <w:kern w:val="2"/>
          <w:sz w:val="21"/>
          <w:szCs w:val="21"/>
        </w:rPr>
        <w:t>9</w:t>
      </w:r>
      <w:bookmarkEnd w:id="720"/>
      <w:r>
        <w:rPr>
          <w:rFonts w:hint="eastAsia" w:ascii="宋体" w:hAnsi="宋体"/>
          <w:kern w:val="2"/>
          <w:sz w:val="21"/>
          <w:szCs w:val="21"/>
        </w:rPr>
        <w:t>.</w:t>
      </w:r>
      <w:r>
        <w:rPr>
          <w:rFonts w:hint="eastAsia" w:ascii="宋体" w:hAnsi="宋体" w:cs="宋体"/>
          <w:kern w:val="2"/>
          <w:sz w:val="21"/>
          <w:szCs w:val="21"/>
        </w:rPr>
        <w:t>是否采用电子竞争性比选投标</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本竞争性比选项目是否采用电子竞争性比选投标方式：见报价人须知前附表。</w:t>
      </w:r>
    </w:p>
    <w:p>
      <w:pPr>
        <w:pStyle w:val="5"/>
        <w:widowControl/>
        <w:spacing w:before="0" w:after="0" w:line="300" w:lineRule="exact"/>
        <w:rPr>
          <w:rFonts w:ascii="宋体" w:hAnsi="宋体" w:cs="宋体"/>
          <w:sz w:val="28"/>
          <w:szCs w:val="28"/>
        </w:rPr>
        <w:sectPr>
          <w:footerReference r:id="rId7" w:type="default"/>
          <w:pgSz w:w="11906" w:h="16838"/>
          <w:pgMar w:top="1418" w:right="1134" w:bottom="1418" w:left="1134" w:header="851" w:footer="992" w:gutter="0"/>
          <w:pgNumType w:start="1"/>
          <w:cols w:space="720" w:num="1"/>
          <w:docGrid w:type="lines" w:linePitch="312" w:charSpace="0"/>
        </w:sectPr>
      </w:pPr>
      <w:r>
        <w:rPr>
          <w:rFonts w:hint="eastAsia" w:ascii="宋体" w:hAnsi="宋体"/>
          <w:kern w:val="2"/>
          <w:sz w:val="21"/>
          <w:szCs w:val="21"/>
        </w:rPr>
        <w:t>10.需要补充的其他内容</w:t>
      </w:r>
    </w:p>
    <w:p>
      <w:pPr>
        <w:pStyle w:val="4"/>
        <w:jc w:val="center"/>
        <w:rPr>
          <w:rFonts w:ascii="宋体" w:hAnsi="宋体" w:eastAsia="宋体" w:cs="宋体"/>
          <w:bCs w:val="0"/>
          <w:sz w:val="28"/>
          <w:szCs w:val="28"/>
        </w:rPr>
      </w:pPr>
      <w:bookmarkStart w:id="721" w:name="_Toc11284"/>
      <w:bookmarkStart w:id="722" w:name="_Toc11329222"/>
      <w:bookmarkStart w:id="723" w:name="_Toc30198"/>
      <w:bookmarkStart w:id="724" w:name="_Toc17532"/>
      <w:bookmarkStart w:id="725" w:name="_Toc20301"/>
      <w:r>
        <w:rPr>
          <w:rFonts w:hint="eastAsia" w:ascii="宋体" w:hAnsi="宋体" w:eastAsia="宋体" w:cs="宋体"/>
          <w:sz w:val="28"/>
          <w:szCs w:val="28"/>
        </w:rPr>
        <w:t xml:space="preserve">附录1  </w:t>
      </w:r>
      <w:bookmarkEnd w:id="721"/>
      <w:bookmarkEnd w:id="722"/>
      <w:bookmarkEnd w:id="723"/>
      <w:bookmarkEnd w:id="724"/>
      <w:bookmarkStart w:id="726" w:name="_Toc27096"/>
      <w:bookmarkStart w:id="727" w:name="_Toc11329226"/>
      <w:bookmarkStart w:id="728" w:name="_Toc12773"/>
      <w:bookmarkStart w:id="729" w:name="_Toc25591"/>
      <w:r>
        <w:rPr>
          <w:rFonts w:hint="eastAsia" w:ascii="宋体" w:hAnsi="宋体" w:eastAsia="宋体" w:cs="宋体"/>
          <w:bCs w:val="0"/>
          <w:sz w:val="28"/>
          <w:szCs w:val="28"/>
        </w:rPr>
        <w:t>报价人资格要求</w:t>
      </w:r>
      <w:bookmarkEnd w:id="725"/>
      <w:bookmarkEnd w:id="726"/>
      <w:bookmarkEnd w:id="727"/>
      <w:bookmarkEnd w:id="728"/>
      <w:bookmarkEnd w:id="729"/>
    </w:p>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bookmarkStart w:id="730" w:name="_Toc388534043"/>
            <w:bookmarkStart w:id="731" w:name="_Toc387234996"/>
            <w:r>
              <w:rPr>
                <w:rFonts w:hint="eastAsia" w:ascii="宋体" w:hAnsi="宋体" w:cs="宋体"/>
                <w:szCs w:val="21"/>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营业执照要求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pPr>
            <w:r>
              <w:rPr>
                <w:rFonts w:hint="eastAsia" w:ascii="宋体" w:hAnsi="宋体" w:cs="宋体"/>
                <w:szCs w:val="21"/>
                <w:shd w:val="clear" w:color="auto" w:fill="FFFFFF"/>
              </w:rPr>
              <w:t>具有独立法人资格和有效的营业执照。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rPr>
              <w:t>202</w:t>
            </w:r>
            <w:r>
              <w:t>1</w:t>
            </w:r>
            <w:r>
              <w:rPr>
                <w:rFonts w:hint="eastAsia"/>
              </w:rPr>
              <w:t>年1月1日至本次竞争性报价截止日期至少具有一个及以上类似项目业绩（以合同签订时间为准，提供合同扫描件）。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供应商</w:t>
            </w:r>
            <w:r>
              <w:rPr>
                <w:rFonts w:ascii="宋体" w:hAnsi="宋体" w:cs="宋体"/>
                <w:szCs w:val="21"/>
              </w:rPr>
              <w:t>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szCs w:val="21"/>
              </w:rPr>
              <w:t>报价人须为设备生产厂家或者厂家授权的代理商，如不是设备生产厂家，则需取得设备厂家的项目授权。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shd w:val="clear" w:color="auto" w:fill="FFFFFF"/>
              </w:rPr>
            </w:pPr>
            <w:r>
              <w:rPr>
                <w:rFonts w:hint="eastAsia"/>
              </w:rPr>
              <w:t>信誉要求：在国家企业信用信息公示系统（http://www.gsxt.gov.cn/）中未被列入严重违法失信企业名单（黑名单）信息；在“信用中国”网站（http://www.creditchina.gov.cn/）中未被列入失信惩戒执行人名单。</w:t>
            </w:r>
          </w:p>
        </w:tc>
      </w:tr>
    </w:tbl>
    <w:p>
      <w:pPr>
        <w:spacing w:line="400" w:lineRule="exact"/>
        <w:jc w:val="left"/>
        <w:rPr>
          <w:rFonts w:hAnsi="宋体"/>
          <w:kern w:val="0"/>
          <w:szCs w:val="21"/>
        </w:rPr>
      </w:pPr>
      <w:r>
        <w:rPr>
          <w:rFonts w:hint="eastAsia" w:hAnsi="宋体"/>
          <w:kern w:val="0"/>
          <w:szCs w:val="21"/>
        </w:rPr>
        <w:t>注：1.提供营业执照复印件，并加盖报价人鲜章。</w:t>
      </w:r>
    </w:p>
    <w:p>
      <w:pPr>
        <w:pStyle w:val="2"/>
        <w:ind w:firstLine="420" w:firstLineChars="200"/>
        <w:rPr>
          <w:rFonts w:hAnsi="宋体"/>
          <w:sz w:val="21"/>
          <w:szCs w:val="21"/>
        </w:rPr>
      </w:pPr>
      <w:r>
        <w:rPr>
          <w:rFonts w:hint="eastAsia" w:hAnsi="宋体"/>
          <w:sz w:val="21"/>
          <w:szCs w:val="21"/>
        </w:rPr>
        <w:t>2.提供真实有效的合同复印件（关键页）并加盖报价人公章。</w:t>
      </w:r>
    </w:p>
    <w:p>
      <w:pPr>
        <w:ind w:firstLine="420" w:firstLineChars="200"/>
      </w:pPr>
      <w:r>
        <w:rPr>
          <w:rFonts w:hint="eastAsia"/>
        </w:rPr>
        <w:t>3.</w:t>
      </w:r>
      <w:r>
        <w:t>须提供</w:t>
      </w:r>
      <w:r>
        <w:rPr>
          <w:rFonts w:hint="eastAsia"/>
        </w:rPr>
        <w:t>生产厂商营业执照或生产厂商项目授权。</w:t>
      </w:r>
    </w:p>
    <w:p>
      <w:pPr>
        <w:ind w:firstLine="420" w:firstLineChars="200"/>
      </w:pPr>
      <w:r>
        <w:rPr>
          <w:rFonts w:hint="eastAsia"/>
        </w:rPr>
        <w:t>4.提供企业信用信息公示系统（http://www.gsxt.gov.cn/）中未被列入严重违法失信企业名单（黑名单）信息截图和在“信用中国”网站（http://www.creditchina.gov.cn/）中未被列入失信惩戒执行人名单截图信息并加盖鲜章。</w:t>
      </w:r>
    </w:p>
    <w:p>
      <w:pPr>
        <w:pStyle w:val="28"/>
      </w:pPr>
    </w:p>
    <w:p/>
    <w:p>
      <w:pPr>
        <w:pStyle w:val="2"/>
      </w:pPr>
    </w:p>
    <w:p/>
    <w:p>
      <w:pPr>
        <w:pStyle w:val="2"/>
      </w:pPr>
    </w:p>
    <w:p/>
    <w:p>
      <w:pPr>
        <w:pStyle w:val="2"/>
      </w:pPr>
    </w:p>
    <w:p/>
    <w:p>
      <w:pPr>
        <w:pStyle w:val="2"/>
      </w:pPr>
    </w:p>
    <w:p/>
    <w:p>
      <w:pPr>
        <w:pStyle w:val="2"/>
      </w:pPr>
    </w:p>
    <w:bookmarkEnd w:id="730"/>
    <w:bookmarkEnd w:id="731"/>
    <w:p>
      <w:pPr>
        <w:spacing w:line="440" w:lineRule="exact"/>
        <w:ind w:firstLine="210" w:firstLineChars="100"/>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rPr>
          <w:rFonts w:ascii="宋体" w:hAnsi="宋体" w:cs="宋体"/>
        </w:rPr>
      </w:pPr>
    </w:p>
    <w:p>
      <w:pPr>
        <w:pStyle w:val="3"/>
        <w:numPr>
          <w:ilvl w:val="0"/>
          <w:numId w:val="2"/>
        </w:numPr>
        <w:spacing w:before="0" w:after="0" w:line="360" w:lineRule="auto"/>
        <w:jc w:val="center"/>
      </w:pPr>
      <w:bookmarkStart w:id="732" w:name="_Toc2000406"/>
      <w:bookmarkStart w:id="733" w:name="_Toc246996230"/>
      <w:bookmarkStart w:id="734" w:name="_Toc179632605"/>
      <w:bookmarkStart w:id="735" w:name="_Toc2602"/>
      <w:bookmarkStart w:id="736" w:name="_Toc144974554"/>
      <w:bookmarkStart w:id="737" w:name="_Toc152045587"/>
      <w:bookmarkStart w:id="738" w:name="_Toc247085745"/>
      <w:bookmarkStart w:id="739" w:name="_Toc152042364"/>
      <w:bookmarkStart w:id="740" w:name="_Toc507319957"/>
      <w:bookmarkStart w:id="741" w:name="_Toc246996973"/>
      <w:r>
        <w:rPr>
          <w:rFonts w:hint="eastAsia" w:ascii="宋体" w:hAnsi="宋体" w:cs="宋体"/>
        </w:rPr>
        <w:t>评标办法（综合评估法）</w:t>
      </w:r>
      <w:bookmarkEnd w:id="732"/>
      <w:bookmarkEnd w:id="733"/>
      <w:bookmarkEnd w:id="734"/>
      <w:bookmarkEnd w:id="735"/>
      <w:bookmarkEnd w:id="736"/>
      <w:bookmarkEnd w:id="737"/>
      <w:bookmarkEnd w:id="738"/>
      <w:bookmarkEnd w:id="739"/>
      <w:bookmarkEnd w:id="740"/>
      <w:bookmarkEnd w:id="741"/>
    </w:p>
    <w:p>
      <w:pPr>
        <w:pStyle w:val="4"/>
        <w:spacing w:before="0" w:after="0" w:line="360" w:lineRule="auto"/>
        <w:rPr>
          <w:rFonts w:ascii="宋体" w:hAnsi="宋体" w:cs="宋体"/>
          <w:sz w:val="28"/>
          <w:szCs w:val="28"/>
        </w:rPr>
      </w:pPr>
      <w:bookmarkStart w:id="742" w:name="_Toc2445"/>
      <w:r>
        <w:rPr>
          <w:rFonts w:hint="eastAsia" w:ascii="宋体" w:hAnsi="宋体" w:cs="宋体"/>
          <w:sz w:val="28"/>
          <w:szCs w:val="28"/>
        </w:rPr>
        <w:t>评标方法前附表</w:t>
      </w:r>
      <w:bookmarkEnd w:id="742"/>
    </w:p>
    <w:tbl>
      <w:tblPr>
        <w:tblStyle w:val="43"/>
        <w:tblpPr w:leftFromText="180" w:rightFromText="180" w:vertAnchor="text" w:horzAnchor="page" w:tblpX="1139" w:tblpY="296"/>
        <w:tblOverlap w:val="never"/>
        <w:tblW w:w="98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6"/>
        <w:gridCol w:w="1075"/>
        <w:gridCol w:w="1011"/>
        <w:gridCol w:w="1496"/>
        <w:gridCol w:w="4407"/>
        <w:gridCol w:w="10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285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条款号</w:t>
            </w:r>
          </w:p>
        </w:tc>
        <w:tc>
          <w:tcPr>
            <w:tcW w:w="14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评审因素</w:t>
            </w:r>
          </w:p>
        </w:tc>
        <w:tc>
          <w:tcPr>
            <w:tcW w:w="545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7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08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评标方法</w:t>
            </w:r>
          </w:p>
        </w:tc>
        <w:tc>
          <w:tcPr>
            <w:tcW w:w="14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中标候选人排序方法</w:t>
            </w:r>
          </w:p>
        </w:tc>
        <w:tc>
          <w:tcPr>
            <w:tcW w:w="5457"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报价人得分=A+B+C，对通过初步评审的报价人按照投标总得分（商务+技术+报价）由从高到低的先后顺序。如出现得分(精确到小数点后两位)相等时，按以下原则确定第一中标候选人：</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（1）以评标价低的报价人优先；</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（2）如评标价也相同时，以技术得分较高的报价人优先；</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（3）如技术得分也相同时，以商务得分高的优先；</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（4）如商务得分也相同时，由评标委员会投票决定。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08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形式评审标准</w:t>
            </w:r>
          </w:p>
        </w:tc>
        <w:tc>
          <w:tcPr>
            <w:tcW w:w="14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报价人名称</w:t>
            </w:r>
          </w:p>
        </w:tc>
        <w:tc>
          <w:tcPr>
            <w:tcW w:w="545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20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报价函签字盖章</w:t>
            </w:r>
          </w:p>
        </w:tc>
        <w:tc>
          <w:tcPr>
            <w:tcW w:w="545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20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竞争性比选响应文件格式</w:t>
            </w:r>
          </w:p>
        </w:tc>
        <w:tc>
          <w:tcPr>
            <w:tcW w:w="545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符合第九章“竞争性比选响应文件格式”的要求，字迹清晰可辨。</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1.报价函的所有数据均符合比选文件的规定；</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2.竞争性比选响应文件附表齐全完整，内容均按规定填写；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20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采购清单</w:t>
            </w:r>
          </w:p>
        </w:tc>
        <w:tc>
          <w:tcPr>
            <w:tcW w:w="545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符合第四章“采购清单”给出的范围及数量。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20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报价其它要求</w:t>
            </w:r>
          </w:p>
        </w:tc>
        <w:tc>
          <w:tcPr>
            <w:tcW w:w="545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竞争性比选响应文件报价表中的报价与报价书文字报价应保持一致。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20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竞争性比选响应文件正本中法定代表人或其授权代理人签署</w:t>
            </w:r>
          </w:p>
        </w:tc>
        <w:tc>
          <w:tcPr>
            <w:tcW w:w="545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竞争性比选响应文件正本中法定代表人或授权代理人签署姓名齐全，符合比选文件规定；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5"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20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其它材料</w:t>
            </w:r>
          </w:p>
        </w:tc>
        <w:tc>
          <w:tcPr>
            <w:tcW w:w="545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单位负责人为同一人或者存在控股、管理关系的不同单位，不得同时参加报价，否则相关报价均无效。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08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资格评审标准</w:t>
            </w:r>
          </w:p>
        </w:tc>
        <w:tc>
          <w:tcPr>
            <w:tcW w:w="14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营业执照及授权</w:t>
            </w:r>
          </w:p>
        </w:tc>
        <w:tc>
          <w:tcPr>
            <w:tcW w:w="545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符合第二章“报价人须知”第7项规定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20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宋体" w:hAnsi="宋体" w:cs="宋体"/>
                <w:szCs w:val="21"/>
              </w:rPr>
              <w:t>保险业务范围要求</w:t>
            </w:r>
          </w:p>
        </w:tc>
        <w:tc>
          <w:tcPr>
            <w:tcW w:w="545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符合第二章“报价人须知”第7项规定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4"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20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其他要求</w:t>
            </w:r>
          </w:p>
        </w:tc>
        <w:tc>
          <w:tcPr>
            <w:tcW w:w="545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符合第二章“报价人须知”第7项规定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3"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20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信誉要求</w:t>
            </w:r>
          </w:p>
        </w:tc>
        <w:tc>
          <w:tcPr>
            <w:tcW w:w="5457"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符合第二章“报价人须知”第7项规定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2" w:hRule="atLeast"/>
        </w:trPr>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08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响应性评审标准</w:t>
            </w:r>
          </w:p>
        </w:tc>
        <w:tc>
          <w:tcPr>
            <w:tcW w:w="14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报价内容</w:t>
            </w:r>
          </w:p>
        </w:tc>
        <w:tc>
          <w:tcPr>
            <w:tcW w:w="545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符合第二章“报价人须知”第7项规定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20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w:t>
            </w:r>
          </w:p>
        </w:tc>
        <w:tc>
          <w:tcPr>
            <w:tcW w:w="545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符合比选文件给出的范围及数量，且报价不得超过采购人公布的最高限价。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1"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20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服务期限</w:t>
            </w:r>
          </w:p>
        </w:tc>
        <w:tc>
          <w:tcPr>
            <w:tcW w:w="545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符合第二章“报价人须知”第5项规定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20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质量标准</w:t>
            </w:r>
          </w:p>
        </w:tc>
        <w:tc>
          <w:tcPr>
            <w:tcW w:w="545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符合第二章“报价人须知”第6项规定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9" w:hRule="atLeast"/>
        </w:trPr>
        <w:tc>
          <w:tcPr>
            <w:tcW w:w="7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2086" w:type="dxa"/>
            <w:gridSpan w:val="2"/>
            <w:tcBorders>
              <w:top w:val="single" w:color="auto" w:sz="4" w:space="0"/>
              <w:left w:val="single" w:color="auto" w:sz="4" w:space="0"/>
              <w:bottom w:val="single" w:color="auto" w:sz="4" w:space="0"/>
              <w:right w:val="single" w:color="auto" w:sz="4" w:space="0"/>
            </w:tcBorders>
            <w:vAlign w:val="center"/>
          </w:tcPr>
          <w:p>
            <w:pPr>
              <w:tabs>
                <w:tab w:val="left" w:pos="1875"/>
              </w:tabs>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分值构成</w:t>
            </w:r>
          </w:p>
          <w:p>
            <w:pPr>
              <w:tabs>
                <w:tab w:val="left" w:pos="1875"/>
              </w:tabs>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(总分1O0分)</w:t>
            </w:r>
          </w:p>
        </w:tc>
        <w:tc>
          <w:tcPr>
            <w:tcW w:w="6953" w:type="dxa"/>
            <w:gridSpan w:val="3"/>
            <w:tcBorders>
              <w:top w:val="single" w:color="auto" w:sz="4" w:space="0"/>
              <w:left w:val="single" w:color="auto" w:sz="4" w:space="0"/>
              <w:bottom w:val="single" w:color="auto" w:sz="4" w:space="0"/>
              <w:right w:val="single" w:color="auto" w:sz="4" w:space="0"/>
            </w:tcBorders>
          </w:tcPr>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A：投标报价7</w:t>
            </w:r>
            <w:r>
              <w:rPr>
                <w:rFonts w:asciiTheme="minorEastAsia" w:hAnsiTheme="minorEastAsia" w:eastAsiaTheme="minorEastAsia" w:cstheme="minorEastAsia"/>
                <w:szCs w:val="21"/>
              </w:rPr>
              <w:t>0</w:t>
            </w:r>
            <w:r>
              <w:rPr>
                <w:rFonts w:hint="eastAsia" w:asciiTheme="minorEastAsia" w:hAnsiTheme="minorEastAsia" w:eastAsiaTheme="minorEastAsia" w:cstheme="minorEastAsia"/>
                <w:szCs w:val="21"/>
              </w:rPr>
              <w:t>分；</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B：商务部分10分；</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C：技术部分20分。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trPr>
        <w:tc>
          <w:tcPr>
            <w:tcW w:w="7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w:t>
            </w:r>
          </w:p>
        </w:tc>
        <w:tc>
          <w:tcPr>
            <w:tcW w:w="208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评标基准价</w:t>
            </w:r>
          </w:p>
        </w:tc>
        <w:tc>
          <w:tcPr>
            <w:tcW w:w="6953" w:type="dxa"/>
            <w:gridSpan w:val="3"/>
            <w:tcBorders>
              <w:top w:val="single" w:color="auto" w:sz="4" w:space="0"/>
              <w:left w:val="single" w:color="auto" w:sz="4" w:space="0"/>
              <w:bottom w:val="single" w:color="auto" w:sz="4" w:space="0"/>
              <w:right w:val="single" w:color="auto" w:sz="4" w:space="0"/>
            </w:tcBorders>
          </w:tcPr>
          <w:p>
            <w:pPr>
              <w:spacing w:line="320" w:lineRule="exact"/>
              <w:jc w:val="left"/>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本项目限价为评标基准价。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trPr>
        <w:tc>
          <w:tcPr>
            <w:tcW w:w="7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szCs w:val="21"/>
                <w:lang w:bidi="ar"/>
              </w:rPr>
              <w:t>条款号</w:t>
            </w:r>
          </w:p>
        </w:tc>
        <w:tc>
          <w:tcPr>
            <w:tcW w:w="208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szCs w:val="21"/>
                <w:lang w:bidi="ar"/>
              </w:rPr>
            </w:pPr>
            <w:r>
              <w:rPr>
                <w:rFonts w:hint="eastAsia" w:asciiTheme="minorEastAsia" w:hAnsiTheme="minorEastAsia" w:eastAsiaTheme="minorEastAsia" w:cstheme="minorEastAsia"/>
                <w:b/>
                <w:szCs w:val="21"/>
                <w:lang w:bidi="ar"/>
              </w:rPr>
              <w:t>评分因素权重分值</w:t>
            </w:r>
          </w:p>
        </w:tc>
        <w:tc>
          <w:tcPr>
            <w:tcW w:w="590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b/>
                <w:szCs w:val="21"/>
                <w:lang w:bidi="ar"/>
              </w:rPr>
            </w:pPr>
            <w:r>
              <w:rPr>
                <w:rFonts w:hint="eastAsia" w:asciiTheme="minorEastAsia" w:hAnsiTheme="minorEastAsia" w:eastAsiaTheme="minorEastAsia" w:cstheme="minorEastAsia"/>
                <w:b/>
                <w:szCs w:val="21"/>
                <w:lang w:bidi="ar"/>
              </w:rPr>
              <w:t>各评分因素细分项</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b/>
                <w:szCs w:val="21"/>
                <w:lang w:bidi="ar"/>
              </w:rPr>
            </w:pPr>
            <w:r>
              <w:rPr>
                <w:rFonts w:hint="eastAsia" w:asciiTheme="minorEastAsia" w:hAnsiTheme="minorEastAsia" w:eastAsiaTheme="minorEastAsia" w:cstheme="minorEastAsia"/>
                <w:b/>
                <w:szCs w:val="21"/>
                <w:lang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98" w:hRule="atLeast"/>
        </w:trPr>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bCs/>
                <w:szCs w:val="21"/>
                <w:lang w:bidi="ar"/>
              </w:rPr>
            </w:pPr>
            <w:r>
              <w:rPr>
                <w:rFonts w:hint="eastAsia" w:asciiTheme="minorEastAsia" w:hAnsiTheme="minorEastAsia" w:eastAsiaTheme="minorEastAsia" w:cstheme="minorEastAsia"/>
                <w:bCs/>
                <w:szCs w:val="21"/>
                <w:lang w:bidi="ar"/>
              </w:rPr>
              <w:t>8</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bCs/>
                <w:szCs w:val="21"/>
                <w:lang w:bidi="ar"/>
              </w:rPr>
            </w:pPr>
            <w:r>
              <w:rPr>
                <w:rFonts w:hint="eastAsia" w:asciiTheme="minorEastAsia" w:hAnsiTheme="minorEastAsia" w:eastAsiaTheme="minorEastAsia" w:cstheme="minorEastAsia"/>
                <w:bCs/>
                <w:szCs w:val="21"/>
                <w:lang w:bidi="ar"/>
              </w:rPr>
              <w:t>商务评分标准</w:t>
            </w:r>
          </w:p>
          <w:p>
            <w:pPr>
              <w:spacing w:line="320" w:lineRule="exact"/>
              <w:jc w:val="center"/>
              <w:rPr>
                <w:rFonts w:asciiTheme="minorEastAsia" w:hAnsiTheme="minorEastAsia" w:eastAsiaTheme="minorEastAsia" w:cstheme="minorEastAsia"/>
                <w:bCs/>
                <w:szCs w:val="21"/>
                <w:lang w:bidi="ar"/>
              </w:rPr>
            </w:pPr>
            <w:r>
              <w:rPr>
                <w:rFonts w:hint="eastAsia" w:asciiTheme="minorEastAsia" w:hAnsiTheme="minorEastAsia" w:eastAsiaTheme="minorEastAsia" w:cstheme="minorEastAsia"/>
                <w:bCs/>
                <w:szCs w:val="21"/>
                <w:lang w:bidi="ar"/>
              </w:rPr>
              <w:t>（10分）</w:t>
            </w:r>
          </w:p>
        </w:tc>
        <w:tc>
          <w:tcPr>
            <w:tcW w:w="101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bCs/>
                <w:szCs w:val="21"/>
                <w:lang w:bidi="ar"/>
              </w:rPr>
            </w:pPr>
            <w:r>
              <w:rPr>
                <w:rFonts w:hint="eastAsia" w:asciiTheme="minorEastAsia" w:hAnsiTheme="minorEastAsia" w:eastAsiaTheme="minorEastAsia" w:cstheme="minorEastAsia"/>
                <w:szCs w:val="21"/>
              </w:rPr>
              <w:t>企业综合实力（4分）</w:t>
            </w:r>
          </w:p>
        </w:tc>
        <w:tc>
          <w:tcPr>
            <w:tcW w:w="5903" w:type="dxa"/>
            <w:gridSpan w:val="2"/>
            <w:tcBorders>
              <w:top w:val="single" w:color="auto" w:sz="4" w:space="0"/>
              <w:left w:val="single" w:color="auto" w:sz="4" w:space="0"/>
              <w:bottom w:val="single" w:color="auto" w:sz="4" w:space="0"/>
              <w:right w:val="single" w:color="auto" w:sz="4" w:space="0"/>
            </w:tcBorders>
            <w:vAlign w:val="center"/>
          </w:tcPr>
          <w:p>
            <w:pPr>
              <w:pStyle w:val="120"/>
              <w:widowControl/>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1、投标人或生产厂商具有</w:t>
            </w:r>
            <w:r>
              <w:rPr>
                <w:rFonts w:asciiTheme="minorEastAsia" w:hAnsiTheme="minorEastAsia" w:eastAsiaTheme="minorEastAsia" w:cstheme="minorEastAsia"/>
                <w:szCs w:val="21"/>
              </w:rPr>
              <w:t xml:space="preserve"> ISO9001</w:t>
            </w:r>
            <w:r>
              <w:rPr>
                <w:rFonts w:hint="eastAsia" w:asciiTheme="minorEastAsia" w:hAnsiTheme="minorEastAsia" w:eastAsiaTheme="minorEastAsia" w:cstheme="minorEastAsia"/>
                <w:szCs w:val="21"/>
              </w:rPr>
              <w:t>、安全工程类三级、安全开发类二级证书，提供一个证书得1分，最高得3分，不提供不得分。</w:t>
            </w:r>
          </w:p>
          <w:p>
            <w:pPr>
              <w:pStyle w:val="120"/>
              <w:widowControl/>
              <w:spacing w:line="400" w:lineRule="exact"/>
              <w:jc w:val="left"/>
              <w:rPr>
                <w:rFonts w:asciiTheme="minorEastAsia" w:hAnsiTheme="minorEastAsia" w:eastAsiaTheme="minorEastAsia" w:cstheme="minorEastAsia"/>
                <w:b/>
                <w:szCs w:val="21"/>
                <w:lang w:bidi="ar"/>
              </w:rPr>
            </w:pPr>
            <w:r>
              <w:rPr>
                <w:rFonts w:hint="eastAsia" w:asciiTheme="minorEastAsia" w:hAnsiTheme="minorEastAsia" w:eastAsiaTheme="minorEastAsia" w:cstheme="minorEastAsia"/>
                <w:szCs w:val="21"/>
              </w:rPr>
              <w:t>2、投标人具有</w:t>
            </w:r>
            <w:r>
              <w:rPr>
                <w:rFonts w:hint="eastAsia" w:ascii="宋体" w:hAnsi="宋体" w:cs="宋体"/>
              </w:rPr>
              <w:t>信息系统安全运维-三级证书、信息系统安全集成-三级证书，一个证书得0.5分，最高得1分</w:t>
            </w:r>
            <w:r>
              <w:rPr>
                <w:rFonts w:hint="eastAsia" w:asciiTheme="minorEastAsia" w:hAnsiTheme="minorEastAsia" w:eastAsiaTheme="minorEastAsia" w:cstheme="minorEastAsia"/>
                <w:szCs w:val="21"/>
              </w:rPr>
              <w:t>，不提供不得分</w:t>
            </w:r>
            <w:r>
              <w:rPr>
                <w:rFonts w:hint="eastAsia" w:ascii="宋体" w:hAnsi="宋体" w:cs="宋体"/>
              </w:rPr>
              <w:t>。</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bCs/>
                <w:szCs w:val="21"/>
                <w:lang w:bidi="ar"/>
              </w:rPr>
            </w:pPr>
            <w:r>
              <w:rPr>
                <w:rFonts w:hint="eastAsia" w:asciiTheme="minorEastAsia" w:hAnsiTheme="minorEastAsia" w:eastAsiaTheme="minorEastAsia" w:cstheme="minorEastAsia"/>
                <w:bCs/>
                <w:sz w:val="20"/>
                <w:szCs w:val="20"/>
                <w:lang w:bidi="ar"/>
              </w:rPr>
              <w:t>提供有效期内的证书复印件，并加盖投标人公章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48"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b/>
                <w:szCs w:val="21"/>
                <w:lang w:bidi="ar"/>
              </w:rPr>
            </w:pP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bCs/>
                <w:szCs w:val="21"/>
                <w:lang w:bidi="ar"/>
              </w:rPr>
            </w:pPr>
          </w:p>
        </w:tc>
        <w:tc>
          <w:tcPr>
            <w:tcW w:w="101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bCs/>
                <w:szCs w:val="21"/>
                <w:lang w:bidi="ar"/>
              </w:rPr>
            </w:pPr>
            <w:r>
              <w:rPr>
                <w:rFonts w:hint="eastAsia" w:asciiTheme="minorEastAsia" w:hAnsiTheme="minorEastAsia" w:eastAsiaTheme="minorEastAsia" w:cstheme="minorEastAsia"/>
                <w:szCs w:val="21"/>
              </w:rPr>
              <w:t>项目经理（1分）</w:t>
            </w:r>
          </w:p>
        </w:tc>
        <w:tc>
          <w:tcPr>
            <w:tcW w:w="5903" w:type="dxa"/>
            <w:gridSpan w:val="2"/>
            <w:tcBorders>
              <w:top w:val="single" w:color="auto" w:sz="4" w:space="0"/>
              <w:left w:val="single" w:color="auto" w:sz="4" w:space="0"/>
              <w:bottom w:val="single" w:color="auto" w:sz="4" w:space="0"/>
              <w:right w:val="single" w:color="auto" w:sz="4" w:space="0"/>
            </w:tcBorders>
            <w:vAlign w:val="center"/>
          </w:tcPr>
          <w:p>
            <w:pPr>
              <w:pStyle w:val="120"/>
              <w:widowControl/>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1、投标人应为本项目提供至少一名项目经理，项目经理应具有不少于</w:t>
            </w:r>
            <w:r>
              <w:rPr>
                <w:rFonts w:asciiTheme="minorEastAsia" w:hAnsiTheme="minorEastAsia" w:eastAsiaTheme="minorEastAsia" w:cstheme="minorEastAsia"/>
                <w:szCs w:val="21"/>
              </w:rPr>
              <w:t>5</w:t>
            </w:r>
            <w:r>
              <w:rPr>
                <w:rFonts w:hint="eastAsia" w:asciiTheme="minorEastAsia" w:hAnsiTheme="minorEastAsia" w:eastAsiaTheme="minorEastAsia" w:cstheme="minorEastAsia"/>
                <w:szCs w:val="21"/>
              </w:rPr>
              <w:t>年网络安全相关工作经验。</w:t>
            </w:r>
          </w:p>
          <w:p>
            <w:pPr>
              <w:pStyle w:val="120"/>
              <w:widowControl/>
              <w:spacing w:line="400" w:lineRule="exact"/>
              <w:jc w:val="left"/>
              <w:rPr>
                <w:rFonts w:asciiTheme="minorEastAsia" w:hAnsiTheme="minorEastAsia" w:eastAsiaTheme="minorEastAsia" w:cstheme="minorEastAsia"/>
                <w:szCs w:val="21"/>
              </w:rPr>
            </w:pP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rPr>
              <w:t>、项目经理具有</w:t>
            </w:r>
            <w:r>
              <w:rPr>
                <w:rFonts w:asciiTheme="minorEastAsia" w:hAnsiTheme="minorEastAsia" w:eastAsiaTheme="minorEastAsia" w:cstheme="minorEastAsia"/>
                <w:szCs w:val="21"/>
              </w:rPr>
              <w:t>PMP</w:t>
            </w:r>
            <w:r>
              <w:rPr>
                <w:rFonts w:hint="eastAsia" w:asciiTheme="minorEastAsia" w:hAnsiTheme="minorEastAsia" w:eastAsiaTheme="minorEastAsia" w:cstheme="minorEastAsia"/>
                <w:szCs w:val="21"/>
              </w:rPr>
              <w:t>、C</w:t>
            </w:r>
            <w:r>
              <w:rPr>
                <w:rFonts w:asciiTheme="minorEastAsia" w:hAnsiTheme="minorEastAsia" w:eastAsiaTheme="minorEastAsia" w:cstheme="minorEastAsia"/>
                <w:szCs w:val="21"/>
              </w:rPr>
              <w:t>ISP</w:t>
            </w:r>
            <w:r>
              <w:rPr>
                <w:rFonts w:hint="eastAsia" w:asciiTheme="minorEastAsia" w:hAnsiTheme="minorEastAsia" w:eastAsiaTheme="minorEastAsia" w:cstheme="minorEastAsia"/>
                <w:szCs w:val="21"/>
              </w:rPr>
              <w:t>证书，一个证书得0.5分，最多得1分，不提供不得分。</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b/>
                <w:szCs w:val="21"/>
                <w:lang w:bidi="ar"/>
              </w:rPr>
            </w:pPr>
            <w:r>
              <w:rPr>
                <w:rFonts w:hint="eastAsia" w:asciiTheme="minorEastAsia" w:hAnsiTheme="minorEastAsia" w:eastAsiaTheme="minorEastAsia" w:cstheme="minorEastAsia"/>
                <w:bCs/>
                <w:sz w:val="20"/>
                <w:szCs w:val="20"/>
                <w:lang w:bidi="ar"/>
              </w:rPr>
              <w:t>提供有效期内的证书复印件，并加盖投标人公章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b/>
                <w:szCs w:val="21"/>
                <w:lang w:bidi="ar"/>
              </w:rPr>
            </w:pP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bCs/>
                <w:szCs w:val="21"/>
                <w:lang w:bidi="ar"/>
              </w:rPr>
            </w:pPr>
          </w:p>
        </w:tc>
        <w:tc>
          <w:tcPr>
            <w:tcW w:w="101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产品测试（1分）</w:t>
            </w:r>
          </w:p>
        </w:tc>
        <w:tc>
          <w:tcPr>
            <w:tcW w:w="5903" w:type="dxa"/>
            <w:gridSpan w:val="2"/>
            <w:tcBorders>
              <w:top w:val="single" w:color="auto" w:sz="4" w:space="0"/>
              <w:left w:val="single" w:color="auto" w:sz="4" w:space="0"/>
              <w:bottom w:val="single" w:color="auto" w:sz="4" w:space="0"/>
              <w:right w:val="single" w:color="auto" w:sz="4" w:space="0"/>
            </w:tcBorders>
            <w:vAlign w:val="center"/>
          </w:tcPr>
          <w:p>
            <w:pPr>
              <w:pStyle w:val="120"/>
              <w:widowControl/>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在合同签订前，投标人应提供本项目所投产品的测试样机进行性能和功能测试，确保所投产品与招标要求符合，提供投标人承诺函，得1分，不提供不得分。</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bCs/>
                <w:sz w:val="20"/>
                <w:szCs w:val="20"/>
                <w:lang w:bidi="ar"/>
              </w:rPr>
            </w:pPr>
            <w:r>
              <w:rPr>
                <w:rFonts w:hint="eastAsia" w:asciiTheme="minorEastAsia" w:hAnsiTheme="minorEastAsia" w:eastAsiaTheme="minorEastAsia" w:cstheme="minorEastAsia"/>
                <w:bCs/>
                <w:sz w:val="20"/>
                <w:szCs w:val="20"/>
                <w:lang w:bidi="ar"/>
              </w:rPr>
              <w:t>提供承诺函，并加盖投标人公章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b/>
                <w:szCs w:val="21"/>
                <w:lang w:bidi="ar"/>
              </w:rPr>
            </w:pP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bCs/>
                <w:szCs w:val="21"/>
                <w:lang w:bidi="ar"/>
              </w:rPr>
            </w:pPr>
          </w:p>
        </w:tc>
        <w:tc>
          <w:tcPr>
            <w:tcW w:w="101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业绩案例 </w:t>
            </w:r>
          </w:p>
          <w:p>
            <w:pPr>
              <w:widowControl/>
              <w:jc w:val="center"/>
              <w:textAlignment w:val="center"/>
              <w:rPr>
                <w:rFonts w:asciiTheme="minorEastAsia" w:hAnsiTheme="minorEastAsia" w:eastAsiaTheme="minorEastAsia" w:cstheme="minorEastAsia"/>
                <w:bCs/>
                <w:szCs w:val="21"/>
                <w:lang w:bidi="ar"/>
              </w:rPr>
            </w:pPr>
            <w:r>
              <w:rPr>
                <w:rFonts w:hint="eastAsia" w:asciiTheme="minorEastAsia" w:hAnsiTheme="minorEastAsia" w:eastAsiaTheme="minorEastAsia" w:cstheme="minorEastAsia"/>
                <w:szCs w:val="21"/>
              </w:rPr>
              <w:t>（4分）</w:t>
            </w:r>
          </w:p>
        </w:tc>
        <w:tc>
          <w:tcPr>
            <w:tcW w:w="590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18" w:firstLineChars="9"/>
              <w:rPr>
                <w:rFonts w:ascii="宋体" w:hAnsi="宋体" w:cs="宋体"/>
                <w:color w:val="000000"/>
                <w:kern w:val="0"/>
              </w:rPr>
            </w:pPr>
            <w:r>
              <w:rPr>
                <w:rFonts w:hint="eastAsia" w:ascii="宋体" w:hAnsi="宋体"/>
                <w:color w:val="000000"/>
                <w:szCs w:val="21"/>
              </w:rPr>
              <w:t>2</w:t>
            </w:r>
            <w:r>
              <w:rPr>
                <w:rFonts w:ascii="宋体" w:hAnsi="宋体"/>
                <w:color w:val="000000"/>
                <w:szCs w:val="21"/>
              </w:rPr>
              <w:t>021</w:t>
            </w:r>
            <w:r>
              <w:rPr>
                <w:rFonts w:hint="eastAsia" w:ascii="宋体" w:hAnsi="宋体"/>
                <w:color w:val="000000"/>
                <w:szCs w:val="21"/>
              </w:rPr>
              <w:t>年1月1日至</w:t>
            </w:r>
            <w:r>
              <w:rPr>
                <w:rFonts w:hint="eastAsia" w:ascii="宋体" w:hAnsi="宋体" w:cs="宋体"/>
                <w:color w:val="000000"/>
                <w:kern w:val="0"/>
              </w:rPr>
              <w:t>投标截止日期在重庆市具有相关类似项目案例最多得4分。</w:t>
            </w:r>
          </w:p>
          <w:p>
            <w:pPr>
              <w:snapToGrid w:val="0"/>
              <w:spacing w:line="360" w:lineRule="auto"/>
              <w:ind w:firstLine="18" w:firstLineChars="9"/>
              <w:rPr>
                <w:rFonts w:ascii="宋体" w:hAnsi="宋体" w:cs="宋体"/>
                <w:color w:val="000000"/>
                <w:kern w:val="0"/>
              </w:rPr>
            </w:pPr>
            <w:r>
              <w:rPr>
                <w:rFonts w:hint="eastAsia" w:ascii="宋体" w:hAnsi="宋体" w:cs="宋体"/>
                <w:color w:val="000000"/>
                <w:kern w:val="0"/>
              </w:rPr>
              <w:t>（1）合同金额大于</w:t>
            </w:r>
            <w:r>
              <w:rPr>
                <w:rFonts w:ascii="宋体" w:hAnsi="宋体" w:cs="宋体"/>
                <w:color w:val="000000"/>
                <w:kern w:val="0"/>
              </w:rPr>
              <w:t>30</w:t>
            </w:r>
            <w:r>
              <w:rPr>
                <w:rFonts w:hint="eastAsia" w:ascii="宋体" w:hAnsi="宋体" w:cs="宋体"/>
                <w:color w:val="000000"/>
                <w:kern w:val="0"/>
              </w:rPr>
              <w:t>万，一个得1分。</w:t>
            </w:r>
          </w:p>
          <w:p>
            <w:pPr>
              <w:snapToGrid w:val="0"/>
              <w:spacing w:line="360" w:lineRule="auto"/>
              <w:ind w:firstLine="18" w:firstLineChars="9"/>
              <w:rPr>
                <w:rFonts w:ascii="宋体" w:hAnsi="宋体" w:cs="宋体"/>
                <w:color w:val="000000"/>
                <w:kern w:val="0"/>
              </w:rPr>
            </w:pPr>
            <w:r>
              <w:rPr>
                <w:rFonts w:hint="eastAsia" w:ascii="宋体" w:hAnsi="宋体" w:cs="宋体"/>
                <w:color w:val="000000"/>
                <w:kern w:val="0"/>
              </w:rPr>
              <w:t>（2）合同金额小于</w:t>
            </w:r>
            <w:r>
              <w:rPr>
                <w:rFonts w:ascii="宋体" w:hAnsi="宋体" w:cs="宋体"/>
                <w:color w:val="000000"/>
                <w:kern w:val="0"/>
              </w:rPr>
              <w:t>30</w:t>
            </w:r>
            <w:r>
              <w:rPr>
                <w:rFonts w:hint="eastAsia" w:ascii="宋体" w:hAnsi="宋体" w:cs="宋体"/>
                <w:color w:val="000000"/>
                <w:kern w:val="0"/>
              </w:rPr>
              <w:t>万的，一个得0.5分。</w:t>
            </w:r>
          </w:p>
          <w:p>
            <w:pPr>
              <w:pStyle w:val="120"/>
              <w:widowControl/>
              <w:spacing w:line="400" w:lineRule="exact"/>
              <w:jc w:val="left"/>
              <w:rPr>
                <w:rFonts w:asciiTheme="minorEastAsia" w:hAnsiTheme="minorEastAsia" w:eastAsiaTheme="minorEastAsia" w:cstheme="minorEastAsia"/>
                <w:szCs w:val="21"/>
              </w:rPr>
            </w:pPr>
            <w:r>
              <w:rPr>
                <w:rFonts w:hint="eastAsia" w:ascii="宋体" w:hAnsi="宋体" w:cs="宋体"/>
                <w:color w:val="000000"/>
                <w:kern w:val="0"/>
              </w:rPr>
              <w:t>（提供合同复印件必须包含：合同首页、签字盖章页、服务内容页等，合同时间以签订时间为准，并加盖投标人公章。</w:t>
            </w:r>
            <w:r>
              <w:rPr>
                <w:rFonts w:hint="eastAsia" w:ascii="宋体" w:hAnsi="宋体" w:cs="宋体"/>
                <w:color w:val="000000"/>
                <w:kern w:val="0"/>
                <w:highlight w:val="none"/>
              </w:rPr>
              <w:t>同一个客户案例只能加一次）</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b/>
                <w:szCs w:val="21"/>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trPr>
        <w:tc>
          <w:tcPr>
            <w:tcW w:w="766" w:type="dxa"/>
            <w:vMerge w:val="restart"/>
            <w:tcBorders>
              <w:top w:val="single" w:color="auto" w:sz="4" w:space="0"/>
              <w:left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b/>
                <w:szCs w:val="21"/>
                <w:lang w:bidi="ar"/>
              </w:rPr>
            </w:pPr>
            <w:r>
              <w:rPr>
                <w:rFonts w:hint="eastAsia" w:asciiTheme="minorEastAsia" w:hAnsiTheme="minorEastAsia" w:eastAsiaTheme="minorEastAsia" w:cstheme="minorEastAsia"/>
                <w:bCs/>
                <w:szCs w:val="21"/>
                <w:lang w:bidi="ar"/>
              </w:rPr>
              <w:t>9</w:t>
            </w:r>
          </w:p>
        </w:tc>
        <w:tc>
          <w:tcPr>
            <w:tcW w:w="1075" w:type="dxa"/>
            <w:vMerge w:val="restart"/>
            <w:tcBorders>
              <w:top w:val="single" w:color="auto" w:sz="4" w:space="0"/>
              <w:left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bCs/>
                <w:szCs w:val="21"/>
                <w:lang w:bidi="ar"/>
              </w:rPr>
            </w:pPr>
            <w:r>
              <w:rPr>
                <w:rFonts w:hint="eastAsia" w:asciiTheme="minorEastAsia" w:hAnsiTheme="minorEastAsia" w:eastAsiaTheme="minorEastAsia" w:cstheme="minorEastAsia"/>
                <w:bCs/>
                <w:szCs w:val="21"/>
                <w:lang w:bidi="ar"/>
              </w:rPr>
              <w:t>技术评分标准（20分）</w:t>
            </w:r>
          </w:p>
        </w:tc>
        <w:tc>
          <w:tcPr>
            <w:tcW w:w="1011"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技术质量</w:t>
            </w:r>
          </w:p>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15</w:t>
            </w:r>
            <w:r>
              <w:rPr>
                <w:rFonts w:hint="eastAsia" w:asciiTheme="minorEastAsia" w:hAnsiTheme="minorEastAsia" w:eastAsiaTheme="minorEastAsia" w:cstheme="minorEastAsia"/>
                <w:szCs w:val="21"/>
              </w:rPr>
              <w:t>分）</w:t>
            </w:r>
          </w:p>
        </w:tc>
        <w:tc>
          <w:tcPr>
            <w:tcW w:w="5903" w:type="dxa"/>
            <w:gridSpan w:val="2"/>
            <w:tcBorders>
              <w:top w:val="single" w:color="auto" w:sz="4" w:space="0"/>
              <w:left w:val="single" w:color="auto" w:sz="4" w:space="0"/>
              <w:right w:val="single" w:color="auto" w:sz="4" w:space="0"/>
            </w:tcBorders>
            <w:vAlign w:val="center"/>
          </w:tcPr>
          <w:p>
            <w:pPr>
              <w:pStyle w:val="120"/>
              <w:widowControl/>
              <w:spacing w:line="400" w:lineRule="exact"/>
              <w:jc w:val="left"/>
              <w:rPr>
                <w:rFonts w:asciiTheme="minorEastAsia" w:hAnsiTheme="minorEastAsia" w:eastAsiaTheme="minorEastAsia" w:cstheme="minorEastAsia"/>
                <w:szCs w:val="21"/>
              </w:rPr>
            </w:pPr>
            <w:r>
              <w:rPr>
                <w:rFonts w:hint="eastAsia" w:ascii="宋体" w:hAnsi="宋体" w:cs="宋体"/>
                <w:color w:val="000000"/>
                <w:kern w:val="0"/>
                <w:highlight w:val="none"/>
                <w:lang w:val="en-US" w:eastAsia="zh-CN"/>
              </w:rPr>
              <w:t>技术偏离</w:t>
            </w:r>
            <w:r>
              <w:rPr>
                <w:rFonts w:hint="eastAsia" w:ascii="宋体" w:hAnsi="宋体" w:cs="宋体"/>
                <w:color w:val="000000"/>
                <w:kern w:val="0"/>
                <w:highlight w:val="none"/>
              </w:rPr>
              <w:t>：</w:t>
            </w:r>
            <w:r>
              <w:rPr>
                <w:rFonts w:hint="eastAsia" w:ascii="宋体" w:hAnsi="宋体" w:cs="宋体"/>
                <w:color w:val="000000"/>
                <w:kern w:val="0"/>
                <w:highlight w:val="none"/>
                <w:lang w:val="en-US" w:eastAsia="zh-CN"/>
              </w:rPr>
              <w:t>总</w:t>
            </w:r>
            <w:r>
              <w:rPr>
                <w:rFonts w:hint="eastAsia" w:ascii="宋体" w:hAnsi="宋体" w:cs="宋体"/>
                <w:color w:val="000000"/>
                <w:kern w:val="0"/>
                <w:highlight w:val="none"/>
              </w:rPr>
              <w:t>分为1</w:t>
            </w:r>
            <w:r>
              <w:rPr>
                <w:rFonts w:ascii="宋体" w:hAnsi="宋体" w:cs="宋体"/>
                <w:color w:val="000000"/>
                <w:kern w:val="0"/>
                <w:highlight w:val="none"/>
              </w:rPr>
              <w:t>0</w:t>
            </w:r>
            <w:r>
              <w:rPr>
                <w:rFonts w:hint="eastAsia" w:ascii="宋体" w:hAnsi="宋体" w:cs="宋体"/>
                <w:color w:val="000000"/>
                <w:kern w:val="0"/>
                <w:highlight w:val="none"/>
              </w:rPr>
              <w:t>分。</w:t>
            </w:r>
            <w:r>
              <w:rPr>
                <w:rFonts w:hint="eastAsia" w:ascii="宋体" w:hAnsi="宋体" w:cs="宋体"/>
                <w:color w:val="000000"/>
                <w:kern w:val="0"/>
                <w:highlight w:val="none"/>
                <w:lang w:val="en-US" w:eastAsia="zh-CN"/>
              </w:rPr>
              <w:t>第四章</w:t>
            </w:r>
            <w:r>
              <w:rPr>
                <w:rFonts w:hint="eastAsia" w:ascii="宋体" w:hAnsi="宋体" w:cs="宋体"/>
                <w:color w:val="000000"/>
                <w:kern w:val="0"/>
                <w:highlight w:val="none"/>
              </w:rPr>
              <w:t>技术质量需求</w:t>
            </w:r>
            <w:r>
              <w:rPr>
                <w:rFonts w:hint="eastAsia" w:ascii="宋体" w:hAnsi="宋体" w:cs="宋体"/>
                <w:color w:val="000000"/>
                <w:kern w:val="0"/>
                <w:highlight w:val="none"/>
                <w:lang w:val="en-US" w:eastAsia="zh-CN"/>
              </w:rPr>
              <w:t>中</w:t>
            </w:r>
            <w:r>
              <w:rPr>
                <w:rFonts w:hint="eastAsia" w:ascii="宋体" w:hAnsi="宋体" w:cs="宋体"/>
                <w:color w:val="000000"/>
                <w:kern w:val="0"/>
                <w:highlight w:val="none"/>
              </w:rPr>
              <w:t>★服务内容及要求条款</w:t>
            </w:r>
            <w:r>
              <w:rPr>
                <w:rFonts w:hint="eastAsia" w:ascii="宋体" w:hAnsi="宋体" w:cs="宋体"/>
                <w:color w:val="000000"/>
                <w:kern w:val="0"/>
                <w:highlight w:val="none"/>
                <w:lang w:val="en-US" w:eastAsia="zh-CN"/>
              </w:rPr>
              <w:t>有一项</w:t>
            </w:r>
            <w:r>
              <w:rPr>
                <w:rFonts w:hint="eastAsia" w:ascii="宋体" w:hAnsi="宋体" w:cs="宋体"/>
                <w:color w:val="000000"/>
                <w:kern w:val="0"/>
                <w:highlight w:val="none"/>
              </w:rPr>
              <w:t>不满足扣</w:t>
            </w:r>
            <w:r>
              <w:rPr>
                <w:rFonts w:ascii="宋体" w:hAnsi="宋体" w:cs="宋体"/>
                <w:color w:val="000000"/>
                <w:kern w:val="0"/>
                <w:highlight w:val="none"/>
              </w:rPr>
              <w:t>4</w:t>
            </w:r>
            <w:r>
              <w:rPr>
                <w:rFonts w:hint="eastAsia" w:ascii="宋体" w:hAnsi="宋体" w:cs="宋体"/>
                <w:color w:val="000000"/>
                <w:kern w:val="0"/>
                <w:highlight w:val="none"/>
              </w:rPr>
              <w:t>分，非星号条款有一项不满足扣</w:t>
            </w:r>
            <w:r>
              <w:rPr>
                <w:rFonts w:ascii="宋体" w:hAnsi="宋体" w:cs="宋体"/>
                <w:color w:val="000000"/>
                <w:kern w:val="0"/>
                <w:highlight w:val="none"/>
              </w:rPr>
              <w:t>2</w:t>
            </w:r>
            <w:r>
              <w:rPr>
                <w:rFonts w:hint="eastAsia" w:ascii="宋体" w:hAnsi="宋体" w:cs="宋体"/>
                <w:color w:val="000000"/>
                <w:kern w:val="0"/>
                <w:highlight w:val="none"/>
              </w:rPr>
              <w:t>分，扣完为止。</w:t>
            </w:r>
          </w:p>
        </w:tc>
        <w:tc>
          <w:tcPr>
            <w:tcW w:w="1050" w:type="dxa"/>
            <w:vMerge w:val="restart"/>
            <w:tcBorders>
              <w:top w:val="single" w:color="auto" w:sz="4" w:space="0"/>
              <w:left w:val="single" w:color="auto" w:sz="4" w:space="0"/>
              <w:right w:val="single" w:color="auto" w:sz="4" w:space="0"/>
            </w:tcBorders>
            <w:vAlign w:val="center"/>
          </w:tcPr>
          <w:p>
            <w:pPr>
              <w:rPr>
                <w:rFonts w:asciiTheme="minorEastAsia" w:hAnsiTheme="minorEastAsia" w:eastAsiaTheme="minorEastAsia" w:cstheme="minorEastAsia"/>
                <w:b/>
                <w:sz w:val="18"/>
                <w:szCs w:val="18"/>
                <w:lang w:bidi="ar"/>
              </w:rPr>
            </w:pPr>
          </w:p>
          <w:p>
            <w:pPr>
              <w:pStyle w:val="2"/>
              <w:rPr>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 w:hRule="atLeast"/>
        </w:trPr>
        <w:tc>
          <w:tcPr>
            <w:tcW w:w="766" w:type="dxa"/>
            <w:vMerge w:val="continue"/>
            <w:tcBorders>
              <w:left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bCs/>
                <w:szCs w:val="21"/>
                <w:lang w:bidi="ar"/>
              </w:rPr>
            </w:pPr>
          </w:p>
        </w:tc>
        <w:tc>
          <w:tcPr>
            <w:tcW w:w="1075" w:type="dxa"/>
            <w:vMerge w:val="continue"/>
            <w:tcBorders>
              <w:left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bCs/>
                <w:szCs w:val="21"/>
                <w:lang w:bidi="ar"/>
              </w:rPr>
            </w:pPr>
          </w:p>
        </w:tc>
        <w:tc>
          <w:tcPr>
            <w:tcW w:w="1011" w:type="dxa"/>
            <w:vMerge w:val="continue"/>
            <w:tcBorders>
              <w:left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p>
        </w:tc>
        <w:tc>
          <w:tcPr>
            <w:tcW w:w="5903" w:type="dxa"/>
            <w:gridSpan w:val="2"/>
            <w:tcBorders>
              <w:top w:val="single" w:color="auto" w:sz="4" w:space="0"/>
              <w:left w:val="single" w:color="auto" w:sz="4" w:space="0"/>
              <w:right w:val="single" w:color="auto" w:sz="4" w:space="0"/>
            </w:tcBorders>
            <w:vAlign w:val="center"/>
          </w:tcPr>
          <w:p>
            <w:pPr>
              <w:pStyle w:val="120"/>
              <w:widowControl/>
              <w:spacing w:line="400" w:lineRule="exact"/>
              <w:jc w:val="left"/>
              <w:rPr>
                <w:rFonts w:ascii="宋体" w:hAnsi="宋体" w:cs="宋体"/>
                <w:color w:val="000000"/>
                <w:kern w:val="0"/>
              </w:rPr>
            </w:pPr>
            <w:r>
              <w:rPr>
                <w:rFonts w:hint="eastAsia" w:ascii="宋体" w:hAnsi="宋体" w:cs="宋体"/>
                <w:color w:val="000000"/>
                <w:kern w:val="0"/>
              </w:rPr>
              <w:t>投标人所投入侵防御系统应具有国家信息安全测评信息技术产品安全测评证书-EAL4+，提供证书复印件并加盖投标人公章，得2分，不提供不得分。</w:t>
            </w:r>
          </w:p>
        </w:tc>
        <w:tc>
          <w:tcPr>
            <w:tcW w:w="1050" w:type="dxa"/>
            <w:vMerge w:val="continue"/>
            <w:tcBorders>
              <w:left w:val="single" w:color="auto" w:sz="4" w:space="0"/>
              <w:right w:val="single" w:color="auto" w:sz="4" w:space="0"/>
            </w:tcBorders>
            <w:vAlign w:val="center"/>
          </w:tcPr>
          <w:p>
            <w:pPr>
              <w:rPr>
                <w:rFonts w:asciiTheme="minorEastAsia" w:hAnsiTheme="minorEastAsia" w:eastAsiaTheme="minorEastAsia" w:cstheme="minorEastAsia"/>
                <w:b/>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 w:hRule="atLeast"/>
        </w:trPr>
        <w:tc>
          <w:tcPr>
            <w:tcW w:w="766" w:type="dxa"/>
            <w:vMerge w:val="continue"/>
            <w:tcBorders>
              <w:left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bCs/>
                <w:szCs w:val="21"/>
                <w:lang w:bidi="ar"/>
              </w:rPr>
            </w:pPr>
          </w:p>
        </w:tc>
        <w:tc>
          <w:tcPr>
            <w:tcW w:w="1075" w:type="dxa"/>
            <w:vMerge w:val="continue"/>
            <w:tcBorders>
              <w:left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bCs/>
                <w:szCs w:val="21"/>
                <w:lang w:bidi="ar"/>
              </w:rPr>
            </w:pPr>
          </w:p>
        </w:tc>
        <w:tc>
          <w:tcPr>
            <w:tcW w:w="1011" w:type="dxa"/>
            <w:vMerge w:val="continue"/>
            <w:tcBorders>
              <w:left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p>
        </w:tc>
        <w:tc>
          <w:tcPr>
            <w:tcW w:w="5903" w:type="dxa"/>
            <w:gridSpan w:val="2"/>
            <w:tcBorders>
              <w:top w:val="single" w:color="auto" w:sz="4" w:space="0"/>
              <w:left w:val="single" w:color="auto" w:sz="4" w:space="0"/>
              <w:right w:val="single" w:color="auto" w:sz="4" w:space="0"/>
            </w:tcBorders>
            <w:vAlign w:val="center"/>
          </w:tcPr>
          <w:p>
            <w:pPr>
              <w:pStyle w:val="120"/>
              <w:widowControl/>
              <w:spacing w:line="400" w:lineRule="exact"/>
              <w:jc w:val="left"/>
              <w:rPr>
                <w:rFonts w:ascii="宋体" w:hAnsi="宋体" w:cs="宋体"/>
                <w:color w:val="000000"/>
                <w:kern w:val="0"/>
              </w:rPr>
            </w:pPr>
            <w:r>
              <w:rPr>
                <w:rFonts w:hint="eastAsia" w:ascii="宋体" w:hAnsi="宋体" w:cs="宋体"/>
                <w:color w:val="000000"/>
                <w:kern w:val="0"/>
              </w:rPr>
              <w:t>投标人所投综合威胁分析系统应具有中华人民共和国工业和信息化部颁发的《电信设备进网许可证》，提供证书复印件并加盖投标人公章，得2分，不提供不得分。</w:t>
            </w:r>
          </w:p>
        </w:tc>
        <w:tc>
          <w:tcPr>
            <w:tcW w:w="1050" w:type="dxa"/>
            <w:vMerge w:val="continue"/>
            <w:tcBorders>
              <w:left w:val="single" w:color="auto" w:sz="4" w:space="0"/>
              <w:right w:val="single" w:color="auto" w:sz="4" w:space="0"/>
            </w:tcBorders>
            <w:vAlign w:val="center"/>
          </w:tcPr>
          <w:p>
            <w:pPr>
              <w:rPr>
                <w:rFonts w:asciiTheme="minorEastAsia" w:hAnsiTheme="minorEastAsia" w:eastAsiaTheme="minorEastAsia" w:cstheme="minorEastAsia"/>
                <w:b/>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 w:hRule="atLeast"/>
        </w:trPr>
        <w:tc>
          <w:tcPr>
            <w:tcW w:w="766" w:type="dxa"/>
            <w:vMerge w:val="continue"/>
            <w:tcBorders>
              <w:left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bCs/>
                <w:szCs w:val="21"/>
                <w:lang w:bidi="ar"/>
              </w:rPr>
            </w:pPr>
          </w:p>
        </w:tc>
        <w:tc>
          <w:tcPr>
            <w:tcW w:w="1075" w:type="dxa"/>
            <w:vMerge w:val="continue"/>
            <w:tcBorders>
              <w:left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bCs/>
                <w:szCs w:val="21"/>
                <w:lang w:bidi="ar"/>
              </w:rPr>
            </w:pPr>
          </w:p>
        </w:tc>
        <w:tc>
          <w:tcPr>
            <w:tcW w:w="1011"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p>
        </w:tc>
        <w:tc>
          <w:tcPr>
            <w:tcW w:w="5903" w:type="dxa"/>
            <w:gridSpan w:val="2"/>
            <w:tcBorders>
              <w:top w:val="single" w:color="auto" w:sz="4" w:space="0"/>
              <w:left w:val="single" w:color="auto" w:sz="4" w:space="0"/>
              <w:right w:val="single" w:color="auto" w:sz="4" w:space="0"/>
            </w:tcBorders>
            <w:vAlign w:val="center"/>
          </w:tcPr>
          <w:p>
            <w:pPr>
              <w:pStyle w:val="120"/>
              <w:widowControl/>
              <w:spacing w:line="400" w:lineRule="exact"/>
              <w:jc w:val="left"/>
              <w:rPr>
                <w:rFonts w:ascii="宋体" w:hAnsi="宋体" w:cs="宋体"/>
                <w:color w:val="000000"/>
                <w:kern w:val="0"/>
              </w:rPr>
            </w:pPr>
            <w:r>
              <w:rPr>
                <w:rFonts w:hint="eastAsia" w:ascii="宋体" w:hAnsi="宋体" w:cs="宋体"/>
                <w:color w:val="000000"/>
                <w:kern w:val="0"/>
              </w:rPr>
              <w:t>投标人所投网络空间资产测绘与监测平台应为国内开发，具备自主知识产权，提供公安部颁发的《销售许可证》-销售许可证类型为“Web应用安全检测系统”，提供产品销售许可证复印件并加盖投标人公章，得1分，不提供不得分。</w:t>
            </w:r>
          </w:p>
        </w:tc>
        <w:tc>
          <w:tcPr>
            <w:tcW w:w="1050" w:type="dxa"/>
            <w:vMerge w:val="continue"/>
            <w:tcBorders>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b/>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 w:hRule="atLeast"/>
        </w:trPr>
        <w:tc>
          <w:tcPr>
            <w:tcW w:w="766" w:type="dxa"/>
            <w:vMerge w:val="continue"/>
            <w:tcBorders>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b/>
                <w:szCs w:val="21"/>
                <w:lang w:bidi="ar"/>
              </w:rPr>
            </w:pPr>
          </w:p>
        </w:tc>
        <w:tc>
          <w:tcPr>
            <w:tcW w:w="1075" w:type="dxa"/>
            <w:vMerge w:val="continue"/>
            <w:tcBorders>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b/>
                <w:szCs w:val="21"/>
                <w:lang w:bidi="ar"/>
              </w:rPr>
            </w:pPr>
          </w:p>
        </w:tc>
        <w:tc>
          <w:tcPr>
            <w:tcW w:w="1011" w:type="dxa"/>
            <w:tcBorders>
              <w:top w:val="single" w:color="auto" w:sz="4" w:space="0"/>
              <w:left w:val="single" w:color="auto" w:sz="4" w:space="0"/>
              <w:bottom w:val="single" w:color="auto" w:sz="4" w:space="0"/>
              <w:right w:val="single" w:color="auto" w:sz="4" w:space="0"/>
            </w:tcBorders>
            <w:vAlign w:val="center"/>
          </w:tcPr>
          <w:p>
            <w:pPr>
              <w:pStyle w:val="120"/>
              <w:widowControl/>
              <w:spacing w:line="400" w:lineRule="exact"/>
              <w:ind w:firstLine="0" w:firstLineChars="0"/>
              <w:jc w:val="left"/>
              <w:rPr>
                <w:rFonts w:ascii="宋体" w:hAnsi="宋体" w:cs="宋体"/>
                <w:color w:val="000000"/>
                <w:kern w:val="0"/>
              </w:rPr>
            </w:pPr>
            <w:r>
              <w:rPr>
                <w:rFonts w:hint="eastAsia" w:ascii="宋体" w:hAnsi="宋体" w:cs="宋体"/>
                <w:color w:val="000000"/>
                <w:kern w:val="0"/>
              </w:rPr>
              <w:t>售后服务方案（</w:t>
            </w:r>
            <w:r>
              <w:rPr>
                <w:rFonts w:ascii="宋体" w:hAnsi="宋体" w:cs="宋体"/>
                <w:color w:val="000000"/>
                <w:kern w:val="0"/>
              </w:rPr>
              <w:t>5</w:t>
            </w:r>
            <w:r>
              <w:rPr>
                <w:rFonts w:hint="eastAsia" w:ascii="宋体" w:hAnsi="宋体" w:cs="宋体"/>
                <w:color w:val="000000"/>
                <w:kern w:val="0"/>
              </w:rPr>
              <w:t>分）</w:t>
            </w:r>
          </w:p>
        </w:tc>
        <w:tc>
          <w:tcPr>
            <w:tcW w:w="5903" w:type="dxa"/>
            <w:gridSpan w:val="2"/>
            <w:tcBorders>
              <w:top w:val="single" w:color="auto" w:sz="4" w:space="0"/>
              <w:left w:val="single" w:color="auto" w:sz="4" w:space="0"/>
              <w:bottom w:val="single" w:color="auto" w:sz="4" w:space="0"/>
              <w:right w:val="single" w:color="auto" w:sz="4" w:space="0"/>
            </w:tcBorders>
            <w:vAlign w:val="center"/>
          </w:tcPr>
          <w:p>
            <w:pPr>
              <w:pStyle w:val="120"/>
              <w:widowControl/>
              <w:spacing w:line="400" w:lineRule="exact"/>
              <w:jc w:val="left"/>
              <w:rPr>
                <w:rFonts w:ascii="宋体" w:hAnsi="宋体" w:cs="宋体"/>
                <w:color w:val="000000"/>
                <w:kern w:val="0"/>
              </w:rPr>
            </w:pPr>
            <w:r>
              <w:rPr>
                <w:rFonts w:hint="eastAsia" w:ascii="宋体" w:hAnsi="宋体" w:cs="宋体"/>
                <w:color w:val="000000"/>
                <w:kern w:val="0"/>
              </w:rPr>
              <w:t>投标人针对网络安全提供合理可行的项目运维及培训服务方案，方案至少包含运维职责和范围、运维制度、运维团队、运维流程、培训目标、培训方式、培训计划、培训质量控制。提供合理可行的网络安全技术咨询服务方案，方案内容应具备合理性、可行性、完整性。方案编制较差得0~</w:t>
            </w:r>
            <w:r>
              <w:rPr>
                <w:rFonts w:ascii="宋体" w:hAnsi="宋体" w:cs="宋体"/>
                <w:color w:val="000000"/>
                <w:kern w:val="0"/>
              </w:rPr>
              <w:t>1</w:t>
            </w:r>
            <w:r>
              <w:rPr>
                <w:rFonts w:hint="eastAsia" w:ascii="宋体" w:hAnsi="宋体" w:cs="宋体"/>
                <w:color w:val="000000"/>
                <w:kern w:val="0"/>
              </w:rPr>
              <w:t>分，一般得</w:t>
            </w:r>
            <w:r>
              <w:rPr>
                <w:rFonts w:ascii="宋体" w:hAnsi="宋体" w:cs="宋体"/>
                <w:color w:val="000000"/>
                <w:kern w:val="0"/>
              </w:rPr>
              <w:t>2</w:t>
            </w:r>
            <w:r>
              <w:rPr>
                <w:rFonts w:hint="eastAsia" w:ascii="宋体" w:hAnsi="宋体" w:cs="宋体"/>
                <w:color w:val="000000"/>
                <w:kern w:val="0"/>
              </w:rPr>
              <w:t>~</w:t>
            </w:r>
            <w:r>
              <w:rPr>
                <w:rFonts w:ascii="宋体" w:hAnsi="宋体" w:cs="宋体"/>
                <w:color w:val="000000"/>
                <w:kern w:val="0"/>
              </w:rPr>
              <w:t>3</w:t>
            </w:r>
            <w:r>
              <w:rPr>
                <w:rFonts w:hint="eastAsia" w:ascii="宋体" w:hAnsi="宋体" w:cs="宋体"/>
                <w:color w:val="000000"/>
                <w:kern w:val="0"/>
              </w:rPr>
              <w:t>分，优良得4~</w:t>
            </w:r>
            <w:r>
              <w:rPr>
                <w:rFonts w:ascii="宋体" w:hAnsi="宋体" w:cs="宋体"/>
                <w:color w:val="000000"/>
                <w:kern w:val="0"/>
              </w:rPr>
              <w:t>5</w:t>
            </w:r>
            <w:r>
              <w:rPr>
                <w:rFonts w:hint="eastAsia" w:ascii="宋体" w:hAnsi="宋体" w:cs="宋体"/>
                <w:color w:val="000000"/>
                <w:kern w:val="0"/>
              </w:rPr>
              <w:t>分</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b/>
                <w:szCs w:val="21"/>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55" w:hRule="atLeast"/>
        </w:trPr>
        <w:tc>
          <w:tcPr>
            <w:tcW w:w="7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bCs/>
                <w:szCs w:val="21"/>
                <w:lang w:bidi="ar"/>
              </w:rPr>
            </w:pPr>
            <w:r>
              <w:rPr>
                <w:rFonts w:hint="eastAsia" w:asciiTheme="minorEastAsia" w:hAnsiTheme="minorEastAsia" w:eastAsiaTheme="minorEastAsia" w:cstheme="minorEastAsia"/>
                <w:bCs/>
                <w:szCs w:val="21"/>
                <w:lang w:bidi="ar"/>
              </w:rPr>
              <w:t>10</w:t>
            </w:r>
          </w:p>
        </w:tc>
        <w:tc>
          <w:tcPr>
            <w:tcW w:w="2086" w:type="dxa"/>
            <w:gridSpan w:val="2"/>
            <w:tcBorders>
              <w:top w:val="single" w:color="auto" w:sz="4" w:space="0"/>
              <w:left w:val="single" w:color="auto" w:sz="4" w:space="0"/>
              <w:bottom w:val="single" w:color="auto" w:sz="4" w:space="0"/>
              <w:right w:val="single" w:color="auto" w:sz="4" w:space="0"/>
            </w:tcBorders>
            <w:vAlign w:val="center"/>
          </w:tcPr>
          <w:p>
            <w:pPr>
              <w:pStyle w:val="37"/>
              <w:widowControl w:val="0"/>
              <w:adjustRightInd w:val="0"/>
              <w:spacing w:before="0" w:after="0" w:afterAutospacing="0" w:line="320" w:lineRule="exact"/>
              <w:jc w:val="center"/>
              <w:textAlignment w:val="baseline"/>
              <w:rPr>
                <w:rFonts w:asciiTheme="minorEastAsia" w:hAnsiTheme="minorEastAsia" w:eastAsiaTheme="minorEastAsia" w:cstheme="minorEastAsia"/>
                <w:bCs/>
                <w:kern w:val="2"/>
                <w:sz w:val="21"/>
                <w:szCs w:val="21"/>
                <w:lang w:bidi="ar"/>
              </w:rPr>
            </w:pPr>
            <w:r>
              <w:rPr>
                <w:rFonts w:hint="eastAsia" w:asciiTheme="minorEastAsia" w:hAnsiTheme="minorEastAsia" w:eastAsiaTheme="minorEastAsia" w:cstheme="minorEastAsia"/>
                <w:bCs/>
                <w:kern w:val="2"/>
                <w:sz w:val="21"/>
                <w:szCs w:val="21"/>
                <w:lang w:bidi="ar"/>
              </w:rPr>
              <w:t>评标价</w:t>
            </w:r>
          </w:p>
          <w:p>
            <w:pPr>
              <w:pStyle w:val="37"/>
              <w:widowControl w:val="0"/>
              <w:adjustRightInd w:val="0"/>
              <w:spacing w:before="0" w:after="0" w:afterAutospacing="0" w:line="320" w:lineRule="exact"/>
              <w:jc w:val="center"/>
              <w:textAlignment w:val="baseline"/>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lang w:bidi="ar"/>
              </w:rPr>
              <w:t>（70分）</w:t>
            </w:r>
          </w:p>
        </w:tc>
        <w:tc>
          <w:tcPr>
            <w:tcW w:w="5903" w:type="dxa"/>
            <w:gridSpan w:val="2"/>
            <w:tcBorders>
              <w:top w:val="single" w:color="auto" w:sz="4" w:space="0"/>
              <w:left w:val="single" w:color="auto" w:sz="4" w:space="0"/>
              <w:bottom w:val="single" w:color="auto" w:sz="4" w:space="0"/>
              <w:right w:val="single" w:color="auto" w:sz="4" w:space="0"/>
            </w:tcBorders>
            <w:vAlign w:val="center"/>
          </w:tcPr>
          <w:p>
            <w:pPr>
              <w:pStyle w:val="120"/>
              <w:widowControl/>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投标</w:t>
            </w:r>
            <w:r>
              <w:rPr>
                <w:rFonts w:hint="eastAsia" w:asciiTheme="minorEastAsia" w:hAnsiTheme="minorEastAsia" w:eastAsiaTheme="minorEastAsia" w:cstheme="minorEastAsia"/>
                <w:szCs w:val="21"/>
              </w:rPr>
              <w:t>报价得分计算方法：</w:t>
            </w:r>
          </w:p>
          <w:p>
            <w:pPr>
              <w:pStyle w:val="120"/>
              <w:widowControl/>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1、基准价：以各有效投标人的投标报价的算术平均值作为基准价格；等于基准价格的投标报价得分为70分。</w:t>
            </w:r>
          </w:p>
          <w:p>
            <w:pPr>
              <w:pStyle w:val="120"/>
              <w:widowControl/>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2、其他投标人的价格分统一按照下列公式计算： </w:t>
            </w:r>
          </w:p>
          <w:p>
            <w:pPr>
              <w:pStyle w:val="120"/>
              <w:widowControl/>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（1）高于基准价格的报价得分=70-（投标报价-基准价）÷基准价×70；</w:t>
            </w:r>
          </w:p>
          <w:p>
            <w:pPr>
              <w:pStyle w:val="120"/>
              <w:widowControl/>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（2）低于基准价格的报价得分=70-（基准价-投标报价）÷基准价×70；</w:t>
            </w:r>
          </w:p>
          <w:p>
            <w:pPr>
              <w:pStyle w:val="120"/>
              <w:widowControl/>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3、计算结果保留小数两位（第3位四舍五入）。</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b/>
                <w:szCs w:val="21"/>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7" w:hRule="atLeast"/>
        </w:trPr>
        <w:tc>
          <w:tcPr>
            <w:tcW w:w="766" w:type="dxa"/>
            <w:tcBorders>
              <w:top w:val="single" w:color="auto" w:sz="4" w:space="0"/>
              <w:left w:val="single" w:color="auto" w:sz="4" w:space="0"/>
              <w:bottom w:val="single" w:color="auto" w:sz="4" w:space="0"/>
              <w:right w:val="single" w:color="auto" w:sz="4" w:space="0"/>
            </w:tcBorders>
            <w:vAlign w:val="center"/>
          </w:tcPr>
          <w:p>
            <w:pPr>
              <w:pStyle w:val="37"/>
              <w:widowControl w:val="0"/>
              <w:adjustRightInd w:val="0"/>
              <w:spacing w:before="0" w:after="0" w:afterAutospacing="0" w:line="320" w:lineRule="exact"/>
              <w:jc w:val="center"/>
              <w:textAlignment w:val="baseline"/>
              <w:rPr>
                <w:rFonts w:asciiTheme="minorEastAsia" w:hAnsiTheme="minorEastAsia" w:eastAsiaTheme="minorEastAsia" w:cstheme="minorEastAsia"/>
                <w:b/>
                <w:kern w:val="2"/>
                <w:sz w:val="21"/>
                <w:szCs w:val="21"/>
                <w:lang w:bidi="ar"/>
              </w:rPr>
            </w:pPr>
            <w:r>
              <w:rPr>
                <w:rFonts w:hint="eastAsia" w:asciiTheme="minorEastAsia" w:hAnsiTheme="minorEastAsia" w:eastAsiaTheme="minorEastAsia" w:cstheme="minorEastAsia"/>
                <w:kern w:val="2"/>
                <w:sz w:val="21"/>
                <w:szCs w:val="21"/>
                <w:lang w:bidi="ar"/>
              </w:rPr>
              <w:t>11</w:t>
            </w:r>
          </w:p>
        </w:tc>
        <w:tc>
          <w:tcPr>
            <w:tcW w:w="9039" w:type="dxa"/>
            <w:gridSpan w:val="5"/>
            <w:tcBorders>
              <w:top w:val="single" w:color="auto" w:sz="4" w:space="0"/>
              <w:left w:val="single" w:color="auto" w:sz="4" w:space="0"/>
              <w:bottom w:val="single" w:color="auto" w:sz="4" w:space="0"/>
              <w:right w:val="single" w:color="auto" w:sz="4" w:space="0"/>
            </w:tcBorders>
            <w:vAlign w:val="bottom"/>
          </w:tcPr>
          <w:p>
            <w:pPr>
              <w:pStyle w:val="37"/>
              <w:widowControl w:val="0"/>
              <w:adjustRightInd w:val="0"/>
              <w:spacing w:before="0" w:beforeAutospacing="0" w:after="0" w:afterAutospacing="0"/>
              <w:jc w:val="both"/>
              <w:textAlignment w:val="baseline"/>
              <w:rPr>
                <w:rFonts w:asciiTheme="minorEastAsia" w:hAnsiTheme="minorEastAsia" w:eastAsiaTheme="minorEastAsia" w:cstheme="minorEastAsia"/>
                <w:kern w:val="2"/>
                <w:sz w:val="21"/>
                <w:szCs w:val="21"/>
                <w:lang w:bidi="ar"/>
              </w:rPr>
            </w:pPr>
            <w:r>
              <w:rPr>
                <w:rFonts w:hint="eastAsia" w:asciiTheme="minorEastAsia" w:hAnsiTheme="minorEastAsia" w:eastAsiaTheme="minorEastAsia" w:cstheme="minorEastAsia"/>
                <w:kern w:val="2"/>
                <w:sz w:val="21"/>
                <w:szCs w:val="21"/>
                <w:lang w:bidi="ar"/>
              </w:rPr>
              <w:t>补充正文：</w:t>
            </w:r>
          </w:p>
          <w:p>
            <w:pPr>
              <w:pStyle w:val="37"/>
              <w:widowControl w:val="0"/>
              <w:adjustRightInd w:val="0"/>
              <w:spacing w:before="0" w:beforeAutospacing="0" w:after="0" w:afterAutospacing="0"/>
              <w:jc w:val="both"/>
              <w:textAlignment w:val="baseline"/>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bidi="ar"/>
              </w:rPr>
              <w:t>中标候选人推荐办法：</w:t>
            </w:r>
          </w:p>
          <w:p>
            <w:pPr>
              <w:pStyle w:val="37"/>
              <w:widowControl w:val="0"/>
              <w:adjustRightInd w:val="0"/>
              <w:spacing w:before="0" w:beforeAutospacing="0" w:after="0" w:afterAutospacing="0"/>
              <w:jc w:val="both"/>
              <w:textAlignment w:val="baseline"/>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bidi="ar"/>
              </w:rPr>
              <w:t>1.对通过评审的报价人按照综合得分（商务得分+技术得分+报价得分）由高到低排序。</w:t>
            </w:r>
          </w:p>
          <w:p>
            <w:pPr>
              <w:rPr>
                <w:rFonts w:asciiTheme="minorEastAsia" w:hAnsiTheme="minorEastAsia" w:eastAsiaTheme="minorEastAsia" w:cstheme="minorEastAsia"/>
                <w:b/>
                <w:szCs w:val="21"/>
                <w:lang w:bidi="ar"/>
              </w:rPr>
            </w:pPr>
            <w:r>
              <w:rPr>
                <w:rFonts w:hint="eastAsia" w:asciiTheme="minorEastAsia" w:hAnsiTheme="minorEastAsia" w:eastAsiaTheme="minorEastAsia" w:cstheme="minorEastAsia"/>
                <w:szCs w:val="21"/>
                <w:lang w:bidi="ar"/>
              </w:rPr>
              <w:t>2.按评标综合得分由高到低排序推荐2名中标候选人。</w:t>
            </w:r>
          </w:p>
        </w:tc>
      </w:tr>
    </w:tbl>
    <w:p/>
    <w:p>
      <w:pPr>
        <w:spacing w:line="360" w:lineRule="auto"/>
        <w:ind w:firstLine="420" w:firstLineChars="200"/>
        <w:jc w:val="left"/>
        <w:rPr>
          <w:rFonts w:ascii="宋体" w:hAnsi="宋体" w:cs="宋体"/>
          <w:szCs w:val="21"/>
        </w:rPr>
      </w:pPr>
      <w:r>
        <w:rPr>
          <w:rFonts w:hint="eastAsia" w:ascii="宋体" w:hAnsi="宋体" w:cs="宋体"/>
          <w:szCs w:val="21"/>
        </w:rPr>
        <w:t>1.  评标方法</w:t>
      </w:r>
    </w:p>
    <w:p>
      <w:pPr>
        <w:spacing w:line="360" w:lineRule="auto"/>
        <w:ind w:firstLine="420" w:firstLineChars="200"/>
        <w:jc w:val="left"/>
        <w:rPr>
          <w:rFonts w:ascii="宋体" w:hAnsi="宋体" w:cs="宋体"/>
          <w:szCs w:val="21"/>
        </w:rPr>
      </w:pPr>
      <w:r>
        <w:rPr>
          <w:rFonts w:hint="eastAsia" w:ascii="宋体" w:hAnsi="宋体" w:cs="宋体"/>
          <w:szCs w:val="21"/>
        </w:rPr>
        <w:t>本次评标采用综合评估法。评标委员会对满足招标文件实质性要求的投标文件，按照本章规定的评分标准进行评分，并按得分由高到低顺序推荐中标候选人，或根据招标人授权直接确定中标人。综合评分相等时，以评标办法前附表约定的原则确定中标候选人顺序。</w:t>
      </w:r>
    </w:p>
    <w:p>
      <w:pPr>
        <w:spacing w:line="360" w:lineRule="auto"/>
        <w:ind w:firstLine="420" w:firstLineChars="200"/>
        <w:jc w:val="left"/>
        <w:rPr>
          <w:rFonts w:ascii="宋体" w:hAnsi="宋体" w:cs="宋体"/>
          <w:szCs w:val="21"/>
        </w:rPr>
      </w:pPr>
      <w:r>
        <w:rPr>
          <w:rFonts w:hint="eastAsia" w:ascii="宋体" w:hAnsi="宋体" w:cs="宋体"/>
          <w:szCs w:val="21"/>
        </w:rPr>
        <w:t>2.  评审标准</w:t>
      </w:r>
    </w:p>
    <w:p>
      <w:pPr>
        <w:spacing w:line="360" w:lineRule="auto"/>
        <w:ind w:firstLine="420" w:firstLineChars="200"/>
        <w:jc w:val="left"/>
        <w:rPr>
          <w:rFonts w:ascii="宋体" w:hAnsi="宋体" w:cs="宋体"/>
          <w:szCs w:val="21"/>
        </w:rPr>
      </w:pPr>
      <w:r>
        <w:rPr>
          <w:rFonts w:hint="eastAsia" w:ascii="宋体" w:hAnsi="宋体" w:cs="宋体"/>
          <w:szCs w:val="21"/>
        </w:rPr>
        <w:t>2.1  初步评审标准</w:t>
      </w:r>
    </w:p>
    <w:p>
      <w:pPr>
        <w:spacing w:line="360" w:lineRule="auto"/>
        <w:ind w:firstLine="420" w:firstLineChars="200"/>
        <w:jc w:val="left"/>
        <w:rPr>
          <w:rFonts w:ascii="宋体" w:hAnsi="宋体" w:cs="宋体"/>
          <w:szCs w:val="21"/>
        </w:rPr>
      </w:pPr>
      <w:r>
        <w:rPr>
          <w:rFonts w:hint="eastAsia" w:ascii="宋体" w:hAnsi="宋体" w:cs="宋体"/>
          <w:szCs w:val="21"/>
        </w:rPr>
        <w:t>2.1.1A  资格评审标准：见评标办法前附表（适用于未进行资格预审的）。</w:t>
      </w:r>
    </w:p>
    <w:p>
      <w:pPr>
        <w:spacing w:line="360" w:lineRule="auto"/>
        <w:ind w:firstLine="420" w:firstLineChars="200"/>
        <w:jc w:val="left"/>
        <w:rPr>
          <w:rFonts w:ascii="宋体" w:hAnsi="宋体" w:cs="宋体"/>
          <w:szCs w:val="21"/>
        </w:rPr>
      </w:pPr>
      <w:r>
        <w:rPr>
          <w:rFonts w:hint="eastAsia" w:ascii="宋体" w:hAnsi="宋体" w:cs="宋体"/>
          <w:szCs w:val="21"/>
        </w:rPr>
        <w:t>2.1.1B  资格评审标准：见资格预审文件第三章“资格审查办法”详细审查标准（适用于已进行资格预审的）。</w:t>
      </w:r>
    </w:p>
    <w:p>
      <w:pPr>
        <w:spacing w:line="360" w:lineRule="auto"/>
        <w:ind w:firstLine="420" w:firstLineChars="200"/>
        <w:jc w:val="left"/>
        <w:rPr>
          <w:rFonts w:ascii="宋体" w:hAnsi="宋体" w:cs="宋体"/>
          <w:szCs w:val="21"/>
        </w:rPr>
      </w:pPr>
      <w:r>
        <w:rPr>
          <w:rFonts w:hint="eastAsia" w:ascii="宋体" w:hAnsi="宋体" w:cs="宋体"/>
          <w:szCs w:val="21"/>
        </w:rPr>
        <w:t>2.1.2  形式评审标准：见评标办法前附表。</w:t>
      </w:r>
    </w:p>
    <w:p>
      <w:pPr>
        <w:spacing w:line="360" w:lineRule="auto"/>
        <w:ind w:firstLine="420" w:firstLineChars="200"/>
        <w:jc w:val="left"/>
        <w:rPr>
          <w:rFonts w:ascii="宋体" w:hAnsi="宋体" w:cs="宋体"/>
          <w:szCs w:val="21"/>
        </w:rPr>
      </w:pPr>
      <w:r>
        <w:rPr>
          <w:rFonts w:hint="eastAsia" w:ascii="宋体" w:hAnsi="宋体" w:cs="宋体"/>
          <w:szCs w:val="21"/>
        </w:rPr>
        <w:t>2.1.3  响应性评审标准：见评标办法前附表。</w:t>
      </w:r>
    </w:p>
    <w:p>
      <w:pPr>
        <w:spacing w:line="360" w:lineRule="auto"/>
        <w:ind w:firstLine="420" w:firstLineChars="200"/>
        <w:jc w:val="left"/>
        <w:rPr>
          <w:rFonts w:ascii="宋体" w:hAnsi="宋体" w:cs="宋体"/>
          <w:szCs w:val="21"/>
        </w:rPr>
      </w:pPr>
      <w:r>
        <w:rPr>
          <w:rFonts w:hint="eastAsia" w:ascii="宋体" w:hAnsi="宋体" w:cs="宋体"/>
          <w:szCs w:val="21"/>
        </w:rPr>
        <w:t>2.2  分值构成与评审标准</w:t>
      </w:r>
    </w:p>
    <w:p>
      <w:pPr>
        <w:spacing w:line="360" w:lineRule="auto"/>
        <w:ind w:firstLine="420" w:firstLineChars="200"/>
        <w:jc w:val="left"/>
        <w:rPr>
          <w:rFonts w:ascii="宋体" w:hAnsi="宋体" w:cs="宋体"/>
          <w:szCs w:val="21"/>
        </w:rPr>
      </w:pPr>
      <w:r>
        <w:rPr>
          <w:rFonts w:hint="eastAsia" w:ascii="宋体" w:hAnsi="宋体" w:cs="宋体"/>
          <w:szCs w:val="21"/>
        </w:rPr>
        <w:t>2.2.1  分值构成</w:t>
      </w:r>
    </w:p>
    <w:p>
      <w:pPr>
        <w:spacing w:line="360" w:lineRule="auto"/>
        <w:ind w:firstLine="420" w:firstLineChars="200"/>
        <w:jc w:val="left"/>
        <w:rPr>
          <w:rFonts w:ascii="宋体" w:hAnsi="宋体" w:cs="宋体"/>
          <w:szCs w:val="21"/>
        </w:rPr>
      </w:pPr>
      <w:r>
        <w:rPr>
          <w:rFonts w:hint="eastAsia" w:ascii="宋体" w:hAnsi="宋体" w:cs="宋体"/>
          <w:szCs w:val="21"/>
        </w:rPr>
        <w:t>（1）技术部分：见评标办法前附表；</w:t>
      </w:r>
    </w:p>
    <w:p>
      <w:pPr>
        <w:spacing w:line="360" w:lineRule="auto"/>
        <w:ind w:firstLine="420" w:firstLineChars="200"/>
        <w:jc w:val="left"/>
        <w:rPr>
          <w:rFonts w:ascii="宋体" w:hAnsi="宋体" w:cs="宋体"/>
          <w:szCs w:val="21"/>
        </w:rPr>
      </w:pPr>
      <w:r>
        <w:rPr>
          <w:rFonts w:hint="eastAsia" w:ascii="宋体" w:hAnsi="宋体" w:cs="宋体"/>
          <w:szCs w:val="21"/>
        </w:rPr>
        <w:t>（2）商务部分：见评标办法前附表；</w:t>
      </w:r>
    </w:p>
    <w:p>
      <w:pPr>
        <w:spacing w:line="360" w:lineRule="auto"/>
        <w:ind w:firstLine="420" w:firstLineChars="200"/>
        <w:jc w:val="left"/>
        <w:rPr>
          <w:rFonts w:ascii="宋体" w:hAnsi="宋体" w:cs="宋体"/>
          <w:szCs w:val="21"/>
        </w:rPr>
      </w:pPr>
      <w:r>
        <w:rPr>
          <w:rFonts w:hint="eastAsia" w:ascii="宋体" w:hAnsi="宋体" w:cs="宋体"/>
          <w:szCs w:val="21"/>
        </w:rPr>
        <w:t>（3）投标报价：见评标办法前附表。</w:t>
      </w:r>
    </w:p>
    <w:p>
      <w:pPr>
        <w:spacing w:line="360" w:lineRule="auto"/>
        <w:ind w:firstLine="420" w:firstLineChars="200"/>
        <w:jc w:val="left"/>
        <w:rPr>
          <w:rFonts w:ascii="宋体" w:hAnsi="宋体" w:cs="宋体"/>
          <w:szCs w:val="21"/>
        </w:rPr>
      </w:pPr>
      <w:r>
        <w:rPr>
          <w:rFonts w:hint="eastAsia" w:ascii="宋体" w:hAnsi="宋体" w:cs="宋体"/>
          <w:szCs w:val="21"/>
        </w:rPr>
        <w:t>2.2.2  评标基准价计算</w:t>
      </w:r>
    </w:p>
    <w:p>
      <w:pPr>
        <w:spacing w:line="360" w:lineRule="auto"/>
        <w:ind w:firstLine="420" w:firstLineChars="200"/>
        <w:jc w:val="left"/>
        <w:rPr>
          <w:rFonts w:ascii="宋体" w:hAnsi="宋体" w:cs="宋体"/>
          <w:szCs w:val="21"/>
        </w:rPr>
      </w:pPr>
      <w:r>
        <w:rPr>
          <w:rFonts w:hint="eastAsia" w:ascii="宋体" w:hAnsi="宋体" w:cs="宋体"/>
          <w:szCs w:val="21"/>
        </w:rPr>
        <w:t>评标基准价计算方法：见评标办法前附表。</w:t>
      </w:r>
    </w:p>
    <w:p>
      <w:pPr>
        <w:spacing w:line="360" w:lineRule="auto"/>
        <w:ind w:firstLine="420" w:firstLineChars="200"/>
        <w:jc w:val="left"/>
        <w:rPr>
          <w:rFonts w:ascii="宋体" w:hAnsi="宋体" w:cs="宋体"/>
          <w:szCs w:val="21"/>
        </w:rPr>
      </w:pPr>
      <w:r>
        <w:rPr>
          <w:rFonts w:hint="eastAsia" w:ascii="宋体" w:hAnsi="宋体" w:cs="宋体"/>
          <w:szCs w:val="21"/>
        </w:rPr>
        <w:t>2.2.3  投标报价的偏差率计算</w:t>
      </w:r>
    </w:p>
    <w:p>
      <w:pPr>
        <w:spacing w:line="360" w:lineRule="auto"/>
        <w:ind w:firstLine="420" w:firstLineChars="200"/>
        <w:jc w:val="left"/>
        <w:rPr>
          <w:rFonts w:ascii="宋体" w:hAnsi="宋体" w:cs="宋体"/>
          <w:szCs w:val="21"/>
        </w:rPr>
      </w:pPr>
      <w:r>
        <w:rPr>
          <w:rFonts w:hint="eastAsia" w:ascii="宋体" w:hAnsi="宋体" w:cs="宋体"/>
          <w:szCs w:val="21"/>
        </w:rPr>
        <w:t>投标报价的偏差率计算公式：见评标办法前附表；</w:t>
      </w:r>
    </w:p>
    <w:p>
      <w:pPr>
        <w:spacing w:line="360" w:lineRule="auto"/>
        <w:ind w:firstLine="420" w:firstLineChars="200"/>
        <w:jc w:val="left"/>
        <w:rPr>
          <w:rFonts w:ascii="宋体" w:hAnsi="宋体" w:cs="宋体"/>
          <w:szCs w:val="21"/>
        </w:rPr>
      </w:pPr>
      <w:r>
        <w:rPr>
          <w:rFonts w:hint="eastAsia" w:ascii="宋体" w:hAnsi="宋体" w:cs="宋体"/>
          <w:szCs w:val="21"/>
        </w:rPr>
        <w:t>2.2.4  评审标准</w:t>
      </w:r>
    </w:p>
    <w:p>
      <w:pPr>
        <w:spacing w:line="360" w:lineRule="auto"/>
        <w:ind w:firstLine="420" w:firstLineChars="200"/>
        <w:jc w:val="left"/>
        <w:rPr>
          <w:rFonts w:ascii="宋体" w:hAnsi="宋体" w:cs="宋体"/>
          <w:szCs w:val="21"/>
        </w:rPr>
      </w:pPr>
      <w:r>
        <w:rPr>
          <w:rFonts w:hint="eastAsia" w:ascii="宋体" w:hAnsi="宋体" w:cs="宋体"/>
          <w:szCs w:val="21"/>
        </w:rPr>
        <w:t>（1）技术部分评分标准：见评标办法前附表；</w:t>
      </w:r>
    </w:p>
    <w:p>
      <w:pPr>
        <w:spacing w:line="360" w:lineRule="auto"/>
        <w:ind w:firstLine="420" w:firstLineChars="200"/>
        <w:jc w:val="left"/>
        <w:rPr>
          <w:rFonts w:ascii="宋体" w:hAnsi="宋体" w:cs="宋体"/>
          <w:szCs w:val="21"/>
        </w:rPr>
      </w:pPr>
      <w:r>
        <w:rPr>
          <w:rFonts w:hint="eastAsia" w:ascii="宋体" w:hAnsi="宋体" w:cs="宋体"/>
          <w:szCs w:val="21"/>
        </w:rPr>
        <w:t>（2）商务部分评分标准：见评标办法前附表；</w:t>
      </w:r>
    </w:p>
    <w:p>
      <w:pPr>
        <w:spacing w:line="360" w:lineRule="auto"/>
        <w:ind w:firstLine="420" w:firstLineChars="200"/>
        <w:jc w:val="left"/>
        <w:rPr>
          <w:rFonts w:ascii="宋体" w:hAnsi="宋体" w:cs="宋体"/>
          <w:szCs w:val="21"/>
        </w:rPr>
      </w:pPr>
      <w:r>
        <w:rPr>
          <w:rFonts w:hint="eastAsia" w:ascii="宋体" w:hAnsi="宋体" w:cs="宋体"/>
          <w:szCs w:val="21"/>
        </w:rPr>
        <w:t>（3）投标函部分评审标准：见评标办法前附表；</w:t>
      </w:r>
    </w:p>
    <w:p>
      <w:pPr>
        <w:spacing w:line="360" w:lineRule="auto"/>
        <w:ind w:firstLine="420" w:firstLineChars="200"/>
        <w:jc w:val="left"/>
        <w:rPr>
          <w:rFonts w:ascii="宋体" w:hAnsi="宋体" w:cs="宋体"/>
          <w:szCs w:val="21"/>
        </w:rPr>
      </w:pPr>
      <w:r>
        <w:rPr>
          <w:rFonts w:hint="eastAsia" w:ascii="宋体" w:hAnsi="宋体" w:cs="宋体"/>
          <w:szCs w:val="21"/>
        </w:rPr>
        <w:t>（4）投标报价评分标准：见评标办法前附表。</w:t>
      </w:r>
    </w:p>
    <w:p>
      <w:pPr>
        <w:spacing w:line="360" w:lineRule="auto"/>
        <w:ind w:firstLine="420" w:firstLineChars="200"/>
        <w:jc w:val="left"/>
        <w:rPr>
          <w:rFonts w:ascii="宋体" w:hAnsi="宋体" w:cs="宋体"/>
          <w:szCs w:val="21"/>
        </w:rPr>
      </w:pPr>
      <w:r>
        <w:rPr>
          <w:rFonts w:hint="eastAsia" w:ascii="宋体" w:hAnsi="宋体" w:cs="宋体"/>
          <w:szCs w:val="21"/>
        </w:rPr>
        <w:t>3.  评标程序</w:t>
      </w:r>
    </w:p>
    <w:p>
      <w:pPr>
        <w:spacing w:line="360" w:lineRule="auto"/>
        <w:ind w:firstLine="420" w:firstLineChars="200"/>
        <w:jc w:val="left"/>
        <w:rPr>
          <w:rFonts w:ascii="宋体" w:hAnsi="宋体" w:cs="宋体"/>
          <w:szCs w:val="21"/>
        </w:rPr>
      </w:pPr>
      <w:r>
        <w:rPr>
          <w:rFonts w:hint="eastAsia" w:ascii="宋体" w:hAnsi="宋体" w:cs="宋体"/>
          <w:szCs w:val="21"/>
        </w:rPr>
        <w:t>3.1  初步评审</w:t>
      </w:r>
    </w:p>
    <w:p>
      <w:pPr>
        <w:spacing w:line="360" w:lineRule="auto"/>
        <w:ind w:firstLine="420" w:firstLineChars="200"/>
        <w:jc w:val="left"/>
        <w:rPr>
          <w:rFonts w:ascii="宋体" w:hAnsi="宋体" w:cs="宋体"/>
          <w:szCs w:val="21"/>
        </w:rPr>
      </w:pPr>
      <w:r>
        <w:rPr>
          <w:rFonts w:hint="eastAsia" w:ascii="宋体" w:hAnsi="宋体" w:cs="宋体"/>
          <w:szCs w:val="21"/>
        </w:rPr>
        <w:t>3.1.1  评标委员会依据本章第 2.1 款规定的标准对投标文件进行初步评审。有一项不符合评审标准的，作否决投标处理。（适用于未进行资格预审的）</w:t>
      </w:r>
    </w:p>
    <w:p>
      <w:pPr>
        <w:spacing w:line="360" w:lineRule="auto"/>
        <w:ind w:firstLine="420" w:firstLineChars="200"/>
        <w:jc w:val="left"/>
        <w:rPr>
          <w:rFonts w:ascii="宋体" w:hAnsi="宋体" w:cs="宋体"/>
          <w:szCs w:val="21"/>
        </w:rPr>
      </w:pPr>
      <w:r>
        <w:rPr>
          <w:rFonts w:hint="eastAsia" w:ascii="宋体" w:hAnsi="宋体" w:cs="宋体"/>
          <w:szCs w:val="21"/>
        </w:rPr>
        <w:t>3.1.1  评标委员会依据本章第2.1.2项、第2.1.3项规定的评审标准对投标文件进行初步评审。有一项不符合评审标准的，作否决投标处理。当投标人资格预审申请文件的内容发生重大变化时，评标委员会依据本章第2.1.1项规定的标准对其更新资料进行评审。（适用于已进行资格预审的）</w:t>
      </w:r>
    </w:p>
    <w:p>
      <w:pPr>
        <w:spacing w:line="360" w:lineRule="auto"/>
        <w:ind w:firstLine="420" w:firstLineChars="200"/>
        <w:jc w:val="left"/>
        <w:rPr>
          <w:rFonts w:ascii="宋体" w:hAnsi="宋体" w:cs="宋体"/>
          <w:szCs w:val="21"/>
        </w:rPr>
      </w:pPr>
      <w:r>
        <w:rPr>
          <w:rFonts w:hint="eastAsia" w:ascii="宋体" w:hAnsi="宋体" w:cs="宋体"/>
          <w:szCs w:val="21"/>
        </w:rPr>
        <w:t>3.1.2  投标人有以下情形之一的，其投标作否决投标处理：</w:t>
      </w:r>
    </w:p>
    <w:p>
      <w:pPr>
        <w:spacing w:line="360" w:lineRule="auto"/>
        <w:ind w:firstLine="420" w:firstLineChars="200"/>
        <w:jc w:val="left"/>
        <w:rPr>
          <w:rFonts w:ascii="宋体" w:hAnsi="宋体" w:cs="宋体"/>
          <w:szCs w:val="21"/>
        </w:rPr>
      </w:pPr>
      <w:r>
        <w:rPr>
          <w:rFonts w:hint="eastAsia" w:ascii="宋体" w:hAnsi="宋体" w:cs="宋体"/>
          <w:szCs w:val="21"/>
        </w:rPr>
        <w:t>（1）投标文件没有对招标文件的实质性要求和条件作出响应，或者对招标文件的偏差超出招标文件规定的偏差范围或最高项数；</w:t>
      </w:r>
    </w:p>
    <w:p>
      <w:pPr>
        <w:spacing w:line="360" w:lineRule="auto"/>
        <w:ind w:firstLine="420" w:firstLineChars="200"/>
        <w:jc w:val="left"/>
        <w:rPr>
          <w:rFonts w:ascii="宋体" w:hAnsi="宋体" w:cs="宋体"/>
          <w:szCs w:val="21"/>
        </w:rPr>
      </w:pPr>
      <w:r>
        <w:rPr>
          <w:rFonts w:hint="eastAsia" w:ascii="宋体" w:hAnsi="宋体" w:cs="宋体"/>
          <w:szCs w:val="21"/>
        </w:rPr>
        <w:t>（2）有串通投标、弄虚作假、行贿等违法行为；</w:t>
      </w:r>
    </w:p>
    <w:p>
      <w:pPr>
        <w:spacing w:line="360" w:lineRule="auto"/>
        <w:ind w:firstLine="420" w:firstLineChars="200"/>
        <w:jc w:val="left"/>
        <w:rPr>
          <w:rFonts w:ascii="宋体" w:hAnsi="宋体" w:cs="宋体"/>
          <w:szCs w:val="21"/>
        </w:rPr>
      </w:pPr>
      <w:r>
        <w:rPr>
          <w:rFonts w:hint="eastAsia" w:ascii="宋体" w:hAnsi="宋体" w:cs="宋体"/>
          <w:szCs w:val="21"/>
        </w:rPr>
        <w:t>（3）拒绝按评标委员会要求澄清、说明或补正的。</w:t>
      </w:r>
    </w:p>
    <w:p>
      <w:pPr>
        <w:spacing w:line="360" w:lineRule="auto"/>
        <w:ind w:firstLine="420" w:firstLineChars="200"/>
        <w:jc w:val="left"/>
        <w:rPr>
          <w:rFonts w:ascii="宋体" w:hAnsi="宋体" w:cs="宋体"/>
          <w:szCs w:val="21"/>
        </w:rPr>
      </w:pPr>
      <w:r>
        <w:rPr>
          <w:rFonts w:hint="eastAsia" w:ascii="宋体" w:hAnsi="宋体" w:cs="宋体"/>
          <w:szCs w:val="21"/>
        </w:rPr>
        <w:t>3.1.3  投标报价有算术错误及其他错误的，评标委员会按以下原则要求投标人对投标报价进行修正，并要求投标人书面澄清确认。投标人拒不澄清确认的，评标委员会应当否决其投标：</w:t>
      </w:r>
    </w:p>
    <w:p>
      <w:pPr>
        <w:spacing w:line="360" w:lineRule="auto"/>
        <w:ind w:firstLine="420" w:firstLineChars="200"/>
        <w:jc w:val="left"/>
        <w:rPr>
          <w:rFonts w:ascii="宋体" w:hAnsi="宋体" w:cs="宋体"/>
          <w:szCs w:val="21"/>
        </w:rPr>
      </w:pPr>
      <w:r>
        <w:rPr>
          <w:rFonts w:hint="eastAsia" w:ascii="宋体" w:hAnsi="宋体" w:cs="宋体"/>
          <w:szCs w:val="21"/>
        </w:rPr>
        <w:t>（1）投标文件中的大写金额与小写金额不一致的，以大写金额为准；</w:t>
      </w:r>
    </w:p>
    <w:p>
      <w:pPr>
        <w:spacing w:line="360" w:lineRule="auto"/>
        <w:ind w:firstLine="420" w:firstLineChars="200"/>
        <w:jc w:val="left"/>
        <w:rPr>
          <w:rFonts w:ascii="宋体" w:hAnsi="宋体" w:cs="宋体"/>
          <w:szCs w:val="21"/>
        </w:rPr>
      </w:pPr>
      <w:r>
        <w:rPr>
          <w:rFonts w:hint="eastAsia" w:ascii="宋体" w:hAnsi="宋体" w:cs="宋体"/>
          <w:szCs w:val="21"/>
        </w:rPr>
        <w:t>（2）分项报价表中各分项总价金额与依据固定单价计算出的结果不一致的，由评标委员会作否决投标处理；</w:t>
      </w:r>
    </w:p>
    <w:p>
      <w:pPr>
        <w:spacing w:line="360" w:lineRule="auto"/>
        <w:ind w:firstLine="420" w:firstLineChars="200"/>
        <w:jc w:val="left"/>
        <w:rPr>
          <w:rFonts w:ascii="宋体" w:hAnsi="宋体" w:cs="宋体"/>
          <w:szCs w:val="21"/>
        </w:rPr>
      </w:pPr>
      <w:r>
        <w:rPr>
          <w:rFonts w:hint="eastAsia" w:ascii="宋体" w:hAnsi="宋体" w:cs="宋体"/>
          <w:szCs w:val="21"/>
        </w:rPr>
        <w:t>（3）投标报价为各分项总价金额之和，投标报价与各分项总价的合价不一致的，由评标委员会作否决投标处理；</w:t>
      </w:r>
    </w:p>
    <w:p>
      <w:pPr>
        <w:spacing w:line="360" w:lineRule="auto"/>
        <w:ind w:firstLine="420" w:firstLineChars="200"/>
        <w:jc w:val="left"/>
        <w:rPr>
          <w:rFonts w:ascii="宋体" w:hAnsi="宋体" w:cs="宋体"/>
          <w:szCs w:val="21"/>
        </w:rPr>
      </w:pPr>
      <w:r>
        <w:rPr>
          <w:rFonts w:hint="eastAsia" w:ascii="宋体" w:hAnsi="宋体" w:cs="宋体"/>
          <w:szCs w:val="21"/>
        </w:rPr>
        <w:t>（4）如果分项报价中存在缺漏项，则视为缺漏项价格已包含在其他分项报价之中。</w:t>
      </w:r>
    </w:p>
    <w:p>
      <w:pPr>
        <w:spacing w:line="360" w:lineRule="auto"/>
        <w:ind w:firstLine="420" w:firstLineChars="200"/>
        <w:jc w:val="left"/>
        <w:rPr>
          <w:rFonts w:ascii="宋体" w:hAnsi="宋体" w:cs="宋体"/>
          <w:szCs w:val="21"/>
        </w:rPr>
      </w:pPr>
      <w:r>
        <w:rPr>
          <w:rFonts w:hint="eastAsia" w:ascii="宋体" w:hAnsi="宋体" w:cs="宋体"/>
          <w:szCs w:val="21"/>
        </w:rPr>
        <w:t>3.2  详细评审</w:t>
      </w:r>
    </w:p>
    <w:p>
      <w:pPr>
        <w:spacing w:line="360" w:lineRule="auto"/>
        <w:ind w:firstLine="420" w:firstLineChars="200"/>
        <w:jc w:val="left"/>
        <w:rPr>
          <w:rFonts w:ascii="宋体" w:hAnsi="宋体" w:cs="宋体"/>
          <w:szCs w:val="21"/>
        </w:rPr>
      </w:pPr>
      <w:r>
        <w:rPr>
          <w:rFonts w:hint="eastAsia" w:ascii="宋体" w:hAnsi="宋体" w:cs="宋体"/>
          <w:szCs w:val="21"/>
        </w:rPr>
        <w:t>3.2.1  评标委员会按本章第2.2款规定的量化因素和分值进行评分，并计算出综合评估得分。</w:t>
      </w:r>
    </w:p>
    <w:p>
      <w:pPr>
        <w:spacing w:line="360" w:lineRule="auto"/>
        <w:ind w:firstLine="420" w:firstLineChars="200"/>
        <w:jc w:val="left"/>
        <w:rPr>
          <w:rFonts w:ascii="宋体" w:hAnsi="宋体" w:cs="宋体"/>
          <w:szCs w:val="21"/>
        </w:rPr>
      </w:pPr>
      <w:r>
        <w:rPr>
          <w:rFonts w:hint="eastAsia" w:ascii="宋体" w:hAnsi="宋体" w:cs="宋体"/>
          <w:szCs w:val="21"/>
        </w:rPr>
        <w:t>（1）按本章第 2.2.4（1）目规定的评审因素和分值对技术部分计算出得分 A；</w:t>
      </w:r>
    </w:p>
    <w:p>
      <w:pPr>
        <w:spacing w:line="360" w:lineRule="auto"/>
        <w:ind w:firstLine="420" w:firstLineChars="200"/>
        <w:jc w:val="left"/>
        <w:rPr>
          <w:rFonts w:ascii="宋体" w:hAnsi="宋体" w:cs="宋体"/>
          <w:szCs w:val="21"/>
        </w:rPr>
      </w:pPr>
      <w:r>
        <w:rPr>
          <w:rFonts w:hint="eastAsia" w:ascii="宋体" w:hAnsi="宋体" w:cs="宋体"/>
          <w:szCs w:val="21"/>
        </w:rPr>
        <w:t>（2）按本章第 2.2.4（2）目规定的评审因素和分值对商务部分计算出得分 B；</w:t>
      </w:r>
    </w:p>
    <w:p>
      <w:pPr>
        <w:spacing w:line="360" w:lineRule="auto"/>
        <w:ind w:firstLine="420" w:firstLineChars="200"/>
        <w:jc w:val="left"/>
        <w:rPr>
          <w:rFonts w:ascii="宋体" w:hAnsi="宋体" w:cs="宋体"/>
          <w:szCs w:val="21"/>
        </w:rPr>
      </w:pPr>
      <w:r>
        <w:rPr>
          <w:rFonts w:hint="eastAsia" w:ascii="宋体" w:hAnsi="宋体" w:cs="宋体"/>
          <w:szCs w:val="21"/>
        </w:rPr>
        <w:t>（3）按本章第 2.2.4（4）目规定的评审因素和分值对投标报价计算出得分 C；</w:t>
      </w:r>
    </w:p>
    <w:p>
      <w:pPr>
        <w:spacing w:line="360" w:lineRule="auto"/>
        <w:ind w:firstLine="420" w:firstLineChars="200"/>
        <w:jc w:val="left"/>
        <w:rPr>
          <w:rFonts w:ascii="宋体" w:hAnsi="宋体" w:cs="宋体"/>
          <w:szCs w:val="21"/>
        </w:rPr>
      </w:pPr>
      <w:r>
        <w:rPr>
          <w:rFonts w:hint="eastAsia" w:ascii="宋体" w:hAnsi="宋体" w:cs="宋体"/>
          <w:szCs w:val="21"/>
        </w:rPr>
        <w:t>3.2.2  各类评分分值的最终计算结果保留两位小数，小数点后第三位“四舍五入”。</w:t>
      </w:r>
    </w:p>
    <w:p>
      <w:pPr>
        <w:spacing w:line="360" w:lineRule="auto"/>
        <w:ind w:firstLine="420" w:firstLineChars="200"/>
        <w:jc w:val="left"/>
        <w:rPr>
          <w:rFonts w:ascii="宋体" w:hAnsi="宋体" w:cs="宋体"/>
          <w:szCs w:val="21"/>
        </w:rPr>
      </w:pPr>
      <w:r>
        <w:rPr>
          <w:rFonts w:hint="eastAsia" w:ascii="宋体" w:hAnsi="宋体" w:cs="宋体"/>
          <w:szCs w:val="21"/>
        </w:rPr>
        <w:t>3.2.3  投标人得分=A+B+C。</w:t>
      </w:r>
    </w:p>
    <w:p>
      <w:pPr>
        <w:spacing w:line="360" w:lineRule="auto"/>
        <w:ind w:firstLine="420" w:firstLineChars="200"/>
        <w:jc w:val="left"/>
        <w:rPr>
          <w:rFonts w:ascii="宋体" w:hAnsi="宋体" w:cs="宋体"/>
          <w:szCs w:val="21"/>
        </w:rPr>
      </w:pPr>
      <w:r>
        <w:rPr>
          <w:rFonts w:hint="eastAsia" w:ascii="宋体" w:hAnsi="宋体" w:cs="宋体"/>
          <w:szCs w:val="21"/>
        </w:rPr>
        <w:t>3.3  投标文件的澄清</w:t>
      </w:r>
    </w:p>
    <w:p>
      <w:pPr>
        <w:spacing w:line="360" w:lineRule="auto"/>
        <w:ind w:firstLine="420" w:firstLineChars="200"/>
        <w:jc w:val="left"/>
        <w:rPr>
          <w:rFonts w:ascii="宋体" w:hAnsi="宋体" w:cs="宋体"/>
          <w:szCs w:val="21"/>
        </w:rPr>
      </w:pPr>
      <w:r>
        <w:rPr>
          <w:rFonts w:hint="eastAsia" w:ascii="宋体" w:hAnsi="宋体" w:cs="宋体"/>
          <w:szCs w:val="21"/>
        </w:rPr>
        <w:t>3.3.1  在评标过程中，评标委员会可以书面形式要求投标人对所提交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auto"/>
        <w:ind w:firstLine="420" w:firstLineChars="200"/>
        <w:jc w:val="left"/>
        <w:rPr>
          <w:rFonts w:ascii="宋体" w:hAnsi="宋体" w:cs="宋体"/>
          <w:szCs w:val="21"/>
        </w:rPr>
      </w:pPr>
      <w:r>
        <w:rPr>
          <w:rFonts w:hint="eastAsia" w:ascii="宋体" w:hAnsi="宋体" w:cs="宋体"/>
          <w:szCs w:val="21"/>
        </w:rPr>
        <w:t>3.3.2  澄清、说明或补正不得超出投标文件的范围且不得改变投标文件的实质性内容，并构成投标文件的组成部分。</w:t>
      </w:r>
    </w:p>
    <w:p>
      <w:pPr>
        <w:spacing w:line="360" w:lineRule="auto"/>
        <w:ind w:firstLine="420" w:firstLineChars="200"/>
        <w:jc w:val="left"/>
        <w:rPr>
          <w:rFonts w:ascii="宋体" w:hAnsi="宋体" w:cs="宋体"/>
          <w:szCs w:val="21"/>
        </w:rPr>
      </w:pPr>
      <w:r>
        <w:rPr>
          <w:rFonts w:hint="eastAsia" w:ascii="宋体" w:hAnsi="宋体" w:cs="宋体"/>
          <w:szCs w:val="21"/>
        </w:rPr>
        <w:t>3.3.3  评标委员会对投标人提交的澄清、说明或补正有疑问的，可以要求投标人进一步澄清、说明或补正，直至满足评标委员会的要求。</w:t>
      </w:r>
    </w:p>
    <w:p>
      <w:pPr>
        <w:spacing w:line="360" w:lineRule="auto"/>
        <w:ind w:firstLine="420" w:firstLineChars="200"/>
        <w:jc w:val="left"/>
        <w:rPr>
          <w:rFonts w:ascii="宋体" w:hAnsi="宋体" w:cs="宋体"/>
          <w:szCs w:val="21"/>
        </w:rPr>
      </w:pPr>
      <w:r>
        <w:rPr>
          <w:rFonts w:hint="eastAsia" w:ascii="宋体" w:hAnsi="宋体" w:cs="宋体"/>
          <w:szCs w:val="21"/>
        </w:rPr>
        <w:t>3.4  评标结果</w:t>
      </w:r>
    </w:p>
    <w:p>
      <w:pPr>
        <w:spacing w:line="360" w:lineRule="auto"/>
        <w:ind w:firstLine="420" w:firstLineChars="200"/>
        <w:jc w:val="left"/>
        <w:rPr>
          <w:rFonts w:ascii="宋体" w:hAnsi="宋体" w:cs="宋体"/>
          <w:szCs w:val="21"/>
        </w:rPr>
      </w:pPr>
      <w:r>
        <w:rPr>
          <w:rFonts w:hint="eastAsia" w:ascii="宋体" w:hAnsi="宋体" w:cs="宋体"/>
          <w:szCs w:val="21"/>
        </w:rPr>
        <w:t>3.4.1  除第二章“投标人须知”前附表授权直接确定中标人外，评标委员会按照得分由高到低的顺序推荐中标候选人，并标明排序。</w:t>
      </w:r>
    </w:p>
    <w:p>
      <w:pPr>
        <w:spacing w:line="360" w:lineRule="auto"/>
        <w:ind w:firstLine="420" w:firstLineChars="200"/>
        <w:jc w:val="left"/>
        <w:rPr>
          <w:rStyle w:val="82"/>
          <w:rFonts w:ascii="宋体" w:hAnsi="宋体" w:cs="宋体"/>
          <w:b w:val="0"/>
          <w:bCs w:val="0"/>
          <w:kern w:val="2"/>
          <w:sz w:val="21"/>
          <w:szCs w:val="21"/>
        </w:rPr>
      </w:pPr>
      <w:r>
        <w:rPr>
          <w:rFonts w:hint="eastAsia" w:ascii="宋体" w:hAnsi="宋体" w:cs="宋体"/>
          <w:szCs w:val="21"/>
        </w:rPr>
        <w:t>3.4.2  评标委员会完成评标后，应当向招标人提交书面评标报告和中标候选人名单。</w:t>
      </w:r>
    </w:p>
    <w:p>
      <w:pPr>
        <w:pStyle w:val="3"/>
        <w:numPr>
          <w:ilvl w:val="0"/>
          <w:numId w:val="2"/>
        </w:numPr>
        <w:spacing w:before="0" w:after="0" w:line="360" w:lineRule="auto"/>
        <w:jc w:val="center"/>
        <w:rPr>
          <w:rFonts w:ascii="宋体" w:hAnsi="宋体" w:cs="宋体"/>
        </w:rPr>
      </w:pPr>
      <w:bookmarkStart w:id="743" w:name="_Toc24803"/>
      <w:r>
        <w:rPr>
          <w:rFonts w:hint="eastAsia" w:ascii="宋体" w:hAnsi="宋体" w:cs="宋体"/>
        </w:rPr>
        <w:t>采购清单</w:t>
      </w:r>
      <w:bookmarkEnd w:id="743"/>
    </w:p>
    <w:p>
      <w:pPr>
        <w:pStyle w:val="2"/>
        <w:rPr>
          <w:b/>
          <w:bCs/>
          <w:sz w:val="24"/>
          <w:szCs w:val="36"/>
        </w:rPr>
      </w:pPr>
      <w:bookmarkStart w:id="744" w:name="_Toc246996354"/>
      <w:bookmarkStart w:id="745" w:name="_Toc247085872"/>
      <w:bookmarkStart w:id="746" w:name="_Toc152042575"/>
      <w:bookmarkStart w:id="747" w:name="_Toc246997097"/>
      <w:bookmarkStart w:id="748" w:name="_Toc179632806"/>
      <w:bookmarkStart w:id="749" w:name="_Toc152045786"/>
      <w:bookmarkStart w:id="750" w:name="_Toc144974855"/>
      <w:r>
        <w:rPr>
          <w:rFonts w:hint="eastAsia"/>
          <w:b/>
          <w:bCs/>
          <w:sz w:val="24"/>
          <w:szCs w:val="36"/>
        </w:rPr>
        <w:t>（一）项目一览表</w:t>
      </w:r>
    </w:p>
    <w:tbl>
      <w:tblPr>
        <w:tblStyle w:val="44"/>
        <w:tblpPr w:leftFromText="180" w:rightFromText="180" w:vertAnchor="text" w:horzAnchor="page" w:tblpX="1330" w:tblpY="417"/>
        <w:tblOverlap w:val="never"/>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2552"/>
        <w:gridCol w:w="3022"/>
        <w:gridCol w:w="2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spacing w:line="360" w:lineRule="auto"/>
              <w:jc w:val="center"/>
              <w:rPr>
                <w:rFonts w:eastAsia="Times New Roman"/>
                <w:b/>
                <w:bCs/>
              </w:rPr>
            </w:pPr>
            <w:r>
              <w:rPr>
                <w:rFonts w:hint="eastAsia" w:eastAsia="Times New Roman"/>
                <w:b/>
                <w:bCs/>
              </w:rPr>
              <w:t>序号</w:t>
            </w:r>
          </w:p>
        </w:tc>
        <w:tc>
          <w:tcPr>
            <w:tcW w:w="2552" w:type="dxa"/>
            <w:vAlign w:val="center"/>
          </w:tcPr>
          <w:p>
            <w:pPr>
              <w:spacing w:line="360" w:lineRule="auto"/>
              <w:jc w:val="center"/>
              <w:rPr>
                <w:rFonts w:eastAsia="Times New Roman"/>
                <w:b/>
                <w:bCs/>
              </w:rPr>
            </w:pPr>
            <w:r>
              <w:rPr>
                <w:rFonts w:hint="eastAsia" w:eastAsia="Times New Roman"/>
                <w:b/>
                <w:bCs/>
              </w:rPr>
              <w:t>设备名称</w:t>
            </w:r>
          </w:p>
        </w:tc>
        <w:tc>
          <w:tcPr>
            <w:tcW w:w="3022" w:type="dxa"/>
            <w:vAlign w:val="center"/>
          </w:tcPr>
          <w:p>
            <w:pPr>
              <w:spacing w:line="360" w:lineRule="auto"/>
              <w:jc w:val="center"/>
              <w:rPr>
                <w:rFonts w:eastAsia="Times New Roman"/>
                <w:b/>
                <w:bCs/>
              </w:rPr>
            </w:pPr>
            <w:r>
              <w:rPr>
                <w:rFonts w:hint="eastAsia" w:eastAsia="Times New Roman"/>
                <w:b/>
                <w:bCs/>
              </w:rPr>
              <w:t>采购数量</w:t>
            </w:r>
          </w:p>
        </w:tc>
        <w:tc>
          <w:tcPr>
            <w:tcW w:w="2931" w:type="dxa"/>
            <w:vAlign w:val="center"/>
          </w:tcPr>
          <w:p>
            <w:pPr>
              <w:spacing w:line="360" w:lineRule="auto"/>
              <w:jc w:val="center"/>
              <w:rPr>
                <w:rFonts w:eastAsia="Times New Roman"/>
                <w:b/>
                <w:bCs/>
              </w:rPr>
            </w:pPr>
            <w:r>
              <w:rPr>
                <w:rFonts w:hint="eastAsia" w:eastAsia="Times New Roman"/>
                <w:b/>
                <w:bCs/>
              </w:rPr>
              <w:t>部署位置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spacing w:line="360" w:lineRule="auto"/>
              <w:jc w:val="center"/>
              <w:rPr>
                <w:rFonts w:eastAsia="Times New Roman"/>
              </w:rPr>
            </w:pPr>
            <w:r>
              <w:rPr>
                <w:rFonts w:hint="eastAsia" w:eastAsia="Times New Roman"/>
              </w:rPr>
              <w:t>1</w:t>
            </w:r>
          </w:p>
        </w:tc>
        <w:tc>
          <w:tcPr>
            <w:tcW w:w="2552" w:type="dxa"/>
            <w:vAlign w:val="center"/>
          </w:tcPr>
          <w:p>
            <w:pPr>
              <w:spacing w:line="360" w:lineRule="auto"/>
              <w:jc w:val="center"/>
              <w:rPr>
                <w:rFonts w:eastAsia="Times New Roman"/>
              </w:rPr>
            </w:pPr>
            <w:r>
              <w:rPr>
                <w:rFonts w:hint="eastAsia" w:eastAsia="Times New Roman"/>
              </w:rPr>
              <w:t>入侵防御系统</w:t>
            </w:r>
          </w:p>
        </w:tc>
        <w:tc>
          <w:tcPr>
            <w:tcW w:w="3022" w:type="dxa"/>
            <w:vAlign w:val="center"/>
          </w:tcPr>
          <w:p>
            <w:pPr>
              <w:spacing w:line="360" w:lineRule="auto"/>
              <w:jc w:val="center"/>
              <w:rPr>
                <w:rFonts w:eastAsia="Times New Roman"/>
              </w:rPr>
            </w:pPr>
            <w:r>
              <w:rPr>
                <w:rFonts w:hint="eastAsia" w:eastAsia="Times New Roman"/>
              </w:rPr>
              <w:t>1</w:t>
            </w:r>
          </w:p>
        </w:tc>
        <w:tc>
          <w:tcPr>
            <w:tcW w:w="2931" w:type="dxa"/>
            <w:vAlign w:val="center"/>
          </w:tcPr>
          <w:p>
            <w:pPr>
              <w:spacing w:line="360" w:lineRule="auto"/>
              <w:jc w:val="center"/>
              <w:rPr>
                <w:rFonts w:eastAsia="Times New Roman"/>
              </w:rPr>
            </w:pPr>
            <w:r>
              <w:rPr>
                <w:rFonts w:hint="eastAsia" w:eastAsia="Times New Roman"/>
              </w:rPr>
              <w:t>办公网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spacing w:line="360" w:lineRule="auto"/>
              <w:jc w:val="center"/>
              <w:rPr>
                <w:rFonts w:eastAsia="Times New Roman"/>
              </w:rPr>
            </w:pPr>
            <w:r>
              <w:rPr>
                <w:rFonts w:hint="eastAsia" w:eastAsia="Times New Roman"/>
              </w:rPr>
              <w:t>2</w:t>
            </w:r>
          </w:p>
        </w:tc>
        <w:tc>
          <w:tcPr>
            <w:tcW w:w="2552" w:type="dxa"/>
            <w:vAlign w:val="center"/>
          </w:tcPr>
          <w:p>
            <w:pPr>
              <w:spacing w:line="360" w:lineRule="auto"/>
              <w:jc w:val="center"/>
              <w:rPr>
                <w:rFonts w:eastAsia="Times New Roman"/>
              </w:rPr>
            </w:pPr>
            <w:r>
              <w:rPr>
                <w:rFonts w:hint="eastAsia" w:eastAsia="Times New Roman"/>
              </w:rPr>
              <w:t>综合威胁分析系统</w:t>
            </w:r>
          </w:p>
        </w:tc>
        <w:tc>
          <w:tcPr>
            <w:tcW w:w="3022" w:type="dxa"/>
            <w:vAlign w:val="center"/>
          </w:tcPr>
          <w:p>
            <w:pPr>
              <w:spacing w:line="360" w:lineRule="auto"/>
              <w:jc w:val="center"/>
              <w:rPr>
                <w:rFonts w:eastAsia="Times New Roman"/>
              </w:rPr>
            </w:pPr>
            <w:r>
              <w:rPr>
                <w:rFonts w:hint="eastAsia" w:eastAsia="Times New Roman"/>
              </w:rPr>
              <w:t>1</w:t>
            </w:r>
          </w:p>
        </w:tc>
        <w:tc>
          <w:tcPr>
            <w:tcW w:w="2931" w:type="dxa"/>
            <w:vAlign w:val="center"/>
          </w:tcPr>
          <w:p>
            <w:pPr>
              <w:spacing w:line="360" w:lineRule="auto"/>
              <w:jc w:val="center"/>
              <w:rPr>
                <w:rFonts w:eastAsia="Times New Roman"/>
              </w:rPr>
            </w:pPr>
            <w:r>
              <w:rPr>
                <w:rFonts w:hint="eastAsia" w:eastAsia="Times New Roman"/>
              </w:rPr>
              <w:t>办公网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spacing w:line="360" w:lineRule="auto"/>
              <w:jc w:val="center"/>
              <w:rPr>
                <w:rFonts w:eastAsia="Times New Roman"/>
              </w:rPr>
            </w:pPr>
            <w:r>
              <w:rPr>
                <w:rFonts w:hint="eastAsia" w:eastAsia="Times New Roman"/>
              </w:rPr>
              <w:t>3</w:t>
            </w:r>
          </w:p>
        </w:tc>
        <w:tc>
          <w:tcPr>
            <w:tcW w:w="2552" w:type="dxa"/>
            <w:vAlign w:val="center"/>
          </w:tcPr>
          <w:p>
            <w:pPr>
              <w:spacing w:line="360" w:lineRule="auto"/>
              <w:jc w:val="center"/>
              <w:rPr>
                <w:rFonts w:eastAsia="Times New Roman"/>
              </w:rPr>
            </w:pPr>
            <w:r>
              <w:rPr>
                <w:rFonts w:hint="eastAsia" w:eastAsia="Times New Roman"/>
              </w:rPr>
              <w:t>网络空间资产测绘与监测平台</w:t>
            </w:r>
          </w:p>
        </w:tc>
        <w:tc>
          <w:tcPr>
            <w:tcW w:w="3022" w:type="dxa"/>
            <w:vAlign w:val="center"/>
          </w:tcPr>
          <w:p>
            <w:pPr>
              <w:spacing w:line="360" w:lineRule="auto"/>
              <w:jc w:val="center"/>
              <w:rPr>
                <w:rFonts w:eastAsia="Times New Roman"/>
              </w:rPr>
            </w:pPr>
            <w:r>
              <w:rPr>
                <w:rFonts w:hint="eastAsia" w:eastAsia="Times New Roman"/>
              </w:rPr>
              <w:t>1</w:t>
            </w:r>
          </w:p>
        </w:tc>
        <w:tc>
          <w:tcPr>
            <w:tcW w:w="2931" w:type="dxa"/>
            <w:vAlign w:val="center"/>
          </w:tcPr>
          <w:p>
            <w:pPr>
              <w:spacing w:line="360" w:lineRule="auto"/>
              <w:jc w:val="center"/>
              <w:rPr>
                <w:rFonts w:eastAsia="Times New Roman"/>
              </w:rPr>
            </w:pPr>
            <w:r>
              <w:rPr>
                <w:rFonts w:hint="eastAsia" w:eastAsia="Times New Roman"/>
              </w:rPr>
              <w:t>办公网</w:t>
            </w:r>
          </w:p>
        </w:tc>
      </w:tr>
    </w:tbl>
    <w:p>
      <w:pPr>
        <w:pStyle w:val="2"/>
        <w:rPr>
          <w:b/>
          <w:bCs/>
          <w:sz w:val="24"/>
          <w:szCs w:val="36"/>
        </w:rPr>
      </w:pPr>
    </w:p>
    <w:p>
      <w:pPr>
        <w:pStyle w:val="2"/>
        <w:rPr>
          <w:b/>
          <w:bCs/>
          <w:sz w:val="24"/>
          <w:szCs w:val="36"/>
        </w:rPr>
      </w:pPr>
      <w:r>
        <w:rPr>
          <w:rFonts w:hint="eastAsia"/>
          <w:b/>
          <w:bCs/>
          <w:sz w:val="24"/>
          <w:szCs w:val="36"/>
        </w:rPr>
        <w:t>（二）技术质量需求</w:t>
      </w:r>
    </w:p>
    <w:p>
      <w:pPr>
        <w:spacing w:line="400" w:lineRule="exact"/>
        <w:ind w:firstLine="480" w:firstLineChars="200"/>
        <w:outlineLvl w:val="2"/>
        <w:rPr>
          <w:rFonts w:ascii="微软雅黑" w:hAnsi="微软雅黑" w:eastAsia="微软雅黑" w:cs="微软雅黑"/>
          <w:sz w:val="24"/>
        </w:rPr>
      </w:pPr>
      <w:bookmarkStart w:id="751" w:name="_Hlk72999065"/>
      <w:r>
        <w:rPr>
          <w:rFonts w:hint="eastAsia" w:ascii="微软雅黑" w:hAnsi="微软雅黑" w:eastAsia="微软雅黑" w:cs="微软雅黑"/>
          <w:sz w:val="24"/>
        </w:rPr>
        <w:t>“★”标注的技术需求为重要技术需求，若不满足将按照评标因素中相关规定处理。</w:t>
      </w:r>
    </w:p>
    <w:bookmarkEnd w:id="751"/>
    <w:tbl>
      <w:tblPr>
        <w:tblStyle w:val="44"/>
        <w:tblW w:w="97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59"/>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eastAsia="Times New Roman"/>
                <w:b/>
                <w:bCs/>
              </w:rPr>
            </w:pPr>
            <w:r>
              <w:rPr>
                <w:rFonts w:hint="eastAsia" w:eastAsia="Times New Roman"/>
                <w:b/>
                <w:bCs/>
              </w:rPr>
              <w:t>序号</w:t>
            </w:r>
          </w:p>
        </w:tc>
        <w:tc>
          <w:tcPr>
            <w:tcW w:w="1559" w:type="dxa"/>
            <w:vAlign w:val="center"/>
          </w:tcPr>
          <w:p>
            <w:pPr>
              <w:spacing w:line="360" w:lineRule="auto"/>
              <w:jc w:val="center"/>
              <w:rPr>
                <w:rFonts w:eastAsia="Times New Roman"/>
                <w:b/>
                <w:bCs/>
              </w:rPr>
            </w:pPr>
            <w:r>
              <w:rPr>
                <w:rFonts w:hint="eastAsia" w:ascii="宋体" w:hAnsi="宋体" w:eastAsia="宋体" w:cs="宋体"/>
                <w:b/>
                <w:bCs/>
              </w:rPr>
              <w:t>设备名称</w:t>
            </w:r>
          </w:p>
        </w:tc>
        <w:tc>
          <w:tcPr>
            <w:tcW w:w="7513" w:type="dxa"/>
            <w:vAlign w:val="center"/>
          </w:tcPr>
          <w:p>
            <w:pPr>
              <w:spacing w:line="360" w:lineRule="auto"/>
              <w:jc w:val="center"/>
              <w:rPr>
                <w:rFonts w:eastAsia="Times New Roman"/>
                <w:b/>
                <w:bCs/>
              </w:rPr>
            </w:pPr>
            <w:r>
              <w:rPr>
                <w:rFonts w:hint="eastAsia" w:ascii="宋体" w:hAnsi="宋体" w:eastAsia="宋体" w:cs="宋体"/>
                <w:b/>
                <w:bCs/>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eastAsia="Times New Roman"/>
              </w:rPr>
            </w:pPr>
            <w:r>
              <w:rPr>
                <w:rFonts w:hint="eastAsia" w:eastAsia="Times New Roman"/>
              </w:rPr>
              <w:t>1</w:t>
            </w:r>
          </w:p>
        </w:tc>
        <w:tc>
          <w:tcPr>
            <w:tcW w:w="1559" w:type="dxa"/>
            <w:vAlign w:val="center"/>
          </w:tcPr>
          <w:p>
            <w:pPr>
              <w:spacing w:line="360" w:lineRule="auto"/>
              <w:jc w:val="center"/>
              <w:rPr>
                <w:rFonts w:eastAsia="Times New Roman"/>
              </w:rPr>
            </w:pPr>
            <w:r>
              <w:rPr>
                <w:rFonts w:hint="eastAsia" w:ascii="宋体" w:hAnsi="宋体" w:eastAsia="宋体" w:cs="宋体"/>
              </w:rPr>
              <w:t>入侵防御系统</w:t>
            </w:r>
          </w:p>
        </w:tc>
        <w:tc>
          <w:tcPr>
            <w:tcW w:w="7513" w:type="dxa"/>
            <w:vAlign w:val="center"/>
          </w:tcPr>
          <w:p>
            <w:pPr>
              <w:spacing w:line="360" w:lineRule="auto"/>
              <w:jc w:val="left"/>
              <w:rPr>
                <w:rFonts w:eastAsia="Times New Roman"/>
              </w:rPr>
            </w:pPr>
            <w:r>
              <w:rPr>
                <w:rFonts w:hint="eastAsia" w:eastAsia="Times New Roman"/>
              </w:rPr>
              <w:t>1</w:t>
            </w:r>
            <w:r>
              <w:rPr>
                <w:rFonts w:hint="eastAsia" w:ascii="宋体" w:hAnsi="宋体" w:eastAsia="宋体" w:cs="宋体"/>
              </w:rPr>
              <w:t>、</w:t>
            </w:r>
            <w:r>
              <w:rPr>
                <w:rFonts w:hint="eastAsia" w:eastAsia="Times New Roman"/>
              </w:rPr>
              <w:t>1U</w:t>
            </w:r>
            <w:r>
              <w:rPr>
                <w:rFonts w:hint="eastAsia" w:ascii="宋体" w:hAnsi="宋体" w:eastAsia="宋体" w:cs="宋体"/>
              </w:rPr>
              <w:t>机型，含交流冗余电源，</w:t>
            </w:r>
            <w:r>
              <w:rPr>
                <w:rFonts w:hint="eastAsia" w:eastAsia="Times New Roman"/>
              </w:rPr>
              <w:t>1*RJ45</w:t>
            </w:r>
            <w:r>
              <w:rPr>
                <w:rFonts w:hint="eastAsia" w:ascii="宋体" w:hAnsi="宋体" w:eastAsia="宋体" w:cs="宋体"/>
              </w:rPr>
              <w:t>串口，</w:t>
            </w:r>
            <w:r>
              <w:rPr>
                <w:rFonts w:hint="eastAsia" w:eastAsia="Times New Roman"/>
              </w:rPr>
              <w:t>1*RJ45</w:t>
            </w:r>
            <w:r>
              <w:rPr>
                <w:rFonts w:hint="eastAsia" w:ascii="宋体" w:hAnsi="宋体" w:eastAsia="宋体" w:cs="宋体"/>
              </w:rPr>
              <w:t>管理口，</w:t>
            </w:r>
            <w:r>
              <w:rPr>
                <w:rFonts w:hint="eastAsia" w:eastAsia="Times New Roman"/>
              </w:rPr>
              <w:t>2*USB</w:t>
            </w:r>
            <w:r>
              <w:rPr>
                <w:rFonts w:hint="eastAsia" w:ascii="宋体" w:hAnsi="宋体" w:eastAsia="宋体" w:cs="宋体"/>
              </w:rPr>
              <w:t>接口，</w:t>
            </w:r>
            <w:r>
              <w:rPr>
                <w:rFonts w:hint="eastAsia" w:eastAsia="Times New Roman"/>
              </w:rPr>
              <w:t>4*GE</w:t>
            </w:r>
            <w:r>
              <w:rPr>
                <w:rFonts w:hint="eastAsia" w:ascii="宋体" w:hAnsi="宋体" w:eastAsia="宋体" w:cs="宋体"/>
              </w:rPr>
              <w:t>电口</w:t>
            </w:r>
            <w:r>
              <w:rPr>
                <w:rFonts w:hint="eastAsia" w:eastAsia="Times New Roman"/>
              </w:rPr>
              <w:t>(2</w:t>
            </w:r>
            <w:r>
              <w:rPr>
                <w:rFonts w:hint="eastAsia" w:ascii="宋体" w:hAnsi="宋体" w:eastAsia="宋体" w:cs="宋体"/>
              </w:rPr>
              <w:t>路</w:t>
            </w:r>
            <w:r>
              <w:rPr>
                <w:rFonts w:hint="eastAsia" w:eastAsia="Times New Roman"/>
              </w:rPr>
              <w:t>Bypass)</w:t>
            </w:r>
            <w:r>
              <w:rPr>
                <w:rFonts w:hint="eastAsia" w:ascii="宋体" w:hAnsi="宋体" w:eastAsia="宋体" w:cs="宋体"/>
              </w:rPr>
              <w:t>，</w:t>
            </w:r>
            <w:r>
              <w:rPr>
                <w:rFonts w:hint="eastAsia" w:eastAsia="Times New Roman"/>
              </w:rPr>
              <w:t>1</w:t>
            </w:r>
            <w:r>
              <w:rPr>
                <w:rFonts w:hint="eastAsia" w:ascii="宋体" w:hAnsi="宋体" w:eastAsia="宋体" w:cs="宋体"/>
              </w:rPr>
              <w:t>个接口扩展槽位。</w:t>
            </w:r>
            <w:r>
              <w:rPr>
                <w:rFonts w:hint="eastAsia" w:eastAsia="Times New Roman"/>
              </w:rPr>
              <w:t>1T SATA</w:t>
            </w:r>
            <w:r>
              <w:rPr>
                <w:rFonts w:hint="eastAsia" w:ascii="宋体" w:hAnsi="宋体" w:eastAsia="宋体" w:cs="宋体"/>
              </w:rPr>
              <w:t>硬盘。</w:t>
            </w:r>
          </w:p>
          <w:p>
            <w:pPr>
              <w:spacing w:line="360" w:lineRule="auto"/>
              <w:jc w:val="left"/>
              <w:rPr>
                <w:rFonts w:eastAsia="Times New Roman"/>
              </w:rPr>
            </w:pPr>
            <w:r>
              <w:rPr>
                <w:rFonts w:hint="eastAsia" w:eastAsia="Times New Roman"/>
              </w:rPr>
              <w:t>2</w:t>
            </w:r>
            <w:r>
              <w:rPr>
                <w:rFonts w:hint="eastAsia" w:ascii="宋体" w:hAnsi="宋体" w:eastAsia="宋体" w:cs="宋体"/>
              </w:rPr>
              <w:t>、网络层吞吐量</w:t>
            </w:r>
            <w:r>
              <w:rPr>
                <w:rFonts w:hint="eastAsia" w:eastAsia="Times New Roman"/>
              </w:rPr>
              <w:t>≥8G</w:t>
            </w:r>
            <w:r>
              <w:rPr>
                <w:rFonts w:hint="eastAsia" w:ascii="宋体" w:hAnsi="宋体" w:eastAsia="宋体" w:cs="宋体"/>
              </w:rPr>
              <w:t>，应用层吞吐量</w:t>
            </w:r>
            <w:r>
              <w:rPr>
                <w:rFonts w:hint="eastAsia" w:eastAsia="Times New Roman"/>
              </w:rPr>
              <w:t>≥800M</w:t>
            </w:r>
            <w:r>
              <w:rPr>
                <w:rFonts w:hint="eastAsia" w:ascii="宋体" w:hAnsi="宋体" w:eastAsia="宋体" w:cs="宋体"/>
              </w:rPr>
              <w:t>。</w:t>
            </w:r>
          </w:p>
          <w:p>
            <w:pPr>
              <w:spacing w:line="360" w:lineRule="auto"/>
              <w:jc w:val="left"/>
              <w:rPr>
                <w:rFonts w:eastAsia="Times New Roman"/>
              </w:rPr>
            </w:pPr>
            <w:r>
              <w:rPr>
                <w:rFonts w:hint="eastAsia" w:eastAsia="Times New Roman"/>
              </w:rPr>
              <w:t>3</w:t>
            </w:r>
            <w:r>
              <w:rPr>
                <w:rFonts w:hint="eastAsia" w:ascii="宋体" w:hAnsi="宋体" w:eastAsia="宋体" w:cs="宋体"/>
              </w:rPr>
              <w:t>、</w:t>
            </w:r>
            <w:r>
              <w:rPr>
                <w:rFonts w:ascii="Segoe UI Symbol" w:hAnsi="Segoe UI Symbol" w:eastAsia="Times New Roman" w:cs="Segoe UI Symbol"/>
              </w:rPr>
              <w:t>★</w:t>
            </w:r>
            <w:r>
              <w:rPr>
                <w:rFonts w:hint="eastAsia" w:ascii="宋体" w:hAnsi="宋体" w:eastAsia="宋体" w:cs="宋体"/>
              </w:rPr>
              <w:t>系统需提供入侵规则分类，帮助更便捷的制定防护策略。如勒索、挖矿、</w:t>
            </w:r>
            <w:r>
              <w:rPr>
                <w:rFonts w:hint="eastAsia" w:eastAsia="Times New Roman"/>
              </w:rPr>
              <w:t>SQL</w:t>
            </w:r>
            <w:r>
              <w:rPr>
                <w:rFonts w:hint="eastAsia" w:ascii="宋体" w:hAnsi="宋体" w:eastAsia="宋体" w:cs="宋体"/>
              </w:rPr>
              <w:t>注入、</w:t>
            </w:r>
            <w:r>
              <w:rPr>
                <w:rFonts w:hint="eastAsia" w:eastAsia="Times New Roman"/>
              </w:rPr>
              <w:t>XSS</w:t>
            </w:r>
            <w:r>
              <w:rPr>
                <w:rFonts w:hint="eastAsia" w:ascii="宋体" w:hAnsi="宋体" w:eastAsia="宋体" w:cs="宋体"/>
              </w:rPr>
              <w:t>注入、</w:t>
            </w:r>
            <w:r>
              <w:rPr>
                <w:rFonts w:hint="eastAsia" w:eastAsia="Times New Roman"/>
              </w:rPr>
              <w:t>webshell</w:t>
            </w:r>
            <w:r>
              <w:rPr>
                <w:rFonts w:hint="eastAsia" w:ascii="宋体" w:hAnsi="宋体" w:eastAsia="宋体" w:cs="宋体"/>
              </w:rPr>
              <w:t>、命令代码执行、内存破坏、类型混淆、反序列化、信息泄露、目录遍历、文件操作漏洞、注入攻击、重定向漏洞、</w:t>
            </w:r>
            <w:r>
              <w:rPr>
                <w:rFonts w:hint="eastAsia" w:eastAsia="Times New Roman"/>
              </w:rPr>
              <w:t>CSRF</w:t>
            </w:r>
            <w:r>
              <w:rPr>
                <w:rFonts w:hint="eastAsia" w:ascii="宋体" w:hAnsi="宋体" w:eastAsia="宋体" w:cs="宋体"/>
              </w:rPr>
              <w:t>、僵木蠕、拒绝服务、弱口令、欺骗劫持、扫描类攻击等，特征库数量大于</w:t>
            </w:r>
            <w:r>
              <w:rPr>
                <w:rFonts w:hint="eastAsia" w:eastAsia="Times New Roman"/>
              </w:rPr>
              <w:t>1</w:t>
            </w:r>
            <w:r>
              <w:rPr>
                <w:rFonts w:hint="eastAsia" w:ascii="宋体" w:hAnsi="宋体" w:eastAsia="宋体" w:cs="宋体"/>
              </w:rPr>
              <w:t>万</w:t>
            </w:r>
            <w:r>
              <w:rPr>
                <w:rFonts w:hint="eastAsia" w:eastAsia="Times New Roman"/>
              </w:rPr>
              <w:t>+</w:t>
            </w:r>
            <w:r>
              <w:rPr>
                <w:rFonts w:hint="eastAsia" w:ascii="宋体" w:hAnsi="宋体" w:eastAsia="宋体" w:cs="宋体"/>
              </w:rPr>
              <w:t>。（提供截图证明并加盖投标人公章）</w:t>
            </w:r>
          </w:p>
          <w:p>
            <w:pPr>
              <w:spacing w:line="360" w:lineRule="auto"/>
              <w:jc w:val="left"/>
              <w:rPr>
                <w:rFonts w:eastAsia="Times New Roman"/>
              </w:rPr>
            </w:pPr>
            <w:r>
              <w:rPr>
                <w:rFonts w:hint="eastAsia" w:eastAsia="Times New Roman"/>
              </w:rPr>
              <w:t>4</w:t>
            </w:r>
            <w:r>
              <w:rPr>
                <w:rFonts w:hint="eastAsia" w:ascii="宋体" w:hAnsi="宋体" w:eastAsia="宋体" w:cs="宋体"/>
              </w:rPr>
              <w:t>、系统应能识别主流的应用程序，识别不少于</w:t>
            </w:r>
            <w:r>
              <w:rPr>
                <w:rFonts w:hint="eastAsia" w:eastAsia="Times New Roman"/>
              </w:rPr>
              <w:t>6000</w:t>
            </w:r>
            <w:r>
              <w:rPr>
                <w:rFonts w:hint="eastAsia" w:ascii="宋体" w:hAnsi="宋体" w:eastAsia="宋体" w:cs="宋体"/>
              </w:rPr>
              <w:t>个应用。支持至少</w:t>
            </w:r>
            <w:r>
              <w:rPr>
                <w:rFonts w:hint="eastAsia" w:eastAsia="Times New Roman"/>
              </w:rPr>
              <w:t>5G</w:t>
            </w:r>
            <w:r>
              <w:rPr>
                <w:rFonts w:hint="eastAsia" w:ascii="宋体" w:hAnsi="宋体" w:eastAsia="宋体" w:cs="宋体"/>
              </w:rPr>
              <w:t>应用，支持</w:t>
            </w:r>
            <w:r>
              <w:rPr>
                <w:rFonts w:hint="eastAsia" w:eastAsia="Times New Roman"/>
              </w:rPr>
              <w:t>PFCP</w:t>
            </w:r>
            <w:r>
              <w:rPr>
                <w:rFonts w:hint="eastAsia" w:ascii="宋体" w:hAnsi="宋体" w:eastAsia="宋体" w:cs="宋体"/>
              </w:rPr>
              <w:t>、</w:t>
            </w:r>
            <w:r>
              <w:rPr>
                <w:rFonts w:hint="eastAsia" w:eastAsia="Times New Roman"/>
              </w:rPr>
              <w:t>NAS</w:t>
            </w:r>
            <w:r>
              <w:rPr>
                <w:rFonts w:hint="eastAsia" w:ascii="宋体" w:hAnsi="宋体" w:eastAsia="宋体" w:cs="宋体"/>
              </w:rPr>
              <w:t>、</w:t>
            </w:r>
            <w:r>
              <w:rPr>
                <w:rFonts w:hint="eastAsia" w:eastAsia="Times New Roman"/>
              </w:rPr>
              <w:t>HTTP2</w:t>
            </w:r>
            <w:r>
              <w:rPr>
                <w:rFonts w:hint="eastAsia" w:ascii="宋体" w:hAnsi="宋体" w:eastAsia="宋体" w:cs="宋体"/>
              </w:rPr>
              <w:t>、</w:t>
            </w:r>
            <w:r>
              <w:rPr>
                <w:rFonts w:hint="eastAsia" w:eastAsia="Times New Roman"/>
              </w:rPr>
              <w:t>SIGTRAN</w:t>
            </w:r>
            <w:r>
              <w:rPr>
                <w:rFonts w:hint="eastAsia" w:ascii="宋体" w:hAnsi="宋体" w:eastAsia="宋体" w:cs="宋体"/>
              </w:rPr>
              <w:t>、</w:t>
            </w:r>
            <w:r>
              <w:rPr>
                <w:rFonts w:hint="eastAsia" w:eastAsia="Times New Roman"/>
              </w:rPr>
              <w:t>S1AP</w:t>
            </w:r>
            <w:r>
              <w:rPr>
                <w:rFonts w:hint="eastAsia" w:ascii="宋体" w:hAnsi="宋体" w:eastAsia="宋体" w:cs="宋体"/>
              </w:rPr>
              <w:t>、</w:t>
            </w:r>
            <w:r>
              <w:rPr>
                <w:rFonts w:hint="eastAsia" w:eastAsia="Times New Roman"/>
              </w:rPr>
              <w:t>MML</w:t>
            </w:r>
            <w:r>
              <w:rPr>
                <w:rFonts w:hint="eastAsia" w:ascii="宋体" w:hAnsi="宋体" w:eastAsia="宋体" w:cs="宋体"/>
              </w:rPr>
              <w:t>等协议；至少</w:t>
            </w:r>
            <w:r>
              <w:rPr>
                <w:rFonts w:hint="eastAsia" w:eastAsia="Times New Roman"/>
              </w:rPr>
              <w:t>20</w:t>
            </w:r>
            <w:r>
              <w:rPr>
                <w:rFonts w:hint="eastAsia" w:ascii="宋体" w:hAnsi="宋体" w:eastAsia="宋体" w:cs="宋体"/>
              </w:rPr>
              <w:t>种工控协议，如</w:t>
            </w:r>
            <w:r>
              <w:rPr>
                <w:rFonts w:hint="eastAsia" w:eastAsia="Times New Roman"/>
              </w:rPr>
              <w:t>IEC 60870 104</w:t>
            </w:r>
            <w:r>
              <w:rPr>
                <w:rFonts w:hint="eastAsia" w:ascii="宋体" w:hAnsi="宋体" w:eastAsia="宋体" w:cs="宋体"/>
              </w:rPr>
              <w:t>、</w:t>
            </w:r>
            <w:r>
              <w:rPr>
                <w:rFonts w:hint="eastAsia" w:eastAsia="Times New Roman"/>
              </w:rPr>
              <w:t>DNP3</w:t>
            </w:r>
            <w:r>
              <w:rPr>
                <w:rFonts w:hint="eastAsia" w:ascii="宋体" w:hAnsi="宋体" w:eastAsia="宋体" w:cs="宋体"/>
              </w:rPr>
              <w:t>、</w:t>
            </w:r>
            <w:r>
              <w:rPr>
                <w:rFonts w:hint="eastAsia" w:eastAsia="Times New Roman"/>
              </w:rPr>
              <w:t>CIP</w:t>
            </w:r>
            <w:r>
              <w:rPr>
                <w:rFonts w:hint="eastAsia" w:ascii="宋体" w:hAnsi="宋体" w:eastAsia="宋体" w:cs="宋体"/>
              </w:rPr>
              <w:t>、</w:t>
            </w:r>
            <w:r>
              <w:rPr>
                <w:rFonts w:hint="eastAsia" w:eastAsia="Times New Roman"/>
              </w:rPr>
              <w:t>Modbus</w:t>
            </w:r>
            <w:r>
              <w:rPr>
                <w:rFonts w:hint="eastAsia" w:ascii="宋体" w:hAnsi="宋体" w:eastAsia="宋体" w:cs="宋体"/>
              </w:rPr>
              <w:t>、</w:t>
            </w:r>
            <w:r>
              <w:rPr>
                <w:rFonts w:hint="eastAsia" w:eastAsia="Times New Roman"/>
              </w:rPr>
              <w:t xml:space="preserve">LonWorks </w:t>
            </w:r>
            <w:r>
              <w:rPr>
                <w:rFonts w:hint="eastAsia" w:ascii="宋体" w:hAnsi="宋体" w:eastAsia="宋体" w:cs="宋体"/>
              </w:rPr>
              <w:t>等协议。</w:t>
            </w:r>
          </w:p>
          <w:p>
            <w:pPr>
              <w:spacing w:line="360" w:lineRule="auto"/>
              <w:jc w:val="left"/>
              <w:rPr>
                <w:rFonts w:eastAsia="Times New Roman"/>
              </w:rPr>
            </w:pPr>
            <w:r>
              <w:rPr>
                <w:rFonts w:hint="eastAsia" w:eastAsia="Times New Roman"/>
              </w:rPr>
              <w:t>5</w:t>
            </w:r>
            <w:r>
              <w:rPr>
                <w:rFonts w:hint="eastAsia" w:ascii="宋体" w:hAnsi="宋体" w:eastAsia="宋体" w:cs="宋体"/>
              </w:rPr>
              <w:t>、</w:t>
            </w:r>
            <w:r>
              <w:rPr>
                <w:rFonts w:ascii="Segoe UI Symbol" w:hAnsi="Segoe UI Symbol" w:eastAsia="Times New Roman" w:cs="Segoe UI Symbol"/>
              </w:rPr>
              <w:t>★</w:t>
            </w:r>
            <w:r>
              <w:rPr>
                <w:rFonts w:hint="eastAsia" w:ascii="宋体" w:hAnsi="宋体" w:eastAsia="宋体" w:cs="宋体"/>
              </w:rPr>
              <w:t>系统应支持多种抗逃避或欺骗检测技术，能检测出的躲避行为包括但不限于：</w:t>
            </w:r>
            <w:r>
              <w:rPr>
                <w:rFonts w:hint="eastAsia" w:eastAsia="Times New Roman"/>
              </w:rPr>
              <w:t>IP</w:t>
            </w:r>
            <w:r>
              <w:rPr>
                <w:rFonts w:hint="eastAsia" w:ascii="宋体" w:hAnsi="宋体" w:eastAsia="宋体" w:cs="宋体"/>
              </w:rPr>
              <w:t>数据包乱序分片、</w:t>
            </w:r>
            <w:r>
              <w:rPr>
                <w:rFonts w:hint="eastAsia" w:eastAsia="Times New Roman"/>
              </w:rPr>
              <w:t>TCP</w:t>
            </w:r>
            <w:r>
              <w:rPr>
                <w:rFonts w:hint="eastAsia" w:ascii="宋体" w:hAnsi="宋体" w:eastAsia="宋体" w:cs="宋体"/>
              </w:rPr>
              <w:t>报文乱序分段、</w:t>
            </w:r>
            <w:r>
              <w:rPr>
                <w:rFonts w:hint="eastAsia" w:eastAsia="Times New Roman"/>
              </w:rPr>
              <w:t>RPC</w:t>
            </w:r>
            <w:r>
              <w:rPr>
                <w:rFonts w:hint="eastAsia" w:ascii="宋体" w:hAnsi="宋体" w:eastAsia="宋体" w:cs="宋体"/>
              </w:rPr>
              <w:t>分片分段、</w:t>
            </w:r>
            <w:r>
              <w:rPr>
                <w:rFonts w:hint="eastAsia" w:eastAsia="Times New Roman"/>
              </w:rPr>
              <w:t>SMB</w:t>
            </w:r>
            <w:r>
              <w:rPr>
                <w:rFonts w:hint="eastAsia" w:ascii="宋体" w:hAnsi="宋体" w:eastAsia="宋体" w:cs="宋体"/>
              </w:rPr>
              <w:t>分片分段、</w:t>
            </w:r>
            <w:r>
              <w:rPr>
                <w:rFonts w:hint="eastAsia" w:eastAsia="Times New Roman"/>
              </w:rPr>
              <w:t>FTP</w:t>
            </w:r>
            <w:r>
              <w:rPr>
                <w:rFonts w:hint="eastAsia" w:ascii="宋体" w:hAnsi="宋体" w:eastAsia="宋体" w:cs="宋体"/>
              </w:rPr>
              <w:t>无效命令混淆、</w:t>
            </w:r>
            <w:r>
              <w:rPr>
                <w:rFonts w:hint="eastAsia" w:eastAsia="Times New Roman"/>
              </w:rPr>
              <w:t>HTTP</w:t>
            </w:r>
            <w:r>
              <w:rPr>
                <w:rFonts w:hint="eastAsia" w:ascii="宋体" w:hAnsi="宋体" w:eastAsia="宋体" w:cs="宋体"/>
              </w:rPr>
              <w:t>响应消息异常、</w:t>
            </w:r>
            <w:r>
              <w:rPr>
                <w:rFonts w:hint="eastAsia" w:eastAsia="Times New Roman"/>
              </w:rPr>
              <w:t>HTML</w:t>
            </w:r>
            <w:r>
              <w:rPr>
                <w:rFonts w:hint="eastAsia" w:ascii="宋体" w:hAnsi="宋体" w:eastAsia="宋体" w:cs="宋体"/>
              </w:rPr>
              <w:t>文件内容多种字符编码混淆、数据流分隔、</w:t>
            </w:r>
            <w:r>
              <w:rPr>
                <w:rFonts w:hint="eastAsia" w:eastAsia="Times New Roman"/>
              </w:rPr>
              <w:t xml:space="preserve"> </w:t>
            </w:r>
            <w:r>
              <w:rPr>
                <w:rFonts w:hint="eastAsia" w:ascii="宋体" w:hAnsi="宋体" w:eastAsia="宋体" w:cs="宋体"/>
              </w:rPr>
              <w:t>协议端口重定位、</w:t>
            </w:r>
            <w:r>
              <w:rPr>
                <w:rFonts w:hint="eastAsia" w:eastAsia="Times New Roman"/>
              </w:rPr>
              <w:t>URL</w:t>
            </w:r>
            <w:r>
              <w:rPr>
                <w:rFonts w:hint="eastAsia" w:ascii="宋体" w:hAnsi="宋体" w:eastAsia="宋体" w:cs="宋体"/>
              </w:rPr>
              <w:t>混淆、</w:t>
            </w:r>
            <w:r>
              <w:rPr>
                <w:rFonts w:hint="eastAsia" w:eastAsia="Times New Roman"/>
              </w:rPr>
              <w:t xml:space="preserve">shell </w:t>
            </w:r>
            <w:r>
              <w:rPr>
                <w:rFonts w:hint="eastAsia" w:ascii="宋体" w:hAnsi="宋体" w:eastAsia="宋体" w:cs="宋体"/>
              </w:rPr>
              <w:t>代码变形等。（提供截图证明并加盖投标人公章）</w:t>
            </w:r>
          </w:p>
          <w:p>
            <w:pPr>
              <w:spacing w:line="360" w:lineRule="auto"/>
              <w:jc w:val="left"/>
              <w:rPr>
                <w:rFonts w:eastAsia="Times New Roman"/>
              </w:rPr>
            </w:pPr>
            <w:r>
              <w:rPr>
                <w:rFonts w:hint="eastAsia" w:eastAsia="Times New Roman"/>
              </w:rPr>
              <w:t>6</w:t>
            </w:r>
            <w:r>
              <w:rPr>
                <w:rFonts w:hint="eastAsia" w:ascii="宋体" w:hAnsi="宋体" w:eastAsia="宋体" w:cs="宋体"/>
              </w:rPr>
              <w:t>、系统应能够有效抵御</w:t>
            </w:r>
            <w:r>
              <w:rPr>
                <w:rFonts w:hint="eastAsia" w:eastAsia="Times New Roman"/>
              </w:rPr>
              <w:t>SQL</w:t>
            </w:r>
            <w:r>
              <w:rPr>
                <w:rFonts w:hint="eastAsia" w:ascii="宋体" w:hAnsi="宋体" w:eastAsia="宋体" w:cs="宋体"/>
              </w:rPr>
              <w:t>注入、</w:t>
            </w:r>
            <w:r>
              <w:rPr>
                <w:rFonts w:hint="eastAsia" w:eastAsia="Times New Roman"/>
              </w:rPr>
              <w:t>XSS</w:t>
            </w:r>
            <w:r>
              <w:rPr>
                <w:rFonts w:hint="eastAsia" w:ascii="宋体" w:hAnsi="宋体" w:eastAsia="宋体" w:cs="宋体"/>
              </w:rPr>
              <w:t>注入、</w:t>
            </w:r>
            <w:r>
              <w:rPr>
                <w:rFonts w:hint="eastAsia" w:eastAsia="Times New Roman"/>
              </w:rPr>
              <w:t>webshell</w:t>
            </w:r>
            <w:r>
              <w:rPr>
                <w:rFonts w:hint="eastAsia" w:ascii="宋体" w:hAnsi="宋体" w:eastAsia="宋体" w:cs="宋体"/>
              </w:rPr>
              <w:t>等多种常见的应用层安全威胁，并可配置</w:t>
            </w:r>
            <w:r>
              <w:rPr>
                <w:rFonts w:hint="eastAsia" w:eastAsia="Times New Roman"/>
              </w:rPr>
              <w:t>SQL</w:t>
            </w:r>
            <w:r>
              <w:rPr>
                <w:rFonts w:hint="eastAsia" w:ascii="宋体" w:hAnsi="宋体" w:eastAsia="宋体" w:cs="宋体"/>
              </w:rPr>
              <w:t>注入白名单。</w:t>
            </w:r>
          </w:p>
          <w:p>
            <w:pPr>
              <w:spacing w:line="360" w:lineRule="auto"/>
              <w:jc w:val="left"/>
              <w:rPr>
                <w:rFonts w:eastAsia="Times New Roman"/>
              </w:rPr>
            </w:pPr>
            <w:r>
              <w:rPr>
                <w:rFonts w:hint="eastAsia" w:eastAsia="Times New Roman"/>
              </w:rPr>
              <w:t>7</w:t>
            </w:r>
            <w:r>
              <w:rPr>
                <w:rFonts w:hint="eastAsia" w:ascii="宋体" w:hAnsi="宋体" w:eastAsia="宋体" w:cs="宋体"/>
              </w:rPr>
              <w:t>、系统需提供至少五种以上内置规则模板，帮助用户快速上线。如</w:t>
            </w:r>
            <w:r>
              <w:rPr>
                <w:rFonts w:hint="eastAsia" w:eastAsia="Times New Roman"/>
              </w:rPr>
              <w:t>DMZ</w:t>
            </w:r>
            <w:r>
              <w:rPr>
                <w:rFonts w:hint="eastAsia" w:ascii="宋体" w:hAnsi="宋体" w:eastAsia="宋体" w:cs="宋体"/>
              </w:rPr>
              <w:t>区服务器、内网客户端、</w:t>
            </w:r>
            <w:r>
              <w:rPr>
                <w:rFonts w:hint="eastAsia" w:eastAsia="Times New Roman"/>
              </w:rPr>
              <w:t>Web</w:t>
            </w:r>
            <w:r>
              <w:rPr>
                <w:rFonts w:hint="eastAsia" w:ascii="宋体" w:hAnsi="宋体" w:eastAsia="宋体" w:cs="宋体"/>
              </w:rPr>
              <w:t>服务器、</w:t>
            </w:r>
            <w:r>
              <w:rPr>
                <w:rFonts w:hint="eastAsia" w:eastAsia="Times New Roman"/>
              </w:rPr>
              <w:t>Windows</w:t>
            </w:r>
            <w:r>
              <w:rPr>
                <w:rFonts w:hint="eastAsia" w:ascii="宋体" w:hAnsi="宋体" w:eastAsia="宋体" w:cs="宋体"/>
              </w:rPr>
              <w:t>服务器、</w:t>
            </w:r>
            <w:r>
              <w:rPr>
                <w:rFonts w:hint="eastAsia" w:eastAsia="Times New Roman"/>
              </w:rPr>
              <w:t>UNIX</w:t>
            </w:r>
            <w:r>
              <w:rPr>
                <w:rFonts w:hint="eastAsia" w:ascii="宋体" w:hAnsi="宋体" w:eastAsia="宋体" w:cs="宋体"/>
              </w:rPr>
              <w:t>服务器防护等规则模板，并可根据内置规则模板直接派生模板。</w:t>
            </w:r>
          </w:p>
          <w:p>
            <w:pPr>
              <w:spacing w:line="360" w:lineRule="auto"/>
              <w:jc w:val="left"/>
              <w:rPr>
                <w:rFonts w:eastAsia="Times New Roman"/>
              </w:rPr>
            </w:pPr>
            <w:r>
              <w:rPr>
                <w:rFonts w:hint="eastAsia" w:eastAsia="Times New Roman"/>
              </w:rPr>
              <w:t>8</w:t>
            </w:r>
            <w:r>
              <w:rPr>
                <w:rFonts w:hint="eastAsia" w:ascii="宋体" w:hAnsi="宋体" w:eastAsia="宋体" w:cs="宋体"/>
              </w:rPr>
              <w:t>、</w:t>
            </w:r>
            <w:r>
              <w:rPr>
                <w:rFonts w:ascii="Segoe UI Symbol" w:hAnsi="Segoe UI Symbol" w:eastAsia="Times New Roman" w:cs="Segoe UI Symbol"/>
              </w:rPr>
              <w:t>★</w:t>
            </w:r>
            <w:r>
              <w:rPr>
                <w:rFonts w:hint="eastAsia" w:ascii="宋体" w:hAnsi="宋体" w:eastAsia="宋体" w:cs="宋体"/>
              </w:rPr>
              <w:t>系统应提供丰富的响应方式，包括：告警、阻断、</w:t>
            </w:r>
            <w:r>
              <w:rPr>
                <w:rFonts w:hint="eastAsia" w:eastAsia="Times New Roman"/>
              </w:rPr>
              <w:t>IP</w:t>
            </w:r>
            <w:r>
              <w:rPr>
                <w:rFonts w:hint="eastAsia" w:ascii="宋体" w:hAnsi="宋体" w:eastAsia="宋体" w:cs="宋体"/>
              </w:rPr>
              <w:t>隔离、抓包等，满足用户各种响应需求。（提供截图证明并加盖投标人公章）</w:t>
            </w:r>
          </w:p>
          <w:p>
            <w:pPr>
              <w:spacing w:line="360" w:lineRule="auto"/>
              <w:jc w:val="left"/>
              <w:rPr>
                <w:rFonts w:eastAsia="Times New Roman"/>
              </w:rPr>
            </w:pPr>
            <w:r>
              <w:rPr>
                <w:rFonts w:hint="eastAsia" w:eastAsia="Times New Roman"/>
              </w:rPr>
              <w:t>9</w:t>
            </w:r>
            <w:r>
              <w:rPr>
                <w:rFonts w:hint="eastAsia" w:ascii="宋体" w:hAnsi="宋体" w:eastAsia="宋体" w:cs="宋体"/>
              </w:rPr>
              <w:t>、系统需提供公网地理库，能够在日志中展示攻击源</w:t>
            </w:r>
            <w:r>
              <w:rPr>
                <w:rFonts w:hint="eastAsia" w:eastAsia="Times New Roman"/>
              </w:rPr>
              <w:t>IP</w:t>
            </w:r>
            <w:r>
              <w:rPr>
                <w:rFonts w:hint="eastAsia" w:ascii="宋体" w:hAnsi="宋体" w:eastAsia="宋体" w:cs="宋体"/>
              </w:rPr>
              <w:t>的地理信息，能够定义私网</w:t>
            </w:r>
            <w:r>
              <w:rPr>
                <w:rFonts w:hint="eastAsia" w:eastAsia="Times New Roman"/>
              </w:rPr>
              <w:t>IP</w:t>
            </w:r>
            <w:r>
              <w:rPr>
                <w:rFonts w:hint="eastAsia" w:ascii="宋体" w:hAnsi="宋体" w:eastAsia="宋体" w:cs="宋体"/>
              </w:rPr>
              <w:t>地址或地址段，避免与公网重合时误展示为公网地址。</w:t>
            </w:r>
          </w:p>
          <w:p>
            <w:pPr>
              <w:spacing w:line="360" w:lineRule="auto"/>
              <w:jc w:val="left"/>
              <w:rPr>
                <w:rFonts w:eastAsia="Times New Roman"/>
              </w:rPr>
            </w:pPr>
            <w:r>
              <w:rPr>
                <w:rFonts w:hint="eastAsia" w:eastAsia="Times New Roman"/>
              </w:rPr>
              <w:t>10</w:t>
            </w:r>
            <w:r>
              <w:rPr>
                <w:rFonts w:hint="eastAsia" w:ascii="宋体" w:hAnsi="宋体" w:eastAsia="宋体" w:cs="宋体"/>
              </w:rPr>
              <w:t>、能够有效识别某</w:t>
            </w:r>
            <w:r>
              <w:rPr>
                <w:rFonts w:hint="eastAsia" w:eastAsia="Times New Roman"/>
              </w:rPr>
              <w:t>IP</w:t>
            </w:r>
            <w:r>
              <w:rPr>
                <w:rFonts w:hint="eastAsia" w:ascii="宋体" w:hAnsi="宋体" w:eastAsia="宋体" w:cs="宋体"/>
              </w:rPr>
              <w:t>上登录的用户并将用户名关联在该</w:t>
            </w:r>
            <w:r>
              <w:rPr>
                <w:rFonts w:hint="eastAsia" w:eastAsia="Times New Roman"/>
              </w:rPr>
              <w:t>IP</w:t>
            </w:r>
            <w:r>
              <w:rPr>
                <w:rFonts w:hint="eastAsia" w:ascii="宋体" w:hAnsi="宋体" w:eastAsia="宋体" w:cs="宋体"/>
              </w:rPr>
              <w:t>触发的安全事件上。用户信息来源于：网站登录用户、数据库用户、远程登录用户、即时通讯用户、文件传输、邮件用户等。</w:t>
            </w:r>
          </w:p>
          <w:p>
            <w:pPr>
              <w:spacing w:line="360" w:lineRule="auto"/>
              <w:jc w:val="left"/>
              <w:rPr>
                <w:rFonts w:eastAsia="Times New Roman"/>
              </w:rPr>
            </w:pPr>
            <w:r>
              <w:rPr>
                <w:rFonts w:hint="eastAsia" w:eastAsia="Times New Roman"/>
              </w:rPr>
              <w:t>11</w:t>
            </w:r>
            <w:r>
              <w:rPr>
                <w:rFonts w:hint="eastAsia" w:ascii="宋体" w:hAnsi="宋体" w:eastAsia="宋体" w:cs="宋体"/>
              </w:rPr>
              <w:t>、系统应提供</w:t>
            </w:r>
            <w:r>
              <w:rPr>
                <w:rFonts w:hint="eastAsia" w:eastAsia="Times New Roman"/>
              </w:rPr>
              <w:t>DoS/DDoS</w:t>
            </w:r>
            <w:r>
              <w:rPr>
                <w:rFonts w:hint="eastAsia" w:ascii="宋体" w:hAnsi="宋体" w:eastAsia="宋体" w:cs="宋体"/>
              </w:rPr>
              <w:t>攻击防护能力，支持</w:t>
            </w:r>
            <w:r>
              <w:rPr>
                <w:rFonts w:hint="eastAsia" w:eastAsia="Times New Roman"/>
              </w:rPr>
              <w:t>PING/UDP/SYN/ACK/DNS Reply/DNS Req Flood</w:t>
            </w:r>
            <w:r>
              <w:rPr>
                <w:rFonts w:hint="eastAsia" w:ascii="宋体" w:hAnsi="宋体" w:eastAsia="宋体" w:cs="宋体"/>
              </w:rPr>
              <w:t>，支持</w:t>
            </w:r>
            <w:r>
              <w:rPr>
                <w:rFonts w:hint="eastAsia" w:eastAsia="Times New Roman"/>
              </w:rPr>
              <w:t xml:space="preserve">TCP Port Scan/UDP Port Scan, </w:t>
            </w:r>
            <w:r>
              <w:rPr>
                <w:rFonts w:hint="eastAsia" w:ascii="宋体" w:hAnsi="宋体" w:eastAsia="宋体" w:cs="宋体"/>
              </w:rPr>
              <w:t>支持</w:t>
            </w:r>
            <w:r>
              <w:rPr>
                <w:rFonts w:hint="eastAsia" w:eastAsia="Times New Roman"/>
              </w:rPr>
              <w:t xml:space="preserve"> ping sweep</w:t>
            </w:r>
            <w:r>
              <w:rPr>
                <w:rFonts w:hint="eastAsia" w:ascii="宋体" w:hAnsi="宋体" w:eastAsia="宋体" w:cs="宋体"/>
              </w:rPr>
              <w:t>，支持</w:t>
            </w:r>
            <w:r>
              <w:rPr>
                <w:rFonts w:hint="eastAsia" w:eastAsia="Times New Roman"/>
              </w:rPr>
              <w:t>ARP Spoof</w:t>
            </w:r>
            <w:r>
              <w:rPr>
                <w:rFonts w:hint="eastAsia" w:ascii="宋体" w:hAnsi="宋体" w:eastAsia="宋体" w:cs="宋体"/>
              </w:rPr>
              <w:t>以及</w:t>
            </w:r>
            <w:r>
              <w:rPr>
                <w:rFonts w:hint="eastAsia" w:eastAsia="Times New Roman"/>
              </w:rPr>
              <w:t>HTTP Get/HTTP POST FLood</w:t>
            </w:r>
            <w:r>
              <w:rPr>
                <w:rFonts w:hint="eastAsia" w:ascii="宋体" w:hAnsi="宋体" w:eastAsia="宋体" w:cs="宋体"/>
              </w:rPr>
              <w:t>等常见的</w:t>
            </w:r>
            <w:r>
              <w:rPr>
                <w:rFonts w:hint="eastAsia" w:eastAsia="Times New Roman"/>
              </w:rPr>
              <w:t>DoS/DDoS</w:t>
            </w:r>
            <w:r>
              <w:rPr>
                <w:rFonts w:hint="eastAsia" w:ascii="宋体" w:hAnsi="宋体" w:eastAsia="宋体" w:cs="宋体"/>
              </w:rPr>
              <w:t>的攻击。</w:t>
            </w:r>
          </w:p>
          <w:p>
            <w:pPr>
              <w:spacing w:line="360" w:lineRule="auto"/>
              <w:jc w:val="left"/>
              <w:rPr>
                <w:rFonts w:eastAsia="Times New Roman"/>
              </w:rPr>
            </w:pPr>
            <w:r>
              <w:rPr>
                <w:rFonts w:hint="eastAsia" w:eastAsia="Times New Roman"/>
              </w:rPr>
              <w:t>12</w:t>
            </w:r>
            <w:r>
              <w:rPr>
                <w:rFonts w:hint="eastAsia" w:ascii="宋体" w:hAnsi="宋体" w:eastAsia="宋体" w:cs="宋体"/>
              </w:rPr>
              <w:t>、</w:t>
            </w:r>
            <w:r>
              <w:rPr>
                <w:rFonts w:ascii="Segoe UI Symbol" w:hAnsi="Segoe UI Symbol" w:eastAsia="Times New Roman" w:cs="Segoe UI Symbol"/>
              </w:rPr>
              <w:t>★</w:t>
            </w:r>
            <w:r>
              <w:rPr>
                <w:rFonts w:hint="eastAsia" w:ascii="宋体" w:hAnsi="宋体" w:eastAsia="宋体" w:cs="宋体"/>
              </w:rPr>
              <w:t>系统应提供服务器外联异常告警功能，可以手动添加或自学习服务器外联行为，并以此为基线检测服务器非法外联行为并告警。（提供截图证明并加盖投标人公章）</w:t>
            </w:r>
          </w:p>
          <w:p>
            <w:pPr>
              <w:spacing w:line="360" w:lineRule="auto"/>
              <w:jc w:val="left"/>
              <w:rPr>
                <w:rFonts w:eastAsia="Times New Roman"/>
              </w:rPr>
            </w:pPr>
            <w:r>
              <w:rPr>
                <w:rFonts w:hint="eastAsia" w:eastAsia="Times New Roman"/>
              </w:rPr>
              <w:t>13</w:t>
            </w:r>
            <w:r>
              <w:rPr>
                <w:rFonts w:hint="eastAsia" w:ascii="宋体" w:hAnsi="宋体" w:eastAsia="宋体" w:cs="宋体"/>
              </w:rPr>
              <w:t>、系统应提供敏感数据保护功能，能够识别、阻断超过阈值的敏感数据信息（身份证号、银行卡、电话号码等）。</w:t>
            </w:r>
          </w:p>
          <w:p>
            <w:pPr>
              <w:spacing w:line="360" w:lineRule="auto"/>
              <w:jc w:val="left"/>
              <w:rPr>
                <w:rFonts w:eastAsia="Times New Roman"/>
              </w:rPr>
            </w:pPr>
            <w:r>
              <w:rPr>
                <w:rFonts w:hint="eastAsia" w:eastAsia="Times New Roman"/>
              </w:rPr>
              <w:t>14</w:t>
            </w:r>
            <w:r>
              <w:rPr>
                <w:rFonts w:hint="eastAsia" w:ascii="宋体" w:hAnsi="宋体" w:eastAsia="宋体" w:cs="宋体"/>
              </w:rPr>
              <w:t>、</w:t>
            </w:r>
            <w:r>
              <w:rPr>
                <w:rFonts w:ascii="Segoe UI Symbol" w:hAnsi="Segoe UI Symbol" w:eastAsia="Times New Roman" w:cs="Segoe UI Symbol"/>
              </w:rPr>
              <w:t>★</w:t>
            </w:r>
            <w:r>
              <w:rPr>
                <w:rFonts w:hint="eastAsia" w:ascii="宋体" w:hAnsi="宋体" w:eastAsia="宋体" w:cs="宋体"/>
              </w:rPr>
              <w:t>系统应提供关键文件保护功能，能够识别、阻断通过自身的关键文件，以防止非法外传行为。能识别的关键文件类型应包含至少以下几类：文档类如</w:t>
            </w:r>
            <w:r>
              <w:rPr>
                <w:rFonts w:hint="eastAsia" w:eastAsia="Times New Roman"/>
              </w:rPr>
              <w:t>Excel</w:t>
            </w:r>
            <w:r>
              <w:rPr>
                <w:rFonts w:hint="eastAsia" w:ascii="宋体" w:hAnsi="宋体" w:eastAsia="宋体" w:cs="宋体"/>
              </w:rPr>
              <w:t>、</w:t>
            </w:r>
            <w:r>
              <w:rPr>
                <w:rFonts w:hint="eastAsia" w:eastAsia="Times New Roman"/>
              </w:rPr>
              <w:t>PDF</w:t>
            </w:r>
            <w:r>
              <w:rPr>
                <w:rFonts w:hint="eastAsia" w:ascii="宋体" w:hAnsi="宋体" w:eastAsia="宋体" w:cs="宋体"/>
              </w:rPr>
              <w:t>、</w:t>
            </w:r>
            <w:r>
              <w:rPr>
                <w:rFonts w:hint="eastAsia" w:eastAsia="Times New Roman"/>
              </w:rPr>
              <w:t>PowerPoint</w:t>
            </w:r>
            <w:r>
              <w:rPr>
                <w:rFonts w:hint="eastAsia" w:ascii="宋体" w:hAnsi="宋体" w:eastAsia="宋体" w:cs="宋体"/>
              </w:rPr>
              <w:t>、</w:t>
            </w:r>
            <w:r>
              <w:rPr>
                <w:rFonts w:hint="eastAsia" w:eastAsia="Times New Roman"/>
              </w:rPr>
              <w:t>Word</w:t>
            </w:r>
            <w:r>
              <w:rPr>
                <w:rFonts w:hint="eastAsia" w:ascii="宋体" w:hAnsi="宋体" w:eastAsia="宋体" w:cs="宋体"/>
              </w:rPr>
              <w:t>等，压缩文件类如</w:t>
            </w:r>
            <w:r>
              <w:rPr>
                <w:rFonts w:hint="eastAsia" w:eastAsia="Times New Roman"/>
              </w:rPr>
              <w:t>CAB</w:t>
            </w:r>
            <w:r>
              <w:rPr>
                <w:rFonts w:hint="eastAsia" w:ascii="宋体" w:hAnsi="宋体" w:eastAsia="宋体" w:cs="宋体"/>
              </w:rPr>
              <w:t>、</w:t>
            </w:r>
            <w:r>
              <w:rPr>
                <w:rFonts w:hint="eastAsia" w:eastAsia="Times New Roman"/>
              </w:rPr>
              <w:t>GZIP</w:t>
            </w:r>
            <w:r>
              <w:rPr>
                <w:rFonts w:hint="eastAsia" w:ascii="宋体" w:hAnsi="宋体" w:eastAsia="宋体" w:cs="宋体"/>
              </w:rPr>
              <w:t>、</w:t>
            </w:r>
            <w:r>
              <w:rPr>
                <w:rFonts w:hint="eastAsia" w:eastAsia="Times New Roman"/>
              </w:rPr>
              <w:t>RAR</w:t>
            </w:r>
            <w:r>
              <w:rPr>
                <w:rFonts w:hint="eastAsia" w:ascii="宋体" w:hAnsi="宋体" w:eastAsia="宋体" w:cs="宋体"/>
              </w:rPr>
              <w:t>、</w:t>
            </w:r>
            <w:r>
              <w:rPr>
                <w:rFonts w:hint="eastAsia" w:eastAsia="Times New Roman"/>
              </w:rPr>
              <w:t>ZIP</w:t>
            </w:r>
            <w:r>
              <w:rPr>
                <w:rFonts w:hint="eastAsia" w:ascii="宋体" w:hAnsi="宋体" w:eastAsia="宋体" w:cs="宋体"/>
              </w:rPr>
              <w:t>、</w:t>
            </w:r>
            <w:r>
              <w:rPr>
                <w:rFonts w:hint="eastAsia" w:eastAsia="Times New Roman"/>
              </w:rPr>
              <w:t>JAR</w:t>
            </w:r>
            <w:r>
              <w:rPr>
                <w:rFonts w:hint="eastAsia" w:ascii="宋体" w:hAnsi="宋体" w:eastAsia="宋体" w:cs="宋体"/>
              </w:rPr>
              <w:t>等，图像类如</w:t>
            </w:r>
            <w:r>
              <w:rPr>
                <w:rFonts w:hint="eastAsia" w:eastAsia="Times New Roman"/>
              </w:rPr>
              <w:t>BMP</w:t>
            </w:r>
            <w:r>
              <w:rPr>
                <w:rFonts w:hint="eastAsia" w:ascii="宋体" w:hAnsi="宋体" w:eastAsia="宋体" w:cs="宋体"/>
              </w:rPr>
              <w:t>、</w:t>
            </w:r>
            <w:r>
              <w:rPr>
                <w:rFonts w:hint="eastAsia" w:eastAsia="Times New Roman"/>
              </w:rPr>
              <w:t>GIF</w:t>
            </w:r>
            <w:r>
              <w:rPr>
                <w:rFonts w:hint="eastAsia" w:ascii="宋体" w:hAnsi="宋体" w:eastAsia="宋体" w:cs="宋体"/>
              </w:rPr>
              <w:t>、</w:t>
            </w:r>
            <w:r>
              <w:rPr>
                <w:rFonts w:hint="eastAsia" w:eastAsia="Times New Roman"/>
              </w:rPr>
              <w:t>JPEG</w:t>
            </w:r>
            <w:r>
              <w:rPr>
                <w:rFonts w:hint="eastAsia" w:ascii="宋体" w:hAnsi="宋体" w:eastAsia="宋体" w:cs="宋体"/>
              </w:rPr>
              <w:t>等，音频视频类如</w:t>
            </w:r>
            <w:r>
              <w:rPr>
                <w:rFonts w:hint="eastAsia" w:eastAsia="Times New Roman"/>
              </w:rPr>
              <w:t>MP3</w:t>
            </w:r>
            <w:r>
              <w:rPr>
                <w:rFonts w:hint="eastAsia" w:ascii="宋体" w:hAnsi="宋体" w:eastAsia="宋体" w:cs="宋体"/>
              </w:rPr>
              <w:t>、</w:t>
            </w:r>
            <w:r>
              <w:rPr>
                <w:rFonts w:hint="eastAsia" w:eastAsia="Times New Roman"/>
              </w:rPr>
              <w:t>AVI</w:t>
            </w:r>
            <w:r>
              <w:rPr>
                <w:rFonts w:hint="eastAsia" w:ascii="宋体" w:hAnsi="宋体" w:eastAsia="宋体" w:cs="宋体"/>
              </w:rPr>
              <w:t>、</w:t>
            </w:r>
            <w:r>
              <w:rPr>
                <w:rFonts w:hint="eastAsia" w:eastAsia="Times New Roman"/>
              </w:rPr>
              <w:t>MKV</w:t>
            </w:r>
            <w:r>
              <w:rPr>
                <w:rFonts w:hint="eastAsia" w:ascii="宋体" w:hAnsi="宋体" w:eastAsia="宋体" w:cs="宋体"/>
              </w:rPr>
              <w:t>、</w:t>
            </w:r>
            <w:r>
              <w:rPr>
                <w:rFonts w:hint="eastAsia" w:eastAsia="Times New Roman"/>
              </w:rPr>
              <w:t>MP4</w:t>
            </w:r>
            <w:r>
              <w:rPr>
                <w:rFonts w:hint="eastAsia" w:ascii="宋体" w:hAnsi="宋体" w:eastAsia="宋体" w:cs="宋体"/>
              </w:rPr>
              <w:t>、</w:t>
            </w:r>
            <w:r>
              <w:rPr>
                <w:rFonts w:hint="eastAsia" w:eastAsia="Times New Roman"/>
              </w:rPr>
              <w:t>MPEG</w:t>
            </w:r>
            <w:r>
              <w:rPr>
                <w:rFonts w:hint="eastAsia" w:ascii="宋体" w:hAnsi="宋体" w:eastAsia="宋体" w:cs="宋体"/>
              </w:rPr>
              <w:t>、</w:t>
            </w:r>
            <w:r>
              <w:rPr>
                <w:rFonts w:hint="eastAsia" w:eastAsia="Times New Roman"/>
              </w:rPr>
              <w:t>WMV</w:t>
            </w:r>
            <w:r>
              <w:rPr>
                <w:rFonts w:hint="eastAsia" w:ascii="宋体" w:hAnsi="宋体" w:eastAsia="宋体" w:cs="宋体"/>
              </w:rPr>
              <w:t>等，脚本类如</w:t>
            </w:r>
            <w:r>
              <w:rPr>
                <w:rFonts w:hint="eastAsia" w:eastAsia="Times New Roman"/>
              </w:rPr>
              <w:t>BAT</w:t>
            </w:r>
            <w:r>
              <w:rPr>
                <w:rFonts w:hint="eastAsia" w:ascii="宋体" w:hAnsi="宋体" w:eastAsia="宋体" w:cs="宋体"/>
              </w:rPr>
              <w:t>、</w:t>
            </w:r>
            <w:r>
              <w:rPr>
                <w:rFonts w:hint="eastAsia" w:eastAsia="Times New Roman"/>
              </w:rPr>
              <w:t>CMD</w:t>
            </w:r>
            <w:r>
              <w:rPr>
                <w:rFonts w:hint="eastAsia" w:ascii="宋体" w:hAnsi="宋体" w:eastAsia="宋体" w:cs="宋体"/>
              </w:rPr>
              <w:t>、</w:t>
            </w:r>
            <w:r>
              <w:rPr>
                <w:rFonts w:hint="eastAsia" w:eastAsia="Times New Roman"/>
              </w:rPr>
              <w:t>WSF</w:t>
            </w:r>
            <w:r>
              <w:rPr>
                <w:rFonts w:hint="eastAsia" w:ascii="宋体" w:hAnsi="宋体" w:eastAsia="宋体" w:cs="宋体"/>
              </w:rPr>
              <w:t>等，程序类如</w:t>
            </w:r>
            <w:r>
              <w:rPr>
                <w:rFonts w:hint="eastAsia" w:eastAsia="Times New Roman"/>
              </w:rPr>
              <w:t>APK</w:t>
            </w:r>
            <w:r>
              <w:rPr>
                <w:rFonts w:hint="eastAsia" w:ascii="宋体" w:hAnsi="宋体" w:eastAsia="宋体" w:cs="宋体"/>
              </w:rPr>
              <w:t>、</w:t>
            </w:r>
            <w:r>
              <w:rPr>
                <w:rFonts w:hint="eastAsia" w:eastAsia="Times New Roman"/>
              </w:rPr>
              <w:t>DLL</w:t>
            </w:r>
            <w:r>
              <w:rPr>
                <w:rFonts w:hint="eastAsia" w:ascii="宋体" w:hAnsi="宋体" w:eastAsia="宋体" w:cs="宋体"/>
              </w:rPr>
              <w:t>、</w:t>
            </w:r>
            <w:r>
              <w:rPr>
                <w:rFonts w:hint="eastAsia" w:eastAsia="Times New Roman"/>
              </w:rPr>
              <w:t>EXE</w:t>
            </w:r>
            <w:r>
              <w:rPr>
                <w:rFonts w:hint="eastAsia" w:ascii="宋体" w:hAnsi="宋体" w:eastAsia="宋体" w:cs="宋体"/>
              </w:rPr>
              <w:t>、</w:t>
            </w:r>
            <w:r>
              <w:rPr>
                <w:rFonts w:hint="eastAsia" w:eastAsia="Times New Roman"/>
              </w:rPr>
              <w:t>JAVA_CLASS</w:t>
            </w:r>
            <w:r>
              <w:rPr>
                <w:rFonts w:hint="eastAsia" w:ascii="宋体" w:hAnsi="宋体" w:eastAsia="宋体" w:cs="宋体"/>
              </w:rPr>
              <w:t>等。（提供截图证明并加盖投标人公章）</w:t>
            </w:r>
          </w:p>
          <w:p>
            <w:pPr>
              <w:spacing w:line="360" w:lineRule="auto"/>
              <w:jc w:val="left"/>
              <w:rPr>
                <w:rFonts w:eastAsia="Times New Roman"/>
              </w:rPr>
            </w:pPr>
            <w:r>
              <w:rPr>
                <w:rFonts w:hint="eastAsia" w:eastAsia="Times New Roman"/>
              </w:rPr>
              <w:t>15</w:t>
            </w:r>
            <w:r>
              <w:rPr>
                <w:rFonts w:hint="eastAsia" w:ascii="宋体" w:hAnsi="宋体" w:eastAsia="宋体" w:cs="宋体"/>
              </w:rPr>
              <w:t>、产品应具备公安部颁发的《计算机信息系统安全专用产品销售许可证》及中华人民共和国工业和信息化部颁发的《电信设备进网许可证》，提供证书复印件并加盖投标人公章。</w:t>
            </w:r>
          </w:p>
          <w:p>
            <w:pPr>
              <w:spacing w:line="360" w:lineRule="auto"/>
              <w:jc w:val="left"/>
              <w:rPr>
                <w:rFonts w:eastAsia="Times New Roman"/>
              </w:rPr>
            </w:pPr>
            <w:r>
              <w:rPr>
                <w:rFonts w:hint="eastAsia" w:eastAsia="Times New Roman"/>
              </w:rPr>
              <w:t>16</w:t>
            </w:r>
            <w:r>
              <w:rPr>
                <w:rFonts w:hint="eastAsia" w:ascii="宋体" w:hAnsi="宋体" w:eastAsia="宋体" w:cs="宋体"/>
              </w:rPr>
              <w:t>、</w:t>
            </w:r>
            <w:r>
              <w:rPr>
                <w:rFonts w:ascii="Segoe UI Symbol" w:hAnsi="Segoe UI Symbol" w:eastAsia="Times New Roman" w:cs="Segoe UI Symbol"/>
              </w:rPr>
              <w:t>★</w:t>
            </w:r>
            <w:r>
              <w:rPr>
                <w:rFonts w:hint="eastAsia" w:ascii="宋体" w:hAnsi="宋体" w:eastAsia="宋体" w:cs="宋体"/>
              </w:rPr>
              <w:t>投标产品应该是被广泛应用的成熟产品，在国内市场具有较高的市场份额，市场占有率排名不应低于前</w:t>
            </w:r>
            <w:r>
              <w:rPr>
                <w:rFonts w:hint="eastAsia" w:eastAsia="Times New Roman"/>
              </w:rPr>
              <w:t>3</w:t>
            </w:r>
            <w:r>
              <w:rPr>
                <w:rFonts w:hint="eastAsia" w:ascii="宋体" w:hAnsi="宋体" w:eastAsia="宋体" w:cs="宋体"/>
              </w:rPr>
              <w:t>名。须提供知名第三方机构（如</w:t>
            </w:r>
            <w:r>
              <w:rPr>
                <w:rFonts w:hint="eastAsia" w:eastAsia="Times New Roman"/>
              </w:rPr>
              <w:t>IDC</w:t>
            </w:r>
            <w:r>
              <w:rPr>
                <w:rFonts w:hint="eastAsia" w:ascii="宋体" w:hAnsi="宋体" w:eastAsia="宋体" w:cs="宋体"/>
              </w:rPr>
              <w:t>、</w:t>
            </w:r>
            <w:r>
              <w:rPr>
                <w:rFonts w:hint="eastAsia" w:eastAsia="Times New Roman"/>
              </w:rPr>
              <w:t>Frost&amp;Sullivan</w:t>
            </w:r>
            <w:r>
              <w:rPr>
                <w:rFonts w:hint="eastAsia" w:ascii="宋体" w:hAnsi="宋体" w:eastAsia="宋体" w:cs="宋体"/>
              </w:rPr>
              <w:t>）出具的市场占有率排名有效证明材料。</w:t>
            </w:r>
          </w:p>
          <w:p>
            <w:pPr>
              <w:spacing w:line="360" w:lineRule="auto"/>
              <w:jc w:val="left"/>
              <w:rPr>
                <w:rFonts w:eastAsia="Times New Roman"/>
              </w:rPr>
            </w:pPr>
            <w:r>
              <w:rPr>
                <w:rFonts w:hint="eastAsia" w:eastAsia="Times New Roman"/>
              </w:rPr>
              <w:t>17</w:t>
            </w:r>
            <w:r>
              <w:rPr>
                <w:rFonts w:hint="eastAsia" w:ascii="宋体" w:hAnsi="宋体" w:eastAsia="宋体" w:cs="宋体"/>
              </w:rPr>
              <w:t>、</w:t>
            </w:r>
            <w:r>
              <w:rPr>
                <w:rFonts w:ascii="Segoe UI Symbol" w:hAnsi="Segoe UI Symbol" w:eastAsia="Times New Roman" w:cs="Segoe UI Symbol"/>
              </w:rPr>
              <w:t>★</w:t>
            </w:r>
            <w:r>
              <w:rPr>
                <w:rFonts w:hint="eastAsia" w:ascii="宋体" w:hAnsi="宋体" w:eastAsia="宋体" w:cs="宋体"/>
              </w:rPr>
              <w:t>产品制造商应参与编写《信息安全技术</w:t>
            </w:r>
            <w:r>
              <w:rPr>
                <w:rFonts w:hint="eastAsia" w:eastAsia="Times New Roman"/>
              </w:rPr>
              <w:t xml:space="preserve"> </w:t>
            </w:r>
            <w:r>
              <w:rPr>
                <w:rFonts w:hint="eastAsia" w:ascii="宋体" w:hAnsi="宋体" w:eastAsia="宋体" w:cs="宋体"/>
              </w:rPr>
              <w:t>网络型入侵防御产品技术要求和测试评价方法》</w:t>
            </w:r>
            <w:r>
              <w:rPr>
                <w:rFonts w:hint="eastAsia" w:eastAsia="Times New Roman"/>
              </w:rPr>
              <w:t>GB/T28451-2012</w:t>
            </w:r>
            <w:r>
              <w:rPr>
                <w:rFonts w:hint="eastAsia" w:ascii="宋体" w:hAnsi="宋体" w:eastAsia="宋体" w:cs="宋体"/>
              </w:rPr>
              <w:t>。（请提供相关证明加盖投标人公章）</w:t>
            </w:r>
          </w:p>
          <w:p>
            <w:pPr>
              <w:spacing w:line="360" w:lineRule="auto"/>
              <w:jc w:val="left"/>
              <w:rPr>
                <w:rFonts w:eastAsia="Times New Roman"/>
              </w:rPr>
            </w:pPr>
            <w:r>
              <w:rPr>
                <w:rFonts w:hint="eastAsia" w:eastAsia="Times New Roman"/>
              </w:rPr>
              <w:t>18</w:t>
            </w:r>
            <w:r>
              <w:rPr>
                <w:rFonts w:hint="eastAsia" w:ascii="宋体" w:hAnsi="宋体" w:eastAsia="宋体" w:cs="宋体"/>
              </w:rPr>
              <w:t>、由工程师提供上门产品安装、调试</w:t>
            </w:r>
            <w:r>
              <w:rPr>
                <w:rFonts w:hint="eastAsia" w:eastAsia="Times New Roman"/>
              </w:rPr>
              <w:t>,</w:t>
            </w:r>
            <w:r>
              <w:rPr>
                <w:rFonts w:hint="eastAsia" w:ascii="宋体" w:hAnsi="宋体" w:eastAsia="宋体" w:cs="宋体"/>
              </w:rPr>
              <w:t>含</w:t>
            </w:r>
            <w:r>
              <w:rPr>
                <w:rFonts w:hint="eastAsia" w:eastAsia="Times New Roman"/>
              </w:rPr>
              <w:t>2</w:t>
            </w:r>
            <w:r>
              <w:rPr>
                <w:rFonts w:hint="eastAsia" w:ascii="宋体" w:hAnsi="宋体" w:eastAsia="宋体" w:cs="宋体"/>
              </w:rPr>
              <w:t>小时内的现场产品使用培训</w:t>
            </w:r>
            <w:r>
              <w:rPr>
                <w:rFonts w:hint="eastAsia" w:eastAsia="Times New Roman"/>
              </w:rPr>
              <w:t>,</w:t>
            </w:r>
            <w:r>
              <w:rPr>
                <w:rFonts w:hint="eastAsia" w:ascii="宋体" w:hAnsi="宋体" w:eastAsia="宋体" w:cs="宋体"/>
              </w:rPr>
              <w:t>从客户正式提出安装申请后</w:t>
            </w:r>
            <w:r>
              <w:rPr>
                <w:rFonts w:hint="eastAsia" w:eastAsia="Times New Roman"/>
              </w:rPr>
              <w:t>,7</w:t>
            </w:r>
            <w:r>
              <w:rPr>
                <w:rFonts w:hint="eastAsia" w:ascii="宋体" w:hAnsi="宋体" w:eastAsia="宋体" w:cs="宋体"/>
              </w:rPr>
              <w:t>个工作日内进行上门安装，</w:t>
            </w:r>
            <w:r>
              <w:rPr>
                <w:rFonts w:hint="eastAsia" w:eastAsia="Times New Roman"/>
              </w:rPr>
              <w:t>5*24</w:t>
            </w:r>
            <w:r>
              <w:rPr>
                <w:rFonts w:hint="eastAsia" w:ascii="宋体" w:hAnsi="宋体" w:eastAsia="宋体" w:cs="宋体"/>
              </w:rPr>
              <w:t>。</w:t>
            </w:r>
          </w:p>
          <w:p>
            <w:pPr>
              <w:spacing w:line="360" w:lineRule="auto"/>
              <w:jc w:val="left"/>
              <w:rPr>
                <w:rFonts w:eastAsia="Times New Roman"/>
              </w:rPr>
            </w:pPr>
            <w:r>
              <w:rPr>
                <w:rFonts w:hint="eastAsia" w:eastAsia="Times New Roman"/>
              </w:rPr>
              <w:t>19</w:t>
            </w:r>
            <w:r>
              <w:rPr>
                <w:rFonts w:hint="eastAsia" w:ascii="宋体" w:hAnsi="宋体" w:eastAsia="宋体" w:cs="宋体"/>
              </w:rPr>
              <w:t>、包含</w:t>
            </w:r>
            <w:r>
              <w:rPr>
                <w:rFonts w:hint="eastAsia" w:eastAsia="Times New Roman"/>
              </w:rPr>
              <w:t>5</w:t>
            </w:r>
            <w:r>
              <w:rPr>
                <w:rFonts w:hint="eastAsia" w:ascii="宋体" w:hAnsi="宋体" w:eastAsia="宋体" w:cs="宋体"/>
              </w:rPr>
              <w:t>年产品升级维保，</w:t>
            </w:r>
            <w:r>
              <w:rPr>
                <w:rFonts w:hint="eastAsia" w:eastAsia="Times New Roman"/>
              </w:rPr>
              <w:t>6</w:t>
            </w:r>
            <w:r>
              <w:rPr>
                <w:rFonts w:hint="eastAsia" w:ascii="宋体" w:hAnsi="宋体" w:eastAsia="宋体" w:cs="宋体"/>
              </w:rPr>
              <w:t>年特征库升级服务。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eastAsia="Times New Roman"/>
              </w:rPr>
            </w:pPr>
            <w:r>
              <w:rPr>
                <w:rFonts w:hint="eastAsia" w:eastAsia="Times New Roman"/>
              </w:rPr>
              <w:t>2</w:t>
            </w:r>
          </w:p>
        </w:tc>
        <w:tc>
          <w:tcPr>
            <w:tcW w:w="1559" w:type="dxa"/>
            <w:vAlign w:val="center"/>
          </w:tcPr>
          <w:p>
            <w:pPr>
              <w:spacing w:line="360" w:lineRule="auto"/>
              <w:jc w:val="center"/>
              <w:rPr>
                <w:rFonts w:eastAsia="Times New Roman"/>
              </w:rPr>
            </w:pPr>
            <w:r>
              <w:rPr>
                <w:rFonts w:hint="eastAsia" w:ascii="宋体" w:hAnsi="宋体" w:eastAsia="宋体" w:cs="宋体"/>
              </w:rPr>
              <w:t>综合威胁分析系统</w:t>
            </w:r>
          </w:p>
        </w:tc>
        <w:tc>
          <w:tcPr>
            <w:tcW w:w="7513" w:type="dxa"/>
            <w:vAlign w:val="center"/>
          </w:tcPr>
          <w:p>
            <w:pPr>
              <w:spacing w:line="360" w:lineRule="auto"/>
              <w:jc w:val="left"/>
              <w:rPr>
                <w:rFonts w:eastAsia="Times New Roman"/>
              </w:rPr>
            </w:pPr>
            <w:r>
              <w:rPr>
                <w:rFonts w:hint="eastAsia" w:eastAsia="Times New Roman"/>
              </w:rPr>
              <w:t>1</w:t>
            </w:r>
            <w:r>
              <w:rPr>
                <w:rFonts w:hint="eastAsia" w:ascii="宋体" w:hAnsi="宋体" w:eastAsia="宋体" w:cs="宋体"/>
              </w:rPr>
              <w:t>、</w:t>
            </w:r>
            <w:r>
              <w:rPr>
                <w:rFonts w:hint="eastAsia" w:eastAsia="Times New Roman"/>
              </w:rPr>
              <w:t>1U</w:t>
            </w:r>
            <w:r>
              <w:rPr>
                <w:rFonts w:hint="eastAsia" w:ascii="宋体" w:hAnsi="宋体" w:eastAsia="宋体" w:cs="宋体"/>
              </w:rPr>
              <w:t>机型，交流冗余电源，</w:t>
            </w:r>
            <w:r>
              <w:rPr>
                <w:rFonts w:hint="eastAsia" w:eastAsia="Times New Roman"/>
              </w:rPr>
              <w:t>64G SSD</w:t>
            </w:r>
            <w:r>
              <w:rPr>
                <w:rFonts w:hint="eastAsia" w:ascii="宋体" w:hAnsi="宋体" w:eastAsia="宋体" w:cs="宋体"/>
              </w:rPr>
              <w:t>，</w:t>
            </w:r>
            <w:r>
              <w:rPr>
                <w:rFonts w:hint="eastAsia" w:eastAsia="Times New Roman"/>
              </w:rPr>
              <w:t>1T</w:t>
            </w:r>
            <w:r>
              <w:rPr>
                <w:rFonts w:hint="eastAsia" w:ascii="宋体" w:hAnsi="宋体" w:eastAsia="宋体" w:cs="宋体"/>
              </w:rPr>
              <w:t>硬盘，</w:t>
            </w:r>
            <w:r>
              <w:rPr>
                <w:rFonts w:hint="eastAsia" w:eastAsia="Times New Roman"/>
              </w:rPr>
              <w:t>6*GE</w:t>
            </w:r>
            <w:r>
              <w:rPr>
                <w:rFonts w:hint="eastAsia" w:ascii="宋体" w:hAnsi="宋体" w:eastAsia="宋体" w:cs="宋体"/>
              </w:rPr>
              <w:t>电口</w:t>
            </w:r>
            <w:r>
              <w:rPr>
                <w:rFonts w:hint="eastAsia" w:eastAsia="Times New Roman"/>
              </w:rPr>
              <w:t>+4*GE</w:t>
            </w:r>
            <w:r>
              <w:rPr>
                <w:rFonts w:hint="eastAsia" w:ascii="宋体" w:hAnsi="宋体" w:eastAsia="宋体" w:cs="宋体"/>
              </w:rPr>
              <w:t>光口，</w:t>
            </w:r>
            <w:r>
              <w:rPr>
                <w:rFonts w:hint="eastAsia" w:eastAsia="Times New Roman"/>
              </w:rPr>
              <w:t>1*GE</w:t>
            </w:r>
            <w:r>
              <w:rPr>
                <w:rFonts w:hint="eastAsia" w:ascii="宋体" w:hAnsi="宋体" w:eastAsia="宋体" w:cs="宋体"/>
              </w:rPr>
              <w:t>管理口，</w:t>
            </w:r>
            <w:r>
              <w:rPr>
                <w:rFonts w:hint="eastAsia" w:eastAsia="Times New Roman"/>
              </w:rPr>
              <w:t>1*RJ45</w:t>
            </w:r>
            <w:r>
              <w:rPr>
                <w:rFonts w:hint="eastAsia" w:ascii="宋体" w:hAnsi="宋体" w:eastAsia="宋体" w:cs="宋体"/>
              </w:rPr>
              <w:t>串口，</w:t>
            </w:r>
            <w:r>
              <w:rPr>
                <w:rFonts w:hint="eastAsia" w:eastAsia="Times New Roman"/>
              </w:rPr>
              <w:t>2*USB</w:t>
            </w:r>
            <w:r>
              <w:rPr>
                <w:rFonts w:hint="eastAsia" w:ascii="宋体" w:hAnsi="宋体" w:eastAsia="宋体" w:cs="宋体"/>
              </w:rPr>
              <w:t>，</w:t>
            </w:r>
            <w:r>
              <w:rPr>
                <w:rFonts w:hint="eastAsia" w:eastAsia="Times New Roman"/>
              </w:rPr>
              <w:t>1*</w:t>
            </w:r>
            <w:r>
              <w:rPr>
                <w:rFonts w:hint="eastAsia" w:ascii="宋体" w:hAnsi="宋体" w:eastAsia="宋体" w:cs="宋体"/>
              </w:rPr>
              <w:t>网络扩展槽。</w:t>
            </w:r>
          </w:p>
          <w:p>
            <w:pPr>
              <w:spacing w:line="360" w:lineRule="auto"/>
              <w:jc w:val="left"/>
              <w:rPr>
                <w:rFonts w:eastAsia="Times New Roman"/>
              </w:rPr>
            </w:pPr>
            <w:r>
              <w:rPr>
                <w:rFonts w:hint="eastAsia" w:eastAsia="Times New Roman"/>
              </w:rPr>
              <w:t>2</w:t>
            </w:r>
            <w:r>
              <w:rPr>
                <w:rFonts w:hint="eastAsia" w:ascii="宋体" w:hAnsi="宋体" w:eastAsia="宋体" w:cs="宋体"/>
              </w:rPr>
              <w:t>、支持应用层</w:t>
            </w:r>
            <w:r>
              <w:rPr>
                <w:rFonts w:hint="eastAsia" w:eastAsia="Times New Roman"/>
              </w:rPr>
              <w:t>≥8G</w:t>
            </w:r>
            <w:r>
              <w:rPr>
                <w:rFonts w:hint="eastAsia" w:ascii="宋体" w:hAnsi="宋体" w:eastAsia="宋体" w:cs="宋体"/>
              </w:rPr>
              <w:t>吞吐，包含恶意文件检测、</w:t>
            </w:r>
            <w:r>
              <w:rPr>
                <w:rFonts w:hint="eastAsia" w:eastAsia="Times New Roman"/>
              </w:rPr>
              <w:t>Web</w:t>
            </w:r>
            <w:r>
              <w:rPr>
                <w:rFonts w:hint="eastAsia" w:ascii="宋体" w:hAnsi="宋体" w:eastAsia="宋体" w:cs="宋体"/>
              </w:rPr>
              <w:t>应用检测、流量采集、元数据提取、存储等功能。</w:t>
            </w:r>
          </w:p>
          <w:p>
            <w:pPr>
              <w:spacing w:line="360" w:lineRule="auto"/>
              <w:jc w:val="left"/>
              <w:rPr>
                <w:rFonts w:eastAsia="Times New Roman"/>
              </w:rPr>
            </w:pPr>
            <w:r>
              <w:rPr>
                <w:rFonts w:hint="eastAsia" w:eastAsia="Times New Roman"/>
              </w:rPr>
              <w:t>3</w:t>
            </w:r>
            <w:r>
              <w:rPr>
                <w:rFonts w:hint="eastAsia" w:ascii="宋体" w:hAnsi="宋体" w:eastAsia="宋体" w:cs="宋体"/>
              </w:rPr>
              <w:t>、</w:t>
            </w:r>
            <w:r>
              <w:rPr>
                <w:rFonts w:ascii="Segoe UI Symbol" w:hAnsi="Segoe UI Symbol" w:eastAsia="Times New Roman" w:cs="Segoe UI Symbol"/>
              </w:rPr>
              <w:t>★</w:t>
            </w:r>
            <w:r>
              <w:rPr>
                <w:rFonts w:hint="eastAsia" w:ascii="宋体" w:hAnsi="宋体" w:eastAsia="宋体" w:cs="宋体"/>
              </w:rPr>
              <w:t>支持多种方式进行流量采集，包含旁路镜像采集，离线采集，云环境</w:t>
            </w:r>
            <w:r>
              <w:rPr>
                <w:rFonts w:hint="eastAsia" w:eastAsia="Times New Roman"/>
              </w:rPr>
              <w:t>agent</w:t>
            </w:r>
            <w:r>
              <w:rPr>
                <w:rFonts w:hint="eastAsia" w:ascii="宋体" w:hAnsi="宋体" w:eastAsia="宋体" w:cs="宋体"/>
              </w:rPr>
              <w:t>流量采集等方式。（提供三方测评报告并加盖投标人公章）</w:t>
            </w:r>
          </w:p>
          <w:p>
            <w:pPr>
              <w:spacing w:line="360" w:lineRule="auto"/>
              <w:jc w:val="left"/>
              <w:rPr>
                <w:rFonts w:eastAsia="Times New Roman"/>
              </w:rPr>
            </w:pPr>
            <w:r>
              <w:rPr>
                <w:rFonts w:hint="eastAsia" w:eastAsia="Times New Roman"/>
              </w:rPr>
              <w:t>4</w:t>
            </w:r>
            <w:r>
              <w:rPr>
                <w:rFonts w:hint="eastAsia" w:ascii="宋体" w:hAnsi="宋体" w:eastAsia="宋体" w:cs="宋体"/>
              </w:rPr>
              <w:t>、支持对</w:t>
            </w:r>
            <w:r>
              <w:rPr>
                <w:rFonts w:hint="eastAsia" w:eastAsia="Times New Roman"/>
              </w:rPr>
              <w:t>DNS</w:t>
            </w:r>
            <w:r>
              <w:rPr>
                <w:rFonts w:hint="eastAsia" w:ascii="宋体" w:hAnsi="宋体" w:eastAsia="宋体" w:cs="宋体"/>
              </w:rPr>
              <w:t>、</w:t>
            </w:r>
            <w:r>
              <w:rPr>
                <w:rFonts w:hint="eastAsia" w:eastAsia="Times New Roman"/>
              </w:rPr>
              <w:t>HTTP</w:t>
            </w:r>
            <w:r>
              <w:rPr>
                <w:rFonts w:hint="eastAsia" w:ascii="宋体" w:hAnsi="宋体" w:eastAsia="宋体" w:cs="宋体"/>
              </w:rPr>
              <w:t>、</w:t>
            </w:r>
            <w:r>
              <w:rPr>
                <w:rFonts w:hint="eastAsia" w:eastAsia="Times New Roman"/>
              </w:rPr>
              <w:t>FTP</w:t>
            </w:r>
            <w:r>
              <w:rPr>
                <w:rFonts w:hint="eastAsia" w:ascii="宋体" w:hAnsi="宋体" w:eastAsia="宋体" w:cs="宋体"/>
              </w:rPr>
              <w:t>、</w:t>
            </w:r>
            <w:r>
              <w:rPr>
                <w:rFonts w:hint="eastAsia" w:eastAsia="Times New Roman"/>
              </w:rPr>
              <w:t>SMTP</w:t>
            </w:r>
            <w:r>
              <w:rPr>
                <w:rFonts w:hint="eastAsia" w:ascii="宋体" w:hAnsi="宋体" w:eastAsia="宋体" w:cs="宋体"/>
              </w:rPr>
              <w:t>、</w:t>
            </w:r>
            <w:r>
              <w:rPr>
                <w:rFonts w:hint="eastAsia" w:eastAsia="Times New Roman"/>
              </w:rPr>
              <w:t>POP3</w:t>
            </w:r>
            <w:r>
              <w:rPr>
                <w:rFonts w:hint="eastAsia" w:ascii="宋体" w:hAnsi="宋体" w:eastAsia="宋体" w:cs="宋体"/>
              </w:rPr>
              <w:t>、</w:t>
            </w:r>
            <w:r>
              <w:rPr>
                <w:rFonts w:hint="eastAsia" w:eastAsia="Times New Roman"/>
              </w:rPr>
              <w:t>IMAP</w:t>
            </w:r>
            <w:r>
              <w:rPr>
                <w:rFonts w:hint="eastAsia" w:ascii="宋体" w:hAnsi="宋体" w:eastAsia="宋体" w:cs="宋体"/>
              </w:rPr>
              <w:t>、</w:t>
            </w:r>
            <w:r>
              <w:rPr>
                <w:rFonts w:hint="eastAsia" w:eastAsia="Times New Roman"/>
              </w:rPr>
              <w:t>NFA</w:t>
            </w:r>
            <w:r>
              <w:rPr>
                <w:rFonts w:hint="eastAsia" w:ascii="宋体" w:hAnsi="宋体" w:eastAsia="宋体" w:cs="宋体"/>
              </w:rPr>
              <w:t>、</w:t>
            </w:r>
            <w:r>
              <w:rPr>
                <w:rFonts w:hint="eastAsia" w:eastAsia="Times New Roman"/>
              </w:rPr>
              <w:t>SMB</w:t>
            </w:r>
            <w:r>
              <w:rPr>
                <w:rFonts w:hint="eastAsia" w:ascii="宋体" w:hAnsi="宋体" w:eastAsia="宋体" w:cs="宋体"/>
              </w:rPr>
              <w:t>、</w:t>
            </w:r>
            <w:r>
              <w:rPr>
                <w:rFonts w:hint="eastAsia" w:eastAsia="Times New Roman"/>
              </w:rPr>
              <w:t>Telnet</w:t>
            </w:r>
            <w:r>
              <w:rPr>
                <w:rFonts w:hint="eastAsia" w:ascii="宋体" w:hAnsi="宋体" w:eastAsia="宋体" w:cs="宋体"/>
              </w:rPr>
              <w:t>、</w:t>
            </w:r>
            <w:r>
              <w:rPr>
                <w:rFonts w:hint="eastAsia" w:eastAsia="Times New Roman"/>
              </w:rPr>
              <w:t>LDAP</w:t>
            </w:r>
            <w:r>
              <w:rPr>
                <w:rFonts w:hint="eastAsia" w:ascii="宋体" w:hAnsi="宋体" w:eastAsia="宋体" w:cs="宋体"/>
              </w:rPr>
              <w:t>、</w:t>
            </w:r>
            <w:r>
              <w:rPr>
                <w:rFonts w:hint="eastAsia" w:eastAsia="Times New Roman"/>
              </w:rPr>
              <w:t>MYSQL</w:t>
            </w:r>
            <w:r>
              <w:rPr>
                <w:rFonts w:hint="eastAsia" w:ascii="宋体" w:hAnsi="宋体" w:eastAsia="宋体" w:cs="宋体"/>
              </w:rPr>
              <w:t>、</w:t>
            </w:r>
            <w:r>
              <w:rPr>
                <w:rFonts w:hint="eastAsia" w:eastAsia="Times New Roman"/>
              </w:rPr>
              <w:t>ORACLE</w:t>
            </w:r>
            <w:r>
              <w:rPr>
                <w:rFonts w:hint="eastAsia" w:ascii="宋体" w:hAnsi="宋体" w:eastAsia="宋体" w:cs="宋体"/>
              </w:rPr>
              <w:t>、</w:t>
            </w:r>
            <w:r>
              <w:rPr>
                <w:rFonts w:hint="eastAsia" w:eastAsia="Times New Roman"/>
              </w:rPr>
              <w:t>MSSQL</w:t>
            </w:r>
            <w:r>
              <w:rPr>
                <w:rFonts w:hint="eastAsia" w:ascii="宋体" w:hAnsi="宋体" w:eastAsia="宋体" w:cs="宋体"/>
              </w:rPr>
              <w:t>、</w:t>
            </w:r>
            <w:r>
              <w:rPr>
                <w:rFonts w:hint="eastAsia" w:eastAsia="Times New Roman"/>
              </w:rPr>
              <w:t>PostgreSQL</w:t>
            </w:r>
            <w:r>
              <w:rPr>
                <w:rFonts w:hint="eastAsia" w:ascii="宋体" w:hAnsi="宋体" w:eastAsia="宋体" w:cs="宋体"/>
              </w:rPr>
              <w:t>、</w:t>
            </w:r>
            <w:r>
              <w:rPr>
                <w:rFonts w:hint="eastAsia" w:eastAsia="Times New Roman"/>
              </w:rPr>
              <w:t>SSL</w:t>
            </w:r>
            <w:r>
              <w:rPr>
                <w:rFonts w:hint="eastAsia" w:ascii="宋体" w:hAnsi="宋体" w:eastAsia="宋体" w:cs="宋体"/>
              </w:rPr>
              <w:t>、</w:t>
            </w:r>
            <w:r>
              <w:rPr>
                <w:rFonts w:hint="eastAsia" w:eastAsia="Times New Roman"/>
              </w:rPr>
              <w:t>TLS</w:t>
            </w:r>
            <w:r>
              <w:rPr>
                <w:rFonts w:hint="eastAsia" w:ascii="宋体" w:hAnsi="宋体" w:eastAsia="宋体" w:cs="宋体"/>
              </w:rPr>
              <w:t>、</w:t>
            </w:r>
            <w:r>
              <w:rPr>
                <w:rFonts w:hint="eastAsia" w:eastAsia="Times New Roman"/>
              </w:rPr>
              <w:t>QQ</w:t>
            </w:r>
            <w:r>
              <w:rPr>
                <w:rFonts w:hint="eastAsia" w:ascii="宋体" w:hAnsi="宋体" w:eastAsia="宋体" w:cs="宋体"/>
              </w:rPr>
              <w:t>、</w:t>
            </w:r>
            <w:r>
              <w:rPr>
                <w:rFonts w:hint="eastAsia" w:eastAsia="Times New Roman"/>
              </w:rPr>
              <w:t>TCP</w:t>
            </w:r>
            <w:r>
              <w:rPr>
                <w:rFonts w:hint="eastAsia" w:ascii="宋体" w:hAnsi="宋体" w:eastAsia="宋体" w:cs="宋体"/>
              </w:rPr>
              <w:t>、</w:t>
            </w:r>
            <w:r>
              <w:rPr>
                <w:rFonts w:hint="eastAsia" w:eastAsia="Times New Roman"/>
              </w:rPr>
              <w:t>UDP</w:t>
            </w:r>
            <w:r>
              <w:rPr>
                <w:rFonts w:hint="eastAsia" w:ascii="宋体" w:hAnsi="宋体" w:eastAsia="宋体" w:cs="宋体"/>
              </w:rPr>
              <w:t>、</w:t>
            </w:r>
            <w:r>
              <w:rPr>
                <w:rFonts w:hint="eastAsia" w:eastAsia="Times New Roman"/>
              </w:rPr>
              <w:t>ICMP</w:t>
            </w:r>
            <w:r>
              <w:rPr>
                <w:rFonts w:hint="eastAsia" w:ascii="宋体" w:hAnsi="宋体" w:eastAsia="宋体" w:cs="宋体"/>
              </w:rPr>
              <w:t>、</w:t>
            </w:r>
            <w:r>
              <w:rPr>
                <w:rFonts w:hint="eastAsia" w:eastAsia="Times New Roman"/>
              </w:rPr>
              <w:t>SMB</w:t>
            </w:r>
            <w:r>
              <w:rPr>
                <w:rFonts w:hint="eastAsia" w:ascii="宋体" w:hAnsi="宋体" w:eastAsia="宋体" w:cs="宋体"/>
              </w:rPr>
              <w:t>、</w:t>
            </w:r>
            <w:r>
              <w:rPr>
                <w:rFonts w:hint="eastAsia" w:eastAsia="Times New Roman"/>
              </w:rPr>
              <w:t>WEBMail</w:t>
            </w:r>
            <w:r>
              <w:rPr>
                <w:rFonts w:hint="eastAsia" w:ascii="宋体" w:hAnsi="宋体" w:eastAsia="宋体" w:cs="宋体"/>
              </w:rPr>
              <w:t>、</w:t>
            </w:r>
            <w:r>
              <w:rPr>
                <w:rFonts w:hint="eastAsia" w:eastAsia="Times New Roman"/>
              </w:rPr>
              <w:t>VNC</w:t>
            </w:r>
            <w:r>
              <w:rPr>
                <w:rFonts w:hint="eastAsia" w:ascii="宋体" w:hAnsi="宋体" w:eastAsia="宋体" w:cs="宋体"/>
              </w:rPr>
              <w:t>、</w:t>
            </w:r>
            <w:r>
              <w:rPr>
                <w:rFonts w:hint="eastAsia" w:eastAsia="Times New Roman"/>
              </w:rPr>
              <w:t>SOCKS</w:t>
            </w:r>
            <w:r>
              <w:rPr>
                <w:rFonts w:hint="eastAsia" w:ascii="宋体" w:hAnsi="宋体" w:eastAsia="宋体" w:cs="宋体"/>
              </w:rPr>
              <w:t>等常见协议的深度解析和还原。</w:t>
            </w:r>
          </w:p>
          <w:p>
            <w:pPr>
              <w:spacing w:line="360" w:lineRule="auto"/>
              <w:jc w:val="left"/>
              <w:rPr>
                <w:rFonts w:eastAsia="Times New Roman"/>
              </w:rPr>
            </w:pPr>
            <w:r>
              <w:rPr>
                <w:rFonts w:hint="eastAsia" w:eastAsia="Times New Roman"/>
              </w:rPr>
              <w:t>5</w:t>
            </w:r>
            <w:r>
              <w:rPr>
                <w:rFonts w:hint="eastAsia" w:ascii="宋体" w:hAnsi="宋体" w:eastAsia="宋体" w:cs="宋体"/>
              </w:rPr>
              <w:t>、</w:t>
            </w:r>
            <w:r>
              <w:rPr>
                <w:rFonts w:ascii="Segoe UI Symbol" w:hAnsi="Segoe UI Symbol" w:eastAsia="Times New Roman" w:cs="Segoe UI Symbol"/>
              </w:rPr>
              <w:t>★</w:t>
            </w:r>
            <w:r>
              <w:rPr>
                <w:rFonts w:hint="eastAsia" w:ascii="宋体" w:hAnsi="宋体" w:eastAsia="宋体" w:cs="宋体"/>
              </w:rPr>
              <w:t>支持</w:t>
            </w:r>
            <w:r>
              <w:rPr>
                <w:rFonts w:hint="eastAsia" w:eastAsia="Times New Roman"/>
              </w:rPr>
              <w:t>5G</w:t>
            </w:r>
            <w:r>
              <w:rPr>
                <w:rFonts w:hint="eastAsia" w:ascii="宋体" w:hAnsi="宋体" w:eastAsia="宋体" w:cs="宋体"/>
              </w:rPr>
              <w:t>协议的深度解析和还原，包含</w:t>
            </w:r>
            <w:r>
              <w:rPr>
                <w:rFonts w:hint="eastAsia" w:eastAsia="Times New Roman"/>
              </w:rPr>
              <w:t>NGAP</w:t>
            </w:r>
            <w:r>
              <w:rPr>
                <w:rFonts w:hint="eastAsia" w:ascii="宋体" w:hAnsi="宋体" w:eastAsia="宋体" w:cs="宋体"/>
              </w:rPr>
              <w:t>、</w:t>
            </w:r>
            <w:r>
              <w:rPr>
                <w:rFonts w:hint="eastAsia" w:eastAsia="Times New Roman"/>
              </w:rPr>
              <w:t>PFCP</w:t>
            </w:r>
            <w:r>
              <w:rPr>
                <w:rFonts w:hint="eastAsia" w:ascii="宋体" w:hAnsi="宋体" w:eastAsia="宋体" w:cs="宋体"/>
              </w:rPr>
              <w:t>、</w:t>
            </w:r>
            <w:r>
              <w:rPr>
                <w:rFonts w:hint="eastAsia" w:eastAsia="Times New Roman"/>
              </w:rPr>
              <w:t>HTTP2</w:t>
            </w:r>
            <w:r>
              <w:rPr>
                <w:rFonts w:hint="eastAsia" w:ascii="宋体" w:hAnsi="宋体" w:eastAsia="宋体" w:cs="宋体"/>
              </w:rPr>
              <w:t>、</w:t>
            </w:r>
            <w:r>
              <w:rPr>
                <w:rFonts w:hint="eastAsia" w:eastAsia="Times New Roman"/>
              </w:rPr>
              <w:t>GTPv2</w:t>
            </w:r>
            <w:r>
              <w:rPr>
                <w:rFonts w:hint="eastAsia" w:ascii="宋体" w:hAnsi="宋体" w:eastAsia="宋体" w:cs="宋体"/>
              </w:rPr>
              <w:t>等，支持</w:t>
            </w:r>
            <w:r>
              <w:rPr>
                <w:rFonts w:hint="eastAsia" w:eastAsia="Times New Roman"/>
              </w:rPr>
              <w:t>5G</w:t>
            </w:r>
            <w:r>
              <w:rPr>
                <w:rFonts w:hint="eastAsia" w:ascii="宋体" w:hAnsi="宋体" w:eastAsia="宋体" w:cs="宋体"/>
              </w:rPr>
              <w:t>接口识别，识别的接口包括</w:t>
            </w:r>
            <w:r>
              <w:rPr>
                <w:rFonts w:hint="eastAsia" w:eastAsia="Times New Roman"/>
              </w:rPr>
              <w:t>N1</w:t>
            </w:r>
            <w:r>
              <w:rPr>
                <w:rFonts w:hint="eastAsia" w:ascii="宋体" w:hAnsi="宋体" w:eastAsia="宋体" w:cs="宋体"/>
              </w:rPr>
              <w:t>、</w:t>
            </w:r>
            <w:r>
              <w:rPr>
                <w:rFonts w:hint="eastAsia" w:eastAsia="Times New Roman"/>
              </w:rPr>
              <w:t>N2</w:t>
            </w:r>
            <w:r>
              <w:rPr>
                <w:rFonts w:hint="eastAsia" w:ascii="宋体" w:hAnsi="宋体" w:eastAsia="宋体" w:cs="宋体"/>
              </w:rPr>
              <w:t>、</w:t>
            </w:r>
            <w:r>
              <w:rPr>
                <w:rFonts w:hint="eastAsia" w:eastAsia="Times New Roman"/>
              </w:rPr>
              <w:t>N4</w:t>
            </w:r>
            <w:r>
              <w:rPr>
                <w:rFonts w:hint="eastAsia" w:ascii="宋体" w:hAnsi="宋体" w:eastAsia="宋体" w:cs="宋体"/>
              </w:rPr>
              <w:t>、</w:t>
            </w:r>
            <w:r>
              <w:rPr>
                <w:rFonts w:hint="eastAsia" w:eastAsia="Times New Roman"/>
              </w:rPr>
              <w:t>N5</w:t>
            </w:r>
            <w:r>
              <w:rPr>
                <w:rFonts w:hint="eastAsia" w:ascii="宋体" w:hAnsi="宋体" w:eastAsia="宋体" w:cs="宋体"/>
              </w:rPr>
              <w:t>、</w:t>
            </w:r>
            <w:r>
              <w:rPr>
                <w:rFonts w:hint="eastAsia" w:eastAsia="Times New Roman"/>
              </w:rPr>
              <w:t>N7</w:t>
            </w:r>
            <w:r>
              <w:rPr>
                <w:rFonts w:hint="eastAsia" w:ascii="宋体" w:hAnsi="宋体" w:eastAsia="宋体" w:cs="宋体"/>
              </w:rPr>
              <w:t>、</w:t>
            </w:r>
            <w:r>
              <w:rPr>
                <w:rFonts w:hint="eastAsia" w:eastAsia="Times New Roman"/>
              </w:rPr>
              <w:t>N8</w:t>
            </w:r>
            <w:r>
              <w:rPr>
                <w:rFonts w:hint="eastAsia" w:ascii="宋体" w:hAnsi="宋体" w:eastAsia="宋体" w:cs="宋体"/>
              </w:rPr>
              <w:t>、</w:t>
            </w:r>
            <w:r>
              <w:rPr>
                <w:rFonts w:hint="eastAsia" w:eastAsia="Times New Roman"/>
              </w:rPr>
              <w:t>N10</w:t>
            </w:r>
            <w:r>
              <w:rPr>
                <w:rFonts w:hint="eastAsia" w:ascii="宋体" w:hAnsi="宋体" w:eastAsia="宋体" w:cs="宋体"/>
              </w:rPr>
              <w:t>、</w:t>
            </w:r>
            <w:r>
              <w:rPr>
                <w:rFonts w:hint="eastAsia" w:eastAsia="Times New Roman"/>
              </w:rPr>
              <w:t>N11</w:t>
            </w:r>
            <w:r>
              <w:rPr>
                <w:rFonts w:hint="eastAsia" w:ascii="宋体" w:hAnsi="宋体" w:eastAsia="宋体" w:cs="宋体"/>
              </w:rPr>
              <w:t>、</w:t>
            </w:r>
            <w:r>
              <w:rPr>
                <w:rFonts w:hint="eastAsia" w:eastAsia="Times New Roman"/>
              </w:rPr>
              <w:t>N12</w:t>
            </w:r>
            <w:r>
              <w:rPr>
                <w:rFonts w:hint="eastAsia" w:ascii="宋体" w:hAnsi="宋体" w:eastAsia="宋体" w:cs="宋体"/>
              </w:rPr>
              <w:t>、</w:t>
            </w:r>
            <w:r>
              <w:rPr>
                <w:rFonts w:hint="eastAsia" w:eastAsia="Times New Roman"/>
              </w:rPr>
              <w:t>N14</w:t>
            </w:r>
            <w:r>
              <w:rPr>
                <w:rFonts w:hint="eastAsia" w:ascii="宋体" w:hAnsi="宋体" w:eastAsia="宋体" w:cs="宋体"/>
              </w:rPr>
              <w:t>、</w:t>
            </w:r>
            <w:r>
              <w:rPr>
                <w:rFonts w:hint="eastAsia" w:eastAsia="Times New Roman"/>
              </w:rPr>
              <w:t>N15</w:t>
            </w:r>
            <w:r>
              <w:rPr>
                <w:rFonts w:hint="eastAsia" w:ascii="宋体" w:hAnsi="宋体" w:eastAsia="宋体" w:cs="宋体"/>
              </w:rPr>
              <w:t>、</w:t>
            </w:r>
            <w:r>
              <w:rPr>
                <w:rFonts w:hint="eastAsia" w:eastAsia="Times New Roman"/>
              </w:rPr>
              <w:t>N20</w:t>
            </w:r>
            <w:r>
              <w:rPr>
                <w:rFonts w:hint="eastAsia" w:ascii="宋体" w:hAnsi="宋体" w:eastAsia="宋体" w:cs="宋体"/>
              </w:rPr>
              <w:t>、</w:t>
            </w:r>
            <w:r>
              <w:rPr>
                <w:rFonts w:hint="eastAsia" w:eastAsia="Times New Roman"/>
              </w:rPr>
              <w:t>N21</w:t>
            </w:r>
            <w:r>
              <w:rPr>
                <w:rFonts w:hint="eastAsia" w:ascii="宋体" w:hAnsi="宋体" w:eastAsia="宋体" w:cs="宋体"/>
              </w:rPr>
              <w:t>、</w:t>
            </w:r>
            <w:r>
              <w:rPr>
                <w:rFonts w:hint="eastAsia" w:eastAsia="Times New Roman"/>
              </w:rPr>
              <w:t>N22</w:t>
            </w:r>
            <w:r>
              <w:rPr>
                <w:rFonts w:hint="eastAsia" w:ascii="宋体" w:hAnsi="宋体" w:eastAsia="宋体" w:cs="宋体"/>
              </w:rPr>
              <w:t>、</w:t>
            </w:r>
            <w:r>
              <w:rPr>
                <w:rFonts w:hint="eastAsia" w:eastAsia="Times New Roman"/>
              </w:rPr>
              <w:t>N26</w:t>
            </w:r>
            <w:r>
              <w:rPr>
                <w:rFonts w:hint="eastAsia" w:ascii="宋体" w:hAnsi="宋体" w:eastAsia="宋体" w:cs="宋体"/>
              </w:rPr>
              <w:t>、</w:t>
            </w:r>
            <w:r>
              <w:rPr>
                <w:rFonts w:hint="eastAsia" w:eastAsia="Times New Roman"/>
              </w:rPr>
              <w:t>N28</w:t>
            </w:r>
            <w:r>
              <w:rPr>
                <w:rFonts w:hint="eastAsia" w:ascii="宋体" w:hAnsi="宋体" w:eastAsia="宋体" w:cs="宋体"/>
              </w:rPr>
              <w:t>、</w:t>
            </w:r>
            <w:r>
              <w:rPr>
                <w:rFonts w:hint="eastAsia" w:eastAsia="Times New Roman"/>
              </w:rPr>
              <w:t>N40</w:t>
            </w:r>
            <w:r>
              <w:rPr>
                <w:rFonts w:hint="eastAsia" w:ascii="宋体" w:hAnsi="宋体" w:eastAsia="宋体" w:cs="宋体"/>
              </w:rPr>
              <w:t>。（提供截图证明并加盖投标人公章）</w:t>
            </w:r>
          </w:p>
          <w:p>
            <w:pPr>
              <w:spacing w:line="360" w:lineRule="auto"/>
              <w:jc w:val="left"/>
              <w:rPr>
                <w:rFonts w:eastAsia="Times New Roman"/>
              </w:rPr>
            </w:pPr>
            <w:r>
              <w:rPr>
                <w:rFonts w:hint="eastAsia" w:eastAsia="Times New Roman"/>
              </w:rPr>
              <w:t>6</w:t>
            </w:r>
            <w:r>
              <w:rPr>
                <w:rFonts w:hint="eastAsia" w:ascii="宋体" w:hAnsi="宋体" w:eastAsia="宋体" w:cs="宋体"/>
              </w:rPr>
              <w:t>、支持流量灰名单，关注重点资产流量，对命中灰名单的流量进行流量还原和威胁检测。灰名单类型包括</w:t>
            </w:r>
            <w:r>
              <w:rPr>
                <w:rFonts w:hint="eastAsia" w:eastAsia="Times New Roman"/>
              </w:rPr>
              <w:t>IP</w:t>
            </w:r>
            <w:r>
              <w:rPr>
                <w:rFonts w:hint="eastAsia" w:ascii="宋体" w:hAnsi="宋体" w:eastAsia="宋体" w:cs="宋体"/>
              </w:rPr>
              <w:t>、端口、</w:t>
            </w:r>
            <w:r>
              <w:rPr>
                <w:rFonts w:hint="eastAsia" w:eastAsia="Times New Roman"/>
              </w:rPr>
              <w:t>IP+</w:t>
            </w:r>
            <w:r>
              <w:rPr>
                <w:rFonts w:hint="eastAsia" w:ascii="宋体" w:hAnsi="宋体" w:eastAsia="宋体" w:cs="宋体"/>
              </w:rPr>
              <w:t>端口。</w:t>
            </w:r>
          </w:p>
          <w:p>
            <w:pPr>
              <w:spacing w:line="360" w:lineRule="auto"/>
              <w:jc w:val="left"/>
              <w:rPr>
                <w:rFonts w:eastAsia="Times New Roman"/>
              </w:rPr>
            </w:pPr>
            <w:r>
              <w:rPr>
                <w:rFonts w:hint="eastAsia" w:eastAsia="Times New Roman"/>
              </w:rPr>
              <w:t>7</w:t>
            </w:r>
            <w:r>
              <w:rPr>
                <w:rFonts w:hint="eastAsia" w:ascii="宋体" w:hAnsi="宋体" w:eastAsia="宋体" w:cs="宋体"/>
              </w:rPr>
              <w:t>、支持对流量中出现的文件进行发现和还原，支持还原的协议包括：</w:t>
            </w:r>
            <w:r>
              <w:rPr>
                <w:rFonts w:hint="eastAsia" w:eastAsia="Times New Roman"/>
              </w:rPr>
              <w:t>HTTP</w:t>
            </w:r>
            <w:r>
              <w:rPr>
                <w:rFonts w:hint="eastAsia" w:ascii="宋体" w:hAnsi="宋体" w:eastAsia="宋体" w:cs="宋体"/>
              </w:rPr>
              <w:t>、</w:t>
            </w:r>
            <w:r>
              <w:rPr>
                <w:rFonts w:hint="eastAsia" w:eastAsia="Times New Roman"/>
              </w:rPr>
              <w:t>FTP</w:t>
            </w:r>
            <w:r>
              <w:rPr>
                <w:rFonts w:hint="eastAsia" w:ascii="宋体" w:hAnsi="宋体" w:eastAsia="宋体" w:cs="宋体"/>
              </w:rPr>
              <w:t>、</w:t>
            </w:r>
            <w:r>
              <w:rPr>
                <w:rFonts w:hint="eastAsia" w:eastAsia="Times New Roman"/>
              </w:rPr>
              <w:t>SMTP</w:t>
            </w:r>
            <w:r>
              <w:rPr>
                <w:rFonts w:hint="eastAsia" w:ascii="宋体" w:hAnsi="宋体" w:eastAsia="宋体" w:cs="宋体"/>
              </w:rPr>
              <w:t>、</w:t>
            </w:r>
            <w:r>
              <w:rPr>
                <w:rFonts w:hint="eastAsia" w:eastAsia="Times New Roman"/>
              </w:rPr>
              <w:t>POP3</w:t>
            </w:r>
            <w:r>
              <w:rPr>
                <w:rFonts w:hint="eastAsia" w:ascii="宋体" w:hAnsi="宋体" w:eastAsia="宋体" w:cs="宋体"/>
              </w:rPr>
              <w:t>、</w:t>
            </w:r>
            <w:r>
              <w:rPr>
                <w:rFonts w:hint="eastAsia" w:eastAsia="Times New Roman"/>
              </w:rPr>
              <w:t>IMAP</w:t>
            </w:r>
            <w:r>
              <w:rPr>
                <w:rFonts w:hint="eastAsia" w:ascii="宋体" w:hAnsi="宋体" w:eastAsia="宋体" w:cs="宋体"/>
              </w:rPr>
              <w:t>、</w:t>
            </w:r>
            <w:r>
              <w:rPr>
                <w:rFonts w:hint="eastAsia" w:eastAsia="Times New Roman"/>
              </w:rPr>
              <w:t>SAMBA</w:t>
            </w:r>
            <w:r>
              <w:rPr>
                <w:rFonts w:hint="eastAsia" w:ascii="宋体" w:hAnsi="宋体" w:eastAsia="宋体" w:cs="宋体"/>
              </w:rPr>
              <w:t>、</w:t>
            </w:r>
            <w:r>
              <w:rPr>
                <w:rFonts w:hint="eastAsia" w:eastAsia="Times New Roman"/>
              </w:rPr>
              <w:t>WEBMAIL</w:t>
            </w:r>
            <w:r>
              <w:rPr>
                <w:rFonts w:hint="eastAsia" w:ascii="宋体" w:hAnsi="宋体" w:eastAsia="宋体" w:cs="宋体"/>
              </w:rPr>
              <w:t>。</w:t>
            </w:r>
          </w:p>
          <w:p>
            <w:pPr>
              <w:spacing w:line="360" w:lineRule="auto"/>
              <w:jc w:val="left"/>
              <w:rPr>
                <w:rFonts w:eastAsia="Times New Roman"/>
              </w:rPr>
            </w:pPr>
            <w:r>
              <w:rPr>
                <w:rFonts w:hint="eastAsia" w:eastAsia="Times New Roman"/>
              </w:rPr>
              <w:t>8</w:t>
            </w:r>
            <w:r>
              <w:rPr>
                <w:rFonts w:hint="eastAsia" w:ascii="宋体" w:hAnsi="宋体" w:eastAsia="宋体" w:cs="宋体"/>
              </w:rPr>
              <w:t>、</w:t>
            </w:r>
            <w:r>
              <w:rPr>
                <w:rFonts w:ascii="Segoe UI Symbol" w:hAnsi="Segoe UI Symbol" w:eastAsia="Times New Roman" w:cs="Segoe UI Symbol"/>
              </w:rPr>
              <w:t>★</w:t>
            </w:r>
            <w:r>
              <w:rPr>
                <w:rFonts w:hint="eastAsia" w:ascii="宋体" w:hAnsi="宋体" w:eastAsia="宋体" w:cs="宋体"/>
              </w:rPr>
              <w:t>支持对深度解析的协议进行存储，存储日志类型至少包括：会话日志、</w:t>
            </w:r>
            <w:r>
              <w:rPr>
                <w:rFonts w:hint="eastAsia" w:eastAsia="Times New Roman"/>
              </w:rPr>
              <w:t>HTTP</w:t>
            </w:r>
            <w:r>
              <w:rPr>
                <w:rFonts w:hint="eastAsia" w:ascii="宋体" w:hAnsi="宋体" w:eastAsia="宋体" w:cs="宋体"/>
              </w:rPr>
              <w:t>日志、</w:t>
            </w:r>
            <w:r>
              <w:rPr>
                <w:rFonts w:hint="eastAsia" w:eastAsia="Times New Roman"/>
              </w:rPr>
              <w:t>EMAIL</w:t>
            </w:r>
            <w:r>
              <w:rPr>
                <w:rFonts w:hint="eastAsia" w:ascii="宋体" w:hAnsi="宋体" w:eastAsia="宋体" w:cs="宋体"/>
              </w:rPr>
              <w:t>日志、</w:t>
            </w:r>
            <w:r>
              <w:rPr>
                <w:rFonts w:hint="eastAsia" w:eastAsia="Times New Roman"/>
              </w:rPr>
              <w:t>TELNET</w:t>
            </w:r>
            <w:r>
              <w:rPr>
                <w:rFonts w:hint="eastAsia" w:ascii="宋体" w:hAnsi="宋体" w:eastAsia="宋体" w:cs="宋体"/>
              </w:rPr>
              <w:t>日志、认证日志、数据库日志、登录日志、</w:t>
            </w:r>
            <w:r>
              <w:rPr>
                <w:rFonts w:hint="eastAsia" w:eastAsia="Times New Roman"/>
              </w:rPr>
              <w:t>SSL&amp;TLS</w:t>
            </w:r>
            <w:r>
              <w:rPr>
                <w:rFonts w:hint="eastAsia" w:ascii="宋体" w:hAnsi="宋体" w:eastAsia="宋体" w:cs="宋体"/>
              </w:rPr>
              <w:t>日志、</w:t>
            </w:r>
            <w:r>
              <w:rPr>
                <w:rFonts w:hint="eastAsia" w:eastAsia="Times New Roman"/>
              </w:rPr>
              <w:t>FTP</w:t>
            </w:r>
            <w:r>
              <w:rPr>
                <w:rFonts w:hint="eastAsia" w:ascii="宋体" w:hAnsi="宋体" w:eastAsia="宋体" w:cs="宋体"/>
              </w:rPr>
              <w:t>日志、</w:t>
            </w:r>
            <w:r>
              <w:rPr>
                <w:rFonts w:hint="eastAsia" w:eastAsia="Times New Roman"/>
              </w:rPr>
              <w:t>DNS</w:t>
            </w:r>
            <w:r>
              <w:rPr>
                <w:rFonts w:hint="eastAsia" w:ascii="宋体" w:hAnsi="宋体" w:eastAsia="宋体" w:cs="宋体"/>
              </w:rPr>
              <w:t>日志、</w:t>
            </w:r>
            <w:r>
              <w:rPr>
                <w:rFonts w:hint="eastAsia" w:eastAsia="Times New Roman"/>
              </w:rPr>
              <w:t>ICMP</w:t>
            </w:r>
            <w:r>
              <w:rPr>
                <w:rFonts w:hint="eastAsia" w:ascii="宋体" w:hAnsi="宋体" w:eastAsia="宋体" w:cs="宋体"/>
              </w:rPr>
              <w:t>日志、文件还原日志、社会账号日志、</w:t>
            </w:r>
            <w:r>
              <w:rPr>
                <w:rFonts w:hint="eastAsia" w:eastAsia="Times New Roman"/>
              </w:rPr>
              <w:t>5G</w:t>
            </w:r>
            <w:r>
              <w:rPr>
                <w:rFonts w:hint="eastAsia" w:ascii="宋体" w:hAnsi="宋体" w:eastAsia="宋体" w:cs="宋体"/>
              </w:rPr>
              <w:t>日志。（提供截图证明并加盖投标人公章）</w:t>
            </w:r>
          </w:p>
          <w:p>
            <w:pPr>
              <w:spacing w:line="360" w:lineRule="auto"/>
              <w:jc w:val="left"/>
              <w:rPr>
                <w:rFonts w:eastAsia="Times New Roman"/>
              </w:rPr>
            </w:pPr>
            <w:r>
              <w:rPr>
                <w:rFonts w:hint="eastAsia" w:eastAsia="Times New Roman"/>
              </w:rPr>
              <w:t>9</w:t>
            </w:r>
            <w:r>
              <w:rPr>
                <w:rFonts w:hint="eastAsia" w:ascii="宋体" w:hAnsi="宋体" w:eastAsia="宋体" w:cs="宋体"/>
              </w:rPr>
              <w:t>、支持对实时流量采集的</w:t>
            </w:r>
            <w:r>
              <w:rPr>
                <w:rFonts w:hint="eastAsia" w:eastAsia="Times New Roman"/>
              </w:rPr>
              <w:t>pcap</w:t>
            </w:r>
            <w:r>
              <w:rPr>
                <w:rFonts w:hint="eastAsia" w:ascii="宋体" w:hAnsi="宋体" w:eastAsia="宋体" w:cs="宋体"/>
              </w:rPr>
              <w:t>包进行全量存储，供追溯分析和取证使用，支持对威胁相关的数据包进行存储，供关联分析和取证使用。</w:t>
            </w:r>
          </w:p>
          <w:p>
            <w:pPr>
              <w:spacing w:line="360" w:lineRule="auto"/>
              <w:jc w:val="left"/>
              <w:rPr>
                <w:rFonts w:eastAsia="Times New Roman"/>
              </w:rPr>
            </w:pPr>
            <w:r>
              <w:rPr>
                <w:rFonts w:hint="eastAsia" w:eastAsia="Times New Roman"/>
              </w:rPr>
              <w:t>10</w:t>
            </w:r>
            <w:r>
              <w:rPr>
                <w:rFonts w:hint="eastAsia" w:ascii="宋体" w:hAnsi="宋体" w:eastAsia="宋体" w:cs="宋体"/>
              </w:rPr>
              <w:t>、支持针对主流</w:t>
            </w:r>
            <w:r>
              <w:rPr>
                <w:rFonts w:hint="eastAsia" w:eastAsia="Times New Roman"/>
              </w:rPr>
              <w:t>Web</w:t>
            </w:r>
            <w:r>
              <w:rPr>
                <w:rFonts w:hint="eastAsia" w:ascii="宋体" w:hAnsi="宋体" w:eastAsia="宋体" w:cs="宋体"/>
              </w:rPr>
              <w:t>服务器及插件的已知漏洞攻击检测。</w:t>
            </w:r>
            <w:r>
              <w:rPr>
                <w:rFonts w:hint="eastAsia" w:eastAsia="Times New Roman"/>
              </w:rPr>
              <w:t>Web</w:t>
            </w:r>
            <w:r>
              <w:rPr>
                <w:rFonts w:hint="eastAsia" w:ascii="宋体" w:hAnsi="宋体" w:eastAsia="宋体" w:cs="宋体"/>
              </w:rPr>
              <w:t>服务器应覆盖主流服务器：</w:t>
            </w:r>
            <w:r>
              <w:rPr>
                <w:rFonts w:hint="eastAsia" w:eastAsia="Times New Roman"/>
              </w:rPr>
              <w:t>apache</w:t>
            </w:r>
            <w:r>
              <w:rPr>
                <w:rFonts w:hint="eastAsia" w:ascii="宋体" w:hAnsi="宋体" w:eastAsia="宋体" w:cs="宋体"/>
              </w:rPr>
              <w:t>、</w:t>
            </w:r>
            <w:r>
              <w:rPr>
                <w:rFonts w:hint="eastAsia" w:eastAsia="Times New Roman"/>
              </w:rPr>
              <w:t>tomcat</w:t>
            </w:r>
            <w:r>
              <w:rPr>
                <w:rFonts w:hint="eastAsia" w:ascii="宋体" w:hAnsi="宋体" w:eastAsia="宋体" w:cs="宋体"/>
              </w:rPr>
              <w:t>、</w:t>
            </w:r>
            <w:r>
              <w:rPr>
                <w:rFonts w:hint="eastAsia" w:eastAsia="Times New Roman"/>
              </w:rPr>
              <w:t>lightpd</w:t>
            </w:r>
            <w:r>
              <w:rPr>
                <w:rFonts w:hint="eastAsia" w:ascii="宋体" w:hAnsi="宋体" w:eastAsia="宋体" w:cs="宋体"/>
              </w:rPr>
              <w:t>、</w:t>
            </w:r>
            <w:r>
              <w:rPr>
                <w:rFonts w:hint="eastAsia" w:eastAsia="Times New Roman"/>
              </w:rPr>
              <w:t>NGINX</w:t>
            </w:r>
            <w:r>
              <w:rPr>
                <w:rFonts w:hint="eastAsia" w:ascii="宋体" w:hAnsi="宋体" w:eastAsia="宋体" w:cs="宋体"/>
              </w:rPr>
              <w:t>、</w:t>
            </w:r>
            <w:r>
              <w:rPr>
                <w:rFonts w:hint="eastAsia" w:eastAsia="Times New Roman"/>
              </w:rPr>
              <w:t>IIS</w:t>
            </w:r>
            <w:r>
              <w:rPr>
                <w:rFonts w:hint="eastAsia" w:ascii="宋体" w:hAnsi="宋体" w:eastAsia="宋体" w:cs="宋体"/>
              </w:rPr>
              <w:t>等；插件应覆盖：</w:t>
            </w:r>
            <w:r>
              <w:rPr>
                <w:rFonts w:hint="eastAsia" w:eastAsia="Times New Roman"/>
              </w:rPr>
              <w:t>dedecms</w:t>
            </w:r>
            <w:r>
              <w:rPr>
                <w:rFonts w:hint="eastAsia" w:ascii="宋体" w:hAnsi="宋体" w:eastAsia="宋体" w:cs="宋体"/>
              </w:rPr>
              <w:t>、</w:t>
            </w:r>
            <w:r>
              <w:rPr>
                <w:rFonts w:hint="eastAsia" w:eastAsia="Times New Roman"/>
              </w:rPr>
              <w:t>phpmuadmin</w:t>
            </w:r>
            <w:r>
              <w:rPr>
                <w:rFonts w:hint="eastAsia" w:ascii="宋体" w:hAnsi="宋体" w:eastAsia="宋体" w:cs="宋体"/>
              </w:rPr>
              <w:t>、</w:t>
            </w:r>
            <w:r>
              <w:rPr>
                <w:rFonts w:hint="eastAsia" w:eastAsia="Times New Roman"/>
              </w:rPr>
              <w:t>PHPWind</w:t>
            </w:r>
            <w:r>
              <w:rPr>
                <w:rFonts w:hint="eastAsia" w:ascii="宋体" w:hAnsi="宋体" w:eastAsia="宋体" w:cs="宋体"/>
              </w:rPr>
              <w:t>、</w:t>
            </w:r>
            <w:r>
              <w:rPr>
                <w:rFonts w:hint="eastAsia" w:eastAsia="Times New Roman"/>
              </w:rPr>
              <w:t>shopex</w:t>
            </w:r>
            <w:r>
              <w:rPr>
                <w:rFonts w:hint="eastAsia" w:ascii="宋体" w:hAnsi="宋体" w:eastAsia="宋体" w:cs="宋体"/>
              </w:rPr>
              <w:t>、</w:t>
            </w:r>
            <w:r>
              <w:rPr>
                <w:rFonts w:hint="eastAsia" w:eastAsia="Times New Roman"/>
              </w:rPr>
              <w:t>discuz</w:t>
            </w:r>
            <w:r>
              <w:rPr>
                <w:rFonts w:hint="eastAsia" w:ascii="宋体" w:hAnsi="宋体" w:eastAsia="宋体" w:cs="宋体"/>
              </w:rPr>
              <w:t>、</w:t>
            </w:r>
            <w:r>
              <w:rPr>
                <w:rFonts w:hint="eastAsia" w:eastAsia="Times New Roman"/>
              </w:rPr>
              <w:t>echsop</w:t>
            </w:r>
            <w:r>
              <w:rPr>
                <w:rFonts w:hint="eastAsia" w:ascii="宋体" w:hAnsi="宋体" w:eastAsia="宋体" w:cs="宋体"/>
              </w:rPr>
              <w:t>、</w:t>
            </w:r>
            <w:r>
              <w:rPr>
                <w:rFonts w:hint="eastAsia" w:eastAsia="Times New Roman"/>
              </w:rPr>
              <w:t>vbulletin</w:t>
            </w:r>
            <w:r>
              <w:rPr>
                <w:rFonts w:hint="eastAsia" w:ascii="宋体" w:hAnsi="宋体" w:eastAsia="宋体" w:cs="宋体"/>
              </w:rPr>
              <w:t>、</w:t>
            </w:r>
            <w:r>
              <w:rPr>
                <w:rFonts w:hint="eastAsia" w:eastAsia="Times New Roman"/>
              </w:rPr>
              <w:t>wordpress</w:t>
            </w:r>
            <w:r>
              <w:rPr>
                <w:rFonts w:hint="eastAsia" w:ascii="宋体" w:hAnsi="宋体" w:eastAsia="宋体" w:cs="宋体"/>
              </w:rPr>
              <w:t>等。</w:t>
            </w:r>
          </w:p>
          <w:p>
            <w:pPr>
              <w:spacing w:line="360" w:lineRule="auto"/>
              <w:jc w:val="left"/>
              <w:rPr>
                <w:rFonts w:eastAsia="Times New Roman"/>
              </w:rPr>
            </w:pPr>
            <w:r>
              <w:rPr>
                <w:rFonts w:hint="eastAsia" w:eastAsia="Times New Roman"/>
              </w:rPr>
              <w:t>11</w:t>
            </w:r>
            <w:r>
              <w:rPr>
                <w:rFonts w:hint="eastAsia" w:ascii="宋体" w:hAnsi="宋体" w:eastAsia="宋体" w:cs="宋体"/>
              </w:rPr>
              <w:t>、</w:t>
            </w:r>
            <w:r>
              <w:rPr>
                <w:rFonts w:ascii="Segoe UI Symbol" w:hAnsi="Segoe UI Symbol" w:eastAsia="Times New Roman" w:cs="Segoe UI Symbol"/>
              </w:rPr>
              <w:t>★</w:t>
            </w:r>
            <w:r>
              <w:rPr>
                <w:rFonts w:hint="eastAsia" w:ascii="宋体" w:hAnsi="宋体" w:eastAsia="宋体" w:cs="宋体"/>
              </w:rPr>
              <w:t>支持爬虫检测，具备对</w:t>
            </w:r>
            <w:r>
              <w:rPr>
                <w:rFonts w:hint="eastAsia" w:eastAsia="Times New Roman"/>
              </w:rPr>
              <w:t>100</w:t>
            </w:r>
            <w:r>
              <w:rPr>
                <w:rFonts w:hint="eastAsia" w:ascii="宋体" w:hAnsi="宋体" w:eastAsia="宋体" w:cs="宋体"/>
              </w:rPr>
              <w:t>种以上的爬虫特征进行识别和检测的能力</w:t>
            </w:r>
            <w:r>
              <w:rPr>
                <w:rFonts w:hint="eastAsia" w:eastAsia="Times New Roman"/>
              </w:rPr>
              <w:t>,</w:t>
            </w:r>
            <w:r>
              <w:rPr>
                <w:rFonts w:hint="eastAsia" w:ascii="宋体" w:hAnsi="宋体" w:eastAsia="宋体" w:cs="宋体"/>
              </w:rPr>
              <w:t>检测特征至少包括</w:t>
            </w:r>
            <w:r>
              <w:rPr>
                <w:rFonts w:hint="eastAsia" w:eastAsia="Times New Roman"/>
              </w:rPr>
              <w:t xml:space="preserve"> </w:t>
            </w:r>
            <w:r>
              <w:rPr>
                <w:rFonts w:hint="eastAsia" w:ascii="宋体" w:hAnsi="宋体" w:eastAsia="宋体" w:cs="宋体"/>
              </w:rPr>
              <w:t>：</w:t>
            </w:r>
            <w:r>
              <w:rPr>
                <w:rFonts w:hint="eastAsia" w:eastAsia="Times New Roman"/>
              </w:rPr>
              <w:t>WebInspect</w:t>
            </w:r>
            <w:r>
              <w:rPr>
                <w:rFonts w:hint="eastAsia" w:ascii="宋体" w:hAnsi="宋体" w:eastAsia="宋体" w:cs="宋体"/>
              </w:rPr>
              <w:t>、穿山甲扫描、</w:t>
            </w:r>
            <w:r>
              <w:rPr>
                <w:rFonts w:hint="eastAsia" w:eastAsia="Times New Roman"/>
              </w:rPr>
              <w:t>appscan</w:t>
            </w:r>
            <w:r>
              <w:rPr>
                <w:rFonts w:hint="eastAsia" w:ascii="宋体" w:hAnsi="宋体" w:eastAsia="宋体" w:cs="宋体"/>
              </w:rPr>
              <w:t>、</w:t>
            </w:r>
            <w:r>
              <w:rPr>
                <w:rFonts w:hint="eastAsia" w:eastAsia="Times New Roman"/>
              </w:rPr>
              <w:t xml:space="preserve"> burpsuite</w:t>
            </w:r>
            <w:r>
              <w:rPr>
                <w:rFonts w:hint="eastAsia" w:ascii="宋体" w:hAnsi="宋体" w:eastAsia="宋体" w:cs="宋体"/>
              </w:rPr>
              <w:t>扫描</w:t>
            </w:r>
            <w:r>
              <w:rPr>
                <w:rFonts w:hint="eastAsia" w:eastAsia="Times New Roman"/>
              </w:rPr>
              <w:t xml:space="preserve"> </w:t>
            </w:r>
            <w:r>
              <w:rPr>
                <w:rFonts w:hint="eastAsia" w:ascii="宋体" w:hAnsi="宋体" w:eastAsia="宋体" w:cs="宋体"/>
              </w:rPr>
              <w:t>、长亭</w:t>
            </w:r>
            <w:r>
              <w:rPr>
                <w:rFonts w:hint="eastAsia" w:eastAsia="Times New Roman"/>
              </w:rPr>
              <w:t>xray</w:t>
            </w:r>
            <w:r>
              <w:rPr>
                <w:rFonts w:hint="eastAsia" w:ascii="宋体" w:hAnsi="宋体" w:eastAsia="宋体" w:cs="宋体"/>
              </w:rPr>
              <w:t>社区版扫描、</w:t>
            </w:r>
            <w:r>
              <w:rPr>
                <w:rFonts w:hint="eastAsia" w:eastAsia="Times New Roman"/>
              </w:rPr>
              <w:t>Acunetix Web Vulnerability Scanner</w:t>
            </w:r>
            <w:r>
              <w:rPr>
                <w:rFonts w:hint="eastAsia" w:ascii="宋体" w:hAnsi="宋体" w:eastAsia="宋体" w:cs="宋体"/>
              </w:rPr>
              <w:t>、</w:t>
            </w:r>
            <w:r>
              <w:rPr>
                <w:rFonts w:hint="eastAsia" w:eastAsia="Times New Roman"/>
              </w:rPr>
              <w:t>netsparker</w:t>
            </w:r>
            <w:r>
              <w:rPr>
                <w:rFonts w:hint="eastAsia" w:ascii="宋体" w:hAnsi="宋体" w:eastAsia="宋体" w:cs="宋体"/>
              </w:rPr>
              <w:t>。（提供截图证明并加盖投标人公章）</w:t>
            </w:r>
          </w:p>
          <w:p>
            <w:pPr>
              <w:spacing w:line="360" w:lineRule="auto"/>
              <w:jc w:val="left"/>
              <w:rPr>
                <w:rFonts w:eastAsia="Times New Roman"/>
              </w:rPr>
            </w:pPr>
            <w:r>
              <w:rPr>
                <w:rFonts w:hint="eastAsia" w:eastAsia="Times New Roman"/>
              </w:rPr>
              <w:t>12</w:t>
            </w:r>
            <w:r>
              <w:rPr>
                <w:rFonts w:hint="eastAsia" w:ascii="宋体" w:hAnsi="宋体" w:eastAsia="宋体" w:cs="宋体"/>
              </w:rPr>
              <w:t>、内置恶意文件静态检测引擎，支持对可执行文件、文档、压缩包和网页脚本进行恶意代码检测和告警。</w:t>
            </w:r>
          </w:p>
          <w:p>
            <w:pPr>
              <w:spacing w:line="360" w:lineRule="auto"/>
              <w:jc w:val="left"/>
              <w:rPr>
                <w:rFonts w:eastAsia="Times New Roman"/>
              </w:rPr>
            </w:pPr>
            <w:r>
              <w:rPr>
                <w:rFonts w:hint="eastAsia" w:eastAsia="Times New Roman"/>
              </w:rPr>
              <w:t>13</w:t>
            </w:r>
            <w:r>
              <w:rPr>
                <w:rFonts w:hint="eastAsia" w:ascii="宋体" w:hAnsi="宋体" w:eastAsia="宋体" w:cs="宋体"/>
              </w:rPr>
              <w:t>、</w:t>
            </w:r>
            <w:r>
              <w:rPr>
                <w:rFonts w:ascii="Segoe UI Symbol" w:hAnsi="Segoe UI Symbol" w:eastAsia="Times New Roman" w:cs="Segoe UI Symbol"/>
              </w:rPr>
              <w:t>★</w:t>
            </w:r>
            <w:r>
              <w:rPr>
                <w:rFonts w:hint="eastAsia" w:ascii="宋体" w:hAnsi="宋体" w:eastAsia="宋体" w:cs="宋体"/>
              </w:rPr>
              <w:t>内置个人敏感信息模板，包括客户编号、客户名称、网站账户、联系人姓名、增值税注册地址、联系人地址、法人地址、用电地址、联系电话、电子邮箱、微信账号、</w:t>
            </w:r>
            <w:r>
              <w:rPr>
                <w:rFonts w:hint="eastAsia" w:eastAsia="Times New Roman"/>
              </w:rPr>
              <w:t xml:space="preserve">QQ </w:t>
            </w:r>
            <w:r>
              <w:rPr>
                <w:rFonts w:hint="eastAsia" w:ascii="宋体" w:hAnsi="宋体" w:eastAsia="宋体" w:cs="宋体"/>
              </w:rPr>
              <w:t>号、居民身份证号、军人证号、护照号、台胞证号、驾驶证号等。（提供截图证明并加盖投标人公章）</w:t>
            </w:r>
          </w:p>
          <w:p>
            <w:pPr>
              <w:spacing w:line="360" w:lineRule="auto"/>
              <w:jc w:val="left"/>
              <w:rPr>
                <w:rFonts w:eastAsia="Times New Roman"/>
              </w:rPr>
            </w:pPr>
            <w:r>
              <w:rPr>
                <w:rFonts w:hint="eastAsia" w:eastAsia="Times New Roman"/>
              </w:rPr>
              <w:t>14</w:t>
            </w:r>
            <w:r>
              <w:rPr>
                <w:rFonts w:hint="eastAsia" w:ascii="宋体" w:hAnsi="宋体" w:eastAsia="宋体" w:cs="宋体"/>
              </w:rPr>
              <w:t>、</w:t>
            </w:r>
            <w:r>
              <w:rPr>
                <w:rFonts w:ascii="Segoe UI Symbol" w:hAnsi="Segoe UI Symbol" w:eastAsia="Times New Roman" w:cs="Segoe UI Symbol"/>
              </w:rPr>
              <w:t>★</w:t>
            </w:r>
            <w:r>
              <w:rPr>
                <w:rFonts w:hint="eastAsia" w:ascii="宋体" w:hAnsi="宋体" w:eastAsia="宋体" w:cs="宋体"/>
              </w:rPr>
              <w:t>支持旁路阻断策略，可针对</w:t>
            </w:r>
            <w:r>
              <w:rPr>
                <w:rFonts w:hint="eastAsia" w:eastAsia="Times New Roman"/>
              </w:rPr>
              <w:t>IP</w:t>
            </w:r>
            <w:r>
              <w:rPr>
                <w:rFonts w:hint="eastAsia" w:ascii="宋体" w:hAnsi="宋体" w:eastAsia="宋体" w:cs="宋体"/>
              </w:rPr>
              <w:t>、域名、会话进行旁路封堵，并支持与安全运营平台进行一键封堵策略联动，通过平台下发一键封堵策略，对攻击者进行一键处置，快速封堵攻击行为。（提供三方测评报告并加盖投标人公章）</w:t>
            </w:r>
          </w:p>
          <w:p>
            <w:pPr>
              <w:spacing w:line="360" w:lineRule="auto"/>
              <w:jc w:val="left"/>
              <w:rPr>
                <w:rFonts w:eastAsia="Times New Roman"/>
              </w:rPr>
            </w:pPr>
            <w:r>
              <w:rPr>
                <w:rFonts w:hint="eastAsia" w:eastAsia="Times New Roman"/>
              </w:rPr>
              <w:t>15</w:t>
            </w:r>
            <w:r>
              <w:rPr>
                <w:rFonts w:hint="eastAsia" w:ascii="宋体" w:hAnsi="宋体" w:eastAsia="宋体" w:cs="宋体"/>
              </w:rPr>
              <w:t>、</w:t>
            </w:r>
            <w:r>
              <w:rPr>
                <w:rFonts w:ascii="Segoe UI Symbol" w:hAnsi="Segoe UI Symbol" w:eastAsia="Times New Roman" w:cs="Segoe UI Symbol"/>
              </w:rPr>
              <w:t>★</w:t>
            </w:r>
            <w:r>
              <w:rPr>
                <w:rFonts w:hint="eastAsia" w:ascii="宋体" w:hAnsi="宋体" w:eastAsia="宋体" w:cs="宋体"/>
              </w:rPr>
              <w:t>产品应具备公安部颁发的《计算机信息系统安全专用产品销售许可证》销售许可类型</w:t>
            </w:r>
            <w:r>
              <w:rPr>
                <w:rFonts w:hint="eastAsia" w:eastAsia="Times New Roman"/>
              </w:rPr>
              <w:t>-</w:t>
            </w:r>
            <w:r>
              <w:rPr>
                <w:rFonts w:hint="eastAsia" w:ascii="宋体" w:hAnsi="宋体" w:eastAsia="宋体" w:cs="宋体"/>
              </w:rPr>
              <w:t>综合型安全审计类。（提供相关证书并加盖投标人公章）</w:t>
            </w:r>
          </w:p>
          <w:p>
            <w:pPr>
              <w:spacing w:line="360" w:lineRule="auto"/>
              <w:jc w:val="left"/>
              <w:rPr>
                <w:rFonts w:eastAsia="Times New Roman"/>
              </w:rPr>
            </w:pPr>
            <w:r>
              <w:rPr>
                <w:rFonts w:hint="eastAsia" w:eastAsia="Times New Roman"/>
              </w:rPr>
              <w:t>16</w:t>
            </w:r>
            <w:r>
              <w:rPr>
                <w:rFonts w:hint="eastAsia" w:ascii="宋体" w:hAnsi="宋体" w:eastAsia="宋体" w:cs="宋体"/>
              </w:rPr>
              <w:t>、</w:t>
            </w:r>
            <w:r>
              <w:rPr>
                <w:rFonts w:ascii="Segoe UI Symbol" w:hAnsi="Segoe UI Symbol" w:eastAsia="Times New Roman" w:cs="Segoe UI Symbol"/>
              </w:rPr>
              <w:t>★</w:t>
            </w:r>
            <w:r>
              <w:rPr>
                <w:rFonts w:hint="eastAsia" w:ascii="宋体" w:hAnsi="宋体" w:eastAsia="宋体" w:cs="宋体"/>
              </w:rPr>
              <w:t>产品制造商应具备足够的信息安全服务技术实力及安全服务保障能力，获得</w:t>
            </w:r>
            <w:r>
              <w:rPr>
                <w:rFonts w:hint="eastAsia" w:eastAsia="Times New Roman"/>
              </w:rPr>
              <w:t>CNCERT</w:t>
            </w:r>
            <w:r>
              <w:rPr>
                <w:rFonts w:hint="eastAsia" w:ascii="宋体" w:hAnsi="宋体" w:eastAsia="宋体" w:cs="宋体"/>
              </w:rPr>
              <w:t>颁发的网络安全应急服务支撑单位证书</w:t>
            </w:r>
            <w:r>
              <w:rPr>
                <w:rFonts w:hint="eastAsia" w:eastAsia="Times New Roman"/>
              </w:rPr>
              <w:t>-APT</w:t>
            </w:r>
            <w:r>
              <w:rPr>
                <w:rFonts w:hint="eastAsia" w:ascii="宋体" w:hAnsi="宋体" w:eastAsia="宋体" w:cs="宋体"/>
              </w:rPr>
              <w:t>监测分析。（提供相关证书并加盖投标人公章）</w:t>
            </w:r>
          </w:p>
          <w:p>
            <w:pPr>
              <w:spacing w:line="360" w:lineRule="auto"/>
              <w:jc w:val="left"/>
              <w:rPr>
                <w:rFonts w:eastAsia="Times New Roman"/>
              </w:rPr>
            </w:pPr>
            <w:r>
              <w:rPr>
                <w:rFonts w:hint="eastAsia" w:eastAsia="Times New Roman"/>
              </w:rPr>
              <w:t>17</w:t>
            </w:r>
            <w:r>
              <w:rPr>
                <w:rFonts w:hint="eastAsia" w:ascii="宋体" w:hAnsi="宋体" w:eastAsia="宋体" w:cs="宋体"/>
              </w:rPr>
              <w:t>、包含</w:t>
            </w:r>
            <w:r>
              <w:rPr>
                <w:rFonts w:hint="eastAsia" w:eastAsia="Times New Roman"/>
              </w:rPr>
              <w:t>5</w:t>
            </w:r>
            <w:r>
              <w:rPr>
                <w:rFonts w:hint="eastAsia" w:ascii="宋体" w:hAnsi="宋体" w:eastAsia="宋体" w:cs="宋体"/>
              </w:rPr>
              <w:t>年产品升级维保，</w:t>
            </w:r>
            <w:r>
              <w:rPr>
                <w:rFonts w:hint="eastAsia" w:eastAsia="Times New Roman"/>
              </w:rPr>
              <w:t>6</w:t>
            </w:r>
            <w:r>
              <w:rPr>
                <w:rFonts w:hint="eastAsia" w:ascii="宋体" w:hAnsi="宋体" w:eastAsia="宋体" w:cs="宋体"/>
              </w:rPr>
              <w:t>年特征库升级服务。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eastAsia="Times New Roman"/>
              </w:rPr>
            </w:pPr>
            <w:r>
              <w:rPr>
                <w:rFonts w:hint="eastAsia" w:eastAsia="Times New Roman"/>
              </w:rPr>
              <w:t>3</w:t>
            </w:r>
          </w:p>
        </w:tc>
        <w:tc>
          <w:tcPr>
            <w:tcW w:w="1559" w:type="dxa"/>
            <w:vAlign w:val="center"/>
          </w:tcPr>
          <w:p>
            <w:pPr>
              <w:spacing w:line="360" w:lineRule="auto"/>
              <w:jc w:val="center"/>
              <w:rPr>
                <w:rFonts w:eastAsia="Times New Roman"/>
              </w:rPr>
            </w:pPr>
            <w:r>
              <w:rPr>
                <w:rFonts w:hint="eastAsia" w:ascii="宋体" w:hAnsi="宋体" w:eastAsia="宋体" w:cs="宋体"/>
              </w:rPr>
              <w:t>网络空间资产测绘与监测平台</w:t>
            </w:r>
          </w:p>
        </w:tc>
        <w:tc>
          <w:tcPr>
            <w:tcW w:w="7513" w:type="dxa"/>
            <w:vAlign w:val="center"/>
          </w:tcPr>
          <w:p>
            <w:pPr>
              <w:spacing w:line="360" w:lineRule="auto"/>
              <w:jc w:val="left"/>
              <w:rPr>
                <w:rFonts w:eastAsia="Times New Roman"/>
              </w:rPr>
            </w:pPr>
            <w:r>
              <w:rPr>
                <w:rFonts w:hint="eastAsia" w:eastAsia="Times New Roman"/>
              </w:rPr>
              <w:t>1</w:t>
            </w:r>
            <w:r>
              <w:rPr>
                <w:rFonts w:hint="eastAsia" w:ascii="宋体" w:hAnsi="宋体" w:eastAsia="宋体" w:cs="宋体"/>
              </w:rPr>
              <w:t>、产品采用</w:t>
            </w:r>
            <w:r>
              <w:rPr>
                <w:rFonts w:hint="eastAsia" w:eastAsia="Times New Roman"/>
              </w:rPr>
              <w:t>B/S</w:t>
            </w:r>
            <w:r>
              <w:rPr>
                <w:rFonts w:hint="eastAsia" w:ascii="宋体" w:hAnsi="宋体" w:eastAsia="宋体" w:cs="宋体"/>
              </w:rPr>
              <w:t>设计架构，无须安装客户端，可通过浏览器远程对产品进行管理；</w:t>
            </w:r>
          </w:p>
          <w:p>
            <w:pPr>
              <w:spacing w:line="360" w:lineRule="auto"/>
              <w:jc w:val="left"/>
              <w:rPr>
                <w:rFonts w:eastAsia="Times New Roman"/>
              </w:rPr>
            </w:pPr>
            <w:r>
              <w:rPr>
                <w:rFonts w:hint="eastAsia" w:eastAsia="Times New Roman"/>
              </w:rPr>
              <w:t>2</w:t>
            </w:r>
            <w:r>
              <w:rPr>
                <w:rFonts w:hint="eastAsia" w:ascii="宋体" w:hAnsi="宋体" w:eastAsia="宋体" w:cs="宋体"/>
              </w:rPr>
              <w:t>、</w:t>
            </w:r>
            <w:r>
              <w:rPr>
                <w:rFonts w:ascii="Segoe UI Symbol" w:hAnsi="Segoe UI Symbol" w:eastAsia="Times New Roman" w:cs="Segoe UI Symbol"/>
              </w:rPr>
              <w:t>★</w:t>
            </w:r>
            <w:r>
              <w:rPr>
                <w:rFonts w:hint="eastAsia" w:eastAsia="Times New Roman"/>
              </w:rPr>
              <w:t>2U</w:t>
            </w:r>
            <w:r>
              <w:rPr>
                <w:rFonts w:hint="eastAsia" w:ascii="宋体" w:hAnsi="宋体" w:eastAsia="宋体" w:cs="宋体"/>
              </w:rPr>
              <w:t>机架式设备，支持</w:t>
            </w:r>
            <w:r>
              <w:rPr>
                <w:rFonts w:hint="eastAsia" w:eastAsia="Times New Roman"/>
              </w:rPr>
              <w:t>4</w:t>
            </w:r>
            <w:r>
              <w:rPr>
                <w:rFonts w:hint="eastAsia" w:ascii="宋体" w:hAnsi="宋体" w:eastAsia="宋体" w:cs="宋体"/>
              </w:rPr>
              <w:t>个接口板卡扩展插槽，默认配置</w:t>
            </w:r>
            <w:r>
              <w:rPr>
                <w:rFonts w:hint="eastAsia" w:eastAsia="Times New Roman"/>
              </w:rPr>
              <w:t>6</w:t>
            </w:r>
            <w:r>
              <w:rPr>
                <w:rFonts w:hint="eastAsia" w:ascii="宋体" w:hAnsi="宋体" w:eastAsia="宋体" w:cs="宋体"/>
              </w:rPr>
              <w:t>个千兆电口，</w:t>
            </w:r>
            <w:r>
              <w:rPr>
                <w:rFonts w:hint="eastAsia" w:eastAsia="Times New Roman"/>
              </w:rPr>
              <w:t>2T</w:t>
            </w:r>
            <w:r>
              <w:rPr>
                <w:rFonts w:hint="eastAsia" w:ascii="宋体" w:hAnsi="宋体" w:eastAsia="宋体" w:cs="宋体"/>
              </w:rPr>
              <w:t>硬盘存储空间，</w:t>
            </w:r>
            <w:r>
              <w:rPr>
                <w:rFonts w:hint="eastAsia" w:eastAsia="Times New Roman"/>
              </w:rPr>
              <w:t>64G</w:t>
            </w:r>
            <w:r>
              <w:rPr>
                <w:rFonts w:hint="eastAsia" w:ascii="宋体" w:hAnsi="宋体" w:eastAsia="宋体" w:cs="宋体"/>
              </w:rPr>
              <w:t>内存，冗余电源</w:t>
            </w:r>
          </w:p>
          <w:p>
            <w:pPr>
              <w:spacing w:line="360" w:lineRule="auto"/>
              <w:jc w:val="left"/>
              <w:rPr>
                <w:rFonts w:eastAsia="Times New Roman"/>
              </w:rPr>
            </w:pPr>
            <w:r>
              <w:rPr>
                <w:rFonts w:hint="eastAsia" w:eastAsia="Times New Roman"/>
              </w:rPr>
              <w:t>3</w:t>
            </w:r>
            <w:r>
              <w:rPr>
                <w:rFonts w:hint="eastAsia" w:ascii="宋体" w:hAnsi="宋体" w:eastAsia="宋体" w:cs="宋体"/>
              </w:rPr>
              <w:t>、为简化运维，提高效率，本次采购一体化安全运维平台，不接受平台</w:t>
            </w:r>
            <w:r>
              <w:rPr>
                <w:rFonts w:hint="eastAsia" w:eastAsia="Times New Roman"/>
              </w:rPr>
              <w:t>+</w:t>
            </w:r>
            <w:r>
              <w:rPr>
                <w:rFonts w:hint="eastAsia" w:ascii="宋体" w:hAnsi="宋体" w:eastAsia="宋体" w:cs="宋体"/>
              </w:rPr>
              <w:t>安全产品组合方式提供。</w:t>
            </w:r>
          </w:p>
          <w:p>
            <w:pPr>
              <w:spacing w:line="360" w:lineRule="auto"/>
              <w:jc w:val="left"/>
              <w:rPr>
                <w:rFonts w:eastAsia="Times New Roman"/>
              </w:rPr>
            </w:pPr>
            <w:r>
              <w:rPr>
                <w:rFonts w:hint="eastAsia" w:eastAsia="Times New Roman"/>
              </w:rPr>
              <w:t>4</w:t>
            </w:r>
            <w:r>
              <w:rPr>
                <w:rFonts w:hint="eastAsia" w:ascii="宋体" w:hAnsi="宋体" w:eastAsia="宋体" w:cs="宋体"/>
              </w:rPr>
              <w:t>、</w:t>
            </w:r>
            <w:r>
              <w:rPr>
                <w:rFonts w:ascii="Segoe UI Symbol" w:hAnsi="Segoe UI Symbol" w:eastAsia="Times New Roman" w:cs="Segoe UI Symbol"/>
              </w:rPr>
              <w:t>★</w:t>
            </w:r>
            <w:r>
              <w:rPr>
                <w:rFonts w:hint="eastAsia" w:ascii="宋体" w:hAnsi="宋体" w:eastAsia="宋体" w:cs="宋体"/>
              </w:rPr>
              <w:t>授权许可：扫描次数授权：无限制；扫描</w:t>
            </w:r>
            <w:r>
              <w:rPr>
                <w:rFonts w:hint="eastAsia" w:eastAsia="Times New Roman"/>
              </w:rPr>
              <w:t>IP/</w:t>
            </w:r>
            <w:r>
              <w:rPr>
                <w:rFonts w:hint="eastAsia" w:ascii="宋体" w:hAnsi="宋体" w:eastAsia="宋体" w:cs="宋体"/>
              </w:rPr>
              <w:t>域名范围授权：</w:t>
            </w:r>
            <w:r>
              <w:rPr>
                <w:rFonts w:hint="eastAsia" w:eastAsia="Times New Roman"/>
              </w:rPr>
              <w:t>1000</w:t>
            </w:r>
            <w:r>
              <w:rPr>
                <w:rFonts w:hint="eastAsia" w:ascii="宋体" w:hAnsi="宋体" w:eastAsia="宋体" w:cs="宋体"/>
              </w:rPr>
              <w:t>；提供可管理主机资产授权数：</w:t>
            </w:r>
            <w:r>
              <w:rPr>
                <w:rFonts w:hint="eastAsia" w:eastAsia="Times New Roman"/>
              </w:rPr>
              <w:t>1000</w:t>
            </w:r>
            <w:r>
              <w:rPr>
                <w:rFonts w:hint="eastAsia" w:ascii="宋体" w:hAnsi="宋体" w:eastAsia="宋体" w:cs="宋体"/>
              </w:rPr>
              <w:t>，提供可管理网站资产授权数：</w:t>
            </w:r>
            <w:r>
              <w:rPr>
                <w:rFonts w:hint="eastAsia" w:eastAsia="Times New Roman"/>
              </w:rPr>
              <w:t>100</w:t>
            </w:r>
            <w:r>
              <w:rPr>
                <w:rFonts w:hint="eastAsia" w:ascii="宋体" w:hAnsi="宋体" w:eastAsia="宋体" w:cs="宋体"/>
              </w:rPr>
              <w:t>，提供二次开发接口授权；可通过授权扩展方式扩展内网、互联网威胁诱捕模块及主机主动监测模块。</w:t>
            </w:r>
          </w:p>
          <w:p>
            <w:pPr>
              <w:spacing w:line="360" w:lineRule="auto"/>
              <w:jc w:val="left"/>
              <w:rPr>
                <w:rFonts w:eastAsia="Times New Roman"/>
              </w:rPr>
            </w:pPr>
            <w:r>
              <w:rPr>
                <w:rFonts w:hint="eastAsia" w:eastAsia="Times New Roman"/>
              </w:rPr>
              <w:t>5</w:t>
            </w:r>
            <w:r>
              <w:rPr>
                <w:rFonts w:hint="eastAsia" w:ascii="宋体" w:hAnsi="宋体" w:eastAsia="宋体" w:cs="宋体"/>
              </w:rPr>
              <w:t>、主机资产识别：支持自动扫描</w:t>
            </w:r>
            <w:r>
              <w:rPr>
                <w:rFonts w:hint="eastAsia" w:eastAsia="Times New Roman"/>
              </w:rPr>
              <w:t>IP</w:t>
            </w:r>
            <w:r>
              <w:rPr>
                <w:rFonts w:hint="eastAsia" w:ascii="宋体" w:hAnsi="宋体" w:eastAsia="宋体" w:cs="宋体"/>
              </w:rPr>
              <w:t>资产信息，包括：</w:t>
            </w:r>
            <w:r>
              <w:rPr>
                <w:rFonts w:hint="eastAsia" w:eastAsia="Times New Roman"/>
              </w:rPr>
              <w:t>“</w:t>
            </w:r>
            <w:r>
              <w:rPr>
                <w:rFonts w:hint="eastAsia" w:ascii="宋体" w:hAnsi="宋体" w:eastAsia="宋体" w:cs="宋体"/>
              </w:rPr>
              <w:t>存活</w:t>
            </w:r>
            <w:r>
              <w:rPr>
                <w:rFonts w:hint="eastAsia" w:eastAsia="Times New Roman"/>
              </w:rPr>
              <w:t>IP</w:t>
            </w:r>
            <w:r>
              <w:rPr>
                <w:rFonts w:hint="eastAsia" w:ascii="宋体" w:hAnsi="宋体" w:eastAsia="宋体" w:cs="宋体"/>
              </w:rPr>
              <w:t>、设备厂商、操作系统、端口、应用、数据库、中间件、服务版本</w:t>
            </w:r>
            <w:r>
              <w:rPr>
                <w:rFonts w:hint="eastAsia" w:eastAsia="Times New Roman"/>
              </w:rPr>
              <w:t>”</w:t>
            </w:r>
            <w:r>
              <w:rPr>
                <w:rFonts w:hint="eastAsia" w:ascii="宋体" w:hAnsi="宋体" w:eastAsia="宋体" w:cs="宋体"/>
              </w:rPr>
              <w:t>等资产指纹特征；</w:t>
            </w:r>
          </w:p>
          <w:p>
            <w:pPr>
              <w:spacing w:line="360" w:lineRule="auto"/>
              <w:jc w:val="left"/>
              <w:rPr>
                <w:rFonts w:eastAsia="Times New Roman"/>
              </w:rPr>
            </w:pPr>
            <w:r>
              <w:rPr>
                <w:rFonts w:hint="eastAsia" w:eastAsia="Times New Roman"/>
              </w:rPr>
              <w:t>6</w:t>
            </w:r>
            <w:r>
              <w:rPr>
                <w:rFonts w:hint="eastAsia" w:ascii="宋体" w:hAnsi="宋体" w:eastAsia="宋体" w:cs="宋体"/>
              </w:rPr>
              <w:t>、网站资产识别：支持自动识别网站资产信息，包括：</w:t>
            </w:r>
            <w:r>
              <w:rPr>
                <w:rFonts w:hint="eastAsia" w:eastAsia="Times New Roman"/>
              </w:rPr>
              <w:t>“</w:t>
            </w:r>
            <w:r>
              <w:rPr>
                <w:rFonts w:hint="eastAsia" w:ascii="宋体" w:hAnsi="宋体" w:eastAsia="宋体" w:cs="宋体"/>
              </w:rPr>
              <w:t>中间件信息、</w:t>
            </w:r>
            <w:r>
              <w:rPr>
                <w:rFonts w:hint="eastAsia" w:eastAsia="Times New Roman"/>
              </w:rPr>
              <w:t>web</w:t>
            </w:r>
            <w:r>
              <w:rPr>
                <w:rFonts w:hint="eastAsia" w:ascii="宋体" w:hAnsi="宋体" w:eastAsia="宋体" w:cs="宋体"/>
              </w:rPr>
              <w:t>框架信息、</w:t>
            </w:r>
            <w:r>
              <w:rPr>
                <w:rFonts w:hint="eastAsia" w:eastAsia="Times New Roman"/>
              </w:rPr>
              <w:t>CMS&amp;OA</w:t>
            </w:r>
            <w:r>
              <w:rPr>
                <w:rFonts w:hint="eastAsia" w:ascii="宋体" w:hAnsi="宋体" w:eastAsia="宋体" w:cs="宋体"/>
              </w:rPr>
              <w:t>、程序语言</w:t>
            </w:r>
            <w:r>
              <w:rPr>
                <w:rFonts w:hint="eastAsia" w:eastAsia="Times New Roman"/>
              </w:rPr>
              <w:t>”</w:t>
            </w:r>
            <w:r>
              <w:rPr>
                <w:rFonts w:hint="eastAsia" w:ascii="宋体" w:hAnsi="宋体" w:eastAsia="宋体" w:cs="宋体"/>
              </w:rPr>
              <w:t>等指纹信息，支持爬取网站后台、</w:t>
            </w:r>
            <w:r>
              <w:rPr>
                <w:rFonts w:hint="eastAsia" w:eastAsia="Times New Roman"/>
              </w:rPr>
              <w:t>ICP</w:t>
            </w:r>
            <w:r>
              <w:rPr>
                <w:rFonts w:hint="eastAsia" w:ascii="宋体" w:hAnsi="宋体" w:eastAsia="宋体" w:cs="宋体"/>
              </w:rPr>
              <w:t>备案编号、网站标题、网站返回码等属性；</w:t>
            </w:r>
          </w:p>
          <w:p>
            <w:pPr>
              <w:spacing w:line="360" w:lineRule="auto"/>
              <w:jc w:val="left"/>
              <w:rPr>
                <w:rFonts w:eastAsia="Times New Roman"/>
              </w:rPr>
            </w:pPr>
            <w:r>
              <w:rPr>
                <w:rFonts w:hint="eastAsia" w:eastAsia="Times New Roman"/>
              </w:rPr>
              <w:t>7</w:t>
            </w:r>
            <w:r>
              <w:rPr>
                <w:rFonts w:hint="eastAsia" w:ascii="宋体" w:hAnsi="宋体" w:eastAsia="宋体" w:cs="宋体"/>
              </w:rPr>
              <w:t>、支持二级域名扫描功能，输入一级域名进行一键扫描，通过搜索互联网数据，自动获取到该域名的二级域名、网站标题、解析</w:t>
            </w:r>
            <w:r>
              <w:rPr>
                <w:rFonts w:hint="eastAsia" w:eastAsia="Times New Roman"/>
              </w:rPr>
              <w:t>IP</w:t>
            </w:r>
            <w:r>
              <w:rPr>
                <w:rFonts w:hint="eastAsia" w:ascii="宋体" w:hAnsi="宋体" w:eastAsia="宋体" w:cs="宋体"/>
              </w:rPr>
              <w:t>地址；提供产品功能截图，加盖投标人公章。</w:t>
            </w:r>
          </w:p>
          <w:p>
            <w:pPr>
              <w:spacing w:line="360" w:lineRule="auto"/>
              <w:jc w:val="left"/>
              <w:rPr>
                <w:rFonts w:eastAsia="Times New Roman"/>
              </w:rPr>
            </w:pPr>
            <w:r>
              <w:rPr>
                <w:rFonts w:hint="eastAsia" w:eastAsia="Times New Roman"/>
              </w:rPr>
              <w:t>8</w:t>
            </w:r>
            <w:r>
              <w:rPr>
                <w:rFonts w:hint="eastAsia" w:ascii="宋体" w:hAnsi="宋体" w:eastAsia="宋体" w:cs="宋体"/>
              </w:rPr>
              <w:t>、</w:t>
            </w:r>
            <w:r>
              <w:rPr>
                <w:rFonts w:ascii="Segoe UI Symbol" w:hAnsi="Segoe UI Symbol" w:eastAsia="Times New Roman" w:cs="Segoe UI Symbol"/>
              </w:rPr>
              <w:t>★</w:t>
            </w:r>
            <w:r>
              <w:rPr>
                <w:rFonts w:hint="eastAsia" w:eastAsia="Times New Roman"/>
              </w:rPr>
              <w:t>IP</w:t>
            </w:r>
            <w:r>
              <w:rPr>
                <w:rFonts w:hint="eastAsia" w:ascii="宋体" w:hAnsi="宋体" w:eastAsia="宋体" w:cs="宋体"/>
              </w:rPr>
              <w:t>反查域名监测，输入</w:t>
            </w:r>
            <w:r>
              <w:rPr>
                <w:rFonts w:hint="eastAsia" w:eastAsia="Times New Roman"/>
              </w:rPr>
              <w:t>IP</w:t>
            </w:r>
            <w:r>
              <w:rPr>
                <w:rFonts w:hint="eastAsia" w:ascii="宋体" w:hAnsi="宋体" w:eastAsia="宋体" w:cs="宋体"/>
              </w:rPr>
              <w:t>或者网段，通过搜索互联网数据，自动获取到</w:t>
            </w:r>
            <w:r>
              <w:rPr>
                <w:rFonts w:hint="eastAsia" w:eastAsia="Times New Roman"/>
              </w:rPr>
              <w:t>IP</w:t>
            </w:r>
            <w:r>
              <w:rPr>
                <w:rFonts w:hint="eastAsia" w:ascii="宋体" w:hAnsi="宋体" w:eastAsia="宋体" w:cs="宋体"/>
              </w:rPr>
              <w:t>对应的域名、</w:t>
            </w:r>
            <w:r>
              <w:rPr>
                <w:rFonts w:hint="eastAsia" w:eastAsia="Times New Roman"/>
              </w:rPr>
              <w:t>url</w:t>
            </w:r>
            <w:r>
              <w:rPr>
                <w:rFonts w:hint="eastAsia" w:ascii="宋体" w:hAnsi="宋体" w:eastAsia="宋体" w:cs="宋体"/>
              </w:rPr>
              <w:t>链接、网站标题、返回状态码；提供产品功能截图，加盖投标人公章。</w:t>
            </w:r>
          </w:p>
          <w:p>
            <w:pPr>
              <w:spacing w:line="360" w:lineRule="auto"/>
              <w:jc w:val="left"/>
              <w:rPr>
                <w:rFonts w:eastAsia="Times New Roman"/>
              </w:rPr>
            </w:pPr>
            <w:r>
              <w:rPr>
                <w:rFonts w:hint="eastAsia" w:eastAsia="Times New Roman"/>
              </w:rPr>
              <w:t>9</w:t>
            </w:r>
            <w:r>
              <w:rPr>
                <w:rFonts w:hint="eastAsia" w:ascii="宋体" w:hAnsi="宋体" w:eastAsia="宋体" w:cs="宋体"/>
              </w:rPr>
              <w:t>、网站风险监测：支持网站漏洞评估能力，提供多种</w:t>
            </w:r>
            <w:r>
              <w:rPr>
                <w:rFonts w:hint="eastAsia" w:eastAsia="Times New Roman"/>
              </w:rPr>
              <w:t>Web</w:t>
            </w:r>
            <w:r>
              <w:rPr>
                <w:rFonts w:hint="eastAsia" w:ascii="宋体" w:hAnsi="宋体" w:eastAsia="宋体" w:cs="宋体"/>
              </w:rPr>
              <w:t>应用漏洞的安全检测，如</w:t>
            </w:r>
            <w:r>
              <w:rPr>
                <w:rFonts w:hint="eastAsia" w:eastAsia="Times New Roman"/>
              </w:rPr>
              <w:t>“SQL</w:t>
            </w:r>
            <w:r>
              <w:rPr>
                <w:rFonts w:hint="eastAsia" w:ascii="宋体" w:hAnsi="宋体" w:eastAsia="宋体" w:cs="宋体"/>
              </w:rPr>
              <w:t>注入、跨站脚本、文件包含、</w:t>
            </w:r>
            <w:r>
              <w:rPr>
                <w:rFonts w:hint="eastAsia" w:eastAsia="Times New Roman"/>
              </w:rPr>
              <w:t>CSRF</w:t>
            </w:r>
            <w:r>
              <w:rPr>
                <w:rFonts w:hint="eastAsia" w:ascii="宋体" w:hAnsi="宋体" w:eastAsia="宋体" w:cs="宋体"/>
              </w:rPr>
              <w:t>、目录遍历</w:t>
            </w:r>
            <w:r>
              <w:rPr>
                <w:rFonts w:hint="eastAsia" w:eastAsia="Times New Roman"/>
              </w:rPr>
              <w:t>”</w:t>
            </w:r>
            <w:r>
              <w:rPr>
                <w:rFonts w:hint="eastAsia" w:ascii="宋体" w:hAnsi="宋体" w:eastAsia="宋体" w:cs="宋体"/>
              </w:rPr>
              <w:t>等网站脆弱性漏洞。支持监测网站的可用性、域名劫持等事件。</w:t>
            </w:r>
          </w:p>
          <w:p>
            <w:pPr>
              <w:spacing w:line="360" w:lineRule="auto"/>
              <w:jc w:val="left"/>
              <w:rPr>
                <w:rFonts w:eastAsia="Times New Roman"/>
              </w:rPr>
            </w:pPr>
            <w:r>
              <w:rPr>
                <w:rFonts w:hint="eastAsia" w:eastAsia="Times New Roman"/>
              </w:rPr>
              <w:t>10</w:t>
            </w:r>
            <w:r>
              <w:rPr>
                <w:rFonts w:hint="eastAsia" w:ascii="宋体" w:hAnsi="宋体" w:eastAsia="宋体" w:cs="宋体"/>
              </w:rPr>
              <w:t>、敏感文件事件泄露监测：可监测发布到网上的</w:t>
            </w:r>
            <w:r>
              <w:rPr>
                <w:rFonts w:hint="eastAsia" w:eastAsia="Times New Roman"/>
              </w:rPr>
              <w:t>pdf</w:t>
            </w:r>
            <w:r>
              <w:rPr>
                <w:rFonts w:hint="eastAsia" w:ascii="宋体" w:hAnsi="宋体" w:eastAsia="宋体" w:cs="宋体"/>
              </w:rPr>
              <w:t>、</w:t>
            </w:r>
            <w:r>
              <w:rPr>
                <w:rFonts w:hint="eastAsia" w:eastAsia="Times New Roman"/>
              </w:rPr>
              <w:t>word</w:t>
            </w:r>
            <w:r>
              <w:rPr>
                <w:rFonts w:hint="eastAsia" w:ascii="宋体" w:hAnsi="宋体" w:eastAsia="宋体" w:cs="宋体"/>
              </w:rPr>
              <w:t>、</w:t>
            </w:r>
            <w:r>
              <w:rPr>
                <w:rFonts w:hint="eastAsia" w:eastAsia="Times New Roman"/>
              </w:rPr>
              <w:t>excel</w:t>
            </w:r>
            <w:r>
              <w:rPr>
                <w:rFonts w:hint="eastAsia" w:ascii="宋体" w:hAnsi="宋体" w:eastAsia="宋体" w:cs="宋体"/>
              </w:rPr>
              <w:t>文件中是否包含</w:t>
            </w:r>
            <w:r>
              <w:rPr>
                <w:rFonts w:hint="eastAsia" w:eastAsia="Times New Roman"/>
              </w:rPr>
              <w:t>“</w:t>
            </w:r>
            <w:r>
              <w:rPr>
                <w:rFonts w:hint="eastAsia" w:ascii="宋体" w:hAnsi="宋体" w:eastAsia="宋体" w:cs="宋体"/>
              </w:rPr>
              <w:t>身份证号、邮箱、手机号码、用户名</w:t>
            </w:r>
            <w:r>
              <w:rPr>
                <w:rFonts w:hint="eastAsia" w:eastAsia="Times New Roman"/>
              </w:rPr>
              <w:t>/</w:t>
            </w:r>
            <w:r>
              <w:rPr>
                <w:rFonts w:hint="eastAsia" w:ascii="宋体" w:hAnsi="宋体" w:eastAsia="宋体" w:cs="宋体"/>
              </w:rPr>
              <w:t>密码</w:t>
            </w:r>
            <w:r>
              <w:rPr>
                <w:rFonts w:hint="eastAsia" w:eastAsia="Times New Roman"/>
              </w:rPr>
              <w:t>”</w:t>
            </w:r>
            <w:r>
              <w:rPr>
                <w:rFonts w:hint="eastAsia" w:ascii="宋体" w:hAnsi="宋体" w:eastAsia="宋体" w:cs="宋体"/>
              </w:rPr>
              <w:t>等敏感信息，可在系统上查看泄露的信息以及敏感文件下载链接。提供产品功能截图，加盖投标人公章。</w:t>
            </w:r>
          </w:p>
          <w:p>
            <w:pPr>
              <w:spacing w:line="360" w:lineRule="auto"/>
              <w:jc w:val="left"/>
              <w:rPr>
                <w:rFonts w:eastAsia="Times New Roman"/>
              </w:rPr>
            </w:pPr>
            <w:r>
              <w:rPr>
                <w:rFonts w:hint="eastAsia" w:eastAsia="Times New Roman"/>
              </w:rPr>
              <w:t>11</w:t>
            </w:r>
            <w:r>
              <w:rPr>
                <w:rFonts w:hint="eastAsia" w:ascii="宋体" w:hAnsi="宋体" w:eastAsia="宋体" w:cs="宋体"/>
              </w:rPr>
              <w:t>、</w:t>
            </w:r>
            <w:r>
              <w:rPr>
                <w:rFonts w:ascii="Segoe UI Symbol" w:hAnsi="Segoe UI Symbol" w:eastAsia="Times New Roman" w:cs="Segoe UI Symbol"/>
              </w:rPr>
              <w:t>★</w:t>
            </w:r>
            <w:r>
              <w:rPr>
                <w:rFonts w:hint="eastAsia" w:ascii="宋体" w:hAnsi="宋体" w:eastAsia="宋体" w:cs="宋体"/>
              </w:rPr>
              <w:t>敏感内容审查工具：可上传文件</w:t>
            </w:r>
            <w:r>
              <w:rPr>
                <w:rFonts w:hint="eastAsia" w:eastAsia="Times New Roman"/>
              </w:rPr>
              <w:t>(pdf</w:t>
            </w:r>
            <w:r>
              <w:rPr>
                <w:rFonts w:hint="eastAsia" w:ascii="宋体" w:hAnsi="宋体" w:eastAsia="宋体" w:cs="宋体"/>
              </w:rPr>
              <w:t>、</w:t>
            </w:r>
            <w:r>
              <w:rPr>
                <w:rFonts w:hint="eastAsia" w:eastAsia="Times New Roman"/>
              </w:rPr>
              <w:t>word</w:t>
            </w:r>
            <w:r>
              <w:rPr>
                <w:rFonts w:hint="eastAsia" w:ascii="宋体" w:hAnsi="宋体" w:eastAsia="宋体" w:cs="宋体"/>
              </w:rPr>
              <w:t>、</w:t>
            </w:r>
            <w:r>
              <w:rPr>
                <w:rFonts w:hint="eastAsia" w:eastAsia="Times New Roman"/>
              </w:rPr>
              <w:t>excel)</w:t>
            </w:r>
            <w:r>
              <w:rPr>
                <w:rFonts w:hint="eastAsia" w:ascii="宋体" w:hAnsi="宋体" w:eastAsia="宋体" w:cs="宋体"/>
              </w:rPr>
              <w:t>、或者粘贴内容进行敏感词审查，内置敏感词库</w:t>
            </w:r>
            <w:r>
              <w:rPr>
                <w:rFonts w:hint="eastAsia" w:eastAsia="Times New Roman"/>
              </w:rPr>
              <w:t>10</w:t>
            </w:r>
            <w:r>
              <w:rPr>
                <w:rFonts w:hint="eastAsia" w:ascii="宋体" w:hAnsi="宋体" w:eastAsia="宋体" w:cs="宋体"/>
              </w:rPr>
              <w:t>万</w:t>
            </w:r>
            <w:r>
              <w:rPr>
                <w:rFonts w:hint="eastAsia" w:eastAsia="Times New Roman"/>
              </w:rPr>
              <w:t>+</w:t>
            </w:r>
            <w:r>
              <w:rPr>
                <w:rFonts w:hint="eastAsia" w:ascii="宋体" w:hAnsi="宋体" w:eastAsia="宋体" w:cs="宋体"/>
              </w:rPr>
              <w:t>，支持人工再确认审查结果，提供产品功能截图，加盖投标人公章。</w:t>
            </w:r>
          </w:p>
          <w:p>
            <w:pPr>
              <w:spacing w:line="360" w:lineRule="auto"/>
              <w:jc w:val="left"/>
              <w:rPr>
                <w:rFonts w:eastAsia="Times New Roman"/>
              </w:rPr>
            </w:pPr>
            <w:r>
              <w:rPr>
                <w:rFonts w:hint="eastAsia" w:eastAsia="Times New Roman"/>
              </w:rPr>
              <w:t>12</w:t>
            </w:r>
            <w:r>
              <w:rPr>
                <w:rFonts w:hint="eastAsia" w:ascii="宋体" w:hAnsi="宋体" w:eastAsia="宋体" w:cs="宋体"/>
              </w:rPr>
              <w:t>、</w:t>
            </w:r>
            <w:r>
              <w:rPr>
                <w:rFonts w:ascii="Segoe UI Symbol" w:hAnsi="Segoe UI Symbol" w:eastAsia="Times New Roman" w:cs="Segoe UI Symbol"/>
              </w:rPr>
              <w:t>★</w:t>
            </w:r>
            <w:r>
              <w:rPr>
                <w:rFonts w:hint="eastAsia" w:ascii="宋体" w:hAnsi="宋体" w:eastAsia="宋体" w:cs="宋体"/>
              </w:rPr>
              <w:t>漏洞扫描：漏洞库漏洞信息大于</w:t>
            </w:r>
            <w:r>
              <w:rPr>
                <w:rFonts w:hint="eastAsia" w:eastAsia="Times New Roman"/>
              </w:rPr>
              <w:t>210000+</w:t>
            </w:r>
            <w:r>
              <w:rPr>
                <w:rFonts w:hint="eastAsia" w:ascii="宋体" w:hAnsi="宋体" w:eastAsia="宋体" w:cs="宋体"/>
              </w:rPr>
              <w:t>条，与</w:t>
            </w:r>
            <w:r>
              <w:rPr>
                <w:rFonts w:hint="eastAsia" w:eastAsia="Times New Roman"/>
              </w:rPr>
              <w:t>CVE</w:t>
            </w:r>
            <w:r>
              <w:rPr>
                <w:rFonts w:hint="eastAsia" w:ascii="宋体" w:hAnsi="宋体" w:eastAsia="宋体" w:cs="宋体"/>
              </w:rPr>
              <w:t>、</w:t>
            </w:r>
            <w:r>
              <w:rPr>
                <w:rFonts w:hint="eastAsia" w:eastAsia="Times New Roman"/>
              </w:rPr>
              <w:t>CNNVD</w:t>
            </w:r>
            <w:r>
              <w:rPr>
                <w:rFonts w:hint="eastAsia" w:ascii="宋体" w:hAnsi="宋体" w:eastAsia="宋体" w:cs="宋体"/>
              </w:rPr>
              <w:t>等主流标准兼容，提供详细的漏洞描述和对应的解决方案描述。支持通过多种维度对漏洞进行检索，包括：</w:t>
            </w:r>
            <w:r>
              <w:rPr>
                <w:rFonts w:hint="eastAsia" w:eastAsia="Times New Roman"/>
              </w:rPr>
              <w:t>CVE ID</w:t>
            </w:r>
            <w:r>
              <w:rPr>
                <w:rFonts w:hint="eastAsia" w:ascii="宋体" w:hAnsi="宋体" w:eastAsia="宋体" w:cs="宋体"/>
              </w:rPr>
              <w:t>、</w:t>
            </w:r>
            <w:r>
              <w:rPr>
                <w:rFonts w:hint="eastAsia" w:eastAsia="Times New Roman"/>
              </w:rPr>
              <w:t>CNNVD ID</w:t>
            </w:r>
            <w:r>
              <w:rPr>
                <w:rFonts w:hint="eastAsia" w:ascii="宋体" w:hAnsi="宋体" w:eastAsia="宋体" w:cs="宋体"/>
              </w:rPr>
              <w:t>、漏洞名称、漏洞风险等级等维度。可基于资产的版本信息，全面、快速进行漏洞版本比对，兼容</w:t>
            </w:r>
            <w:r>
              <w:rPr>
                <w:rFonts w:hint="eastAsia" w:eastAsia="Times New Roman"/>
              </w:rPr>
              <w:t xml:space="preserve">CVE </w:t>
            </w:r>
            <w:r>
              <w:rPr>
                <w:rFonts w:hint="eastAsia" w:ascii="宋体" w:hAnsi="宋体" w:eastAsia="宋体" w:cs="宋体"/>
              </w:rPr>
              <w:t>、</w:t>
            </w:r>
            <w:r>
              <w:rPr>
                <w:rFonts w:hint="eastAsia" w:eastAsia="Times New Roman"/>
              </w:rPr>
              <w:t>CNNVD</w:t>
            </w:r>
            <w:r>
              <w:rPr>
                <w:rFonts w:hint="eastAsia" w:ascii="宋体" w:hAnsi="宋体" w:eastAsia="宋体" w:cs="宋体"/>
              </w:rPr>
              <w:t>等漏洞库。提供产品功能截图，加盖投标人公章。</w:t>
            </w:r>
          </w:p>
          <w:p>
            <w:pPr>
              <w:spacing w:line="360" w:lineRule="auto"/>
              <w:jc w:val="left"/>
              <w:rPr>
                <w:rFonts w:eastAsia="Times New Roman"/>
              </w:rPr>
            </w:pPr>
            <w:r>
              <w:rPr>
                <w:rFonts w:hint="eastAsia" w:eastAsia="Times New Roman"/>
              </w:rPr>
              <w:t>13</w:t>
            </w:r>
            <w:r>
              <w:rPr>
                <w:rFonts w:hint="eastAsia" w:ascii="宋体" w:hAnsi="宋体" w:eastAsia="宋体" w:cs="宋体"/>
              </w:rPr>
              <w:t>、漏洞生命周期管理：支持漏洞跟踪管理，能够自动对漏洞状态进行处置，自动识别</w:t>
            </w:r>
            <w:r>
              <w:rPr>
                <w:rFonts w:hint="eastAsia" w:eastAsia="Times New Roman"/>
              </w:rPr>
              <w:t>“</w:t>
            </w:r>
            <w:r>
              <w:rPr>
                <w:rFonts w:hint="eastAsia" w:ascii="宋体" w:hAnsi="宋体" w:eastAsia="宋体" w:cs="宋体"/>
              </w:rPr>
              <w:t>新增、已修复、未修复</w:t>
            </w:r>
            <w:r>
              <w:rPr>
                <w:rFonts w:hint="eastAsia" w:eastAsia="Times New Roman"/>
              </w:rPr>
              <w:t>”</w:t>
            </w:r>
            <w:r>
              <w:rPr>
                <w:rFonts w:hint="eastAsia" w:ascii="宋体" w:hAnsi="宋体" w:eastAsia="宋体" w:cs="宋体"/>
              </w:rPr>
              <w:t>的漏洞，同时支持人工方式进行漏洞状态处置，以及编写漏洞备注，提供产品功能截图，加盖投标人公章。</w:t>
            </w:r>
          </w:p>
          <w:p>
            <w:pPr>
              <w:spacing w:line="360" w:lineRule="auto"/>
              <w:jc w:val="left"/>
              <w:rPr>
                <w:rFonts w:eastAsia="Times New Roman"/>
              </w:rPr>
            </w:pPr>
            <w:r>
              <w:rPr>
                <w:rFonts w:hint="eastAsia" w:eastAsia="Times New Roman"/>
              </w:rPr>
              <w:t>14</w:t>
            </w:r>
            <w:r>
              <w:rPr>
                <w:rFonts w:hint="eastAsia" w:ascii="宋体" w:hAnsi="宋体" w:eastAsia="宋体" w:cs="宋体"/>
              </w:rPr>
              <w:t>、主机配置核查：配置核查能力支持</w:t>
            </w:r>
            <w:r>
              <w:rPr>
                <w:rFonts w:hint="eastAsia" w:eastAsia="Times New Roman"/>
              </w:rPr>
              <w:t>20</w:t>
            </w:r>
            <w:r>
              <w:rPr>
                <w:rFonts w:hint="eastAsia" w:ascii="宋体" w:hAnsi="宋体" w:eastAsia="宋体" w:cs="宋体"/>
              </w:rPr>
              <w:t>种以上常见设备和应用的配置检查，包括操作系统、应用中间件、数据库。</w:t>
            </w:r>
          </w:p>
          <w:p>
            <w:pPr>
              <w:spacing w:line="360" w:lineRule="auto"/>
              <w:jc w:val="left"/>
              <w:rPr>
                <w:rFonts w:eastAsia="Times New Roman"/>
              </w:rPr>
            </w:pPr>
            <w:r>
              <w:rPr>
                <w:rFonts w:hint="eastAsia" w:eastAsia="Times New Roman"/>
              </w:rPr>
              <w:t>15</w:t>
            </w:r>
            <w:r>
              <w:rPr>
                <w:rFonts w:hint="eastAsia" w:ascii="宋体" w:hAnsi="宋体" w:eastAsia="宋体" w:cs="宋体"/>
              </w:rPr>
              <w:t>、全网病毒监测：支持高交互病毒监测诱饵，并可同时启用：</w:t>
            </w:r>
            <w:r>
              <w:rPr>
                <w:rFonts w:hint="eastAsia" w:eastAsia="Times New Roman"/>
              </w:rPr>
              <w:t>“samba</w:t>
            </w:r>
            <w:r>
              <w:rPr>
                <w:rFonts w:hint="eastAsia" w:ascii="宋体" w:hAnsi="宋体" w:eastAsia="宋体" w:cs="宋体"/>
              </w:rPr>
              <w:t>、</w:t>
            </w:r>
            <w:r>
              <w:rPr>
                <w:rFonts w:hint="eastAsia" w:eastAsia="Times New Roman"/>
              </w:rPr>
              <w:t>ftp</w:t>
            </w:r>
            <w:r>
              <w:rPr>
                <w:rFonts w:hint="eastAsia" w:ascii="宋体" w:hAnsi="宋体" w:eastAsia="宋体" w:cs="宋体"/>
              </w:rPr>
              <w:t>、</w:t>
            </w:r>
            <w:r>
              <w:rPr>
                <w:rFonts w:hint="eastAsia" w:eastAsia="Times New Roman"/>
              </w:rPr>
              <w:t>ssh</w:t>
            </w:r>
            <w:r>
              <w:rPr>
                <w:rFonts w:hint="eastAsia" w:ascii="宋体" w:hAnsi="宋体" w:eastAsia="宋体" w:cs="宋体"/>
              </w:rPr>
              <w:t>、</w:t>
            </w:r>
            <w:r>
              <w:rPr>
                <w:rFonts w:hint="eastAsia" w:eastAsia="Times New Roman"/>
              </w:rPr>
              <w:t>rdp</w:t>
            </w:r>
            <w:r>
              <w:rPr>
                <w:rFonts w:hint="eastAsia" w:ascii="宋体" w:hAnsi="宋体" w:eastAsia="宋体" w:cs="宋体"/>
              </w:rPr>
              <w:t>、</w:t>
            </w:r>
            <w:r>
              <w:rPr>
                <w:rFonts w:hint="eastAsia" w:eastAsia="Times New Roman"/>
              </w:rPr>
              <w:t>telnet</w:t>
            </w:r>
            <w:r>
              <w:rPr>
                <w:rFonts w:hint="eastAsia" w:ascii="宋体" w:hAnsi="宋体" w:eastAsia="宋体" w:cs="宋体"/>
              </w:rPr>
              <w:t>、</w:t>
            </w:r>
            <w:r>
              <w:rPr>
                <w:rFonts w:hint="eastAsia" w:eastAsia="Times New Roman"/>
              </w:rPr>
              <w:t>mssql</w:t>
            </w:r>
            <w:r>
              <w:rPr>
                <w:rFonts w:hint="eastAsia" w:ascii="宋体" w:hAnsi="宋体" w:eastAsia="宋体" w:cs="宋体"/>
              </w:rPr>
              <w:t>、</w:t>
            </w:r>
            <w:r>
              <w:rPr>
                <w:rFonts w:hint="eastAsia" w:eastAsia="Times New Roman"/>
              </w:rPr>
              <w:t>mysql</w:t>
            </w:r>
            <w:r>
              <w:rPr>
                <w:rFonts w:hint="eastAsia" w:ascii="宋体" w:hAnsi="宋体" w:eastAsia="宋体" w:cs="宋体"/>
              </w:rPr>
              <w:t>、</w:t>
            </w:r>
            <w:r>
              <w:rPr>
                <w:rFonts w:hint="eastAsia" w:eastAsia="Times New Roman"/>
              </w:rPr>
              <w:t>mongoDB</w:t>
            </w:r>
            <w:r>
              <w:rPr>
                <w:rFonts w:hint="eastAsia" w:ascii="宋体" w:hAnsi="宋体" w:eastAsia="宋体" w:cs="宋体"/>
              </w:rPr>
              <w:t>、</w:t>
            </w:r>
            <w:r>
              <w:rPr>
                <w:rFonts w:hint="eastAsia" w:eastAsia="Times New Roman"/>
              </w:rPr>
              <w:t>postgresql</w:t>
            </w:r>
            <w:r>
              <w:rPr>
                <w:rFonts w:hint="eastAsia" w:ascii="宋体" w:hAnsi="宋体" w:eastAsia="宋体" w:cs="宋体"/>
              </w:rPr>
              <w:t>、</w:t>
            </w:r>
            <w:r>
              <w:rPr>
                <w:rFonts w:hint="eastAsia" w:eastAsia="Times New Roman"/>
              </w:rPr>
              <w:t>tomcat</w:t>
            </w:r>
            <w:r>
              <w:rPr>
                <w:rFonts w:hint="eastAsia" w:ascii="宋体" w:hAnsi="宋体" w:eastAsia="宋体" w:cs="宋体"/>
              </w:rPr>
              <w:t>、</w:t>
            </w:r>
            <w:r>
              <w:rPr>
                <w:rFonts w:hint="eastAsia" w:eastAsia="Times New Roman"/>
              </w:rPr>
              <w:t>weblogic</w:t>
            </w:r>
            <w:r>
              <w:rPr>
                <w:rFonts w:hint="eastAsia" w:ascii="宋体" w:hAnsi="宋体" w:eastAsia="宋体" w:cs="宋体"/>
              </w:rPr>
              <w:t>、</w:t>
            </w:r>
            <w:r>
              <w:rPr>
                <w:rFonts w:hint="eastAsia" w:eastAsia="Times New Roman"/>
              </w:rPr>
              <w:t>jenkins</w:t>
            </w:r>
            <w:r>
              <w:rPr>
                <w:rFonts w:hint="eastAsia" w:ascii="宋体" w:hAnsi="宋体" w:eastAsia="宋体" w:cs="宋体"/>
              </w:rPr>
              <w:t>、</w:t>
            </w:r>
            <w:r>
              <w:rPr>
                <w:rFonts w:hint="eastAsia" w:eastAsia="Times New Roman"/>
              </w:rPr>
              <w:t>redis</w:t>
            </w:r>
            <w:r>
              <w:rPr>
                <w:rFonts w:hint="eastAsia" w:ascii="宋体" w:hAnsi="宋体" w:eastAsia="宋体" w:cs="宋体"/>
              </w:rPr>
              <w:t>、</w:t>
            </w:r>
            <w:r>
              <w:rPr>
                <w:rFonts w:hint="eastAsia" w:eastAsia="Times New Roman"/>
              </w:rPr>
              <w:t>hadoop</w:t>
            </w:r>
            <w:r>
              <w:rPr>
                <w:rFonts w:hint="eastAsia" w:ascii="宋体" w:hAnsi="宋体" w:eastAsia="宋体" w:cs="宋体"/>
              </w:rPr>
              <w:t>、</w:t>
            </w:r>
            <w:r>
              <w:rPr>
                <w:rFonts w:hint="eastAsia" w:eastAsia="Times New Roman"/>
              </w:rPr>
              <w:t>memcache</w:t>
            </w:r>
            <w:r>
              <w:rPr>
                <w:rFonts w:hint="eastAsia" w:ascii="宋体" w:hAnsi="宋体" w:eastAsia="宋体" w:cs="宋体"/>
              </w:rPr>
              <w:t>、</w:t>
            </w:r>
            <w:r>
              <w:rPr>
                <w:rFonts w:hint="eastAsia" w:eastAsia="Times New Roman"/>
              </w:rPr>
              <w:t>solr</w:t>
            </w:r>
            <w:r>
              <w:rPr>
                <w:rFonts w:hint="eastAsia" w:ascii="宋体" w:hAnsi="宋体" w:eastAsia="宋体" w:cs="宋体"/>
              </w:rPr>
              <w:t>、</w:t>
            </w:r>
            <w:r>
              <w:rPr>
                <w:rFonts w:hint="eastAsia" w:eastAsia="Times New Roman"/>
              </w:rPr>
              <w:t>activeMQ</w:t>
            </w:r>
            <w:r>
              <w:rPr>
                <w:rFonts w:hint="eastAsia" w:ascii="宋体" w:hAnsi="宋体" w:eastAsia="宋体" w:cs="宋体"/>
              </w:rPr>
              <w:t>、</w:t>
            </w:r>
            <w:r>
              <w:rPr>
                <w:rFonts w:hint="eastAsia" w:eastAsia="Times New Roman"/>
              </w:rPr>
              <w:t>struts2</w:t>
            </w:r>
            <w:r>
              <w:rPr>
                <w:rFonts w:hint="eastAsia" w:ascii="宋体" w:hAnsi="宋体" w:eastAsia="宋体" w:cs="宋体"/>
              </w:rPr>
              <w:t>、</w:t>
            </w:r>
            <w:r>
              <w:rPr>
                <w:rFonts w:hint="eastAsia" w:eastAsia="Times New Roman"/>
              </w:rPr>
              <w:t>wordpress</w:t>
            </w:r>
            <w:r>
              <w:rPr>
                <w:rFonts w:hint="eastAsia" w:ascii="宋体" w:hAnsi="宋体" w:eastAsia="宋体" w:cs="宋体"/>
              </w:rPr>
              <w:t>、</w:t>
            </w:r>
            <w:r>
              <w:rPr>
                <w:rFonts w:hint="eastAsia" w:eastAsia="Times New Roman"/>
              </w:rPr>
              <w:t>nginx</w:t>
            </w:r>
            <w:r>
              <w:rPr>
                <w:rFonts w:hint="eastAsia" w:ascii="宋体" w:hAnsi="宋体" w:eastAsia="宋体" w:cs="宋体"/>
              </w:rPr>
              <w:t>、</w:t>
            </w:r>
            <w:r>
              <w:rPr>
                <w:rFonts w:hint="eastAsia" w:eastAsia="Times New Roman"/>
              </w:rPr>
              <w:t>jboss</w:t>
            </w:r>
            <w:r>
              <w:rPr>
                <w:rFonts w:hint="eastAsia" w:ascii="宋体" w:hAnsi="宋体" w:eastAsia="宋体" w:cs="宋体"/>
              </w:rPr>
              <w:t>、</w:t>
            </w:r>
            <w:r>
              <w:rPr>
                <w:rFonts w:hint="eastAsia" w:eastAsia="Times New Roman"/>
              </w:rPr>
              <w:t>joomla</w:t>
            </w:r>
            <w:r>
              <w:rPr>
                <w:rFonts w:hint="eastAsia" w:ascii="宋体" w:hAnsi="宋体" w:eastAsia="宋体" w:cs="宋体"/>
              </w:rPr>
              <w:t>、</w:t>
            </w:r>
            <w:r>
              <w:rPr>
                <w:rFonts w:hint="eastAsia" w:eastAsia="Times New Roman"/>
              </w:rPr>
              <w:t>smtp”</w:t>
            </w:r>
            <w:r>
              <w:rPr>
                <w:rFonts w:hint="eastAsia" w:ascii="宋体" w:hAnsi="宋体" w:eastAsia="宋体" w:cs="宋体"/>
              </w:rPr>
              <w:t>等，以上服务须为真实应用服务，能够正常交互，欺骗攻击者，提供产品功能截图，加盖投标人公章。</w:t>
            </w:r>
          </w:p>
          <w:p>
            <w:pPr>
              <w:spacing w:line="360" w:lineRule="auto"/>
              <w:jc w:val="left"/>
              <w:rPr>
                <w:rFonts w:eastAsia="Times New Roman"/>
              </w:rPr>
            </w:pPr>
            <w:r>
              <w:rPr>
                <w:rFonts w:hint="eastAsia" w:eastAsia="Times New Roman"/>
              </w:rPr>
              <w:t>16</w:t>
            </w:r>
            <w:r>
              <w:rPr>
                <w:rFonts w:hint="eastAsia" w:ascii="宋体" w:hAnsi="宋体" w:eastAsia="宋体" w:cs="宋体"/>
              </w:rPr>
              <w:t>、</w:t>
            </w:r>
            <w:r>
              <w:rPr>
                <w:rFonts w:ascii="Segoe UI Symbol" w:hAnsi="Segoe UI Symbol" w:eastAsia="Times New Roman" w:cs="Segoe UI Symbol"/>
              </w:rPr>
              <w:t>★</w:t>
            </w:r>
            <w:r>
              <w:rPr>
                <w:rFonts w:hint="eastAsia" w:ascii="宋体" w:hAnsi="宋体" w:eastAsia="宋体" w:cs="宋体"/>
              </w:rPr>
              <w:t>病毒处置功能：不需要联动第三方设备、不需要在主机上安装</w:t>
            </w:r>
            <w:r>
              <w:rPr>
                <w:rFonts w:hint="eastAsia" w:eastAsia="Times New Roman"/>
              </w:rPr>
              <w:t>agent</w:t>
            </w:r>
            <w:r>
              <w:rPr>
                <w:rFonts w:hint="eastAsia" w:ascii="宋体" w:hAnsi="宋体" w:eastAsia="宋体" w:cs="宋体"/>
              </w:rPr>
              <w:t>脚本，就能对失陷主机进行网络隔离，隔离后失陷主机无法访问同网段以及其它网段</w:t>
            </w:r>
            <w:r>
              <w:rPr>
                <w:rFonts w:hint="eastAsia" w:eastAsia="Times New Roman"/>
              </w:rPr>
              <w:t>IP</w:t>
            </w:r>
            <w:r>
              <w:rPr>
                <w:rFonts w:hint="eastAsia" w:ascii="宋体" w:hAnsi="宋体" w:eastAsia="宋体" w:cs="宋体"/>
              </w:rPr>
              <w:t>，防止失陷主机继续对东西向主机进行病毒传播、横向攻击等行为，提供由厂商盖章确认的产品界面截图证明及技术专利证书。</w:t>
            </w:r>
          </w:p>
          <w:p>
            <w:pPr>
              <w:spacing w:line="360" w:lineRule="auto"/>
              <w:jc w:val="left"/>
              <w:rPr>
                <w:rFonts w:eastAsia="Times New Roman"/>
              </w:rPr>
            </w:pPr>
            <w:r>
              <w:rPr>
                <w:rFonts w:hint="eastAsia" w:eastAsia="Times New Roman"/>
              </w:rPr>
              <w:t>17</w:t>
            </w:r>
            <w:r>
              <w:rPr>
                <w:rFonts w:hint="eastAsia" w:ascii="宋体" w:hAnsi="宋体" w:eastAsia="宋体" w:cs="宋体"/>
              </w:rPr>
              <w:t>、主动威胁监测：在用户的服务器、业务系统上安装安全监控软件，主动监测恶意文件（</w:t>
            </w:r>
            <w:r>
              <w:rPr>
                <w:rFonts w:hint="eastAsia" w:eastAsia="Times New Roman"/>
              </w:rPr>
              <w:t>webshell</w:t>
            </w:r>
            <w:r>
              <w:rPr>
                <w:rFonts w:hint="eastAsia" w:ascii="宋体" w:hAnsi="宋体" w:eastAsia="宋体" w:cs="宋体"/>
              </w:rPr>
              <w:t>、病毒木马）、挖矿病毒、可疑进程、异常行为等，发现可疑的入侵事件，并实时将告警同步到服务平台，提供产品功能截图，加盖投标人公章。</w:t>
            </w:r>
          </w:p>
          <w:p>
            <w:pPr>
              <w:spacing w:line="360" w:lineRule="auto"/>
              <w:jc w:val="left"/>
              <w:rPr>
                <w:rFonts w:eastAsia="Times New Roman"/>
              </w:rPr>
            </w:pPr>
            <w:r>
              <w:rPr>
                <w:rFonts w:hint="eastAsia" w:eastAsia="Times New Roman"/>
              </w:rPr>
              <w:t>18</w:t>
            </w:r>
            <w:r>
              <w:rPr>
                <w:rFonts w:hint="eastAsia" w:ascii="宋体" w:hAnsi="宋体" w:eastAsia="宋体" w:cs="宋体"/>
              </w:rPr>
              <w:t>、多级用户管理：一级用户可创建与管理二级用户，并可给二级用户关联资产。多级用户管理，一级用户可查看与管理二级用户所有资产风险信息，二级用户只能查看与管理自身的资产风险信息。提供产品功能截图，加盖投标人公章。</w:t>
            </w:r>
          </w:p>
          <w:p>
            <w:pPr>
              <w:spacing w:line="360" w:lineRule="auto"/>
              <w:jc w:val="left"/>
              <w:rPr>
                <w:rFonts w:eastAsia="Times New Roman"/>
              </w:rPr>
            </w:pPr>
            <w:r>
              <w:rPr>
                <w:rFonts w:hint="eastAsia" w:eastAsia="Times New Roman"/>
              </w:rPr>
              <w:t>1</w:t>
            </w:r>
            <w:r>
              <w:rPr>
                <w:rFonts w:eastAsia="Times New Roman"/>
              </w:rPr>
              <w:t>9</w:t>
            </w:r>
            <w:r>
              <w:rPr>
                <w:rFonts w:hint="eastAsia" w:ascii="宋体" w:hAnsi="宋体" w:eastAsia="宋体" w:cs="宋体"/>
              </w:rPr>
              <w:t>、制造商具备</w:t>
            </w:r>
            <w:r>
              <w:rPr>
                <w:rFonts w:hint="eastAsia" w:eastAsia="Times New Roman"/>
              </w:rPr>
              <w:t>“</w:t>
            </w:r>
            <w:r>
              <w:rPr>
                <w:rFonts w:hint="eastAsia" w:ascii="宋体" w:hAnsi="宋体" w:eastAsia="宋体" w:cs="宋体"/>
              </w:rPr>
              <w:t>中国网络安全审查技术与认证中心</w:t>
            </w:r>
            <w:r>
              <w:rPr>
                <w:rFonts w:hint="eastAsia" w:eastAsia="Times New Roman"/>
              </w:rPr>
              <w:t>”</w:t>
            </w:r>
            <w:r>
              <w:rPr>
                <w:rFonts w:hint="eastAsia" w:ascii="宋体" w:hAnsi="宋体" w:eastAsia="宋体" w:cs="宋体"/>
              </w:rPr>
              <w:t>颁发的《信息系统安全运维》和《信息安全风险评估》资质，提供相关资质证明并加盖投标人公章。</w:t>
            </w:r>
          </w:p>
        </w:tc>
      </w:tr>
    </w:tbl>
    <w:p>
      <w:pPr>
        <w:ind w:left="-5" w:leftChars="-609" w:hanging="1274" w:hangingChars="607"/>
        <w:rPr>
          <w:rFonts w:hint="eastAsia"/>
        </w:rPr>
      </w:pPr>
    </w:p>
    <w:p/>
    <w:p>
      <w:pPr>
        <w:pStyle w:val="2"/>
      </w:pPr>
    </w:p>
    <w:p>
      <w:pPr>
        <w:pStyle w:val="3"/>
        <w:numPr>
          <w:ilvl w:val="0"/>
          <w:numId w:val="2"/>
        </w:numPr>
        <w:spacing w:before="0" w:after="0" w:line="360" w:lineRule="auto"/>
        <w:jc w:val="center"/>
        <w:sectPr>
          <w:footerReference r:id="rId8" w:type="default"/>
          <w:pgSz w:w="11906" w:h="16838"/>
          <w:pgMar w:top="1440" w:right="1800" w:bottom="1440" w:left="1800" w:header="851" w:footer="992" w:gutter="0"/>
          <w:cols w:space="720" w:num="1"/>
          <w:titlePg/>
          <w:docGrid w:type="lines" w:linePitch="312" w:charSpace="0"/>
        </w:sectPr>
      </w:pPr>
      <w:bookmarkStart w:id="752" w:name="_Toc246997083"/>
      <w:bookmarkStart w:id="753" w:name="_Toc179632789"/>
      <w:bookmarkStart w:id="754" w:name="_Toc246996340"/>
      <w:bookmarkStart w:id="755" w:name="_Toc247085855"/>
      <w:bookmarkStart w:id="756" w:name="_Toc514858705"/>
      <w:bookmarkStart w:id="757" w:name="_Toc2000409"/>
      <w:bookmarkStart w:id="758" w:name="_Toc152045772"/>
      <w:bookmarkStart w:id="759" w:name="_Toc144974834"/>
      <w:bookmarkStart w:id="760" w:name="_Toc152042554"/>
    </w:p>
    <w:bookmarkEnd w:id="752"/>
    <w:bookmarkEnd w:id="753"/>
    <w:bookmarkEnd w:id="754"/>
    <w:bookmarkEnd w:id="755"/>
    <w:bookmarkEnd w:id="756"/>
    <w:bookmarkEnd w:id="757"/>
    <w:bookmarkEnd w:id="758"/>
    <w:bookmarkEnd w:id="759"/>
    <w:bookmarkEnd w:id="760"/>
    <w:p>
      <w:pPr>
        <w:pStyle w:val="3"/>
        <w:spacing w:before="0" w:after="0" w:line="360" w:lineRule="auto"/>
        <w:jc w:val="center"/>
        <w:rPr>
          <w:rFonts w:ascii="宋体" w:hAnsi="宋体" w:cs="宋体"/>
        </w:rPr>
      </w:pPr>
      <w:bookmarkStart w:id="761" w:name="_Toc503951043"/>
      <w:bookmarkStart w:id="762" w:name="_Toc246996353"/>
      <w:bookmarkStart w:id="763" w:name="_Toc179632804"/>
      <w:bookmarkStart w:id="764" w:name="_Toc144974854"/>
      <w:bookmarkStart w:id="765" w:name="_Toc246997096"/>
      <w:bookmarkStart w:id="766" w:name="_Toc247085870"/>
      <w:bookmarkStart w:id="767" w:name="_Toc513633964"/>
      <w:bookmarkStart w:id="768" w:name="_Toc514858707"/>
      <w:bookmarkStart w:id="769" w:name="_Toc447827049"/>
      <w:bookmarkStart w:id="770" w:name="_Toc152045785"/>
      <w:bookmarkStart w:id="771" w:name="_Toc152042574"/>
      <w:bookmarkStart w:id="772" w:name="_Toc2000411"/>
      <w:bookmarkStart w:id="773" w:name="_Toc12782"/>
      <w:r>
        <w:rPr>
          <w:rFonts w:hint="eastAsia" w:ascii="宋体" w:hAnsi="宋体" w:cs="宋体"/>
        </w:rPr>
        <w:t xml:space="preserve">第五章  </w:t>
      </w:r>
      <w:bookmarkEnd w:id="761"/>
      <w:bookmarkEnd w:id="762"/>
      <w:bookmarkEnd w:id="763"/>
      <w:bookmarkEnd w:id="764"/>
      <w:bookmarkEnd w:id="765"/>
      <w:bookmarkEnd w:id="766"/>
      <w:bookmarkEnd w:id="767"/>
      <w:bookmarkEnd w:id="768"/>
      <w:bookmarkEnd w:id="769"/>
      <w:bookmarkEnd w:id="770"/>
      <w:bookmarkEnd w:id="771"/>
      <w:bookmarkEnd w:id="772"/>
      <w:r>
        <w:rPr>
          <w:rFonts w:hint="eastAsia" w:ascii="宋体" w:hAnsi="宋体" w:cs="宋体"/>
        </w:rPr>
        <w:t>技术标准</w:t>
      </w:r>
      <w:bookmarkEnd w:id="773"/>
    </w:p>
    <w:bookmarkEnd w:id="744"/>
    <w:bookmarkEnd w:id="745"/>
    <w:bookmarkEnd w:id="746"/>
    <w:bookmarkEnd w:id="747"/>
    <w:bookmarkEnd w:id="748"/>
    <w:bookmarkEnd w:id="749"/>
    <w:bookmarkEnd w:id="750"/>
    <w:p>
      <w:pPr>
        <w:spacing w:line="360" w:lineRule="exact"/>
        <w:ind w:firstLine="420" w:firstLineChars="200"/>
        <w:jc w:val="center"/>
        <w:rPr>
          <w:rFonts w:ascii="宋体" w:hAnsi="宋体"/>
        </w:rPr>
      </w:pPr>
      <w:bookmarkStart w:id="774" w:name="_Toc514430114"/>
      <w:bookmarkStart w:id="775" w:name="_Toc514858708"/>
      <w:bookmarkStart w:id="776" w:name="_Toc2000412"/>
      <w:bookmarkStart w:id="777" w:name="_Toc507320039"/>
      <w:bookmarkStart w:id="778" w:name="_Toc152042576"/>
      <w:bookmarkStart w:id="779" w:name="_Toc179632807"/>
      <w:bookmarkStart w:id="780" w:name="_Toc246996355"/>
      <w:bookmarkStart w:id="781" w:name="_Toc152045787"/>
      <w:bookmarkStart w:id="782" w:name="_Toc246997098"/>
      <w:bookmarkStart w:id="783" w:name="_Toc247085873"/>
      <w:bookmarkStart w:id="784" w:name="_Toc144974856"/>
      <w:r>
        <w:rPr>
          <w:rFonts w:hint="eastAsia" w:ascii="宋体" w:hAnsi="宋体"/>
          <w:kern w:val="0"/>
        </w:rPr>
        <w:t>详见第四章技术质量需求。</w:t>
      </w:r>
    </w:p>
    <w:p>
      <w:pPr>
        <w:pStyle w:val="3"/>
        <w:spacing w:before="0" w:after="0" w:line="360" w:lineRule="auto"/>
        <w:jc w:val="center"/>
        <w:rPr>
          <w:rFonts w:ascii="宋体" w:hAnsi="宋体" w:cs="宋体"/>
        </w:rPr>
      </w:pPr>
      <w:r>
        <w:rPr>
          <w:rFonts w:hint="eastAsia" w:ascii="宋体" w:hAnsi="宋体" w:cs="宋体"/>
        </w:rPr>
        <w:br w:type="page"/>
      </w:r>
      <w:bookmarkEnd w:id="774"/>
      <w:bookmarkEnd w:id="775"/>
      <w:bookmarkEnd w:id="776"/>
    </w:p>
    <w:p>
      <w:pPr>
        <w:widowControl/>
        <w:jc w:val="left"/>
        <w:rPr>
          <w:rFonts w:ascii="方正小标宋_GBK" w:eastAsia="方正小标宋_GBK"/>
          <w:bCs/>
          <w:sz w:val="36"/>
          <w:szCs w:val="36"/>
        </w:rPr>
      </w:pPr>
      <w:bookmarkStart w:id="785" w:name="_Toc513633965"/>
    </w:p>
    <w:p>
      <w:pPr>
        <w:pStyle w:val="3"/>
        <w:spacing w:before="0" w:after="0" w:line="360" w:lineRule="auto"/>
        <w:jc w:val="center"/>
        <w:rPr>
          <w:rFonts w:ascii="宋体" w:hAnsi="宋体" w:cs="宋体"/>
        </w:rPr>
      </w:pPr>
      <w:bookmarkStart w:id="786" w:name="_Toc15708"/>
      <w:bookmarkStart w:id="787" w:name="_Toc514858709"/>
      <w:bookmarkStart w:id="788" w:name="_Toc2000413"/>
      <w:r>
        <w:rPr>
          <w:rFonts w:hint="eastAsia" w:ascii="宋体" w:hAnsi="宋体" w:cs="宋体"/>
        </w:rPr>
        <w:t>第六章  竞争性比选响应文件格式</w:t>
      </w:r>
      <w:bookmarkEnd w:id="785"/>
      <w:bookmarkEnd w:id="786"/>
      <w:bookmarkEnd w:id="787"/>
      <w:bookmarkEnd w:id="788"/>
    </w:p>
    <w:p>
      <w:pPr>
        <w:rPr>
          <w:rFonts w:ascii="宋体" w:hAnsi="宋体" w:cs="宋体"/>
        </w:rPr>
      </w:pPr>
    </w:p>
    <w:p>
      <w:pPr>
        <w:rPr>
          <w:rFonts w:ascii="宋体" w:hAnsi="宋体" w:cs="宋体"/>
        </w:rPr>
        <w:sectPr>
          <w:pgSz w:w="11906" w:h="16838"/>
          <w:pgMar w:top="1440" w:right="1576" w:bottom="1440" w:left="1463" w:header="851" w:footer="992" w:gutter="0"/>
          <w:cols w:space="0" w:num="1"/>
          <w:titlePg/>
          <w:docGrid w:type="lines" w:linePitch="319" w:charSpace="0"/>
        </w:sectPr>
      </w:pPr>
    </w:p>
    <w:p>
      <w:pPr>
        <w:rPr>
          <w:rFonts w:ascii="宋体" w:hAnsi="宋体" w:cs="宋体"/>
        </w:rPr>
      </w:pPr>
    </w:p>
    <w:p>
      <w:pPr>
        <w:jc w:val="center"/>
        <w:rPr>
          <w:rFonts w:ascii="宋体" w:hAnsi="宋体" w:cs="宋体"/>
          <w:sz w:val="52"/>
          <w:szCs w:val="52"/>
          <w:u w:val="single"/>
        </w:rPr>
      </w:pPr>
      <w:bookmarkStart w:id="789" w:name="_Toc513633967"/>
      <w:bookmarkStart w:id="790" w:name="_Toc514858710"/>
      <w:bookmarkStart w:id="791" w:name="_Toc503951046"/>
      <w:bookmarkStart w:id="792" w:name="_Toc513646738"/>
      <w:bookmarkStart w:id="793" w:name="_Toc503971829"/>
      <w:r>
        <w:rPr>
          <w:rFonts w:hint="eastAsia" w:ascii="宋体" w:hAnsi="宋体" w:cs="宋体"/>
          <w:u w:val="single"/>
        </w:rPr>
        <w:t xml:space="preserve">                           </w:t>
      </w:r>
      <w:r>
        <w:rPr>
          <w:rFonts w:hint="eastAsia" w:ascii="宋体" w:hAnsi="宋体" w:cs="宋体"/>
          <w:sz w:val="52"/>
          <w:szCs w:val="52"/>
          <w:u w:val="single"/>
        </w:rPr>
        <w:t>（项目名称）</w:t>
      </w:r>
      <w:bookmarkEnd w:id="789"/>
      <w:bookmarkEnd w:id="790"/>
      <w:bookmarkEnd w:id="791"/>
      <w:bookmarkEnd w:id="792"/>
      <w:bookmarkEnd w:id="793"/>
      <w:r>
        <w:rPr>
          <w:rFonts w:hint="eastAsia" w:ascii="宋体" w:hAnsi="宋体" w:cs="宋体"/>
          <w:sz w:val="52"/>
          <w:szCs w:val="52"/>
          <w:u w:val="single"/>
        </w:rPr>
        <w:t xml:space="preserve"> </w:t>
      </w:r>
    </w:p>
    <w:p>
      <w:pPr>
        <w:rPr>
          <w:rFonts w:ascii="宋体" w:hAnsi="宋体" w:cs="宋体"/>
          <w:sz w:val="20"/>
          <w:szCs w:val="20"/>
        </w:rPr>
      </w:pP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8"/>
      </w:pPr>
    </w:p>
    <w:p/>
    <w:p>
      <w:pPr>
        <w:pStyle w:val="28"/>
      </w:pPr>
    </w:p>
    <w:p/>
    <w:p>
      <w:pPr>
        <w:pStyle w:val="28"/>
      </w:pPr>
    </w:p>
    <w:p>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pStyle w:val="4"/>
        <w:jc w:val="center"/>
        <w:rPr>
          <w:rFonts w:ascii="宋体" w:hAnsi="宋体" w:eastAsia="宋体" w:cs="宋体"/>
        </w:rPr>
      </w:pPr>
      <w:bookmarkStart w:id="794" w:name="_Toc2657"/>
      <w:bookmarkStart w:id="795" w:name="_Toc5459"/>
      <w:bookmarkStart w:id="796" w:name="_Toc28780"/>
      <w:bookmarkStart w:id="797" w:name="_Toc1368"/>
      <w:bookmarkStart w:id="798" w:name="_Toc11329273"/>
      <w:r>
        <w:rPr>
          <w:rFonts w:hint="eastAsia" w:ascii="宋体" w:hAnsi="宋体" w:eastAsia="宋体" w:cs="宋体"/>
        </w:rPr>
        <w:t>目    录</w:t>
      </w:r>
      <w:bookmarkEnd w:id="777"/>
      <w:bookmarkEnd w:id="778"/>
      <w:bookmarkEnd w:id="779"/>
      <w:bookmarkEnd w:id="780"/>
      <w:bookmarkEnd w:id="781"/>
      <w:bookmarkEnd w:id="782"/>
      <w:bookmarkEnd w:id="783"/>
      <w:bookmarkEnd w:id="784"/>
      <w:bookmarkEnd w:id="794"/>
      <w:bookmarkEnd w:id="795"/>
      <w:bookmarkEnd w:id="796"/>
      <w:bookmarkEnd w:id="797"/>
      <w:bookmarkEnd w:id="798"/>
    </w:p>
    <w:p>
      <w:pPr>
        <w:numPr>
          <w:ilvl w:val="0"/>
          <w:numId w:val="3"/>
        </w:numPr>
        <w:spacing w:line="400" w:lineRule="exact"/>
        <w:rPr>
          <w:rFonts w:ascii="宋体" w:hAnsi="宋体" w:cs="宋体"/>
        </w:rPr>
      </w:pPr>
      <w:r>
        <w:rPr>
          <w:rFonts w:hint="eastAsia" w:ascii="宋体" w:hAnsi="宋体" w:cs="宋体"/>
        </w:rPr>
        <w:t>竞争性响应声明书</w:t>
      </w:r>
    </w:p>
    <w:p>
      <w:pPr>
        <w:numPr>
          <w:ilvl w:val="0"/>
          <w:numId w:val="3"/>
        </w:numPr>
        <w:spacing w:line="400" w:lineRule="exact"/>
        <w:rPr>
          <w:rFonts w:ascii="宋体" w:hAnsi="宋体" w:cs="宋体"/>
        </w:rPr>
      </w:pPr>
      <w:r>
        <w:rPr>
          <w:rFonts w:ascii="宋体" w:hAnsi="宋体" w:cs="宋体"/>
        </w:rPr>
        <w:t>法定代表人身份证明或法定代表人授权委托书</w:t>
      </w:r>
    </w:p>
    <w:p>
      <w:pPr>
        <w:spacing w:line="400" w:lineRule="exact"/>
        <w:rPr>
          <w:rFonts w:ascii="宋体" w:hAnsi="宋体" w:cs="宋体"/>
        </w:rPr>
      </w:pPr>
      <w:r>
        <w:rPr>
          <w:rFonts w:hint="eastAsia" w:ascii="宋体" w:hAnsi="宋体" w:cs="宋体"/>
        </w:rPr>
        <w:t>三、报价一览表</w:t>
      </w:r>
    </w:p>
    <w:p>
      <w:pPr>
        <w:spacing w:line="400" w:lineRule="exact"/>
        <w:rPr>
          <w:rFonts w:ascii="宋体" w:hAnsi="宋体" w:cs="宋体"/>
        </w:rPr>
      </w:pPr>
      <w:r>
        <w:rPr>
          <w:rFonts w:hint="eastAsia" w:ascii="宋体" w:hAnsi="宋体" w:cs="宋体"/>
        </w:rPr>
        <w:t>四、审查资料</w:t>
      </w:r>
    </w:p>
    <w:p>
      <w:pPr>
        <w:spacing w:line="400" w:lineRule="exact"/>
        <w:rPr>
          <w:rFonts w:ascii="宋体" w:hAnsi="宋体" w:cs="宋体"/>
          <w:szCs w:val="21"/>
        </w:rPr>
      </w:pPr>
      <w:r>
        <w:rPr>
          <w:rFonts w:hint="eastAsia" w:ascii="宋体" w:hAnsi="宋体" w:cs="宋体"/>
        </w:rPr>
        <w:t>五、报价人承诺</w:t>
      </w:r>
    </w:p>
    <w:p>
      <w:pPr>
        <w:spacing w:line="400" w:lineRule="exact"/>
        <w:rPr>
          <w:rFonts w:ascii="宋体" w:hAnsi="宋体" w:cs="宋体"/>
          <w:szCs w:val="21"/>
        </w:rPr>
      </w:pPr>
      <w:r>
        <w:rPr>
          <w:rFonts w:hint="eastAsia" w:ascii="宋体" w:hAnsi="宋体" w:cs="宋体"/>
          <w:szCs w:val="21"/>
        </w:rPr>
        <w:t>六、其他材料（如有）</w:t>
      </w:r>
    </w:p>
    <w:p>
      <w:pPr>
        <w:spacing w:line="400" w:lineRule="exact"/>
        <w:rPr>
          <w:rFonts w:ascii="宋体" w:hAnsi="宋体" w:cs="宋体"/>
        </w:rPr>
      </w:pPr>
      <w:r>
        <w:rPr>
          <w:rFonts w:hint="eastAsia" w:ascii="宋体" w:hAnsi="宋体" w:cs="宋体"/>
        </w:rPr>
        <w:t xml:space="preserve"> </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r>
        <w:rPr>
          <w:rFonts w:ascii="宋体" w:hAnsi="宋体" w:cs="宋体"/>
        </w:rPr>
        <w:br w:type="page"/>
      </w:r>
    </w:p>
    <w:p>
      <w:pPr>
        <w:pStyle w:val="4"/>
        <w:numPr>
          <w:ilvl w:val="0"/>
          <w:numId w:val="4"/>
        </w:numPr>
        <w:spacing w:before="0" w:after="0" w:line="360" w:lineRule="auto"/>
        <w:jc w:val="center"/>
        <w:rPr>
          <w:rFonts w:ascii="宋体" w:hAnsi="宋体" w:eastAsia="宋体" w:cs="宋体"/>
          <w:sz w:val="28"/>
        </w:rPr>
      </w:pPr>
      <w:bookmarkStart w:id="799" w:name="_Toc29547"/>
      <w:bookmarkStart w:id="800" w:name="_Toc15863"/>
      <w:bookmarkStart w:id="801" w:name="_Toc19481"/>
      <w:bookmarkStart w:id="802" w:name="_Toc25874"/>
      <w:bookmarkStart w:id="803" w:name="_Toc513633969"/>
      <w:bookmarkStart w:id="804" w:name="_Toc503951048"/>
      <w:bookmarkStart w:id="805" w:name="_Toc447827053"/>
      <w:r>
        <w:rPr>
          <w:rFonts w:hint="eastAsia" w:ascii="宋体" w:hAnsi="宋体" w:eastAsia="宋体" w:cs="宋体"/>
          <w:sz w:val="28"/>
        </w:rPr>
        <w:t>竞争比选响应声明书</w:t>
      </w:r>
      <w:bookmarkEnd w:id="799"/>
      <w:bookmarkEnd w:id="800"/>
      <w:bookmarkEnd w:id="801"/>
      <w:bookmarkEnd w:id="802"/>
    </w:p>
    <w:p>
      <w:pPr>
        <w:tabs>
          <w:tab w:val="left" w:pos="900"/>
        </w:tabs>
        <w:spacing w:line="300" w:lineRule="auto"/>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p>
    <w:p>
      <w:pPr>
        <w:spacing w:line="480" w:lineRule="auto"/>
        <w:ind w:firstLine="480" w:firstLineChars="200"/>
        <w:rPr>
          <w:rFonts w:ascii="Arial" w:hAnsi="Arial" w:cs="Arial"/>
          <w:color w:val="000000"/>
          <w:sz w:val="24"/>
        </w:rPr>
      </w:pPr>
      <w:r>
        <w:rPr>
          <w:rFonts w:hint="eastAsia" w:ascii="Arial" w:hAnsi="Arial" w:cs="Arial"/>
          <w:color w:val="000000"/>
          <w:sz w:val="24"/>
        </w:rPr>
        <w:t>根据贵</w:t>
      </w:r>
      <w:r>
        <w:rPr>
          <w:rFonts w:hint="eastAsia" w:ascii="Arial" w:hAnsi="Arial" w:cs="Arial"/>
          <w:sz w:val="24"/>
        </w:rPr>
        <w:t>方</w:t>
      </w:r>
      <w:r>
        <w:rPr>
          <w:rFonts w:hint="eastAsia" w:ascii="Arial" w:hAnsi="Arial" w:cs="Arial"/>
          <w:sz w:val="24"/>
          <w:u w:val="single"/>
        </w:rPr>
        <w:t>为XXXXX项目</w:t>
      </w:r>
      <w:r>
        <w:rPr>
          <w:rFonts w:hint="eastAsia" w:ascii="Arial" w:hAnsi="Arial" w:cs="Arial"/>
          <w:sz w:val="24"/>
        </w:rPr>
        <w:t>竞争比选项目</w:t>
      </w:r>
      <w:r>
        <w:rPr>
          <w:rFonts w:hint="eastAsia" w:ascii="Arial" w:hAnsi="Arial" w:cs="Arial"/>
          <w:color w:val="000000"/>
          <w:sz w:val="24"/>
        </w:rPr>
        <w:t>的竞争比选公告，签字代表</w:t>
      </w:r>
      <w:r>
        <w:rPr>
          <w:rFonts w:ascii="Arial" w:hAnsi="Arial" w:cs="Arial"/>
          <w:color w:val="000000"/>
          <w:sz w:val="24"/>
          <w:u w:val="single"/>
        </w:rPr>
        <w:t xml:space="preserve">          </w:t>
      </w:r>
      <w:r>
        <w:rPr>
          <w:rFonts w:hint="eastAsia" w:ascii="Arial" w:hAnsi="Arial" w:cs="Arial"/>
          <w:color w:val="000000"/>
          <w:sz w:val="24"/>
          <w:u w:val="single"/>
        </w:rPr>
        <w:t>（全名、职务）</w:t>
      </w:r>
      <w:r>
        <w:rPr>
          <w:rFonts w:hint="eastAsia" w:ascii="Arial" w:hAnsi="Arial" w:cs="Arial"/>
          <w:color w:val="000000"/>
          <w:sz w:val="24"/>
        </w:rPr>
        <w:t>经正式授权并代表竞争比选响应单位</w:t>
      </w:r>
      <w:r>
        <w:rPr>
          <w:rFonts w:ascii="Arial" w:hAnsi="Arial" w:cs="Arial"/>
          <w:color w:val="000000"/>
          <w:sz w:val="24"/>
          <w:u w:val="single"/>
        </w:rPr>
        <w:t xml:space="preserve"> </w:t>
      </w:r>
      <w:r>
        <w:rPr>
          <w:rFonts w:hint="eastAsia" w:ascii="Arial" w:hAnsi="Arial" w:cs="Arial"/>
          <w:color w:val="000000"/>
          <w:sz w:val="24"/>
          <w:u w:val="single"/>
        </w:rPr>
        <w:t>（竞争比选响应单位名称）</w:t>
      </w:r>
      <w:r>
        <w:rPr>
          <w:rFonts w:ascii="Arial" w:hAnsi="Arial" w:cs="Arial"/>
          <w:color w:val="000000"/>
          <w:sz w:val="24"/>
          <w:u w:val="single"/>
        </w:rPr>
        <w:t xml:space="preserve"> </w:t>
      </w:r>
      <w:r>
        <w:rPr>
          <w:rFonts w:hint="eastAsia" w:ascii="Arial" w:hAnsi="Arial" w:cs="Arial"/>
          <w:color w:val="000000"/>
          <w:sz w:val="24"/>
        </w:rPr>
        <w:t>提交报价文件。</w:t>
      </w:r>
    </w:p>
    <w:p>
      <w:pPr>
        <w:spacing w:line="480" w:lineRule="auto"/>
        <w:ind w:firstLine="480" w:firstLineChars="200"/>
        <w:rPr>
          <w:rFonts w:ascii="Arial" w:hAnsi="Arial" w:cs="Arial"/>
          <w:color w:val="000000"/>
          <w:sz w:val="24"/>
        </w:rPr>
      </w:pPr>
      <w:r>
        <w:rPr>
          <w:rFonts w:hint="eastAsia" w:ascii="Arial" w:hAnsi="Arial" w:cs="Arial"/>
          <w:color w:val="000000"/>
          <w:sz w:val="24"/>
          <w:u w:val="single"/>
        </w:rPr>
        <w:t>我方愿以人民币：   元（大写： 元）的报价按照竞争比选文件的要求，承担本次竞争比选文件要求的设备供货及安装调试工作。</w:t>
      </w:r>
    </w:p>
    <w:p>
      <w:pPr>
        <w:tabs>
          <w:tab w:val="left" w:pos="540"/>
          <w:tab w:val="left" w:pos="900"/>
        </w:tabs>
        <w:spacing w:line="480" w:lineRule="auto"/>
        <w:ind w:firstLine="480" w:firstLineChars="200"/>
        <w:rPr>
          <w:rFonts w:ascii="Arial" w:hAnsi="Arial" w:cs="Arial"/>
          <w:color w:val="000000"/>
          <w:sz w:val="24"/>
        </w:rPr>
      </w:pPr>
      <w:r>
        <w:rPr>
          <w:rFonts w:hint="eastAsia" w:ascii="Arial" w:hAnsi="Arial" w:cs="Arial"/>
          <w:color w:val="000000"/>
          <w:sz w:val="24"/>
        </w:rPr>
        <w:t>据此函，签字代表宣布同意如下：</w:t>
      </w:r>
    </w:p>
    <w:p>
      <w:pPr>
        <w:tabs>
          <w:tab w:val="left" w:pos="540"/>
          <w:tab w:val="left" w:pos="900"/>
        </w:tabs>
        <w:spacing w:line="480" w:lineRule="auto"/>
        <w:ind w:firstLine="480" w:firstLineChars="200"/>
        <w:rPr>
          <w:rFonts w:ascii="Arial" w:hAnsi="Arial" w:cs="Arial"/>
          <w:color w:val="000000"/>
          <w:sz w:val="24"/>
        </w:rPr>
      </w:pPr>
      <w:r>
        <w:rPr>
          <w:rFonts w:ascii="Arial" w:hAnsi="Arial" w:cs="Arial"/>
          <w:color w:val="000000"/>
          <w:sz w:val="24"/>
        </w:rPr>
        <w:t>1</w:t>
      </w:r>
      <w:r>
        <w:rPr>
          <w:rFonts w:hint="eastAsia" w:ascii="Arial" w:hAnsi="Arial" w:cs="Arial"/>
          <w:color w:val="000000"/>
          <w:sz w:val="24"/>
        </w:rPr>
        <w:t>、竞争比选响应单位将按竞争比选文件规定履行合同责任和义务。</w:t>
      </w:r>
    </w:p>
    <w:p>
      <w:pPr>
        <w:tabs>
          <w:tab w:val="left" w:pos="900"/>
        </w:tabs>
        <w:spacing w:line="480" w:lineRule="auto"/>
        <w:ind w:firstLine="480" w:firstLineChars="200"/>
        <w:rPr>
          <w:rFonts w:ascii="Arial" w:hAnsi="Arial" w:cs="Arial"/>
          <w:b/>
          <w:color w:val="000000"/>
          <w:sz w:val="24"/>
        </w:rPr>
      </w:pPr>
      <w:r>
        <w:rPr>
          <w:rFonts w:ascii="Arial" w:hAnsi="Arial" w:cs="Arial"/>
          <w:color w:val="000000"/>
          <w:sz w:val="24"/>
        </w:rPr>
        <w:t>2</w:t>
      </w:r>
      <w:r>
        <w:rPr>
          <w:rFonts w:hint="eastAsia" w:ascii="Arial" w:hAnsi="Arial" w:cs="Arial"/>
          <w:color w:val="000000"/>
          <w:sz w:val="24"/>
        </w:rPr>
        <w:t>、竞争比选响应单位已详细审查全部竞争比选文件，包括修改文件（如有的话）以及全部参考资料和相关附件。我们完全理解并同意放弃对这方面有不明及误解的权利。</w:t>
      </w:r>
    </w:p>
    <w:p>
      <w:pPr>
        <w:tabs>
          <w:tab w:val="left" w:pos="900"/>
        </w:tabs>
        <w:spacing w:line="480" w:lineRule="auto"/>
        <w:ind w:firstLine="480" w:firstLineChars="200"/>
        <w:rPr>
          <w:rFonts w:ascii="Arial" w:hAnsi="Arial" w:cs="Arial"/>
          <w:b/>
          <w:color w:val="000000"/>
          <w:sz w:val="24"/>
        </w:rPr>
      </w:pPr>
      <w:r>
        <w:rPr>
          <w:rFonts w:hint="eastAsia" w:ascii="Arial" w:hAnsi="Arial" w:cs="Arial"/>
          <w:color w:val="000000"/>
          <w:sz w:val="24"/>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480" w:lineRule="auto"/>
        <w:ind w:firstLine="480" w:firstLineChars="200"/>
        <w:rPr>
          <w:rFonts w:ascii="Arial" w:hAnsi="Arial" w:cs="Arial"/>
          <w:b/>
          <w:color w:val="000000"/>
          <w:sz w:val="24"/>
        </w:rPr>
      </w:pPr>
      <w:r>
        <w:rPr>
          <w:rFonts w:hint="eastAsia" w:ascii="Arial" w:hAnsi="Arial" w:cs="Arial"/>
          <w:color w:val="000000"/>
          <w:sz w:val="24"/>
        </w:rPr>
        <w:t>4、与本竞争比选响应有关的一切正式往来通讯请寄：</w:t>
      </w:r>
    </w:p>
    <w:p>
      <w:pPr>
        <w:tabs>
          <w:tab w:val="left" w:pos="900"/>
        </w:tabs>
        <w:spacing w:line="480" w:lineRule="auto"/>
        <w:ind w:firstLine="480" w:firstLineChars="200"/>
        <w:rPr>
          <w:rFonts w:ascii="Arial" w:hAnsi="Arial" w:cs="Arial"/>
          <w:b/>
          <w:color w:val="000000"/>
          <w:sz w:val="24"/>
        </w:rPr>
      </w:pPr>
      <w:r>
        <w:rPr>
          <w:rFonts w:hint="eastAsia"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pPr>
        <w:tabs>
          <w:tab w:val="left" w:pos="900"/>
        </w:tabs>
        <w:spacing w:line="480" w:lineRule="auto"/>
        <w:ind w:firstLine="480" w:firstLineChars="200"/>
        <w:rPr>
          <w:rFonts w:ascii="Arial" w:hAnsi="Arial" w:cs="Arial"/>
          <w:color w:val="000000"/>
          <w:sz w:val="24"/>
          <w:u w:val="single"/>
        </w:rPr>
      </w:pPr>
      <w:r>
        <w:rPr>
          <w:rFonts w:hint="eastAsia" w:ascii="Arial" w:hAnsi="Arial" w:cs="Arial"/>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传真：</w:t>
      </w:r>
      <w:r>
        <w:rPr>
          <w:rFonts w:ascii="Arial" w:hAnsi="Arial" w:cs="Arial"/>
          <w:color w:val="000000"/>
          <w:sz w:val="24"/>
          <w:u w:val="single"/>
        </w:rPr>
        <w:t xml:space="preserve">            </w:t>
      </w:r>
    </w:p>
    <w:p>
      <w:pPr>
        <w:tabs>
          <w:tab w:val="left" w:pos="900"/>
        </w:tabs>
        <w:spacing w:line="480" w:lineRule="auto"/>
        <w:ind w:firstLine="480" w:firstLineChars="200"/>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pPr>
        <w:tabs>
          <w:tab w:val="left" w:pos="900"/>
        </w:tabs>
        <w:spacing w:line="480" w:lineRule="auto"/>
        <w:ind w:firstLine="480" w:firstLineChars="200"/>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pPr>
        <w:tabs>
          <w:tab w:val="left" w:pos="900"/>
        </w:tabs>
        <w:spacing w:line="480" w:lineRule="auto"/>
        <w:ind w:firstLine="480" w:firstLineChars="200"/>
        <w:rPr>
          <w:rFonts w:ascii="Arial" w:hAnsi="Arial" w:cs="Arial"/>
          <w:color w:val="000000"/>
          <w:sz w:val="24"/>
        </w:rPr>
      </w:pPr>
      <w:r>
        <w:rPr>
          <w:rFonts w:hint="eastAsia" w:ascii="Arial" w:hAnsi="Arial" w:cs="Arial"/>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pPr>
        <w:tabs>
          <w:tab w:val="left" w:pos="900"/>
        </w:tabs>
        <w:spacing w:line="480" w:lineRule="auto"/>
        <w:ind w:firstLine="480" w:firstLineChars="200"/>
        <w:rPr>
          <w:rFonts w:ascii="Arial" w:hAnsi="Arial" w:cs="Arial"/>
          <w:color w:val="000000"/>
          <w:sz w:val="24"/>
        </w:rPr>
      </w:pPr>
      <w:r>
        <w:rPr>
          <w:rFonts w:hint="eastAsia" w:ascii="Arial" w:hAnsi="Arial" w:cs="Arial"/>
          <w:color w:val="000000"/>
          <w:sz w:val="24"/>
        </w:rPr>
        <w:t>日期：</w:t>
      </w:r>
      <w:r>
        <w:rPr>
          <w:rFonts w:hint="eastAsia" w:ascii="Arial" w:hAnsi="Arial" w:cs="Arial"/>
          <w:color w:val="000000"/>
          <w:sz w:val="24"/>
          <w:u w:val="single"/>
        </w:rPr>
        <w:t xml:space="preserve">     </w:t>
      </w:r>
      <w:r>
        <w:rPr>
          <w:rFonts w:hint="eastAsia" w:ascii="Arial" w:hAnsi="Arial" w:cs="Arial"/>
          <w:color w:val="000000"/>
          <w:sz w:val="24"/>
        </w:rPr>
        <w:t>年</w:t>
      </w:r>
      <w:r>
        <w:rPr>
          <w:rFonts w:ascii="Arial" w:hAnsi="Arial" w:cs="Arial"/>
          <w:color w:val="000000"/>
          <w:sz w:val="24"/>
          <w:u w:val="single"/>
        </w:rPr>
        <w:t xml:space="preserve">      </w:t>
      </w:r>
      <w:r>
        <w:rPr>
          <w:rFonts w:hint="eastAsia" w:ascii="Arial" w:hAnsi="Arial" w:cs="Arial"/>
          <w:color w:val="000000"/>
          <w:sz w:val="24"/>
        </w:rPr>
        <w:t>月</w:t>
      </w:r>
      <w:r>
        <w:rPr>
          <w:rFonts w:ascii="Arial" w:hAnsi="Arial" w:cs="Arial"/>
          <w:color w:val="000000"/>
          <w:sz w:val="24"/>
          <w:u w:val="single"/>
        </w:rPr>
        <w:t xml:space="preserve">    </w:t>
      </w:r>
      <w:r>
        <w:rPr>
          <w:rFonts w:hint="eastAsia" w:ascii="Arial" w:hAnsi="Arial" w:cs="Arial"/>
          <w:color w:val="000000"/>
          <w:sz w:val="24"/>
          <w:u w:val="single"/>
        </w:rPr>
        <w:t xml:space="preserve">  </w:t>
      </w:r>
      <w:r>
        <w:rPr>
          <w:rFonts w:hint="eastAsia" w:ascii="Arial" w:hAnsi="Arial" w:cs="Arial"/>
          <w:color w:val="000000"/>
          <w:sz w:val="24"/>
        </w:rPr>
        <w:t>日</w:t>
      </w:r>
      <w:r>
        <w:rPr>
          <w:rFonts w:ascii="Arial" w:hAnsi="Arial" w:cs="Arial"/>
          <w:color w:val="000000"/>
          <w:sz w:val="24"/>
        </w:rPr>
        <w:t xml:space="preserve"> </w:t>
      </w:r>
    </w:p>
    <w:p>
      <w:pPr>
        <w:pStyle w:val="4"/>
        <w:numPr>
          <w:ilvl w:val="0"/>
          <w:numId w:val="4"/>
        </w:numPr>
        <w:spacing w:before="0" w:after="0" w:line="360" w:lineRule="auto"/>
        <w:jc w:val="center"/>
        <w:rPr>
          <w:rFonts w:ascii="宋体" w:hAnsi="宋体" w:eastAsia="宋体" w:cs="宋体"/>
          <w:sz w:val="28"/>
        </w:rPr>
      </w:pPr>
      <w:bookmarkStart w:id="806" w:name="_Toc27815"/>
      <w:bookmarkStart w:id="807" w:name="_Toc26765"/>
      <w:bookmarkStart w:id="808" w:name="_Toc491883232"/>
      <w:r>
        <w:rPr>
          <w:rFonts w:hint="eastAsia" w:ascii="宋体" w:hAnsi="宋体" w:eastAsia="宋体" w:cs="宋体"/>
          <w:sz w:val="28"/>
        </w:rPr>
        <w:t>法定代表人身份证明或法定代表人授权委托书</w:t>
      </w:r>
      <w:bookmarkEnd w:id="806"/>
      <w:bookmarkEnd w:id="807"/>
    </w:p>
    <w:p>
      <w:pPr>
        <w:pStyle w:val="4"/>
        <w:spacing w:line="480" w:lineRule="auto"/>
        <w:jc w:val="center"/>
        <w:rPr>
          <w:rFonts w:ascii="宋体" w:hAnsi="宋体" w:eastAsia="宋体" w:cs="宋体"/>
          <w:sz w:val="24"/>
          <w:szCs w:val="24"/>
        </w:rPr>
      </w:pPr>
      <w:bookmarkStart w:id="809" w:name="_Toc6792"/>
      <w:bookmarkStart w:id="810" w:name="_Toc14141"/>
      <w:r>
        <w:rPr>
          <w:rFonts w:hint="eastAsia" w:ascii="宋体" w:hAnsi="宋体" w:eastAsia="宋体" w:cs="宋体"/>
          <w:sz w:val="24"/>
          <w:szCs w:val="24"/>
        </w:rPr>
        <w:t>（一）法定代表人身份证明</w:t>
      </w:r>
      <w:bookmarkEnd w:id="808"/>
      <w:bookmarkEnd w:id="809"/>
      <w:bookmarkEnd w:id="810"/>
    </w:p>
    <w:p>
      <w:pPr>
        <w:spacing w:line="480" w:lineRule="auto"/>
        <w:rPr>
          <w:rFonts w:ascii="宋体" w:hAnsi="宋体"/>
        </w:rPr>
      </w:pPr>
      <w:r>
        <w:rPr>
          <w:rFonts w:hint="eastAsia" w:ascii="宋体" w:hAnsi="宋体"/>
        </w:rPr>
        <w:t>报价人</w:t>
      </w:r>
      <w:r>
        <w:rPr>
          <w:rFonts w:ascii="宋体" w:hAnsi="宋体"/>
        </w:rPr>
        <w:t>名称：</w:t>
      </w:r>
      <w:r>
        <w:rPr>
          <w:rFonts w:ascii="宋体" w:hAnsi="宋体"/>
          <w:u w:val="single"/>
        </w:rPr>
        <w:t xml:space="preserve">                        </w:t>
      </w:r>
    </w:p>
    <w:p>
      <w:pPr>
        <w:spacing w:line="480" w:lineRule="auto"/>
        <w:rPr>
          <w:rFonts w:ascii="宋体" w:hAnsi="宋体"/>
        </w:rPr>
      </w:pPr>
      <w:r>
        <w:rPr>
          <w:rFonts w:ascii="宋体" w:hAnsi="宋体"/>
        </w:rPr>
        <w:t>姓名：</w:t>
      </w:r>
      <w:r>
        <w:rPr>
          <w:rFonts w:ascii="宋体" w:hAnsi="宋体"/>
          <w:u w:val="single"/>
        </w:rPr>
        <w:t xml:space="preserve">                </w:t>
      </w:r>
      <w:r>
        <w:rPr>
          <w:rFonts w:ascii="宋体" w:hAnsi="宋体"/>
        </w:rPr>
        <w:t>性别：</w:t>
      </w:r>
      <w:bookmarkStart w:id="811" w:name="_Toc369531698"/>
      <w:bookmarkStart w:id="812" w:name="_Toc27897"/>
      <w:bookmarkStart w:id="813" w:name="_Toc352691662"/>
      <w:r>
        <w:rPr>
          <w:rFonts w:ascii="宋体" w:hAnsi="宋体"/>
          <w:u w:val="single"/>
        </w:rPr>
        <w:t xml:space="preserve">        </w:t>
      </w:r>
      <w:r>
        <w:rPr>
          <w:rFonts w:ascii="宋体" w:hAnsi="宋体"/>
        </w:rPr>
        <w:t>年</w:t>
      </w:r>
      <w:bookmarkEnd w:id="811"/>
      <w:bookmarkEnd w:id="812"/>
      <w:bookmarkEnd w:id="813"/>
      <w:r>
        <w:rPr>
          <w:rFonts w:ascii="宋体" w:hAnsi="宋体"/>
        </w:rPr>
        <w:t>龄</w:t>
      </w:r>
      <w:bookmarkStart w:id="814" w:name="_Toc15573"/>
      <w:bookmarkStart w:id="815" w:name="_Toc144974858"/>
      <w:bookmarkStart w:id="816" w:name="_Toc369531699"/>
      <w:bookmarkStart w:id="817" w:name="_Toc247527829"/>
      <w:bookmarkStart w:id="818" w:name="_Toc384308377"/>
      <w:bookmarkStart w:id="819" w:name="_Toc152042578"/>
      <w:bookmarkStart w:id="820" w:name="_Toc247514248"/>
      <w:bookmarkStart w:id="821" w:name="_Toc300835211"/>
      <w:bookmarkStart w:id="822" w:name="_Toc152045789"/>
      <w:bookmarkStart w:id="823" w:name="_Toc352691663"/>
      <w:bookmarkStart w:id="824" w:name="_Toc361508754"/>
      <w:r>
        <w:rPr>
          <w:rFonts w:ascii="宋体" w:hAnsi="宋体"/>
        </w:rPr>
        <w:t>：</w:t>
      </w:r>
      <w:bookmarkEnd w:id="814"/>
      <w:bookmarkEnd w:id="815"/>
      <w:bookmarkEnd w:id="816"/>
      <w:bookmarkEnd w:id="817"/>
      <w:bookmarkEnd w:id="818"/>
      <w:bookmarkEnd w:id="819"/>
      <w:bookmarkEnd w:id="820"/>
      <w:bookmarkEnd w:id="821"/>
      <w:bookmarkEnd w:id="822"/>
      <w:bookmarkEnd w:id="823"/>
      <w:bookmarkEnd w:id="824"/>
      <w:r>
        <w:rPr>
          <w:rFonts w:ascii="宋体" w:hAnsi="宋体"/>
          <w:u w:val="single"/>
        </w:rPr>
        <w:t xml:space="preserve">        </w:t>
      </w:r>
      <w:r>
        <w:rPr>
          <w:rFonts w:ascii="宋体" w:hAnsi="宋体"/>
        </w:rPr>
        <w:t>职务：</w:t>
      </w:r>
      <w:r>
        <w:rPr>
          <w:rFonts w:ascii="宋体" w:hAnsi="宋体"/>
          <w:u w:val="single"/>
        </w:rPr>
        <w:t xml:space="preserve">        </w:t>
      </w:r>
    </w:p>
    <w:p>
      <w:pPr>
        <w:spacing w:line="480" w:lineRule="auto"/>
        <w:rPr>
          <w:rFonts w:ascii="宋体" w:hAnsi="宋体"/>
        </w:rPr>
      </w:pPr>
      <w:r>
        <w:rPr>
          <w:rFonts w:ascii="宋体" w:hAnsi="宋体"/>
        </w:rPr>
        <w:t>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w:t>
      </w:r>
    </w:p>
    <w:p>
      <w:pPr>
        <w:spacing w:line="480" w:lineRule="auto"/>
        <w:ind w:firstLine="420" w:firstLineChars="200"/>
        <w:rPr>
          <w:rFonts w:ascii="宋体" w:hAnsi="宋体"/>
        </w:rPr>
      </w:pPr>
      <w:r>
        <w:rPr>
          <w:rFonts w:ascii="宋体" w:hAnsi="宋体"/>
        </w:rPr>
        <w:t>特此证明。</w:t>
      </w:r>
    </w:p>
    <w:p>
      <w:pPr>
        <w:spacing w:line="480" w:lineRule="auto"/>
        <w:rPr>
          <w:rFonts w:ascii="宋体" w:hAnsi="宋体"/>
        </w:rPr>
      </w:pPr>
    </w:p>
    <w:p>
      <w:pPr>
        <w:spacing w:line="480" w:lineRule="auto"/>
        <w:rPr>
          <w:rFonts w:ascii="宋体" w:hAnsi="宋体"/>
        </w:rPr>
      </w:pPr>
      <w:r>
        <w:rPr>
          <w:rFonts w:ascii="宋体" w:hAnsi="宋体"/>
        </w:rPr>
        <w:t>附：法定代表人身份证复印件</w:t>
      </w:r>
      <w:r>
        <w:rPr>
          <w:rFonts w:hint="eastAsia" w:ascii="宋体" w:hAnsi="宋体"/>
        </w:rPr>
        <w:t>（正、反面）</w:t>
      </w:r>
      <w:r>
        <w:rPr>
          <w:rFonts w:ascii="宋体" w:hAnsi="宋体"/>
        </w:rPr>
        <w:t>。</w:t>
      </w:r>
    </w:p>
    <w:p>
      <w:pPr>
        <w:spacing w:line="480" w:lineRule="auto"/>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jc w:val="center"/>
        <w:rPr>
          <w:rFonts w:ascii="宋体" w:hAnsi="宋体"/>
        </w:rPr>
      </w:pPr>
      <w:r>
        <w:rPr>
          <w:rFonts w:ascii="宋体" w:hAnsi="宋体"/>
        </w:rPr>
        <w:t xml:space="preserve">                              </w:t>
      </w:r>
      <w:r>
        <w:rPr>
          <w:rFonts w:hint="eastAsia" w:ascii="宋体" w:hAnsi="宋体"/>
        </w:rPr>
        <w:t>报价人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rPr>
          <w:rFonts w:ascii="宋体" w:hAnsi="宋体"/>
        </w:rPr>
      </w:pPr>
    </w:p>
    <w:p>
      <w:pPr>
        <w:spacing w:line="440" w:lineRule="exact"/>
        <w:ind w:firstLine="4620" w:firstLineChars="220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注：本身份证明需由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w:t>
      </w:r>
    </w:p>
    <w:p>
      <w:pPr>
        <w:spacing w:line="440" w:lineRule="exact"/>
        <w:rPr>
          <w:rFonts w:ascii="宋体" w:hAnsi="宋体"/>
          <w:sz w:val="20"/>
        </w:rPr>
      </w:pPr>
    </w:p>
    <w:p>
      <w:pPr>
        <w:spacing w:line="20" w:lineRule="exact"/>
        <w:jc w:val="center"/>
        <w:rPr>
          <w:rFonts w:ascii="宋体" w:hAnsi="宋体"/>
          <w:sz w:val="20"/>
        </w:rPr>
      </w:pPr>
      <w:r>
        <w:rPr>
          <w:rFonts w:ascii="宋体" w:hAnsi="宋体"/>
          <w:sz w:val="20"/>
        </w:rPr>
        <w:br w:type="page"/>
      </w:r>
    </w:p>
    <w:p>
      <w:pPr>
        <w:pStyle w:val="4"/>
        <w:spacing w:line="480" w:lineRule="auto"/>
        <w:jc w:val="center"/>
        <w:rPr>
          <w:rFonts w:ascii="宋体" w:hAnsi="宋体"/>
          <w:sz w:val="28"/>
          <w:szCs w:val="28"/>
        </w:rPr>
      </w:pPr>
      <w:bookmarkStart w:id="825" w:name="_Toc491883233"/>
      <w:bookmarkStart w:id="826" w:name="_Toc58"/>
      <w:bookmarkStart w:id="827" w:name="_Toc10751"/>
      <w:r>
        <w:rPr>
          <w:rFonts w:hint="eastAsia" w:ascii="宋体" w:hAnsi="宋体" w:eastAsia="宋体" w:cs="宋体"/>
          <w:sz w:val="24"/>
          <w:szCs w:val="24"/>
        </w:rPr>
        <w:t>（二）</w:t>
      </w:r>
      <w:bookmarkEnd w:id="825"/>
      <w:r>
        <w:rPr>
          <w:rFonts w:hint="eastAsia" w:ascii="宋体" w:hAnsi="宋体" w:eastAsia="宋体" w:cs="宋体"/>
          <w:sz w:val="24"/>
          <w:szCs w:val="24"/>
        </w:rPr>
        <w:t>法定代表人授权委托书</w:t>
      </w:r>
      <w:bookmarkEnd w:id="826"/>
      <w:bookmarkEnd w:id="827"/>
    </w:p>
    <w:p>
      <w:pPr>
        <w:topLinePunct/>
        <w:spacing w:line="480" w:lineRule="auto"/>
        <w:ind w:firstLine="420" w:firstLineChars="20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hint="eastAsia" w:ascii="宋体" w:hAnsi="宋体"/>
        </w:rPr>
        <w:t>比选</w:t>
      </w:r>
      <w:r>
        <w:rPr>
          <w:rFonts w:ascii="宋体" w:hAnsi="宋体"/>
        </w:rPr>
        <w:t>文件、签订合同和处理有关事宜，其法律后果由我方承担。</w:t>
      </w:r>
    </w:p>
    <w:p>
      <w:pPr>
        <w:spacing w:line="480" w:lineRule="auto"/>
        <w:rPr>
          <w:rFonts w:ascii="宋体" w:hAnsi="宋体"/>
        </w:rPr>
      </w:pPr>
      <w:r>
        <w:rPr>
          <w:rFonts w:ascii="宋体" w:hAnsi="宋体"/>
        </w:rPr>
        <w:t>委托期限：</w:t>
      </w:r>
      <w:r>
        <w:rPr>
          <w:rFonts w:ascii="宋体" w:hAnsi="宋体"/>
          <w:u w:val="single"/>
        </w:rPr>
        <w:t xml:space="preserve">                       </w:t>
      </w:r>
      <w:r>
        <w:rPr>
          <w:rFonts w:ascii="宋体" w:hAnsi="宋体"/>
        </w:rPr>
        <w:t>。</w:t>
      </w:r>
    </w:p>
    <w:p>
      <w:pPr>
        <w:spacing w:line="480" w:lineRule="auto"/>
        <w:ind w:firstLine="420" w:firstLineChars="200"/>
        <w:rPr>
          <w:rFonts w:ascii="宋体" w:hAnsi="宋体"/>
        </w:rPr>
      </w:pPr>
      <w:r>
        <w:rPr>
          <w:rFonts w:ascii="宋体" w:hAnsi="宋体"/>
        </w:rPr>
        <w:t>代理人无转委托权。</w:t>
      </w:r>
    </w:p>
    <w:p>
      <w:pPr>
        <w:spacing w:line="480" w:lineRule="auto"/>
        <w:ind w:firstLine="420" w:firstLineChars="200"/>
        <w:rPr>
          <w:rFonts w:ascii="宋体" w:hAnsi="宋体"/>
        </w:rPr>
      </w:pPr>
    </w:p>
    <w:p>
      <w:pPr>
        <w:spacing w:line="480" w:lineRule="auto"/>
        <w:rPr>
          <w:rFonts w:ascii="宋体" w:hAnsi="宋体"/>
        </w:rPr>
      </w:pPr>
      <w:r>
        <w:rPr>
          <w:rFonts w:ascii="宋体" w:hAnsi="宋体"/>
        </w:rPr>
        <w:t>附：法定代表人身份证复印件及委托代理人身份证复印件</w:t>
      </w:r>
      <w:r>
        <w:rPr>
          <w:rFonts w:hint="eastAsia" w:ascii="宋体" w:hAnsi="宋体"/>
        </w:rPr>
        <w:t>（正、反面）</w:t>
      </w:r>
    </w:p>
    <w:p>
      <w:pPr>
        <w:spacing w:line="480" w:lineRule="auto"/>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ind w:firstLine="2692" w:firstLineChars="1282"/>
        <w:rPr>
          <w:rFonts w:ascii="宋体" w:hAnsi="宋体"/>
        </w:rPr>
      </w:pPr>
      <w:r>
        <w:rPr>
          <w:rFonts w:hint="eastAsia" w:ascii="宋体" w:hAnsi="宋体"/>
        </w:rPr>
        <w:t>报  价  人</w:t>
      </w:r>
      <w:r>
        <w:rPr>
          <w:rFonts w:ascii="宋体" w:hAnsi="宋体"/>
        </w:rPr>
        <w:t>：</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ind w:firstLine="2690" w:firstLineChars="1281"/>
        <w:jc w:val="left"/>
        <w:rPr>
          <w:rFonts w:ascii="宋体" w:hAnsi="宋体"/>
        </w:rPr>
      </w:pPr>
      <w:r>
        <w:rPr>
          <w:rFonts w:ascii="宋体" w:hAnsi="宋体"/>
        </w:rPr>
        <w:t>法定代表人：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ab/>
      </w:r>
      <w:r>
        <w:rPr>
          <w:rFonts w:ascii="宋体" w:hAnsi="宋体"/>
        </w:rPr>
        <w:t>（签字</w:t>
      </w:r>
      <w:r>
        <w:rPr>
          <w:rFonts w:hint="eastAsia" w:ascii="宋体" w:hAnsi="宋体"/>
        </w:rPr>
        <w:t xml:space="preserve"> </w:t>
      </w:r>
      <w:r>
        <w:rPr>
          <w:rFonts w:ascii="宋体" w:hAnsi="宋体"/>
        </w:rPr>
        <w:t>）</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（签字）</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p>
    <w:p>
      <w:pPr>
        <w:spacing w:line="440" w:lineRule="exact"/>
        <w:ind w:firstLine="4057" w:firstLineChars="1932"/>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cs="宋体"/>
          <w:sz w:val="28"/>
        </w:rPr>
        <w:sectPr>
          <w:footerReference r:id="rId10" w:type="first"/>
          <w:footerReference r:id="rId9" w:type="default"/>
          <w:pgSz w:w="11906" w:h="16838"/>
          <w:pgMar w:top="1440" w:right="1576" w:bottom="1440" w:left="1463" w:header="851" w:footer="992" w:gutter="0"/>
          <w:cols w:space="0" w:num="1"/>
          <w:titlePg/>
          <w:docGrid w:type="lines" w:linePitch="319" w:charSpace="0"/>
        </w:sectPr>
      </w:pPr>
      <w:r>
        <w:rPr>
          <w:rFonts w:ascii="宋体" w:hAnsi="宋体"/>
        </w:rPr>
        <w:t>注：本授权委托书需由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并由其法定代表人和委托代理人签</w:t>
      </w:r>
      <w:bookmarkStart w:id="828" w:name="_Toc11329275"/>
    </w:p>
    <w:bookmarkEnd w:id="803"/>
    <w:bookmarkEnd w:id="804"/>
    <w:bookmarkEnd w:id="805"/>
    <w:bookmarkEnd w:id="828"/>
    <w:p>
      <w:pPr>
        <w:pStyle w:val="4"/>
        <w:numPr>
          <w:ilvl w:val="0"/>
          <w:numId w:val="4"/>
        </w:numPr>
        <w:spacing w:before="0" w:after="0" w:line="360" w:lineRule="auto"/>
        <w:jc w:val="center"/>
        <w:rPr>
          <w:rFonts w:ascii="宋体" w:hAnsi="宋体" w:eastAsia="宋体" w:cs="宋体"/>
          <w:sz w:val="28"/>
        </w:rPr>
      </w:pPr>
      <w:bookmarkStart w:id="829" w:name="_Toc6420"/>
      <w:r>
        <w:rPr>
          <w:rFonts w:hint="eastAsia" w:ascii="宋体" w:hAnsi="宋体" w:eastAsia="宋体" w:cs="宋体"/>
          <w:sz w:val="28"/>
        </w:rPr>
        <w:t>报价一览表</w:t>
      </w:r>
      <w:bookmarkEnd w:id="829"/>
    </w:p>
    <w:p>
      <w:pPr>
        <w:pStyle w:val="38"/>
        <w:spacing w:line="480" w:lineRule="auto"/>
        <w:jc w:val="both"/>
        <w:rPr>
          <w:rFonts w:hAnsi="宋体"/>
        </w:rPr>
      </w:pPr>
      <w:r>
        <w:rPr>
          <w:rFonts w:hint="eastAsia" w:hAnsi="宋体"/>
        </w:rPr>
        <w:t>重庆首讯科技股份有限公司：</w:t>
      </w:r>
    </w:p>
    <w:p>
      <w:pPr>
        <w:spacing w:line="480" w:lineRule="auto"/>
        <w:ind w:firstLine="480" w:firstLineChars="200"/>
        <w:jc w:val="left"/>
        <w:rPr>
          <w:rFonts w:ascii="宋体" w:hAnsi="宋体"/>
          <w:b/>
          <w:color w:val="000000"/>
          <w:sz w:val="24"/>
        </w:rPr>
      </w:pPr>
      <w:r>
        <w:rPr>
          <w:rFonts w:hint="eastAsia" w:ascii="宋体" w:hAnsi="宋体"/>
          <w:color w:val="000000"/>
          <w:sz w:val="24"/>
        </w:rPr>
        <w:t>在研究了竞争比选文件中所有文件后，我司对</w:t>
      </w:r>
      <w:r>
        <w:rPr>
          <w:rFonts w:hint="eastAsia" w:ascii="Arial" w:hAnsi="Arial" w:cs="Arial"/>
          <w:color w:val="000000"/>
          <w:sz w:val="24"/>
          <w:u w:val="single"/>
        </w:rPr>
        <w:t>XXX项目</w:t>
      </w:r>
      <w:r>
        <w:rPr>
          <w:rFonts w:hint="eastAsia" w:ascii="宋体" w:hAnsi="宋体"/>
          <w:color w:val="000000"/>
          <w:sz w:val="24"/>
        </w:rPr>
        <w:t>竞</w:t>
      </w:r>
      <w:r>
        <w:rPr>
          <w:rFonts w:hint="eastAsia" w:ascii="Arial" w:hAnsi="Arial" w:cs="Arial"/>
          <w:color w:val="000000"/>
          <w:sz w:val="24"/>
        </w:rPr>
        <w:t>争比选响应</w:t>
      </w:r>
      <w:r>
        <w:rPr>
          <w:rFonts w:hint="eastAsia" w:ascii="宋体" w:hAnsi="宋体"/>
          <w:color w:val="000000"/>
          <w:sz w:val="24"/>
        </w:rPr>
        <w:t>报价如下：</w:t>
      </w:r>
      <w:r>
        <w:rPr>
          <w:rFonts w:hint="eastAsia" w:ascii="宋体" w:hAnsi="宋体"/>
          <w:b/>
          <w:color w:val="000000"/>
          <w:sz w:val="24"/>
        </w:rPr>
        <w:t xml:space="preserve"> </w:t>
      </w:r>
    </w:p>
    <w:p>
      <w:pPr>
        <w:pStyle w:val="28"/>
        <w:rPr>
          <w:rFonts w:ascii="宋体" w:hAnsi="宋体" w:cs="宋体"/>
          <w:kern w:val="0"/>
          <w:szCs w:val="21"/>
        </w:rPr>
      </w:pPr>
    </w:p>
    <w:p>
      <w:pPr>
        <w:rPr>
          <w:rFonts w:ascii="宋体" w:hAnsi="宋体" w:cs="宋体"/>
          <w:kern w:val="0"/>
          <w:szCs w:val="21"/>
        </w:rPr>
      </w:pPr>
    </w:p>
    <w:tbl>
      <w:tblPr>
        <w:tblStyle w:val="44"/>
        <w:tblpPr w:leftFromText="180" w:rightFromText="180" w:vertAnchor="text" w:horzAnchor="page" w:tblpX="861" w:tblpY="417"/>
        <w:tblOverlap w:val="never"/>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420"/>
        <w:gridCol w:w="2030"/>
        <w:gridCol w:w="1325"/>
        <w:gridCol w:w="1113"/>
        <w:gridCol w:w="1212"/>
        <w:gridCol w:w="773"/>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33" w:type="dxa"/>
            <w:vAlign w:val="center"/>
          </w:tcPr>
          <w:p>
            <w:pPr>
              <w:spacing w:line="360" w:lineRule="auto"/>
              <w:jc w:val="center"/>
              <w:rPr>
                <w:rFonts w:eastAsia="Times New Roman"/>
                <w:b/>
                <w:bCs/>
              </w:rPr>
            </w:pPr>
            <w:r>
              <w:rPr>
                <w:rFonts w:hint="eastAsia" w:eastAsia="Times New Roman"/>
                <w:b/>
                <w:bCs/>
              </w:rPr>
              <w:t>序号</w:t>
            </w:r>
          </w:p>
        </w:tc>
        <w:tc>
          <w:tcPr>
            <w:tcW w:w="2420" w:type="dxa"/>
            <w:vAlign w:val="center"/>
          </w:tcPr>
          <w:p>
            <w:pPr>
              <w:spacing w:line="360" w:lineRule="auto"/>
              <w:jc w:val="center"/>
              <w:rPr>
                <w:rFonts w:eastAsia="Times New Roman"/>
                <w:b/>
                <w:bCs/>
              </w:rPr>
            </w:pPr>
            <w:r>
              <w:rPr>
                <w:rFonts w:hint="eastAsia" w:eastAsia="Times New Roman"/>
                <w:b/>
                <w:bCs/>
              </w:rPr>
              <w:t>设备名称</w:t>
            </w:r>
          </w:p>
        </w:tc>
        <w:tc>
          <w:tcPr>
            <w:tcW w:w="2030" w:type="dxa"/>
            <w:vAlign w:val="center"/>
          </w:tcPr>
          <w:p>
            <w:pPr>
              <w:spacing w:line="360" w:lineRule="auto"/>
              <w:jc w:val="center"/>
              <w:rPr>
                <w:rFonts w:eastAsia="Times New Roman"/>
                <w:b/>
                <w:bCs/>
              </w:rPr>
            </w:pPr>
            <w:r>
              <w:rPr>
                <w:rFonts w:hint="eastAsia" w:ascii="宋体" w:hAnsi="宋体" w:eastAsia="Times New Roman" w:cs="宋体"/>
                <w:b/>
                <w:bCs/>
                <w:highlight w:val="none"/>
              </w:rPr>
              <w:t>品牌型号</w:t>
            </w:r>
          </w:p>
        </w:tc>
        <w:tc>
          <w:tcPr>
            <w:tcW w:w="1325" w:type="dxa"/>
            <w:vAlign w:val="center"/>
          </w:tcPr>
          <w:p>
            <w:pPr>
              <w:spacing w:line="360" w:lineRule="auto"/>
              <w:jc w:val="center"/>
              <w:rPr>
                <w:rFonts w:eastAsia="Times New Roman"/>
                <w:b/>
                <w:bCs/>
              </w:rPr>
            </w:pPr>
            <w:r>
              <w:rPr>
                <w:rFonts w:hint="eastAsia" w:eastAsia="Times New Roman"/>
                <w:b/>
                <w:bCs/>
              </w:rPr>
              <w:t>部署位置</w:t>
            </w:r>
          </w:p>
        </w:tc>
        <w:tc>
          <w:tcPr>
            <w:tcW w:w="1113" w:type="dxa"/>
            <w:vAlign w:val="center"/>
          </w:tcPr>
          <w:p>
            <w:pPr>
              <w:spacing w:line="360" w:lineRule="auto"/>
              <w:jc w:val="center"/>
              <w:rPr>
                <w:rFonts w:eastAsia="Times New Roman"/>
                <w:b/>
                <w:bCs/>
              </w:rPr>
            </w:pPr>
            <w:r>
              <w:rPr>
                <w:rFonts w:hint="eastAsia" w:eastAsia="Times New Roman"/>
                <w:b/>
                <w:bCs/>
              </w:rPr>
              <w:t>采购数量</w:t>
            </w:r>
          </w:p>
        </w:tc>
        <w:tc>
          <w:tcPr>
            <w:tcW w:w="1212" w:type="dxa"/>
            <w:vAlign w:val="center"/>
          </w:tcPr>
          <w:p>
            <w:pPr>
              <w:spacing w:line="360" w:lineRule="auto"/>
              <w:jc w:val="center"/>
              <w:rPr>
                <w:rFonts w:eastAsia="Times New Roman"/>
                <w:b/>
                <w:bCs/>
              </w:rPr>
            </w:pPr>
            <w:r>
              <w:rPr>
                <w:rFonts w:hint="eastAsia" w:eastAsia="Times New Roman"/>
                <w:b/>
                <w:bCs/>
              </w:rPr>
              <w:t>单价</w:t>
            </w:r>
          </w:p>
          <w:p>
            <w:pPr>
              <w:spacing w:line="360" w:lineRule="auto"/>
              <w:jc w:val="center"/>
              <w:rPr>
                <w:rFonts w:eastAsia="Times New Roman"/>
                <w:b/>
                <w:bCs/>
              </w:rPr>
            </w:pPr>
            <w:r>
              <w:rPr>
                <w:rFonts w:hint="eastAsia" w:eastAsia="Times New Roman"/>
                <w:b/>
                <w:bCs/>
              </w:rPr>
              <w:t>（元）</w:t>
            </w:r>
          </w:p>
        </w:tc>
        <w:tc>
          <w:tcPr>
            <w:tcW w:w="773" w:type="dxa"/>
            <w:vAlign w:val="center"/>
          </w:tcPr>
          <w:p>
            <w:pPr>
              <w:spacing w:line="360" w:lineRule="auto"/>
              <w:jc w:val="center"/>
              <w:rPr>
                <w:rFonts w:eastAsia="Times New Roman"/>
                <w:b/>
                <w:bCs/>
              </w:rPr>
            </w:pPr>
            <w:r>
              <w:rPr>
                <w:rFonts w:hint="eastAsia" w:eastAsia="Times New Roman"/>
                <w:b/>
                <w:bCs/>
              </w:rPr>
              <w:t>小计</w:t>
            </w:r>
          </w:p>
          <w:p>
            <w:pPr>
              <w:spacing w:line="360" w:lineRule="auto"/>
              <w:jc w:val="center"/>
              <w:rPr>
                <w:rFonts w:eastAsia="Times New Roman"/>
                <w:b/>
                <w:bCs/>
              </w:rPr>
            </w:pPr>
            <w:r>
              <w:rPr>
                <w:rFonts w:hint="eastAsia" w:eastAsia="Times New Roman"/>
                <w:b/>
                <w:bCs/>
              </w:rPr>
              <w:t>（元）</w:t>
            </w:r>
          </w:p>
        </w:tc>
        <w:tc>
          <w:tcPr>
            <w:tcW w:w="708" w:type="dxa"/>
            <w:vAlign w:val="center"/>
          </w:tcPr>
          <w:p>
            <w:pPr>
              <w:spacing w:line="360" w:lineRule="auto"/>
              <w:jc w:val="center"/>
              <w:rPr>
                <w:rFonts w:eastAsia="Times New Roman"/>
                <w:b/>
                <w:bCs/>
              </w:rPr>
            </w:pPr>
            <w:r>
              <w:rPr>
                <w:rFonts w:hint="eastAsia" w:eastAsia="Times New Roman"/>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33" w:type="dxa"/>
            <w:vAlign w:val="center"/>
          </w:tcPr>
          <w:p>
            <w:pPr>
              <w:spacing w:line="360" w:lineRule="auto"/>
              <w:jc w:val="center"/>
              <w:rPr>
                <w:rFonts w:eastAsia="Times New Roman"/>
              </w:rPr>
            </w:pPr>
            <w:r>
              <w:rPr>
                <w:rFonts w:hint="eastAsia" w:eastAsia="Times New Roman"/>
              </w:rPr>
              <w:t>1</w:t>
            </w:r>
          </w:p>
        </w:tc>
        <w:tc>
          <w:tcPr>
            <w:tcW w:w="2420" w:type="dxa"/>
            <w:vAlign w:val="center"/>
          </w:tcPr>
          <w:p>
            <w:pPr>
              <w:spacing w:line="360" w:lineRule="auto"/>
              <w:jc w:val="center"/>
              <w:rPr>
                <w:rFonts w:eastAsia="Times New Roman"/>
              </w:rPr>
            </w:pPr>
            <w:r>
              <w:rPr>
                <w:rFonts w:hint="eastAsia" w:eastAsia="Times New Roman"/>
              </w:rPr>
              <w:t>入侵防御系统</w:t>
            </w:r>
          </w:p>
        </w:tc>
        <w:tc>
          <w:tcPr>
            <w:tcW w:w="2030" w:type="dxa"/>
          </w:tcPr>
          <w:p>
            <w:pPr>
              <w:spacing w:line="360" w:lineRule="auto"/>
              <w:jc w:val="center"/>
              <w:rPr>
                <w:rFonts w:eastAsia="Times New Roman"/>
              </w:rPr>
            </w:pPr>
            <w:bookmarkStart w:id="853" w:name="_GoBack"/>
            <w:bookmarkEnd w:id="853"/>
          </w:p>
        </w:tc>
        <w:tc>
          <w:tcPr>
            <w:tcW w:w="1325" w:type="dxa"/>
            <w:vAlign w:val="center"/>
          </w:tcPr>
          <w:p>
            <w:pPr>
              <w:spacing w:line="360" w:lineRule="auto"/>
              <w:jc w:val="center"/>
              <w:rPr>
                <w:rFonts w:eastAsia="Times New Roman"/>
              </w:rPr>
            </w:pPr>
            <w:r>
              <w:rPr>
                <w:rFonts w:hint="eastAsia" w:eastAsia="Times New Roman"/>
              </w:rPr>
              <w:t>办公网</w:t>
            </w:r>
          </w:p>
        </w:tc>
        <w:tc>
          <w:tcPr>
            <w:tcW w:w="1113" w:type="dxa"/>
            <w:vAlign w:val="center"/>
          </w:tcPr>
          <w:p>
            <w:pPr>
              <w:spacing w:line="360" w:lineRule="auto"/>
              <w:jc w:val="center"/>
              <w:rPr>
                <w:rFonts w:eastAsia="Times New Roman"/>
              </w:rPr>
            </w:pPr>
            <w:r>
              <w:rPr>
                <w:rFonts w:hint="eastAsia" w:eastAsia="Times New Roman"/>
              </w:rPr>
              <w:t>1</w:t>
            </w:r>
          </w:p>
        </w:tc>
        <w:tc>
          <w:tcPr>
            <w:tcW w:w="1212" w:type="dxa"/>
            <w:vAlign w:val="center"/>
          </w:tcPr>
          <w:p>
            <w:pPr>
              <w:spacing w:line="360" w:lineRule="auto"/>
              <w:jc w:val="center"/>
              <w:rPr>
                <w:rFonts w:eastAsia="Times New Roman"/>
              </w:rPr>
            </w:pPr>
          </w:p>
        </w:tc>
        <w:tc>
          <w:tcPr>
            <w:tcW w:w="773" w:type="dxa"/>
            <w:vAlign w:val="center"/>
          </w:tcPr>
          <w:p>
            <w:pPr>
              <w:spacing w:line="360" w:lineRule="auto"/>
              <w:jc w:val="center"/>
              <w:rPr>
                <w:rFonts w:eastAsia="Times New Roman"/>
              </w:rPr>
            </w:pPr>
          </w:p>
        </w:tc>
        <w:tc>
          <w:tcPr>
            <w:tcW w:w="708" w:type="dxa"/>
            <w:vAlign w:val="center"/>
          </w:tcPr>
          <w:p>
            <w:pPr>
              <w:spacing w:line="360" w:lineRule="auto"/>
              <w:jc w:val="center"/>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33" w:type="dxa"/>
            <w:vAlign w:val="center"/>
          </w:tcPr>
          <w:p>
            <w:pPr>
              <w:spacing w:line="360" w:lineRule="auto"/>
              <w:jc w:val="center"/>
              <w:rPr>
                <w:rFonts w:eastAsia="Times New Roman"/>
              </w:rPr>
            </w:pPr>
            <w:r>
              <w:rPr>
                <w:rFonts w:hint="eastAsia" w:eastAsia="Times New Roman"/>
              </w:rPr>
              <w:t>2</w:t>
            </w:r>
          </w:p>
        </w:tc>
        <w:tc>
          <w:tcPr>
            <w:tcW w:w="2420" w:type="dxa"/>
            <w:vAlign w:val="center"/>
          </w:tcPr>
          <w:p>
            <w:pPr>
              <w:jc w:val="center"/>
              <w:rPr>
                <w:rFonts w:eastAsia="Times New Roman"/>
              </w:rPr>
            </w:pPr>
            <w:r>
              <w:rPr>
                <w:rFonts w:hint="eastAsia" w:eastAsia="Times New Roman"/>
              </w:rPr>
              <w:t>综合威胁分析系统</w:t>
            </w:r>
          </w:p>
        </w:tc>
        <w:tc>
          <w:tcPr>
            <w:tcW w:w="2030" w:type="dxa"/>
          </w:tcPr>
          <w:p>
            <w:pPr>
              <w:spacing w:line="360" w:lineRule="auto"/>
              <w:jc w:val="center"/>
              <w:rPr>
                <w:rFonts w:eastAsia="Times New Roman"/>
              </w:rPr>
            </w:pPr>
          </w:p>
        </w:tc>
        <w:tc>
          <w:tcPr>
            <w:tcW w:w="1325" w:type="dxa"/>
            <w:vAlign w:val="center"/>
          </w:tcPr>
          <w:p>
            <w:pPr>
              <w:spacing w:line="360" w:lineRule="auto"/>
              <w:jc w:val="center"/>
              <w:rPr>
                <w:rFonts w:eastAsia="Times New Roman"/>
              </w:rPr>
            </w:pPr>
            <w:r>
              <w:rPr>
                <w:rFonts w:hint="eastAsia" w:eastAsia="Times New Roman"/>
              </w:rPr>
              <w:t>办公网</w:t>
            </w:r>
          </w:p>
        </w:tc>
        <w:tc>
          <w:tcPr>
            <w:tcW w:w="1113" w:type="dxa"/>
            <w:vAlign w:val="center"/>
          </w:tcPr>
          <w:p>
            <w:pPr>
              <w:spacing w:line="360" w:lineRule="auto"/>
              <w:jc w:val="center"/>
              <w:rPr>
                <w:rFonts w:eastAsia="Times New Roman"/>
              </w:rPr>
            </w:pPr>
            <w:r>
              <w:rPr>
                <w:rFonts w:hint="eastAsia" w:eastAsia="Times New Roman"/>
              </w:rPr>
              <w:t>1</w:t>
            </w:r>
          </w:p>
        </w:tc>
        <w:tc>
          <w:tcPr>
            <w:tcW w:w="1212" w:type="dxa"/>
            <w:vAlign w:val="center"/>
          </w:tcPr>
          <w:p>
            <w:pPr>
              <w:spacing w:line="360" w:lineRule="auto"/>
              <w:jc w:val="center"/>
              <w:rPr>
                <w:rFonts w:eastAsia="Times New Roman"/>
              </w:rPr>
            </w:pPr>
          </w:p>
        </w:tc>
        <w:tc>
          <w:tcPr>
            <w:tcW w:w="773" w:type="dxa"/>
            <w:vAlign w:val="center"/>
          </w:tcPr>
          <w:p>
            <w:pPr>
              <w:spacing w:line="360" w:lineRule="auto"/>
              <w:jc w:val="center"/>
              <w:rPr>
                <w:rFonts w:eastAsia="Times New Roman"/>
              </w:rPr>
            </w:pPr>
          </w:p>
        </w:tc>
        <w:tc>
          <w:tcPr>
            <w:tcW w:w="708" w:type="dxa"/>
            <w:vAlign w:val="center"/>
          </w:tcPr>
          <w:p>
            <w:pPr>
              <w:spacing w:line="360" w:lineRule="auto"/>
              <w:jc w:val="center"/>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33" w:type="dxa"/>
            <w:vAlign w:val="center"/>
          </w:tcPr>
          <w:p>
            <w:pPr>
              <w:spacing w:line="360" w:lineRule="auto"/>
              <w:jc w:val="center"/>
              <w:rPr>
                <w:rFonts w:eastAsia="Times New Roman"/>
              </w:rPr>
            </w:pPr>
            <w:r>
              <w:rPr>
                <w:rFonts w:hint="eastAsia" w:eastAsia="Times New Roman"/>
              </w:rPr>
              <w:t>3</w:t>
            </w:r>
          </w:p>
        </w:tc>
        <w:tc>
          <w:tcPr>
            <w:tcW w:w="2420" w:type="dxa"/>
            <w:vAlign w:val="center"/>
          </w:tcPr>
          <w:p>
            <w:pPr>
              <w:jc w:val="center"/>
              <w:rPr>
                <w:rFonts w:eastAsia="Times New Roman"/>
              </w:rPr>
            </w:pPr>
            <w:r>
              <w:rPr>
                <w:rFonts w:hint="eastAsia" w:eastAsia="Times New Roman"/>
              </w:rPr>
              <w:t>网络空间资产测绘与监测平台</w:t>
            </w:r>
          </w:p>
        </w:tc>
        <w:tc>
          <w:tcPr>
            <w:tcW w:w="2030" w:type="dxa"/>
          </w:tcPr>
          <w:p>
            <w:pPr>
              <w:spacing w:line="360" w:lineRule="auto"/>
              <w:jc w:val="center"/>
              <w:rPr>
                <w:rFonts w:eastAsia="Times New Roman"/>
              </w:rPr>
            </w:pPr>
          </w:p>
        </w:tc>
        <w:tc>
          <w:tcPr>
            <w:tcW w:w="1325" w:type="dxa"/>
            <w:vAlign w:val="center"/>
          </w:tcPr>
          <w:p>
            <w:pPr>
              <w:spacing w:line="360" w:lineRule="auto"/>
              <w:jc w:val="center"/>
              <w:rPr>
                <w:rFonts w:eastAsia="Times New Roman"/>
              </w:rPr>
            </w:pPr>
            <w:r>
              <w:rPr>
                <w:rFonts w:hint="eastAsia" w:eastAsia="Times New Roman"/>
              </w:rPr>
              <w:t>办公网</w:t>
            </w:r>
          </w:p>
        </w:tc>
        <w:tc>
          <w:tcPr>
            <w:tcW w:w="1113" w:type="dxa"/>
            <w:vAlign w:val="center"/>
          </w:tcPr>
          <w:p>
            <w:pPr>
              <w:spacing w:line="360" w:lineRule="auto"/>
              <w:jc w:val="center"/>
              <w:rPr>
                <w:rFonts w:eastAsia="Times New Roman"/>
              </w:rPr>
            </w:pPr>
            <w:r>
              <w:rPr>
                <w:rFonts w:hint="eastAsia" w:eastAsia="Times New Roman"/>
              </w:rPr>
              <w:t>1</w:t>
            </w:r>
          </w:p>
        </w:tc>
        <w:tc>
          <w:tcPr>
            <w:tcW w:w="1212" w:type="dxa"/>
            <w:vAlign w:val="center"/>
          </w:tcPr>
          <w:p>
            <w:pPr>
              <w:spacing w:line="360" w:lineRule="auto"/>
              <w:jc w:val="center"/>
              <w:rPr>
                <w:rFonts w:eastAsia="Times New Roman"/>
              </w:rPr>
            </w:pPr>
          </w:p>
        </w:tc>
        <w:tc>
          <w:tcPr>
            <w:tcW w:w="773" w:type="dxa"/>
            <w:vAlign w:val="center"/>
          </w:tcPr>
          <w:p>
            <w:pPr>
              <w:spacing w:line="360" w:lineRule="auto"/>
              <w:jc w:val="center"/>
              <w:rPr>
                <w:rFonts w:eastAsia="Times New Roman"/>
              </w:rPr>
            </w:pPr>
          </w:p>
        </w:tc>
        <w:tc>
          <w:tcPr>
            <w:tcW w:w="708" w:type="dxa"/>
            <w:vAlign w:val="center"/>
          </w:tcPr>
          <w:p>
            <w:pPr>
              <w:spacing w:line="360" w:lineRule="auto"/>
              <w:jc w:val="center"/>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153" w:type="dxa"/>
            <w:gridSpan w:val="2"/>
            <w:vAlign w:val="center"/>
          </w:tcPr>
          <w:p>
            <w:pPr>
              <w:jc w:val="center"/>
              <w:rPr>
                <w:rFonts w:eastAsia="Times New Roman"/>
              </w:rPr>
            </w:pPr>
            <w:r>
              <w:rPr>
                <w:rFonts w:hint="eastAsia" w:eastAsia="Times New Roman"/>
              </w:rPr>
              <w:t>合计</w:t>
            </w:r>
          </w:p>
        </w:tc>
        <w:tc>
          <w:tcPr>
            <w:tcW w:w="2030" w:type="dxa"/>
          </w:tcPr>
          <w:p>
            <w:pPr>
              <w:spacing w:line="360" w:lineRule="auto"/>
              <w:jc w:val="center"/>
              <w:rPr>
                <w:rFonts w:eastAsia="Times New Roman"/>
              </w:rPr>
            </w:pPr>
          </w:p>
        </w:tc>
        <w:tc>
          <w:tcPr>
            <w:tcW w:w="1325" w:type="dxa"/>
            <w:vAlign w:val="center"/>
          </w:tcPr>
          <w:p>
            <w:pPr>
              <w:spacing w:line="360" w:lineRule="auto"/>
              <w:jc w:val="center"/>
              <w:rPr>
                <w:rFonts w:eastAsia="Times New Roman"/>
              </w:rPr>
            </w:pPr>
          </w:p>
        </w:tc>
        <w:tc>
          <w:tcPr>
            <w:tcW w:w="1113" w:type="dxa"/>
            <w:vAlign w:val="center"/>
          </w:tcPr>
          <w:p>
            <w:pPr>
              <w:spacing w:line="360" w:lineRule="auto"/>
              <w:jc w:val="center"/>
              <w:rPr>
                <w:rFonts w:eastAsia="Times New Roman"/>
              </w:rPr>
            </w:pPr>
            <w:r>
              <w:rPr>
                <w:rFonts w:hint="eastAsia" w:eastAsia="Times New Roman"/>
              </w:rPr>
              <w:t>3</w:t>
            </w:r>
          </w:p>
        </w:tc>
        <w:tc>
          <w:tcPr>
            <w:tcW w:w="1212" w:type="dxa"/>
            <w:vAlign w:val="center"/>
          </w:tcPr>
          <w:p>
            <w:pPr>
              <w:spacing w:line="360" w:lineRule="auto"/>
              <w:jc w:val="center"/>
              <w:rPr>
                <w:rFonts w:eastAsia="Times New Roman"/>
              </w:rPr>
            </w:pPr>
          </w:p>
        </w:tc>
        <w:tc>
          <w:tcPr>
            <w:tcW w:w="773" w:type="dxa"/>
            <w:vAlign w:val="center"/>
          </w:tcPr>
          <w:p>
            <w:pPr>
              <w:spacing w:line="360" w:lineRule="auto"/>
              <w:jc w:val="center"/>
              <w:rPr>
                <w:rFonts w:eastAsia="Times New Roman"/>
              </w:rPr>
            </w:pPr>
          </w:p>
        </w:tc>
        <w:tc>
          <w:tcPr>
            <w:tcW w:w="708" w:type="dxa"/>
            <w:vAlign w:val="center"/>
          </w:tcPr>
          <w:p>
            <w:pPr>
              <w:spacing w:line="360" w:lineRule="auto"/>
              <w:jc w:val="center"/>
              <w:rPr>
                <w:rFonts w:eastAsia="Times New Roman"/>
              </w:rPr>
            </w:pPr>
          </w:p>
        </w:tc>
      </w:tr>
    </w:tbl>
    <w:p>
      <w:pPr>
        <w:pStyle w:val="28"/>
        <w:sectPr>
          <w:pgSz w:w="11906" w:h="16838"/>
          <w:pgMar w:top="1440" w:right="1576" w:bottom="1440" w:left="1463" w:header="851" w:footer="992" w:gutter="0"/>
          <w:cols w:space="0" w:num="1"/>
          <w:titlePg/>
          <w:docGrid w:type="lines" w:linePitch="328" w:charSpace="0"/>
        </w:sectPr>
      </w:pPr>
    </w:p>
    <w:p>
      <w:pPr>
        <w:pStyle w:val="4"/>
        <w:numPr>
          <w:ilvl w:val="0"/>
          <w:numId w:val="4"/>
        </w:numPr>
        <w:spacing w:before="0" w:after="0" w:line="360" w:lineRule="auto"/>
        <w:jc w:val="center"/>
        <w:rPr>
          <w:rFonts w:ascii="宋体" w:hAnsi="宋体" w:eastAsia="宋体" w:cs="宋体"/>
          <w:sz w:val="28"/>
        </w:rPr>
      </w:pPr>
      <w:bookmarkStart w:id="830" w:name="_Toc11961"/>
      <w:bookmarkStart w:id="831" w:name="_Toc11329278"/>
      <w:bookmarkStart w:id="832" w:name="_Toc503951050"/>
      <w:bookmarkStart w:id="833" w:name="_Toc12910"/>
      <w:bookmarkStart w:id="834" w:name="_Toc2650"/>
      <w:bookmarkStart w:id="835" w:name="_Toc513633971"/>
      <w:bookmarkStart w:id="836" w:name="_Toc18757"/>
      <w:bookmarkStart w:id="837" w:name="_Toc144974871"/>
      <w:bookmarkStart w:id="838" w:name="_Toc247085887"/>
      <w:bookmarkStart w:id="839" w:name="_Toc447827058"/>
      <w:bookmarkStart w:id="840" w:name="_Toc246996369"/>
      <w:bookmarkStart w:id="841" w:name="_Toc152042592"/>
      <w:bookmarkStart w:id="842" w:name="_Toc152045803"/>
      <w:bookmarkStart w:id="843" w:name="_Toc179632823"/>
      <w:bookmarkStart w:id="844" w:name="_Toc246997112"/>
      <w:r>
        <w:rPr>
          <w:rFonts w:hint="eastAsia" w:ascii="宋体" w:hAnsi="宋体" w:eastAsia="宋体" w:cs="宋体"/>
          <w:sz w:val="28"/>
        </w:rPr>
        <w:t>审查资料</w:t>
      </w:r>
      <w:bookmarkEnd w:id="830"/>
      <w:bookmarkEnd w:id="831"/>
      <w:bookmarkEnd w:id="832"/>
      <w:bookmarkEnd w:id="833"/>
      <w:bookmarkEnd w:id="834"/>
      <w:bookmarkEnd w:id="835"/>
      <w:bookmarkEnd w:id="836"/>
    </w:p>
    <w:p>
      <w:pPr>
        <w:spacing w:line="360" w:lineRule="auto"/>
        <w:jc w:val="left"/>
        <w:outlineLvl w:val="1"/>
        <w:rPr>
          <w:rFonts w:ascii="宋体" w:hAnsi="宋体" w:cs="宋体"/>
          <w:b/>
          <w:bCs/>
          <w:kern w:val="0"/>
          <w:sz w:val="28"/>
          <w:szCs w:val="32"/>
        </w:rPr>
      </w:pPr>
      <w:bookmarkStart w:id="845" w:name="_Toc30248"/>
      <w:r>
        <w:rPr>
          <w:rFonts w:hint="eastAsia" w:ascii="宋体" w:hAnsi="宋体" w:cs="宋体"/>
          <w:b/>
          <w:bCs/>
          <w:kern w:val="0"/>
          <w:sz w:val="28"/>
          <w:szCs w:val="32"/>
        </w:rPr>
        <w:t>（一）资格审查</w:t>
      </w:r>
      <w:bookmarkEnd w:id="837"/>
      <w:bookmarkEnd w:id="838"/>
      <w:bookmarkEnd w:id="839"/>
      <w:bookmarkEnd w:id="840"/>
      <w:bookmarkEnd w:id="841"/>
      <w:bookmarkEnd w:id="842"/>
      <w:bookmarkEnd w:id="843"/>
      <w:bookmarkEnd w:id="844"/>
      <w:bookmarkEnd w:id="845"/>
      <w:bookmarkStart w:id="846" w:name="_Toc513633974"/>
      <w:bookmarkStart w:id="847" w:name="_Toc503951058"/>
    </w:p>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资格名称</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基本要求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color w:val="333333"/>
                <w:szCs w:val="21"/>
                <w:shd w:val="clear" w:color="auto" w:fill="FFFFFF"/>
              </w:rPr>
              <w:t>应在中国境内注册且具有独立法人资格，</w:t>
            </w:r>
            <w:r>
              <w:rPr>
                <w:rFonts w:hint="eastAsia" w:ascii="宋体" w:hAnsi="宋体" w:cs="宋体"/>
                <w:szCs w:val="21"/>
                <w:shd w:val="clear" w:color="auto" w:fill="FFFFFF"/>
              </w:rPr>
              <w:t>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供应商要求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shd w:val="clear" w:color="auto" w:fill="FFFFFF"/>
              </w:rPr>
            </w:pPr>
            <w:r>
              <w:rPr>
                <w:rFonts w:hint="eastAsia" w:ascii="宋体" w:hAnsi="宋体" w:cs="宋体"/>
                <w:szCs w:val="21"/>
              </w:rPr>
              <w:t>报价人须为设备生产厂家或者厂家授权的代理商，如不是设备生产厂家，则需取得设备厂家的项目授权。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szCs w:val="21"/>
                <w:shd w:val="clear" w:color="auto" w:fill="FFFFFF"/>
              </w:rPr>
              <w:t>20</w:t>
            </w:r>
            <w:r>
              <w:rPr>
                <w:rFonts w:ascii="宋体" w:hAnsi="宋体" w:cs="宋体"/>
                <w:szCs w:val="21"/>
                <w:shd w:val="clear" w:color="auto" w:fill="FFFFFF"/>
              </w:rPr>
              <w:t>21</w:t>
            </w:r>
            <w:r>
              <w:rPr>
                <w:rFonts w:hint="eastAsia" w:ascii="宋体" w:hAnsi="宋体" w:cs="宋体"/>
                <w:szCs w:val="21"/>
                <w:shd w:val="clear" w:color="auto" w:fill="FFFFFF"/>
              </w:rPr>
              <w:t>年1月1日至报价截止日期（以合同签订时间为准）至少具有一个同类设备供货业绩（提供合同扫描件）。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shd w:val="clear" w:color="auto" w:fill="FFFFFF"/>
              </w:rPr>
              <w:t>信誉要求：在国家企业信用信息公示系统（http://www.gsxt.gov.cn/）中未被列入严重违法失信企业名单（黑名单）信息；在“信用中国”网站（http://www.creditchina.gov.cn/）中未被列入失信惩戒执行人名单。</w:t>
            </w:r>
          </w:p>
        </w:tc>
      </w:tr>
    </w:tbl>
    <w:p>
      <w:pPr>
        <w:spacing w:line="400" w:lineRule="exact"/>
        <w:jc w:val="left"/>
        <w:rPr>
          <w:rFonts w:hAnsi="宋体"/>
          <w:szCs w:val="21"/>
        </w:rPr>
      </w:pPr>
      <w:r>
        <w:rPr>
          <w:rFonts w:hint="eastAsia" w:ascii="宋体" w:hAnsi="宋体" w:cs="宋体"/>
          <w:szCs w:val="21"/>
        </w:rPr>
        <w:t xml:space="preserve">   </w:t>
      </w:r>
      <w:r>
        <w:rPr>
          <w:rFonts w:hint="eastAsia" w:hAnsi="宋体"/>
          <w:szCs w:val="21"/>
        </w:rPr>
        <w:t>注：</w:t>
      </w:r>
    </w:p>
    <w:p>
      <w:pPr>
        <w:spacing w:line="400" w:lineRule="exact"/>
        <w:ind w:firstLine="420" w:firstLineChars="200"/>
        <w:jc w:val="left"/>
        <w:rPr>
          <w:rFonts w:hAnsi="宋体"/>
          <w:szCs w:val="21"/>
        </w:rPr>
      </w:pPr>
      <w:r>
        <w:rPr>
          <w:rFonts w:hint="eastAsia" w:hAnsi="宋体"/>
          <w:szCs w:val="21"/>
        </w:rPr>
        <w:t>1.提供营业执照复印件，并加盖鲜章。</w:t>
      </w:r>
    </w:p>
    <w:p>
      <w:pPr>
        <w:spacing w:line="400" w:lineRule="exact"/>
        <w:ind w:firstLine="420" w:firstLineChars="200"/>
        <w:jc w:val="left"/>
        <w:rPr>
          <w:rFonts w:hAnsi="宋体"/>
          <w:szCs w:val="21"/>
        </w:rPr>
      </w:pPr>
      <w:r>
        <w:rPr>
          <w:rFonts w:hint="eastAsia" w:hAnsi="宋体"/>
          <w:szCs w:val="21"/>
        </w:rPr>
        <w:t>2.提供若为代理商需提供</w:t>
      </w:r>
      <w:r>
        <w:rPr>
          <w:rFonts w:hint="eastAsia" w:ascii="宋体" w:hAnsi="宋体" w:cs="宋体"/>
          <w:szCs w:val="21"/>
          <w:shd w:val="clear" w:color="auto" w:fill="FFFFFF"/>
        </w:rPr>
        <w:t>设备厂家授权代理证书或项目授权证书</w:t>
      </w:r>
      <w:r>
        <w:rPr>
          <w:rFonts w:hint="eastAsia" w:hAnsi="宋体"/>
          <w:szCs w:val="21"/>
        </w:rPr>
        <w:t>。</w:t>
      </w:r>
    </w:p>
    <w:p>
      <w:pPr>
        <w:ind w:firstLine="420" w:firstLineChars="200"/>
        <w:rPr>
          <w:rFonts w:hAnsi="宋体"/>
          <w:szCs w:val="21"/>
        </w:rPr>
      </w:pPr>
      <w:r>
        <w:rPr>
          <w:rFonts w:hint="eastAsia" w:hAnsi="宋体"/>
          <w:szCs w:val="21"/>
        </w:rPr>
        <w:t>3.业绩合同复印件，并加盖鲜章；合同同复印件需体现合同额、清单、合同签订时间</w:t>
      </w:r>
    </w:p>
    <w:p>
      <w:pPr>
        <w:ind w:firstLine="420" w:firstLineChars="200"/>
      </w:pPr>
      <w:r>
        <w:rPr>
          <w:rFonts w:hint="eastAsia" w:hAnsi="宋体"/>
          <w:szCs w:val="21"/>
        </w:rPr>
        <w:t>4.</w:t>
      </w:r>
      <w:r>
        <w:rPr>
          <w:rFonts w:hint="eastAsia" w:hAnsi="宋体"/>
          <w:kern w:val="0"/>
          <w:szCs w:val="21"/>
        </w:rPr>
        <w:t>提供企业信用信息公示系统（http://www.gsxt.gov.cn/）中未被列入严重违法失信企业名单（黑名单）信息截图和在“信用中国”网站（http://www.creditchina.gov.cn/）中未被列入失信惩戒执行人名单截图信息并加盖鲜章。</w:t>
      </w:r>
    </w:p>
    <w:p>
      <w:pPr>
        <w:widowControl/>
        <w:jc w:val="left"/>
        <w:rPr>
          <w:kern w:val="0"/>
          <w:sz w:val="20"/>
        </w:rPr>
      </w:pPr>
      <w:r>
        <w:br w:type="page"/>
      </w:r>
    </w:p>
    <w:p>
      <w:pPr>
        <w:spacing w:line="360" w:lineRule="auto"/>
        <w:jc w:val="left"/>
        <w:outlineLvl w:val="1"/>
        <w:rPr>
          <w:rFonts w:ascii="宋体" w:hAnsi="宋体" w:cs="宋体"/>
          <w:b/>
          <w:bCs/>
          <w:color w:val="000000" w:themeColor="text1"/>
          <w:sz w:val="24"/>
          <w:szCs w:val="28"/>
          <w14:textFill>
            <w14:solidFill>
              <w14:schemeClr w14:val="tx1"/>
            </w14:solidFill>
          </w14:textFill>
        </w:rPr>
      </w:pPr>
      <w:bookmarkStart w:id="848" w:name="_Toc16972"/>
      <w:bookmarkStart w:id="849" w:name="_Toc8299"/>
      <w:r>
        <w:rPr>
          <w:rFonts w:hint="eastAsia" w:ascii="宋体" w:hAnsi="宋体" w:cs="宋体"/>
          <w:b/>
          <w:bCs/>
          <w:kern w:val="0"/>
          <w:sz w:val="28"/>
          <w:szCs w:val="32"/>
        </w:rPr>
        <w:t>（二）商务评分资料</w:t>
      </w:r>
      <w:bookmarkEnd w:id="848"/>
      <w:bookmarkEnd w:id="849"/>
    </w:p>
    <w:p>
      <w:pPr>
        <w:rPr>
          <w:rFonts w:ascii="宋体" w:hAnsi="宋体" w:cs="宋体"/>
          <w:b/>
          <w:bCs/>
          <w:kern w:val="0"/>
          <w:sz w:val="28"/>
          <w:szCs w:val="32"/>
        </w:rPr>
      </w:pPr>
    </w:p>
    <w:p>
      <w:pPr>
        <w:pStyle w:val="2"/>
        <w:rPr>
          <w:rFonts w:ascii="宋体" w:hAnsi="宋体" w:cs="宋体"/>
          <w:b/>
          <w:bCs/>
          <w:sz w:val="28"/>
          <w:szCs w:val="32"/>
        </w:rPr>
      </w:pPr>
    </w:p>
    <w:p>
      <w:pPr>
        <w:rPr>
          <w:rFonts w:ascii="宋体" w:hAnsi="宋体" w:cs="宋体"/>
          <w:b/>
          <w:bCs/>
          <w:kern w:val="0"/>
          <w:sz w:val="28"/>
          <w:szCs w:val="32"/>
        </w:rPr>
      </w:pPr>
    </w:p>
    <w:p>
      <w:pPr>
        <w:widowControl/>
        <w:jc w:val="left"/>
        <w:rPr>
          <w:rFonts w:ascii="宋体" w:hAnsi="宋体" w:cs="宋体"/>
          <w:b/>
          <w:bCs/>
          <w:kern w:val="0"/>
          <w:sz w:val="28"/>
          <w:szCs w:val="32"/>
        </w:rPr>
      </w:pPr>
      <w:r>
        <w:rPr>
          <w:rFonts w:ascii="宋体" w:hAnsi="宋体" w:cs="宋体"/>
          <w:b/>
          <w:bCs/>
          <w:kern w:val="0"/>
          <w:sz w:val="28"/>
          <w:szCs w:val="32"/>
        </w:rPr>
        <w:br w:type="page"/>
      </w:r>
    </w:p>
    <w:p>
      <w:pPr>
        <w:spacing w:line="360" w:lineRule="auto"/>
        <w:jc w:val="left"/>
        <w:outlineLvl w:val="1"/>
        <w:rPr>
          <w:rFonts w:ascii="宋体" w:hAnsi="宋体" w:cs="宋体"/>
          <w:b/>
          <w:bCs/>
          <w:kern w:val="0"/>
          <w:sz w:val="28"/>
          <w:szCs w:val="32"/>
        </w:rPr>
      </w:pPr>
      <w:bookmarkStart w:id="850" w:name="_Toc1000"/>
      <w:r>
        <w:rPr>
          <w:rFonts w:hint="eastAsia" w:ascii="宋体" w:hAnsi="宋体" w:cs="宋体"/>
          <w:b/>
          <w:bCs/>
          <w:kern w:val="0"/>
          <w:sz w:val="28"/>
          <w:szCs w:val="32"/>
        </w:rPr>
        <w:t>（三）技术评分资料</w:t>
      </w:r>
      <w:bookmarkEnd w:id="850"/>
    </w:p>
    <w:p>
      <w:pPr>
        <w:pStyle w:val="171"/>
        <w:ind w:firstLine="480"/>
      </w:pPr>
    </w:p>
    <w:p>
      <w:pPr>
        <w:widowControl/>
        <w:jc w:val="left"/>
      </w:pPr>
      <w:r>
        <w:br w:type="page"/>
      </w:r>
    </w:p>
    <w:p>
      <w:pPr>
        <w:pStyle w:val="4"/>
        <w:numPr>
          <w:ilvl w:val="0"/>
          <w:numId w:val="4"/>
        </w:numPr>
        <w:spacing w:before="0" w:after="0" w:line="360" w:lineRule="auto"/>
        <w:jc w:val="center"/>
        <w:rPr>
          <w:rFonts w:ascii="宋体" w:hAnsi="宋体" w:eastAsia="宋体" w:cs="宋体"/>
          <w:sz w:val="28"/>
        </w:rPr>
      </w:pPr>
      <w:bookmarkStart w:id="851" w:name="_Toc3821"/>
      <w:r>
        <w:rPr>
          <w:rFonts w:hint="eastAsia" w:ascii="宋体" w:hAnsi="宋体" w:eastAsia="宋体" w:cs="宋体"/>
          <w:sz w:val="28"/>
        </w:rPr>
        <w:t>报价人承诺</w:t>
      </w:r>
      <w:bookmarkEnd w:id="851"/>
    </w:p>
    <w:p>
      <w:pPr>
        <w:pStyle w:val="2"/>
      </w:pPr>
    </w:p>
    <w:p>
      <w:pPr>
        <w:pStyle w:val="38"/>
        <w:spacing w:line="480" w:lineRule="auto"/>
        <w:jc w:val="both"/>
        <w:rPr>
          <w:rFonts w:hAnsi="宋体"/>
        </w:rPr>
      </w:pPr>
      <w:r>
        <w:rPr>
          <w:rFonts w:hint="eastAsia" w:hAnsi="宋体"/>
        </w:rPr>
        <w:t>致：</w:t>
      </w:r>
      <w:r>
        <w:rPr>
          <w:rFonts w:hint="eastAsia" w:hAnsi="宋体"/>
          <w:u w:val="single"/>
        </w:rPr>
        <w:t>重庆首讯科技股份有限公司</w:t>
      </w:r>
    </w:p>
    <w:p/>
    <w:p>
      <w:pPr>
        <w:tabs>
          <w:tab w:val="left" w:pos="1680"/>
          <w:tab w:val="left" w:pos="4215"/>
          <w:tab w:val="left" w:pos="4305"/>
          <w:tab w:val="left" w:pos="8000"/>
        </w:tabs>
        <w:autoSpaceDE w:val="0"/>
        <w:autoSpaceDN w:val="0"/>
        <w:adjustRightInd w:val="0"/>
        <w:snapToGrid w:val="0"/>
        <w:spacing w:line="480" w:lineRule="auto"/>
        <w:ind w:firstLine="720" w:firstLineChars="300"/>
        <w:rPr>
          <w:rFonts w:ascii="宋体" w:hAnsi="宋体"/>
          <w:color w:val="000000"/>
          <w:sz w:val="24"/>
        </w:rPr>
      </w:pPr>
      <w:r>
        <w:rPr>
          <w:rFonts w:hint="eastAsia" w:ascii="宋体" w:hAnsi="宋体"/>
          <w:color w:val="000000"/>
          <w:sz w:val="24"/>
        </w:rPr>
        <w:t>在研究XXXX   项目竞争比选文件后，在此郑重承诺我司满足本项目一切报价内容、质量标准及服务期限等相关要求，响应比选函的一切内容，同时申明将按照自行给出的商务、技术方案组建服务团队、履行服务义务。若我司中标本项目且无法满足业主相关需求，我司愿承担由此给采购人造成的一切损失。</w:t>
      </w:r>
    </w:p>
    <w:p>
      <w:pPr>
        <w:pStyle w:val="2"/>
        <w:spacing w:line="480" w:lineRule="auto"/>
        <w:rPr>
          <w:rFonts w:ascii="宋体" w:hAnsi="宋体"/>
          <w:color w:val="000000"/>
          <w:sz w:val="24"/>
        </w:rPr>
      </w:pPr>
    </w:p>
    <w:p>
      <w:pPr>
        <w:spacing w:line="480" w:lineRule="auto"/>
        <w:rPr>
          <w:rFonts w:ascii="宋体" w:hAnsi="宋体"/>
          <w:color w:val="000000"/>
          <w:sz w:val="24"/>
        </w:rPr>
      </w:pPr>
      <w:r>
        <w:rPr>
          <w:rFonts w:hint="eastAsia" w:ascii="宋体" w:hAnsi="宋体"/>
          <w:color w:val="000000"/>
          <w:sz w:val="24"/>
        </w:rPr>
        <w:t xml:space="preserve">                                        承诺人：XX公司</w:t>
      </w:r>
    </w:p>
    <w:p>
      <w:pPr>
        <w:pStyle w:val="2"/>
        <w:spacing w:line="480" w:lineRule="auto"/>
      </w:pPr>
      <w:r>
        <w:rPr>
          <w:rFonts w:hint="eastAsia" w:ascii="宋体" w:hAnsi="宋体"/>
          <w:color w:val="000000"/>
          <w:sz w:val="24"/>
        </w:rPr>
        <w:t xml:space="preserve">                                        日期：</w:t>
      </w:r>
    </w:p>
    <w:p>
      <w:pPr>
        <w:pStyle w:val="2"/>
        <w:rPr>
          <w:rFonts w:ascii="宋体" w:hAnsi="宋体"/>
          <w:color w:val="000000"/>
          <w:sz w:val="24"/>
        </w:rPr>
      </w:pPr>
    </w:p>
    <w:p>
      <w:pPr>
        <w:rPr>
          <w:rFonts w:ascii="宋体" w:hAnsi="宋体"/>
          <w:color w:val="000000"/>
          <w:sz w:val="24"/>
        </w:rPr>
      </w:pPr>
    </w:p>
    <w:p>
      <w:pPr>
        <w:widowControl/>
        <w:jc w:val="left"/>
        <w:rPr>
          <w:kern w:val="0"/>
        </w:rPr>
      </w:pPr>
      <w:r>
        <w:br w:type="page"/>
      </w:r>
    </w:p>
    <w:p>
      <w:pPr>
        <w:pStyle w:val="4"/>
        <w:numPr>
          <w:ilvl w:val="0"/>
          <w:numId w:val="4"/>
        </w:numPr>
        <w:spacing w:before="0" w:after="0" w:line="360" w:lineRule="auto"/>
        <w:jc w:val="center"/>
        <w:rPr>
          <w:rFonts w:ascii="宋体" w:hAnsi="宋体" w:eastAsia="宋体" w:cs="宋体"/>
          <w:sz w:val="28"/>
        </w:rPr>
      </w:pPr>
      <w:bookmarkStart w:id="852" w:name="_Toc30850"/>
      <w:r>
        <w:rPr>
          <w:rFonts w:hint="eastAsia" w:ascii="宋体" w:hAnsi="宋体" w:eastAsia="宋体" w:cs="宋体"/>
          <w:sz w:val="28"/>
        </w:rPr>
        <w:t>其他资料（如有）</w:t>
      </w:r>
      <w:bookmarkEnd w:id="852"/>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bookmarkEnd w:id="846"/>
    <w:bookmarkEnd w:id="847"/>
    <w:p>
      <w:pPr>
        <w:widowControl/>
        <w:jc w:val="left"/>
      </w:pPr>
    </w:p>
    <w:sectPr>
      <w:pgSz w:w="11906" w:h="16838"/>
      <w:pgMar w:top="1440" w:right="1576" w:bottom="1440" w:left="1463" w:header="851" w:footer="992" w:gutter="0"/>
      <w:cols w:space="0" w:num="1"/>
      <w:titlePg/>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FC1E93-2BCB-4A29-808D-2A14A17720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115224B-8276-46DC-A3F6-85E760ADDCD0}"/>
  </w:font>
  <w:font w:name="Arial">
    <w:panose1 w:val="020B0604020202020204"/>
    <w:charset w:val="00"/>
    <w:family w:val="swiss"/>
    <w:pitch w:val="default"/>
    <w:sig w:usb0="E0002EFF" w:usb1="C000785B" w:usb2="00000009" w:usb3="00000000" w:csb0="400001FF" w:csb1="FFFF0000"/>
    <w:embedRegular r:id="rId3" w:fontKey="{60BA88ED-64D6-4689-8331-6A7821519EE9}"/>
  </w:font>
  <w:font w:name="仿宋_GB2312">
    <w:altName w:val="仿宋"/>
    <w:panose1 w:val="020B0604020202020204"/>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embedRegular r:id="rId4" w:fontKey="{A209E3A4-B4A6-4FEB-A979-7587ADCD4D52}"/>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embedRegular r:id="rId5" w:fontKey="{8E7485D0-0305-48E5-A731-6B9BF3C567EF}"/>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Wingdings">
    <w:panose1 w:val="05000000000000000000"/>
    <w:charset w:val="00"/>
    <w:family w:val="decorative"/>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Arial Unicode MS">
    <w:altName w:val="Arial"/>
    <w:panose1 w:val="020B0604020202020204"/>
    <w:charset w:val="80"/>
    <w:family w:val="swiss"/>
    <w:pitch w:val="default"/>
    <w:sig w:usb0="00000000" w:usb1="00000000" w:usb2="0000003F" w:usb3="00000000" w:csb0="003F01FF" w:csb1="00000000"/>
  </w:font>
  <w:font w:name="Segoe UI Symbol">
    <w:panose1 w:val="020B0502040204020203"/>
    <w:charset w:val="00"/>
    <w:family w:val="swiss"/>
    <w:pitch w:val="default"/>
    <w:sig w:usb0="800001E3" w:usb1="1200FFEF" w:usb2="00040000" w:usb3="04000000" w:csb0="00000001" w:csb1="40000000"/>
    <w:embedRegular r:id="rId6" w:fontKey="{E4646785-8567-4154-A0E6-C0C2C5A80484}"/>
  </w:font>
  <w:font w:name="方正小标宋_GBK">
    <w:altName w:val="微软雅黑"/>
    <w:panose1 w:val="020B0604020202020204"/>
    <w:charset w:val="86"/>
    <w:family w:val="script"/>
    <w:pitch w:val="default"/>
    <w:sig w:usb0="00000000" w:usb1="00000000" w:usb2="00000000" w:usb3="00000000" w:csb0="00040000" w:csb1="00000000"/>
    <w:embedRegular r:id="rId7" w:fontKey="{2480F17E-F675-4284-9DB5-2629A2B080D8}"/>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7"/>
      </w:rPr>
    </w:pPr>
    <w:r>
      <w:fldChar w:fldCharType="begin"/>
    </w:r>
    <w:r>
      <w:rPr>
        <w:rStyle w:val="47"/>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6</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7D13C6"/>
    <w:multiLevelType w:val="singleLevel"/>
    <w:tmpl w:val="C87D13C6"/>
    <w:lvl w:ilvl="0" w:tentative="0">
      <w:start w:val="3"/>
      <w:numFmt w:val="chineseCounting"/>
      <w:suff w:val="space"/>
      <w:lvlText w:val="第%1章"/>
      <w:lvlJc w:val="left"/>
      <w:rPr>
        <w:rFonts w:hint="eastAsia"/>
      </w:rPr>
    </w:lvl>
  </w:abstractNum>
  <w:abstractNum w:abstractNumId="1">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3871CE1D"/>
    <w:multiLevelType w:val="singleLevel"/>
    <w:tmpl w:val="3871CE1D"/>
    <w:lvl w:ilvl="0" w:tentative="0">
      <w:start w:val="1"/>
      <w:numFmt w:val="chineseCounting"/>
      <w:suff w:val="nothing"/>
      <w:lvlText w:val="%1、"/>
      <w:lvlJc w:val="left"/>
      <w:rPr>
        <w:rFonts w:hint="eastAsia"/>
      </w:rPr>
    </w:lvl>
  </w:abstractNum>
  <w:abstractNum w:abstractNumId="3">
    <w:nsid w:val="4719FF9B"/>
    <w:multiLevelType w:val="singleLevel"/>
    <w:tmpl w:val="4719FF9B"/>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NotTrackMoves/>
  <w:documentProtection w:enforcement="0"/>
  <w:defaultTabStop w:val="0"/>
  <w:drawingGridVerticalSpacing w:val="164"/>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YmZhZDM3NGJmNGU0ZTQ0ZTdlMzcxNDk2MGJhMjA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4724"/>
    <w:rsid w:val="0004581F"/>
    <w:rsid w:val="00046EC8"/>
    <w:rsid w:val="00050AD2"/>
    <w:rsid w:val="0005109B"/>
    <w:rsid w:val="00055B95"/>
    <w:rsid w:val="000563B8"/>
    <w:rsid w:val="000572DF"/>
    <w:rsid w:val="00057B74"/>
    <w:rsid w:val="0006209E"/>
    <w:rsid w:val="000620D8"/>
    <w:rsid w:val="000628EE"/>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255F"/>
    <w:rsid w:val="000D3345"/>
    <w:rsid w:val="000D34B0"/>
    <w:rsid w:val="000D6003"/>
    <w:rsid w:val="000E1EC6"/>
    <w:rsid w:val="000E2A4B"/>
    <w:rsid w:val="000E313E"/>
    <w:rsid w:val="000E59C6"/>
    <w:rsid w:val="000F2842"/>
    <w:rsid w:val="000F3A68"/>
    <w:rsid w:val="00100F21"/>
    <w:rsid w:val="0010112E"/>
    <w:rsid w:val="00101194"/>
    <w:rsid w:val="00104DDA"/>
    <w:rsid w:val="00105562"/>
    <w:rsid w:val="001060F0"/>
    <w:rsid w:val="00107D39"/>
    <w:rsid w:val="00107E81"/>
    <w:rsid w:val="00110CAE"/>
    <w:rsid w:val="00112802"/>
    <w:rsid w:val="00113B74"/>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036"/>
    <w:rsid w:val="00147ECF"/>
    <w:rsid w:val="001509A5"/>
    <w:rsid w:val="00151358"/>
    <w:rsid w:val="001519B5"/>
    <w:rsid w:val="001528F7"/>
    <w:rsid w:val="00157E7E"/>
    <w:rsid w:val="00160A9D"/>
    <w:rsid w:val="00161FBA"/>
    <w:rsid w:val="0016324C"/>
    <w:rsid w:val="001637E6"/>
    <w:rsid w:val="001646C7"/>
    <w:rsid w:val="001661DF"/>
    <w:rsid w:val="00166289"/>
    <w:rsid w:val="00167B98"/>
    <w:rsid w:val="00167BC0"/>
    <w:rsid w:val="00170C4F"/>
    <w:rsid w:val="00172F64"/>
    <w:rsid w:val="001743B9"/>
    <w:rsid w:val="00177AFB"/>
    <w:rsid w:val="00180EFE"/>
    <w:rsid w:val="00181C68"/>
    <w:rsid w:val="00182DA2"/>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1721"/>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709"/>
    <w:rsid w:val="002258E9"/>
    <w:rsid w:val="00226226"/>
    <w:rsid w:val="00230813"/>
    <w:rsid w:val="00231314"/>
    <w:rsid w:val="00231845"/>
    <w:rsid w:val="002339FF"/>
    <w:rsid w:val="00235CEC"/>
    <w:rsid w:val="002460EA"/>
    <w:rsid w:val="00246DBB"/>
    <w:rsid w:val="00250FD0"/>
    <w:rsid w:val="002537F9"/>
    <w:rsid w:val="00253875"/>
    <w:rsid w:val="0025448C"/>
    <w:rsid w:val="002614AD"/>
    <w:rsid w:val="00263379"/>
    <w:rsid w:val="00264707"/>
    <w:rsid w:val="002660DD"/>
    <w:rsid w:val="00272FC8"/>
    <w:rsid w:val="00277351"/>
    <w:rsid w:val="00277BB5"/>
    <w:rsid w:val="002826F6"/>
    <w:rsid w:val="00287A1A"/>
    <w:rsid w:val="00291987"/>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606D"/>
    <w:rsid w:val="002C7AB6"/>
    <w:rsid w:val="002D54DB"/>
    <w:rsid w:val="002E1D11"/>
    <w:rsid w:val="002E695F"/>
    <w:rsid w:val="002F308B"/>
    <w:rsid w:val="002F59DF"/>
    <w:rsid w:val="002F6545"/>
    <w:rsid w:val="002F737A"/>
    <w:rsid w:val="002F73BF"/>
    <w:rsid w:val="002F7968"/>
    <w:rsid w:val="0030098F"/>
    <w:rsid w:val="00300BA8"/>
    <w:rsid w:val="0030183E"/>
    <w:rsid w:val="00305027"/>
    <w:rsid w:val="003111A2"/>
    <w:rsid w:val="0031451A"/>
    <w:rsid w:val="0031530B"/>
    <w:rsid w:val="00321B30"/>
    <w:rsid w:val="00322C4B"/>
    <w:rsid w:val="00323A00"/>
    <w:rsid w:val="0032479B"/>
    <w:rsid w:val="00325CDF"/>
    <w:rsid w:val="00326D75"/>
    <w:rsid w:val="003276B2"/>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3ABF"/>
    <w:rsid w:val="003B5115"/>
    <w:rsid w:val="003B5AAE"/>
    <w:rsid w:val="003B696A"/>
    <w:rsid w:val="003C18C8"/>
    <w:rsid w:val="003C28DD"/>
    <w:rsid w:val="003C4C34"/>
    <w:rsid w:val="003C7632"/>
    <w:rsid w:val="003C7809"/>
    <w:rsid w:val="003D0BF2"/>
    <w:rsid w:val="003D3B7E"/>
    <w:rsid w:val="003D4436"/>
    <w:rsid w:val="003D5153"/>
    <w:rsid w:val="003D5CCB"/>
    <w:rsid w:val="003D5F84"/>
    <w:rsid w:val="003E0D5A"/>
    <w:rsid w:val="003E3829"/>
    <w:rsid w:val="003E38BD"/>
    <w:rsid w:val="003E68AB"/>
    <w:rsid w:val="003F098D"/>
    <w:rsid w:val="003F1C45"/>
    <w:rsid w:val="003F1F45"/>
    <w:rsid w:val="003F34F8"/>
    <w:rsid w:val="003F6AEE"/>
    <w:rsid w:val="003F6DC1"/>
    <w:rsid w:val="003F7927"/>
    <w:rsid w:val="003F7A0C"/>
    <w:rsid w:val="00402F66"/>
    <w:rsid w:val="00403314"/>
    <w:rsid w:val="00404848"/>
    <w:rsid w:val="00411545"/>
    <w:rsid w:val="00412072"/>
    <w:rsid w:val="00415B93"/>
    <w:rsid w:val="00420586"/>
    <w:rsid w:val="00420FC3"/>
    <w:rsid w:val="00421219"/>
    <w:rsid w:val="00421DFA"/>
    <w:rsid w:val="00423CEA"/>
    <w:rsid w:val="00425DD8"/>
    <w:rsid w:val="00426621"/>
    <w:rsid w:val="0043226B"/>
    <w:rsid w:val="0043326B"/>
    <w:rsid w:val="00433329"/>
    <w:rsid w:val="00434144"/>
    <w:rsid w:val="00435BC6"/>
    <w:rsid w:val="004409EE"/>
    <w:rsid w:val="0044320E"/>
    <w:rsid w:val="00443CBF"/>
    <w:rsid w:val="00443D8E"/>
    <w:rsid w:val="00444730"/>
    <w:rsid w:val="00446BC9"/>
    <w:rsid w:val="00452F25"/>
    <w:rsid w:val="00453BE6"/>
    <w:rsid w:val="004549D2"/>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3741"/>
    <w:rsid w:val="004851D3"/>
    <w:rsid w:val="004906E4"/>
    <w:rsid w:val="00492555"/>
    <w:rsid w:val="00493C71"/>
    <w:rsid w:val="00494844"/>
    <w:rsid w:val="00496C67"/>
    <w:rsid w:val="004A15BA"/>
    <w:rsid w:val="004A1630"/>
    <w:rsid w:val="004A16CA"/>
    <w:rsid w:val="004A19AC"/>
    <w:rsid w:val="004A3E48"/>
    <w:rsid w:val="004B13EB"/>
    <w:rsid w:val="004B24DB"/>
    <w:rsid w:val="004B36BA"/>
    <w:rsid w:val="004B6B85"/>
    <w:rsid w:val="004C00BE"/>
    <w:rsid w:val="004C023B"/>
    <w:rsid w:val="004C0E82"/>
    <w:rsid w:val="004C1326"/>
    <w:rsid w:val="004C1C0B"/>
    <w:rsid w:val="004C42BC"/>
    <w:rsid w:val="004C4B65"/>
    <w:rsid w:val="004C5682"/>
    <w:rsid w:val="004C6795"/>
    <w:rsid w:val="004C71DC"/>
    <w:rsid w:val="004D09F9"/>
    <w:rsid w:val="004D1ADF"/>
    <w:rsid w:val="004D4A97"/>
    <w:rsid w:val="004D5467"/>
    <w:rsid w:val="004D6EA5"/>
    <w:rsid w:val="004E6A77"/>
    <w:rsid w:val="004F05BD"/>
    <w:rsid w:val="004F5845"/>
    <w:rsid w:val="004F62F3"/>
    <w:rsid w:val="004F7236"/>
    <w:rsid w:val="005016AD"/>
    <w:rsid w:val="00501C58"/>
    <w:rsid w:val="00501C8D"/>
    <w:rsid w:val="00501E62"/>
    <w:rsid w:val="00502E26"/>
    <w:rsid w:val="00504EDE"/>
    <w:rsid w:val="005105DA"/>
    <w:rsid w:val="005118BF"/>
    <w:rsid w:val="0051287B"/>
    <w:rsid w:val="005142E6"/>
    <w:rsid w:val="00514DF5"/>
    <w:rsid w:val="005216B1"/>
    <w:rsid w:val="005230E8"/>
    <w:rsid w:val="005248B7"/>
    <w:rsid w:val="00524AAD"/>
    <w:rsid w:val="00527DED"/>
    <w:rsid w:val="00531D54"/>
    <w:rsid w:val="0053576A"/>
    <w:rsid w:val="0053749E"/>
    <w:rsid w:val="0053783C"/>
    <w:rsid w:val="00540A63"/>
    <w:rsid w:val="00541EAD"/>
    <w:rsid w:val="00543971"/>
    <w:rsid w:val="00543B84"/>
    <w:rsid w:val="00551444"/>
    <w:rsid w:val="005516BA"/>
    <w:rsid w:val="00554CE3"/>
    <w:rsid w:val="005575F2"/>
    <w:rsid w:val="00565E3C"/>
    <w:rsid w:val="0056641F"/>
    <w:rsid w:val="005668C7"/>
    <w:rsid w:val="00570C5E"/>
    <w:rsid w:val="00571660"/>
    <w:rsid w:val="0057233D"/>
    <w:rsid w:val="00573321"/>
    <w:rsid w:val="005758E3"/>
    <w:rsid w:val="005914DA"/>
    <w:rsid w:val="00591F3F"/>
    <w:rsid w:val="00594228"/>
    <w:rsid w:val="005946A1"/>
    <w:rsid w:val="00594DBC"/>
    <w:rsid w:val="0059501D"/>
    <w:rsid w:val="00595124"/>
    <w:rsid w:val="0059598D"/>
    <w:rsid w:val="005A0E5B"/>
    <w:rsid w:val="005A1707"/>
    <w:rsid w:val="005A390C"/>
    <w:rsid w:val="005A3A26"/>
    <w:rsid w:val="005A6CF0"/>
    <w:rsid w:val="005B0870"/>
    <w:rsid w:val="005B2C7F"/>
    <w:rsid w:val="005B5A09"/>
    <w:rsid w:val="005B635A"/>
    <w:rsid w:val="005C1367"/>
    <w:rsid w:val="005C137A"/>
    <w:rsid w:val="005C3C93"/>
    <w:rsid w:val="005C7304"/>
    <w:rsid w:val="005D1938"/>
    <w:rsid w:val="005D1C59"/>
    <w:rsid w:val="005D3202"/>
    <w:rsid w:val="005D48DB"/>
    <w:rsid w:val="005E25FB"/>
    <w:rsid w:val="005E3EBE"/>
    <w:rsid w:val="005E3F38"/>
    <w:rsid w:val="005E5DC7"/>
    <w:rsid w:val="005E782A"/>
    <w:rsid w:val="005F18AC"/>
    <w:rsid w:val="005F2C77"/>
    <w:rsid w:val="005F7408"/>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41A2"/>
    <w:rsid w:val="00644F8F"/>
    <w:rsid w:val="00645AA4"/>
    <w:rsid w:val="0064614C"/>
    <w:rsid w:val="006501D9"/>
    <w:rsid w:val="0065343F"/>
    <w:rsid w:val="00655439"/>
    <w:rsid w:val="00657E7E"/>
    <w:rsid w:val="00660DF4"/>
    <w:rsid w:val="00662461"/>
    <w:rsid w:val="00663C2A"/>
    <w:rsid w:val="00664ABD"/>
    <w:rsid w:val="00670624"/>
    <w:rsid w:val="0067079E"/>
    <w:rsid w:val="00672863"/>
    <w:rsid w:val="0067333E"/>
    <w:rsid w:val="00674008"/>
    <w:rsid w:val="006747F2"/>
    <w:rsid w:val="0067703C"/>
    <w:rsid w:val="0067739E"/>
    <w:rsid w:val="00677827"/>
    <w:rsid w:val="00680AC1"/>
    <w:rsid w:val="00681547"/>
    <w:rsid w:val="00681630"/>
    <w:rsid w:val="00682C95"/>
    <w:rsid w:val="00685B7E"/>
    <w:rsid w:val="00685D10"/>
    <w:rsid w:val="0068774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68A"/>
    <w:rsid w:val="006E2BEB"/>
    <w:rsid w:val="006E2F3D"/>
    <w:rsid w:val="006E3F3F"/>
    <w:rsid w:val="006E44D5"/>
    <w:rsid w:val="006F08B7"/>
    <w:rsid w:val="006F3C7E"/>
    <w:rsid w:val="00702554"/>
    <w:rsid w:val="0070267A"/>
    <w:rsid w:val="00704E87"/>
    <w:rsid w:val="00705864"/>
    <w:rsid w:val="0071015C"/>
    <w:rsid w:val="0071261D"/>
    <w:rsid w:val="0071777A"/>
    <w:rsid w:val="00722FD3"/>
    <w:rsid w:val="007231DA"/>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47CB"/>
    <w:rsid w:val="00775C9B"/>
    <w:rsid w:val="00775EFF"/>
    <w:rsid w:val="00776703"/>
    <w:rsid w:val="0078470B"/>
    <w:rsid w:val="007857ED"/>
    <w:rsid w:val="0079289A"/>
    <w:rsid w:val="00793DE4"/>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7F72FD"/>
    <w:rsid w:val="00800029"/>
    <w:rsid w:val="00800203"/>
    <w:rsid w:val="00800C56"/>
    <w:rsid w:val="00802994"/>
    <w:rsid w:val="00802E86"/>
    <w:rsid w:val="00803A57"/>
    <w:rsid w:val="008048A3"/>
    <w:rsid w:val="00805344"/>
    <w:rsid w:val="00805BEB"/>
    <w:rsid w:val="00806DE5"/>
    <w:rsid w:val="008073CB"/>
    <w:rsid w:val="008104E5"/>
    <w:rsid w:val="008111A1"/>
    <w:rsid w:val="00812A52"/>
    <w:rsid w:val="00812B54"/>
    <w:rsid w:val="00814D87"/>
    <w:rsid w:val="00816118"/>
    <w:rsid w:val="00816C40"/>
    <w:rsid w:val="008170C3"/>
    <w:rsid w:val="00824E3F"/>
    <w:rsid w:val="008253A8"/>
    <w:rsid w:val="00825742"/>
    <w:rsid w:val="00827C3B"/>
    <w:rsid w:val="00833989"/>
    <w:rsid w:val="00833FEE"/>
    <w:rsid w:val="00834654"/>
    <w:rsid w:val="008346F1"/>
    <w:rsid w:val="0083532D"/>
    <w:rsid w:val="008354B1"/>
    <w:rsid w:val="008365E2"/>
    <w:rsid w:val="00836AA3"/>
    <w:rsid w:val="0084014A"/>
    <w:rsid w:val="00840D93"/>
    <w:rsid w:val="0084176C"/>
    <w:rsid w:val="00842D69"/>
    <w:rsid w:val="008450AB"/>
    <w:rsid w:val="00846D68"/>
    <w:rsid w:val="008539A0"/>
    <w:rsid w:val="00854A6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1DB"/>
    <w:rsid w:val="0088161E"/>
    <w:rsid w:val="0088193E"/>
    <w:rsid w:val="00882774"/>
    <w:rsid w:val="00882B8D"/>
    <w:rsid w:val="0088438E"/>
    <w:rsid w:val="00885AC5"/>
    <w:rsid w:val="00886F6A"/>
    <w:rsid w:val="00887D97"/>
    <w:rsid w:val="00890EBC"/>
    <w:rsid w:val="00891734"/>
    <w:rsid w:val="00895E46"/>
    <w:rsid w:val="008967CB"/>
    <w:rsid w:val="008977A4"/>
    <w:rsid w:val="008A3AA0"/>
    <w:rsid w:val="008A55D4"/>
    <w:rsid w:val="008A63AE"/>
    <w:rsid w:val="008A7914"/>
    <w:rsid w:val="008B1019"/>
    <w:rsid w:val="008B3FC7"/>
    <w:rsid w:val="008B5DEA"/>
    <w:rsid w:val="008B6331"/>
    <w:rsid w:val="008B67BA"/>
    <w:rsid w:val="008B7405"/>
    <w:rsid w:val="008C301B"/>
    <w:rsid w:val="008C5B46"/>
    <w:rsid w:val="008C725C"/>
    <w:rsid w:val="008D00FA"/>
    <w:rsid w:val="008D19DF"/>
    <w:rsid w:val="008D63E7"/>
    <w:rsid w:val="008D68C2"/>
    <w:rsid w:val="008D73C7"/>
    <w:rsid w:val="008E0572"/>
    <w:rsid w:val="008E1519"/>
    <w:rsid w:val="008E287D"/>
    <w:rsid w:val="008E45A7"/>
    <w:rsid w:val="00900693"/>
    <w:rsid w:val="009006A6"/>
    <w:rsid w:val="00903037"/>
    <w:rsid w:val="009046B3"/>
    <w:rsid w:val="00905B3A"/>
    <w:rsid w:val="00916B64"/>
    <w:rsid w:val="0092092E"/>
    <w:rsid w:val="00920C99"/>
    <w:rsid w:val="00925EBF"/>
    <w:rsid w:val="00927097"/>
    <w:rsid w:val="009275AE"/>
    <w:rsid w:val="009279C7"/>
    <w:rsid w:val="00931886"/>
    <w:rsid w:val="009332B4"/>
    <w:rsid w:val="0093372E"/>
    <w:rsid w:val="00933E5E"/>
    <w:rsid w:val="00940847"/>
    <w:rsid w:val="00940C7D"/>
    <w:rsid w:val="00940FA6"/>
    <w:rsid w:val="0094101C"/>
    <w:rsid w:val="009421B0"/>
    <w:rsid w:val="0094715F"/>
    <w:rsid w:val="009514A5"/>
    <w:rsid w:val="00951651"/>
    <w:rsid w:val="00953549"/>
    <w:rsid w:val="00954247"/>
    <w:rsid w:val="009564C7"/>
    <w:rsid w:val="00956F8D"/>
    <w:rsid w:val="009572C8"/>
    <w:rsid w:val="00962870"/>
    <w:rsid w:val="00962ACC"/>
    <w:rsid w:val="009647C4"/>
    <w:rsid w:val="00964B02"/>
    <w:rsid w:val="009661C5"/>
    <w:rsid w:val="00967023"/>
    <w:rsid w:val="00972900"/>
    <w:rsid w:val="00972BE1"/>
    <w:rsid w:val="00974712"/>
    <w:rsid w:val="00974ED2"/>
    <w:rsid w:val="009756CC"/>
    <w:rsid w:val="00984865"/>
    <w:rsid w:val="00993114"/>
    <w:rsid w:val="009933AA"/>
    <w:rsid w:val="009967E9"/>
    <w:rsid w:val="00997538"/>
    <w:rsid w:val="00997A14"/>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0470"/>
    <w:rsid w:val="00A123BA"/>
    <w:rsid w:val="00A14408"/>
    <w:rsid w:val="00A149D6"/>
    <w:rsid w:val="00A21CCE"/>
    <w:rsid w:val="00A2254A"/>
    <w:rsid w:val="00A23A4F"/>
    <w:rsid w:val="00A23CC4"/>
    <w:rsid w:val="00A2552A"/>
    <w:rsid w:val="00A25A64"/>
    <w:rsid w:val="00A260BF"/>
    <w:rsid w:val="00A268ED"/>
    <w:rsid w:val="00A27BFC"/>
    <w:rsid w:val="00A3283D"/>
    <w:rsid w:val="00A32C05"/>
    <w:rsid w:val="00A347AC"/>
    <w:rsid w:val="00A35AB5"/>
    <w:rsid w:val="00A35C33"/>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487E"/>
    <w:rsid w:val="00A56AFF"/>
    <w:rsid w:val="00A637BA"/>
    <w:rsid w:val="00A63F81"/>
    <w:rsid w:val="00A66FA8"/>
    <w:rsid w:val="00A700B1"/>
    <w:rsid w:val="00A70CA2"/>
    <w:rsid w:val="00A70D0E"/>
    <w:rsid w:val="00A71A44"/>
    <w:rsid w:val="00A7363E"/>
    <w:rsid w:val="00A805C4"/>
    <w:rsid w:val="00A81C0E"/>
    <w:rsid w:val="00A826A4"/>
    <w:rsid w:val="00A828D4"/>
    <w:rsid w:val="00A83919"/>
    <w:rsid w:val="00A844BE"/>
    <w:rsid w:val="00A84585"/>
    <w:rsid w:val="00A84832"/>
    <w:rsid w:val="00A8542F"/>
    <w:rsid w:val="00A92E22"/>
    <w:rsid w:val="00A95AFB"/>
    <w:rsid w:val="00AA1ED7"/>
    <w:rsid w:val="00AA2125"/>
    <w:rsid w:val="00AA4B9B"/>
    <w:rsid w:val="00AA7B39"/>
    <w:rsid w:val="00AB291E"/>
    <w:rsid w:val="00AB3079"/>
    <w:rsid w:val="00AB454C"/>
    <w:rsid w:val="00AB7314"/>
    <w:rsid w:val="00AC0B60"/>
    <w:rsid w:val="00AC35C8"/>
    <w:rsid w:val="00AC3DCC"/>
    <w:rsid w:val="00AC5579"/>
    <w:rsid w:val="00AC77D9"/>
    <w:rsid w:val="00AD254C"/>
    <w:rsid w:val="00AD3F91"/>
    <w:rsid w:val="00AD5063"/>
    <w:rsid w:val="00AE0656"/>
    <w:rsid w:val="00AE0F5B"/>
    <w:rsid w:val="00AE17FA"/>
    <w:rsid w:val="00AE3AEB"/>
    <w:rsid w:val="00AE7E22"/>
    <w:rsid w:val="00AE7FF3"/>
    <w:rsid w:val="00AF5F1C"/>
    <w:rsid w:val="00AF6CF5"/>
    <w:rsid w:val="00B040EB"/>
    <w:rsid w:val="00B0490C"/>
    <w:rsid w:val="00B05534"/>
    <w:rsid w:val="00B05CAE"/>
    <w:rsid w:val="00B070E2"/>
    <w:rsid w:val="00B12019"/>
    <w:rsid w:val="00B122D8"/>
    <w:rsid w:val="00B13624"/>
    <w:rsid w:val="00B13908"/>
    <w:rsid w:val="00B151A8"/>
    <w:rsid w:val="00B16247"/>
    <w:rsid w:val="00B20392"/>
    <w:rsid w:val="00B235BC"/>
    <w:rsid w:val="00B24221"/>
    <w:rsid w:val="00B25E1A"/>
    <w:rsid w:val="00B2626C"/>
    <w:rsid w:val="00B307F7"/>
    <w:rsid w:val="00B32CAE"/>
    <w:rsid w:val="00B3421D"/>
    <w:rsid w:val="00B35641"/>
    <w:rsid w:val="00B36173"/>
    <w:rsid w:val="00B41020"/>
    <w:rsid w:val="00B42F9A"/>
    <w:rsid w:val="00B459DA"/>
    <w:rsid w:val="00B4774B"/>
    <w:rsid w:val="00B514C3"/>
    <w:rsid w:val="00B52622"/>
    <w:rsid w:val="00B529B8"/>
    <w:rsid w:val="00B53EAE"/>
    <w:rsid w:val="00B55829"/>
    <w:rsid w:val="00B62BC1"/>
    <w:rsid w:val="00B63108"/>
    <w:rsid w:val="00B64A4E"/>
    <w:rsid w:val="00B64BC6"/>
    <w:rsid w:val="00B657A0"/>
    <w:rsid w:val="00B66875"/>
    <w:rsid w:val="00B71C05"/>
    <w:rsid w:val="00B73167"/>
    <w:rsid w:val="00B738A6"/>
    <w:rsid w:val="00B7398F"/>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3C54"/>
    <w:rsid w:val="00BB471C"/>
    <w:rsid w:val="00BB4F74"/>
    <w:rsid w:val="00BB5003"/>
    <w:rsid w:val="00BB5C9D"/>
    <w:rsid w:val="00BB60E7"/>
    <w:rsid w:val="00BC050E"/>
    <w:rsid w:val="00BC12EE"/>
    <w:rsid w:val="00BC1489"/>
    <w:rsid w:val="00BC203B"/>
    <w:rsid w:val="00BC33A9"/>
    <w:rsid w:val="00BD0D90"/>
    <w:rsid w:val="00BD3E47"/>
    <w:rsid w:val="00BD6DC6"/>
    <w:rsid w:val="00BE1BEC"/>
    <w:rsid w:val="00BE4A86"/>
    <w:rsid w:val="00BE4A91"/>
    <w:rsid w:val="00BE60A7"/>
    <w:rsid w:val="00BF28B3"/>
    <w:rsid w:val="00BF587D"/>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42F2"/>
    <w:rsid w:val="00C351C1"/>
    <w:rsid w:val="00C3524A"/>
    <w:rsid w:val="00C364DD"/>
    <w:rsid w:val="00C3756A"/>
    <w:rsid w:val="00C37792"/>
    <w:rsid w:val="00C415BC"/>
    <w:rsid w:val="00C41682"/>
    <w:rsid w:val="00C44E2D"/>
    <w:rsid w:val="00C46B60"/>
    <w:rsid w:val="00C474B2"/>
    <w:rsid w:val="00C50E1B"/>
    <w:rsid w:val="00C517AB"/>
    <w:rsid w:val="00C5393E"/>
    <w:rsid w:val="00C563B6"/>
    <w:rsid w:val="00C624A2"/>
    <w:rsid w:val="00C65656"/>
    <w:rsid w:val="00C66A53"/>
    <w:rsid w:val="00C66E4A"/>
    <w:rsid w:val="00C66FB7"/>
    <w:rsid w:val="00C76490"/>
    <w:rsid w:val="00C81669"/>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4B12"/>
    <w:rsid w:val="00CC505F"/>
    <w:rsid w:val="00CC5715"/>
    <w:rsid w:val="00CD1726"/>
    <w:rsid w:val="00CD225D"/>
    <w:rsid w:val="00CD4175"/>
    <w:rsid w:val="00CD6C71"/>
    <w:rsid w:val="00CD78E5"/>
    <w:rsid w:val="00CE076F"/>
    <w:rsid w:val="00CE0E41"/>
    <w:rsid w:val="00CE2D7F"/>
    <w:rsid w:val="00CE32CD"/>
    <w:rsid w:val="00CE44DD"/>
    <w:rsid w:val="00CF05F6"/>
    <w:rsid w:val="00CF2931"/>
    <w:rsid w:val="00CF2C1E"/>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59BB"/>
    <w:rsid w:val="00D3628E"/>
    <w:rsid w:val="00D37D3B"/>
    <w:rsid w:val="00D43A70"/>
    <w:rsid w:val="00D54AAF"/>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596E"/>
    <w:rsid w:val="00D97A95"/>
    <w:rsid w:val="00DA0216"/>
    <w:rsid w:val="00DA24A3"/>
    <w:rsid w:val="00DB0400"/>
    <w:rsid w:val="00DB0B93"/>
    <w:rsid w:val="00DB0CCC"/>
    <w:rsid w:val="00DB227F"/>
    <w:rsid w:val="00DB2BAB"/>
    <w:rsid w:val="00DB49D5"/>
    <w:rsid w:val="00DB759D"/>
    <w:rsid w:val="00DC0B72"/>
    <w:rsid w:val="00DC163A"/>
    <w:rsid w:val="00DC2D3B"/>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94DBE"/>
    <w:rsid w:val="00EA168E"/>
    <w:rsid w:val="00EA2585"/>
    <w:rsid w:val="00EA416E"/>
    <w:rsid w:val="00EA6533"/>
    <w:rsid w:val="00EA7196"/>
    <w:rsid w:val="00EB1519"/>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D0A"/>
    <w:rsid w:val="00F04E3D"/>
    <w:rsid w:val="00F10690"/>
    <w:rsid w:val="00F10E80"/>
    <w:rsid w:val="00F14AAD"/>
    <w:rsid w:val="00F15A03"/>
    <w:rsid w:val="00F1614E"/>
    <w:rsid w:val="00F1787C"/>
    <w:rsid w:val="00F21444"/>
    <w:rsid w:val="00F23B12"/>
    <w:rsid w:val="00F25134"/>
    <w:rsid w:val="00F27A73"/>
    <w:rsid w:val="00F3551B"/>
    <w:rsid w:val="00F40755"/>
    <w:rsid w:val="00F43948"/>
    <w:rsid w:val="00F4432F"/>
    <w:rsid w:val="00F47A3D"/>
    <w:rsid w:val="00F47D02"/>
    <w:rsid w:val="00F518DB"/>
    <w:rsid w:val="00F524AE"/>
    <w:rsid w:val="00F53D6E"/>
    <w:rsid w:val="00F55898"/>
    <w:rsid w:val="00F55EB1"/>
    <w:rsid w:val="00F56076"/>
    <w:rsid w:val="00F604D3"/>
    <w:rsid w:val="00F620DD"/>
    <w:rsid w:val="00F6265D"/>
    <w:rsid w:val="00F646A2"/>
    <w:rsid w:val="00F648EE"/>
    <w:rsid w:val="00F65BF5"/>
    <w:rsid w:val="00F678C8"/>
    <w:rsid w:val="00F70302"/>
    <w:rsid w:val="00F704DA"/>
    <w:rsid w:val="00F72A20"/>
    <w:rsid w:val="00F72AAD"/>
    <w:rsid w:val="00F72FBB"/>
    <w:rsid w:val="00F73BC2"/>
    <w:rsid w:val="00F73F3B"/>
    <w:rsid w:val="00F7431F"/>
    <w:rsid w:val="00F74775"/>
    <w:rsid w:val="00F75143"/>
    <w:rsid w:val="00F76AF6"/>
    <w:rsid w:val="00F77B65"/>
    <w:rsid w:val="00F807D7"/>
    <w:rsid w:val="00F8218B"/>
    <w:rsid w:val="00F8241E"/>
    <w:rsid w:val="00F83C2D"/>
    <w:rsid w:val="00F848FF"/>
    <w:rsid w:val="00F8662C"/>
    <w:rsid w:val="00F90AD7"/>
    <w:rsid w:val="00F91CB1"/>
    <w:rsid w:val="00F92857"/>
    <w:rsid w:val="00F941F8"/>
    <w:rsid w:val="00F97718"/>
    <w:rsid w:val="00F97C4A"/>
    <w:rsid w:val="00FA1207"/>
    <w:rsid w:val="00FA631E"/>
    <w:rsid w:val="00FA6D96"/>
    <w:rsid w:val="00FA7E59"/>
    <w:rsid w:val="00FA7EB4"/>
    <w:rsid w:val="00FB438B"/>
    <w:rsid w:val="00FB5E2B"/>
    <w:rsid w:val="00FB671E"/>
    <w:rsid w:val="00FC070A"/>
    <w:rsid w:val="00FC3792"/>
    <w:rsid w:val="00FC6389"/>
    <w:rsid w:val="00FD2B70"/>
    <w:rsid w:val="00FD31C4"/>
    <w:rsid w:val="00FD480A"/>
    <w:rsid w:val="00FD4E1C"/>
    <w:rsid w:val="00FD5A4F"/>
    <w:rsid w:val="00FE041C"/>
    <w:rsid w:val="00FE17B3"/>
    <w:rsid w:val="00FE3166"/>
    <w:rsid w:val="00FE3EEF"/>
    <w:rsid w:val="00FE5EBF"/>
    <w:rsid w:val="00FE7AEA"/>
    <w:rsid w:val="00FF0F58"/>
    <w:rsid w:val="00FF3180"/>
    <w:rsid w:val="00FF4C28"/>
    <w:rsid w:val="00FF569F"/>
    <w:rsid w:val="00FF7182"/>
    <w:rsid w:val="015D18DC"/>
    <w:rsid w:val="01852BD3"/>
    <w:rsid w:val="018A6C3C"/>
    <w:rsid w:val="01A8609A"/>
    <w:rsid w:val="01F5332B"/>
    <w:rsid w:val="02155A13"/>
    <w:rsid w:val="02195A53"/>
    <w:rsid w:val="029D41FE"/>
    <w:rsid w:val="02A800C5"/>
    <w:rsid w:val="02C6499B"/>
    <w:rsid w:val="02C91CAA"/>
    <w:rsid w:val="037D0CD2"/>
    <w:rsid w:val="038B3366"/>
    <w:rsid w:val="03981B5E"/>
    <w:rsid w:val="03996EAD"/>
    <w:rsid w:val="03F60BFA"/>
    <w:rsid w:val="04023CC8"/>
    <w:rsid w:val="042674F4"/>
    <w:rsid w:val="042D3C13"/>
    <w:rsid w:val="045B48C9"/>
    <w:rsid w:val="04722D72"/>
    <w:rsid w:val="047A0BBC"/>
    <w:rsid w:val="048503BE"/>
    <w:rsid w:val="04C12ED8"/>
    <w:rsid w:val="04DC5749"/>
    <w:rsid w:val="04E26FED"/>
    <w:rsid w:val="04E41F94"/>
    <w:rsid w:val="04FD6633"/>
    <w:rsid w:val="051347AA"/>
    <w:rsid w:val="052E2B3B"/>
    <w:rsid w:val="054416D2"/>
    <w:rsid w:val="05507F0F"/>
    <w:rsid w:val="05871A0A"/>
    <w:rsid w:val="05A42E7B"/>
    <w:rsid w:val="05A70EA9"/>
    <w:rsid w:val="05D55D36"/>
    <w:rsid w:val="060C2525"/>
    <w:rsid w:val="062756FD"/>
    <w:rsid w:val="065F7A31"/>
    <w:rsid w:val="067C53E7"/>
    <w:rsid w:val="06820F5E"/>
    <w:rsid w:val="06AE2ABA"/>
    <w:rsid w:val="06C75368"/>
    <w:rsid w:val="06C75DF5"/>
    <w:rsid w:val="06DD02BB"/>
    <w:rsid w:val="06E71F51"/>
    <w:rsid w:val="06F965AD"/>
    <w:rsid w:val="07050666"/>
    <w:rsid w:val="071C4DB7"/>
    <w:rsid w:val="07362674"/>
    <w:rsid w:val="073B54B2"/>
    <w:rsid w:val="07537EF9"/>
    <w:rsid w:val="07815EE7"/>
    <w:rsid w:val="07992EC0"/>
    <w:rsid w:val="081748AE"/>
    <w:rsid w:val="08635851"/>
    <w:rsid w:val="08C2359B"/>
    <w:rsid w:val="09041814"/>
    <w:rsid w:val="092D7BDC"/>
    <w:rsid w:val="09332D2B"/>
    <w:rsid w:val="093E2D64"/>
    <w:rsid w:val="09472203"/>
    <w:rsid w:val="098B1DA7"/>
    <w:rsid w:val="09907951"/>
    <w:rsid w:val="099F43E4"/>
    <w:rsid w:val="09A31A61"/>
    <w:rsid w:val="09BA7A85"/>
    <w:rsid w:val="09DE1094"/>
    <w:rsid w:val="09E2475B"/>
    <w:rsid w:val="0A3F34B7"/>
    <w:rsid w:val="0A4B11BE"/>
    <w:rsid w:val="0A6D4F71"/>
    <w:rsid w:val="0A7B4003"/>
    <w:rsid w:val="0A8E5B8D"/>
    <w:rsid w:val="0AA240FA"/>
    <w:rsid w:val="0AAC0CBB"/>
    <w:rsid w:val="0AD84BD3"/>
    <w:rsid w:val="0AE941D3"/>
    <w:rsid w:val="0B1061C6"/>
    <w:rsid w:val="0B2B08D5"/>
    <w:rsid w:val="0BA35012"/>
    <w:rsid w:val="0BB825ED"/>
    <w:rsid w:val="0BC0647C"/>
    <w:rsid w:val="0BD7624B"/>
    <w:rsid w:val="0BE55988"/>
    <w:rsid w:val="0BF26817"/>
    <w:rsid w:val="0C22464A"/>
    <w:rsid w:val="0C2B72AE"/>
    <w:rsid w:val="0C623EAC"/>
    <w:rsid w:val="0C8C63AB"/>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65340B"/>
    <w:rsid w:val="0E7306EC"/>
    <w:rsid w:val="0EB254B2"/>
    <w:rsid w:val="0EFB3F5D"/>
    <w:rsid w:val="0F041CC7"/>
    <w:rsid w:val="0F042317"/>
    <w:rsid w:val="0F1209F8"/>
    <w:rsid w:val="0F4C19DA"/>
    <w:rsid w:val="0F4C7D05"/>
    <w:rsid w:val="0F4F31AF"/>
    <w:rsid w:val="0F5F17BD"/>
    <w:rsid w:val="0F8A103C"/>
    <w:rsid w:val="0F90531D"/>
    <w:rsid w:val="0FAD64B5"/>
    <w:rsid w:val="0FB21FD4"/>
    <w:rsid w:val="0FFF5930"/>
    <w:rsid w:val="10112EBF"/>
    <w:rsid w:val="10646943"/>
    <w:rsid w:val="10A265EF"/>
    <w:rsid w:val="10C2357E"/>
    <w:rsid w:val="10EC4A0F"/>
    <w:rsid w:val="10F015F8"/>
    <w:rsid w:val="11156FC6"/>
    <w:rsid w:val="11485B0D"/>
    <w:rsid w:val="114C7209"/>
    <w:rsid w:val="1154158B"/>
    <w:rsid w:val="117076B2"/>
    <w:rsid w:val="119E6579"/>
    <w:rsid w:val="11D435DD"/>
    <w:rsid w:val="11DA3C43"/>
    <w:rsid w:val="1220326C"/>
    <w:rsid w:val="12226EE4"/>
    <w:rsid w:val="123A67B6"/>
    <w:rsid w:val="125670E6"/>
    <w:rsid w:val="125E1A9C"/>
    <w:rsid w:val="1276289F"/>
    <w:rsid w:val="1288522D"/>
    <w:rsid w:val="129D6A95"/>
    <w:rsid w:val="12AF4046"/>
    <w:rsid w:val="12CE506D"/>
    <w:rsid w:val="12F65490"/>
    <w:rsid w:val="12F73D2A"/>
    <w:rsid w:val="12F9698E"/>
    <w:rsid w:val="13112273"/>
    <w:rsid w:val="131C7C5D"/>
    <w:rsid w:val="13511DF6"/>
    <w:rsid w:val="13587E14"/>
    <w:rsid w:val="138B4634"/>
    <w:rsid w:val="138F1214"/>
    <w:rsid w:val="13BF412F"/>
    <w:rsid w:val="13D101C7"/>
    <w:rsid w:val="13DD4521"/>
    <w:rsid w:val="1400440E"/>
    <w:rsid w:val="142669A3"/>
    <w:rsid w:val="143805F9"/>
    <w:rsid w:val="144729D8"/>
    <w:rsid w:val="145A08BC"/>
    <w:rsid w:val="148E78CB"/>
    <w:rsid w:val="149F4D92"/>
    <w:rsid w:val="14A13E6D"/>
    <w:rsid w:val="14AB614D"/>
    <w:rsid w:val="14B96C2B"/>
    <w:rsid w:val="15436E45"/>
    <w:rsid w:val="15507C7E"/>
    <w:rsid w:val="15664AEF"/>
    <w:rsid w:val="158E23E1"/>
    <w:rsid w:val="159D7EA6"/>
    <w:rsid w:val="159F1BF9"/>
    <w:rsid w:val="15B71B1D"/>
    <w:rsid w:val="15E63361"/>
    <w:rsid w:val="160B0227"/>
    <w:rsid w:val="16132964"/>
    <w:rsid w:val="166C7DA6"/>
    <w:rsid w:val="16864176"/>
    <w:rsid w:val="16E04880"/>
    <w:rsid w:val="16F86032"/>
    <w:rsid w:val="17081A7A"/>
    <w:rsid w:val="17151AB9"/>
    <w:rsid w:val="17292C0C"/>
    <w:rsid w:val="174C321D"/>
    <w:rsid w:val="176F50FE"/>
    <w:rsid w:val="17D10049"/>
    <w:rsid w:val="17DD0B49"/>
    <w:rsid w:val="17F1563C"/>
    <w:rsid w:val="17F23C73"/>
    <w:rsid w:val="180F3B80"/>
    <w:rsid w:val="181B1411"/>
    <w:rsid w:val="181C1400"/>
    <w:rsid w:val="18223BBF"/>
    <w:rsid w:val="18406E44"/>
    <w:rsid w:val="185C1918"/>
    <w:rsid w:val="1880349D"/>
    <w:rsid w:val="18D435BC"/>
    <w:rsid w:val="18E261BC"/>
    <w:rsid w:val="19193365"/>
    <w:rsid w:val="19261639"/>
    <w:rsid w:val="195D5C0E"/>
    <w:rsid w:val="198F24BF"/>
    <w:rsid w:val="19B64CC2"/>
    <w:rsid w:val="19BA69A5"/>
    <w:rsid w:val="19DF6D3F"/>
    <w:rsid w:val="19E24459"/>
    <w:rsid w:val="1A305FF4"/>
    <w:rsid w:val="1A3D7EBE"/>
    <w:rsid w:val="1A4353A0"/>
    <w:rsid w:val="1A557489"/>
    <w:rsid w:val="1AF45443"/>
    <w:rsid w:val="1B075A0C"/>
    <w:rsid w:val="1B1D7BB6"/>
    <w:rsid w:val="1B24154F"/>
    <w:rsid w:val="1B67066F"/>
    <w:rsid w:val="1B7229E4"/>
    <w:rsid w:val="1B7A5EC7"/>
    <w:rsid w:val="1B8E5EC0"/>
    <w:rsid w:val="1CB33990"/>
    <w:rsid w:val="1CF6260F"/>
    <w:rsid w:val="1CF83AEA"/>
    <w:rsid w:val="1CF911FC"/>
    <w:rsid w:val="1D6914D5"/>
    <w:rsid w:val="1D7C7A22"/>
    <w:rsid w:val="1D7E09CF"/>
    <w:rsid w:val="1D9F1A69"/>
    <w:rsid w:val="1DC81497"/>
    <w:rsid w:val="1DE41480"/>
    <w:rsid w:val="1E2139B7"/>
    <w:rsid w:val="1E7A14A8"/>
    <w:rsid w:val="1E7F32B0"/>
    <w:rsid w:val="1EBA058B"/>
    <w:rsid w:val="1EBB622E"/>
    <w:rsid w:val="1EC34807"/>
    <w:rsid w:val="1EEA13A6"/>
    <w:rsid w:val="1EFE64E9"/>
    <w:rsid w:val="1F6207D0"/>
    <w:rsid w:val="1F7D0570"/>
    <w:rsid w:val="1FE1627D"/>
    <w:rsid w:val="1FEA603B"/>
    <w:rsid w:val="20133D98"/>
    <w:rsid w:val="20226856"/>
    <w:rsid w:val="20293E2F"/>
    <w:rsid w:val="20686E43"/>
    <w:rsid w:val="206E3E8E"/>
    <w:rsid w:val="207224C8"/>
    <w:rsid w:val="2076639A"/>
    <w:rsid w:val="2093114F"/>
    <w:rsid w:val="209B57AA"/>
    <w:rsid w:val="20A121FD"/>
    <w:rsid w:val="20C20004"/>
    <w:rsid w:val="20D07CD4"/>
    <w:rsid w:val="20D506EC"/>
    <w:rsid w:val="20D83D6E"/>
    <w:rsid w:val="20DE5531"/>
    <w:rsid w:val="20E1180E"/>
    <w:rsid w:val="20EA6084"/>
    <w:rsid w:val="20F01139"/>
    <w:rsid w:val="20F1461D"/>
    <w:rsid w:val="212B522B"/>
    <w:rsid w:val="21736537"/>
    <w:rsid w:val="21977807"/>
    <w:rsid w:val="21991621"/>
    <w:rsid w:val="219A6D4B"/>
    <w:rsid w:val="21C2735E"/>
    <w:rsid w:val="21E57FA3"/>
    <w:rsid w:val="21FB5A74"/>
    <w:rsid w:val="226827C0"/>
    <w:rsid w:val="227C6EFF"/>
    <w:rsid w:val="22942795"/>
    <w:rsid w:val="22A10D06"/>
    <w:rsid w:val="22B665A5"/>
    <w:rsid w:val="22B85F08"/>
    <w:rsid w:val="22C71A27"/>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4E56C98"/>
    <w:rsid w:val="251418FC"/>
    <w:rsid w:val="25A845B3"/>
    <w:rsid w:val="25EB71B7"/>
    <w:rsid w:val="25F1131E"/>
    <w:rsid w:val="26154215"/>
    <w:rsid w:val="261A0BE6"/>
    <w:rsid w:val="262C6E4F"/>
    <w:rsid w:val="263C7691"/>
    <w:rsid w:val="265E2776"/>
    <w:rsid w:val="26666FDC"/>
    <w:rsid w:val="26AB763C"/>
    <w:rsid w:val="26B267E7"/>
    <w:rsid w:val="26F131DC"/>
    <w:rsid w:val="26F65310"/>
    <w:rsid w:val="27052D05"/>
    <w:rsid w:val="27082804"/>
    <w:rsid w:val="270832AE"/>
    <w:rsid w:val="27357F9F"/>
    <w:rsid w:val="27A4553F"/>
    <w:rsid w:val="27D35135"/>
    <w:rsid w:val="27EF1935"/>
    <w:rsid w:val="280A1B75"/>
    <w:rsid w:val="283962F8"/>
    <w:rsid w:val="287A36F4"/>
    <w:rsid w:val="288458E7"/>
    <w:rsid w:val="28A33A20"/>
    <w:rsid w:val="28A47F17"/>
    <w:rsid w:val="290212C1"/>
    <w:rsid w:val="290D5ED8"/>
    <w:rsid w:val="29656DCE"/>
    <w:rsid w:val="298B4B23"/>
    <w:rsid w:val="29B71FDB"/>
    <w:rsid w:val="29CF18DD"/>
    <w:rsid w:val="29D65D23"/>
    <w:rsid w:val="29D875FE"/>
    <w:rsid w:val="2A0B100E"/>
    <w:rsid w:val="2A194E5D"/>
    <w:rsid w:val="2A21554B"/>
    <w:rsid w:val="2A594BC2"/>
    <w:rsid w:val="2A7D60F5"/>
    <w:rsid w:val="2A9F7561"/>
    <w:rsid w:val="2AA90FA0"/>
    <w:rsid w:val="2AB31CE2"/>
    <w:rsid w:val="2AB55266"/>
    <w:rsid w:val="2B487382"/>
    <w:rsid w:val="2B552F60"/>
    <w:rsid w:val="2B696EC7"/>
    <w:rsid w:val="2B7841A6"/>
    <w:rsid w:val="2BB367B9"/>
    <w:rsid w:val="2BE6028A"/>
    <w:rsid w:val="2C13380B"/>
    <w:rsid w:val="2C184D47"/>
    <w:rsid w:val="2C2B17A1"/>
    <w:rsid w:val="2C514425"/>
    <w:rsid w:val="2C796A89"/>
    <w:rsid w:val="2CBD3A96"/>
    <w:rsid w:val="2CC74339"/>
    <w:rsid w:val="2CCC23F7"/>
    <w:rsid w:val="2CCE1414"/>
    <w:rsid w:val="2CF93ABF"/>
    <w:rsid w:val="2D1E27A3"/>
    <w:rsid w:val="2D394FF5"/>
    <w:rsid w:val="2D6F68F6"/>
    <w:rsid w:val="2D766528"/>
    <w:rsid w:val="2E6A704D"/>
    <w:rsid w:val="2E8A6255"/>
    <w:rsid w:val="2EC310BD"/>
    <w:rsid w:val="2F0B1048"/>
    <w:rsid w:val="2F141AAA"/>
    <w:rsid w:val="2F8C200A"/>
    <w:rsid w:val="2FCA4353"/>
    <w:rsid w:val="2FE55D75"/>
    <w:rsid w:val="2FF23F99"/>
    <w:rsid w:val="30236367"/>
    <w:rsid w:val="30331BC6"/>
    <w:rsid w:val="303E7E03"/>
    <w:rsid w:val="304A182B"/>
    <w:rsid w:val="30700C52"/>
    <w:rsid w:val="30757C00"/>
    <w:rsid w:val="307D5D65"/>
    <w:rsid w:val="30B34CE3"/>
    <w:rsid w:val="30CB1C83"/>
    <w:rsid w:val="30ED2830"/>
    <w:rsid w:val="311A023C"/>
    <w:rsid w:val="316B2857"/>
    <w:rsid w:val="31832D29"/>
    <w:rsid w:val="319D5339"/>
    <w:rsid w:val="319F2F47"/>
    <w:rsid w:val="31D20CDE"/>
    <w:rsid w:val="31F37E23"/>
    <w:rsid w:val="31FD0ADA"/>
    <w:rsid w:val="31FE689A"/>
    <w:rsid w:val="32223DC6"/>
    <w:rsid w:val="325A02A1"/>
    <w:rsid w:val="329032EF"/>
    <w:rsid w:val="329970EF"/>
    <w:rsid w:val="32B35AAA"/>
    <w:rsid w:val="33135210"/>
    <w:rsid w:val="3326373F"/>
    <w:rsid w:val="334459AC"/>
    <w:rsid w:val="336358B7"/>
    <w:rsid w:val="33705A64"/>
    <w:rsid w:val="33A055AF"/>
    <w:rsid w:val="33A51E80"/>
    <w:rsid w:val="33EE589E"/>
    <w:rsid w:val="33FC76B3"/>
    <w:rsid w:val="340329A9"/>
    <w:rsid w:val="342645AD"/>
    <w:rsid w:val="342B057B"/>
    <w:rsid w:val="34335C8F"/>
    <w:rsid w:val="34617CD8"/>
    <w:rsid w:val="34753860"/>
    <w:rsid w:val="34A61339"/>
    <w:rsid w:val="34CC3006"/>
    <w:rsid w:val="34F3793E"/>
    <w:rsid w:val="351F4A39"/>
    <w:rsid w:val="35574E9C"/>
    <w:rsid w:val="35712E34"/>
    <w:rsid w:val="35ED793B"/>
    <w:rsid w:val="35F84740"/>
    <w:rsid w:val="36383125"/>
    <w:rsid w:val="366C082D"/>
    <w:rsid w:val="368C388A"/>
    <w:rsid w:val="36C90DD1"/>
    <w:rsid w:val="374634AB"/>
    <w:rsid w:val="37704489"/>
    <w:rsid w:val="37710026"/>
    <w:rsid w:val="377A54A5"/>
    <w:rsid w:val="37925427"/>
    <w:rsid w:val="379E0F7A"/>
    <w:rsid w:val="37A55DCC"/>
    <w:rsid w:val="37CA04FF"/>
    <w:rsid w:val="37D30771"/>
    <w:rsid w:val="37DD2BD7"/>
    <w:rsid w:val="37EC0BB8"/>
    <w:rsid w:val="38995839"/>
    <w:rsid w:val="392E03A9"/>
    <w:rsid w:val="394C68A5"/>
    <w:rsid w:val="395E479A"/>
    <w:rsid w:val="39675804"/>
    <w:rsid w:val="39A36C2D"/>
    <w:rsid w:val="39A674FE"/>
    <w:rsid w:val="39AA29B9"/>
    <w:rsid w:val="39E71AEC"/>
    <w:rsid w:val="39F60058"/>
    <w:rsid w:val="3A093F07"/>
    <w:rsid w:val="3A104089"/>
    <w:rsid w:val="3A8217DE"/>
    <w:rsid w:val="3A822B01"/>
    <w:rsid w:val="3AB8426E"/>
    <w:rsid w:val="3ACF765C"/>
    <w:rsid w:val="3AD278CD"/>
    <w:rsid w:val="3AFA4BE5"/>
    <w:rsid w:val="3B2A44B8"/>
    <w:rsid w:val="3B2B6476"/>
    <w:rsid w:val="3BBC038E"/>
    <w:rsid w:val="3BFE3F02"/>
    <w:rsid w:val="3C2972FD"/>
    <w:rsid w:val="3C5B4444"/>
    <w:rsid w:val="3C852047"/>
    <w:rsid w:val="3CA13116"/>
    <w:rsid w:val="3CA925AE"/>
    <w:rsid w:val="3CF877AB"/>
    <w:rsid w:val="3D306CB2"/>
    <w:rsid w:val="3D32729D"/>
    <w:rsid w:val="3D485E54"/>
    <w:rsid w:val="3D5C4D01"/>
    <w:rsid w:val="3D667959"/>
    <w:rsid w:val="3D8230F2"/>
    <w:rsid w:val="3D886E2C"/>
    <w:rsid w:val="3DAA5519"/>
    <w:rsid w:val="3DC413E8"/>
    <w:rsid w:val="3DCA34BB"/>
    <w:rsid w:val="3DD83D60"/>
    <w:rsid w:val="3E044CAE"/>
    <w:rsid w:val="3E0B01E0"/>
    <w:rsid w:val="3E12201C"/>
    <w:rsid w:val="3E427218"/>
    <w:rsid w:val="3EA72ABE"/>
    <w:rsid w:val="3EAD4174"/>
    <w:rsid w:val="3EAD7F9C"/>
    <w:rsid w:val="3EB32892"/>
    <w:rsid w:val="3EBC3336"/>
    <w:rsid w:val="3EDE79C6"/>
    <w:rsid w:val="3EF65530"/>
    <w:rsid w:val="3EF9D3F1"/>
    <w:rsid w:val="3F064AE9"/>
    <w:rsid w:val="3F3B0C43"/>
    <w:rsid w:val="3F4C62B0"/>
    <w:rsid w:val="3F7279F0"/>
    <w:rsid w:val="3F9717D1"/>
    <w:rsid w:val="3FB2485B"/>
    <w:rsid w:val="3FD3231A"/>
    <w:rsid w:val="402121C3"/>
    <w:rsid w:val="402A34B8"/>
    <w:rsid w:val="40360CD1"/>
    <w:rsid w:val="40361D66"/>
    <w:rsid w:val="4053079A"/>
    <w:rsid w:val="406060C3"/>
    <w:rsid w:val="40613E30"/>
    <w:rsid w:val="40736573"/>
    <w:rsid w:val="407D7357"/>
    <w:rsid w:val="409B4A07"/>
    <w:rsid w:val="40BF6E39"/>
    <w:rsid w:val="40C25B7F"/>
    <w:rsid w:val="40CA1BEA"/>
    <w:rsid w:val="40F66678"/>
    <w:rsid w:val="410E1C56"/>
    <w:rsid w:val="4120577A"/>
    <w:rsid w:val="41313EDF"/>
    <w:rsid w:val="416C142E"/>
    <w:rsid w:val="41B66342"/>
    <w:rsid w:val="41FD121E"/>
    <w:rsid w:val="421A7627"/>
    <w:rsid w:val="4233112B"/>
    <w:rsid w:val="42401E98"/>
    <w:rsid w:val="42424284"/>
    <w:rsid w:val="42872311"/>
    <w:rsid w:val="428B5762"/>
    <w:rsid w:val="42D47C2B"/>
    <w:rsid w:val="42DA32B5"/>
    <w:rsid w:val="42E86E53"/>
    <w:rsid w:val="433543AC"/>
    <w:rsid w:val="43420FE8"/>
    <w:rsid w:val="434513F0"/>
    <w:rsid w:val="43702851"/>
    <w:rsid w:val="43CA4F48"/>
    <w:rsid w:val="4424604A"/>
    <w:rsid w:val="442967DE"/>
    <w:rsid w:val="443417CC"/>
    <w:rsid w:val="445014AB"/>
    <w:rsid w:val="447904DF"/>
    <w:rsid w:val="44CE660D"/>
    <w:rsid w:val="44DD6F29"/>
    <w:rsid w:val="454F0B76"/>
    <w:rsid w:val="45795008"/>
    <w:rsid w:val="4579514B"/>
    <w:rsid w:val="457E2BBE"/>
    <w:rsid w:val="457F72E8"/>
    <w:rsid w:val="45DE083B"/>
    <w:rsid w:val="45E076C0"/>
    <w:rsid w:val="45F36067"/>
    <w:rsid w:val="460C0745"/>
    <w:rsid w:val="463122D8"/>
    <w:rsid w:val="4632053D"/>
    <w:rsid w:val="463D551C"/>
    <w:rsid w:val="46577675"/>
    <w:rsid w:val="4662415A"/>
    <w:rsid w:val="4662498C"/>
    <w:rsid w:val="46A022D9"/>
    <w:rsid w:val="46A9554B"/>
    <w:rsid w:val="46AA7AE9"/>
    <w:rsid w:val="46B21457"/>
    <w:rsid w:val="46BE1A6C"/>
    <w:rsid w:val="46BE6647"/>
    <w:rsid w:val="46EE3897"/>
    <w:rsid w:val="471B3499"/>
    <w:rsid w:val="4730142A"/>
    <w:rsid w:val="478E4BD2"/>
    <w:rsid w:val="47DD756D"/>
    <w:rsid w:val="48037A8A"/>
    <w:rsid w:val="48377D23"/>
    <w:rsid w:val="486634EE"/>
    <w:rsid w:val="48807890"/>
    <w:rsid w:val="48A64B98"/>
    <w:rsid w:val="48BC156D"/>
    <w:rsid w:val="48DD7B56"/>
    <w:rsid w:val="48F765BE"/>
    <w:rsid w:val="490445F2"/>
    <w:rsid w:val="490935A0"/>
    <w:rsid w:val="49183CD0"/>
    <w:rsid w:val="49320F23"/>
    <w:rsid w:val="49625E72"/>
    <w:rsid w:val="496B5F78"/>
    <w:rsid w:val="49BA0254"/>
    <w:rsid w:val="49DD73AE"/>
    <w:rsid w:val="49F95BD6"/>
    <w:rsid w:val="4AA73240"/>
    <w:rsid w:val="4AB72272"/>
    <w:rsid w:val="4AD703A4"/>
    <w:rsid w:val="4B305E1B"/>
    <w:rsid w:val="4BB92D8E"/>
    <w:rsid w:val="4BD07B58"/>
    <w:rsid w:val="4BE87BA5"/>
    <w:rsid w:val="4C3176AB"/>
    <w:rsid w:val="4C415DC1"/>
    <w:rsid w:val="4C6E278E"/>
    <w:rsid w:val="4CFF538B"/>
    <w:rsid w:val="4D4D7800"/>
    <w:rsid w:val="4D7251FF"/>
    <w:rsid w:val="4DE50C0B"/>
    <w:rsid w:val="4E11105D"/>
    <w:rsid w:val="4E16225A"/>
    <w:rsid w:val="4E253AB8"/>
    <w:rsid w:val="4E472C92"/>
    <w:rsid w:val="4E824D97"/>
    <w:rsid w:val="4E9D5C2D"/>
    <w:rsid w:val="4EBA57C1"/>
    <w:rsid w:val="4ED50A17"/>
    <w:rsid w:val="4F047E0A"/>
    <w:rsid w:val="4F477F24"/>
    <w:rsid w:val="4FA91AAC"/>
    <w:rsid w:val="4FBD0FF5"/>
    <w:rsid w:val="4FC854D7"/>
    <w:rsid w:val="50142DE1"/>
    <w:rsid w:val="5015687B"/>
    <w:rsid w:val="501926CA"/>
    <w:rsid w:val="503109FF"/>
    <w:rsid w:val="505E3D68"/>
    <w:rsid w:val="50D13748"/>
    <w:rsid w:val="512E5F78"/>
    <w:rsid w:val="514D4737"/>
    <w:rsid w:val="516A440A"/>
    <w:rsid w:val="5184324A"/>
    <w:rsid w:val="51BA5A6F"/>
    <w:rsid w:val="51C42E16"/>
    <w:rsid w:val="521115A1"/>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E1101"/>
    <w:rsid w:val="53FC4E8E"/>
    <w:rsid w:val="541717DC"/>
    <w:rsid w:val="54271D5C"/>
    <w:rsid w:val="54976AA9"/>
    <w:rsid w:val="549A3F89"/>
    <w:rsid w:val="54B6041D"/>
    <w:rsid w:val="54DE0134"/>
    <w:rsid w:val="553C46BA"/>
    <w:rsid w:val="5545363C"/>
    <w:rsid w:val="55494082"/>
    <w:rsid w:val="5565559D"/>
    <w:rsid w:val="557D5B60"/>
    <w:rsid w:val="55834A19"/>
    <w:rsid w:val="55F27046"/>
    <w:rsid w:val="55F526C6"/>
    <w:rsid w:val="56066DC9"/>
    <w:rsid w:val="562F4ED3"/>
    <w:rsid w:val="564E1228"/>
    <w:rsid w:val="56A6131D"/>
    <w:rsid w:val="56A82B00"/>
    <w:rsid w:val="56BC5AD0"/>
    <w:rsid w:val="56D00C68"/>
    <w:rsid w:val="57022BD1"/>
    <w:rsid w:val="571C65D6"/>
    <w:rsid w:val="57212B27"/>
    <w:rsid w:val="572809C2"/>
    <w:rsid w:val="57480C4D"/>
    <w:rsid w:val="574C27F3"/>
    <w:rsid w:val="576F5440"/>
    <w:rsid w:val="57895A45"/>
    <w:rsid w:val="57C5313B"/>
    <w:rsid w:val="57D807D4"/>
    <w:rsid w:val="57EA7969"/>
    <w:rsid w:val="57F740F4"/>
    <w:rsid w:val="57FA3D86"/>
    <w:rsid w:val="58750691"/>
    <w:rsid w:val="58AB575D"/>
    <w:rsid w:val="58BC728D"/>
    <w:rsid w:val="58C6296A"/>
    <w:rsid w:val="58DD0763"/>
    <w:rsid w:val="592E6ADF"/>
    <w:rsid w:val="59445F91"/>
    <w:rsid w:val="5955073B"/>
    <w:rsid w:val="59815208"/>
    <w:rsid w:val="59F001A4"/>
    <w:rsid w:val="59F96293"/>
    <w:rsid w:val="5A1E2DE7"/>
    <w:rsid w:val="5A20427A"/>
    <w:rsid w:val="5A395FB6"/>
    <w:rsid w:val="5A436A2D"/>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90590E"/>
    <w:rsid w:val="5DC25C67"/>
    <w:rsid w:val="5DD97571"/>
    <w:rsid w:val="5E2F58D3"/>
    <w:rsid w:val="5E3618DE"/>
    <w:rsid w:val="5E5A06FD"/>
    <w:rsid w:val="5E9342EC"/>
    <w:rsid w:val="5EA27CF7"/>
    <w:rsid w:val="5EBC3C1E"/>
    <w:rsid w:val="5F032C7B"/>
    <w:rsid w:val="5F274E4E"/>
    <w:rsid w:val="5F3815EE"/>
    <w:rsid w:val="5F5C32D6"/>
    <w:rsid w:val="5FA92D9F"/>
    <w:rsid w:val="5FAC2DE4"/>
    <w:rsid w:val="5FB10E83"/>
    <w:rsid w:val="600E788A"/>
    <w:rsid w:val="6011673F"/>
    <w:rsid w:val="604130CF"/>
    <w:rsid w:val="60663C94"/>
    <w:rsid w:val="60794FD4"/>
    <w:rsid w:val="60814FEF"/>
    <w:rsid w:val="60AE4E89"/>
    <w:rsid w:val="60D32F5A"/>
    <w:rsid w:val="610E2B4C"/>
    <w:rsid w:val="61846CDE"/>
    <w:rsid w:val="619945D7"/>
    <w:rsid w:val="61A54BBF"/>
    <w:rsid w:val="61C24BFD"/>
    <w:rsid w:val="61DE43D4"/>
    <w:rsid w:val="61E06967"/>
    <w:rsid w:val="61ED083B"/>
    <w:rsid w:val="624216A0"/>
    <w:rsid w:val="626343A0"/>
    <w:rsid w:val="626736F9"/>
    <w:rsid w:val="626B4082"/>
    <w:rsid w:val="626B6B00"/>
    <w:rsid w:val="628E1BE9"/>
    <w:rsid w:val="629657CC"/>
    <w:rsid w:val="62D06FF9"/>
    <w:rsid w:val="62D765EB"/>
    <w:rsid w:val="63424833"/>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ED6B48"/>
    <w:rsid w:val="65F66C79"/>
    <w:rsid w:val="660447CA"/>
    <w:rsid w:val="665622BC"/>
    <w:rsid w:val="6660772E"/>
    <w:rsid w:val="66653739"/>
    <w:rsid w:val="666C4EE6"/>
    <w:rsid w:val="66792487"/>
    <w:rsid w:val="66FB0FDC"/>
    <w:rsid w:val="66FC5AFF"/>
    <w:rsid w:val="6709462E"/>
    <w:rsid w:val="6777196F"/>
    <w:rsid w:val="678A1ED0"/>
    <w:rsid w:val="67AB61F8"/>
    <w:rsid w:val="67BA7741"/>
    <w:rsid w:val="67C323B9"/>
    <w:rsid w:val="67E6170C"/>
    <w:rsid w:val="680D0CA5"/>
    <w:rsid w:val="689A76AB"/>
    <w:rsid w:val="68A45648"/>
    <w:rsid w:val="68A5668C"/>
    <w:rsid w:val="68D27297"/>
    <w:rsid w:val="6911241F"/>
    <w:rsid w:val="69B67115"/>
    <w:rsid w:val="69B82DF4"/>
    <w:rsid w:val="69EF53B4"/>
    <w:rsid w:val="6A126DD2"/>
    <w:rsid w:val="6A420E56"/>
    <w:rsid w:val="6A924E32"/>
    <w:rsid w:val="6A94008C"/>
    <w:rsid w:val="6AC00C9E"/>
    <w:rsid w:val="6AC635A8"/>
    <w:rsid w:val="6AE60947"/>
    <w:rsid w:val="6AEF6EB8"/>
    <w:rsid w:val="6B092CA7"/>
    <w:rsid w:val="6B0B374F"/>
    <w:rsid w:val="6B0E6D92"/>
    <w:rsid w:val="6B17074E"/>
    <w:rsid w:val="6B1F0CCB"/>
    <w:rsid w:val="6B6234E5"/>
    <w:rsid w:val="6BBD11F5"/>
    <w:rsid w:val="6BCE1834"/>
    <w:rsid w:val="6BD12800"/>
    <w:rsid w:val="6C022DB1"/>
    <w:rsid w:val="6C4F303B"/>
    <w:rsid w:val="6C5E02FC"/>
    <w:rsid w:val="6C721812"/>
    <w:rsid w:val="6C8B0F52"/>
    <w:rsid w:val="6CDD0DD0"/>
    <w:rsid w:val="6CFA7DB1"/>
    <w:rsid w:val="6D0127E4"/>
    <w:rsid w:val="6D135E16"/>
    <w:rsid w:val="6D1C168A"/>
    <w:rsid w:val="6D347A31"/>
    <w:rsid w:val="6D3668DD"/>
    <w:rsid w:val="6D471CAB"/>
    <w:rsid w:val="6D8D3CCB"/>
    <w:rsid w:val="6DAC0977"/>
    <w:rsid w:val="6DAC7C0F"/>
    <w:rsid w:val="6DB87176"/>
    <w:rsid w:val="6DB941BD"/>
    <w:rsid w:val="6DC60F63"/>
    <w:rsid w:val="6E4C770B"/>
    <w:rsid w:val="6E5F1098"/>
    <w:rsid w:val="6E60505E"/>
    <w:rsid w:val="6E6F2793"/>
    <w:rsid w:val="6E703D8E"/>
    <w:rsid w:val="6E84323D"/>
    <w:rsid w:val="6E942A76"/>
    <w:rsid w:val="6EA41FA2"/>
    <w:rsid w:val="6EB44AD4"/>
    <w:rsid w:val="6EDE116E"/>
    <w:rsid w:val="6EF2F120"/>
    <w:rsid w:val="6F313FE8"/>
    <w:rsid w:val="6F381CAC"/>
    <w:rsid w:val="6F6128C1"/>
    <w:rsid w:val="6F9C6902"/>
    <w:rsid w:val="6FA0729C"/>
    <w:rsid w:val="6FDE0594"/>
    <w:rsid w:val="6FEF4FB0"/>
    <w:rsid w:val="70100CA2"/>
    <w:rsid w:val="70393572"/>
    <w:rsid w:val="70A24D48"/>
    <w:rsid w:val="70BA64EF"/>
    <w:rsid w:val="70C900DF"/>
    <w:rsid w:val="70F80524"/>
    <w:rsid w:val="710A2419"/>
    <w:rsid w:val="710C226A"/>
    <w:rsid w:val="71155F5E"/>
    <w:rsid w:val="71326D32"/>
    <w:rsid w:val="71421385"/>
    <w:rsid w:val="714C2CD0"/>
    <w:rsid w:val="715A596A"/>
    <w:rsid w:val="717C247D"/>
    <w:rsid w:val="717F26E4"/>
    <w:rsid w:val="71816B8E"/>
    <w:rsid w:val="71832D29"/>
    <w:rsid w:val="71907818"/>
    <w:rsid w:val="71B252F9"/>
    <w:rsid w:val="71BF5724"/>
    <w:rsid w:val="71E95916"/>
    <w:rsid w:val="7203413E"/>
    <w:rsid w:val="7250588C"/>
    <w:rsid w:val="726F5278"/>
    <w:rsid w:val="727E786A"/>
    <w:rsid w:val="72887FD4"/>
    <w:rsid w:val="72BD0544"/>
    <w:rsid w:val="72C0472D"/>
    <w:rsid w:val="72D11D5C"/>
    <w:rsid w:val="72E85DAD"/>
    <w:rsid w:val="72F878BD"/>
    <w:rsid w:val="732303D9"/>
    <w:rsid w:val="733D0356"/>
    <w:rsid w:val="73532CC9"/>
    <w:rsid w:val="73C76A2E"/>
    <w:rsid w:val="73D73D11"/>
    <w:rsid w:val="74356371"/>
    <w:rsid w:val="744975DD"/>
    <w:rsid w:val="746920A5"/>
    <w:rsid w:val="74777121"/>
    <w:rsid w:val="74CB1EDB"/>
    <w:rsid w:val="74DE73F5"/>
    <w:rsid w:val="74FA5557"/>
    <w:rsid w:val="751E77AF"/>
    <w:rsid w:val="75C8117D"/>
    <w:rsid w:val="75D07F8B"/>
    <w:rsid w:val="75EE5669"/>
    <w:rsid w:val="7662154F"/>
    <w:rsid w:val="76646D93"/>
    <w:rsid w:val="767C58A3"/>
    <w:rsid w:val="76957051"/>
    <w:rsid w:val="76BD4232"/>
    <w:rsid w:val="76C10199"/>
    <w:rsid w:val="76C57BCB"/>
    <w:rsid w:val="76CB62F1"/>
    <w:rsid w:val="76F1559B"/>
    <w:rsid w:val="76F927CD"/>
    <w:rsid w:val="773B2934"/>
    <w:rsid w:val="773E064E"/>
    <w:rsid w:val="774E1211"/>
    <w:rsid w:val="777B71D8"/>
    <w:rsid w:val="77A54D53"/>
    <w:rsid w:val="77D75F2B"/>
    <w:rsid w:val="77FC6767"/>
    <w:rsid w:val="781A0BEC"/>
    <w:rsid w:val="78202415"/>
    <w:rsid w:val="78213FC9"/>
    <w:rsid w:val="78701D9C"/>
    <w:rsid w:val="789C7F0C"/>
    <w:rsid w:val="78AD5F33"/>
    <w:rsid w:val="78FA0671"/>
    <w:rsid w:val="792D4A9E"/>
    <w:rsid w:val="793A634F"/>
    <w:rsid w:val="798635EB"/>
    <w:rsid w:val="79A522A2"/>
    <w:rsid w:val="79A5750A"/>
    <w:rsid w:val="79E85972"/>
    <w:rsid w:val="7A0C1011"/>
    <w:rsid w:val="7A0E7A81"/>
    <w:rsid w:val="7A321CDB"/>
    <w:rsid w:val="7A567B6E"/>
    <w:rsid w:val="7A610456"/>
    <w:rsid w:val="7A6E32C8"/>
    <w:rsid w:val="7AC900CF"/>
    <w:rsid w:val="7B052FBD"/>
    <w:rsid w:val="7B5A5A6C"/>
    <w:rsid w:val="7B5C250E"/>
    <w:rsid w:val="7B6D0F87"/>
    <w:rsid w:val="7B72691F"/>
    <w:rsid w:val="7B783FD8"/>
    <w:rsid w:val="7B9A3DB8"/>
    <w:rsid w:val="7BA113AB"/>
    <w:rsid w:val="7BD52290"/>
    <w:rsid w:val="7BD568A0"/>
    <w:rsid w:val="7BEF4EB5"/>
    <w:rsid w:val="7BF20E1E"/>
    <w:rsid w:val="7C5728ED"/>
    <w:rsid w:val="7C9408F4"/>
    <w:rsid w:val="7CB83597"/>
    <w:rsid w:val="7CB90CC2"/>
    <w:rsid w:val="7CFB2CE9"/>
    <w:rsid w:val="7D0C34C4"/>
    <w:rsid w:val="7D143A84"/>
    <w:rsid w:val="7D212CA5"/>
    <w:rsid w:val="7D255EE2"/>
    <w:rsid w:val="7D293184"/>
    <w:rsid w:val="7D4A23DF"/>
    <w:rsid w:val="7D4B3EE6"/>
    <w:rsid w:val="7D6112EF"/>
    <w:rsid w:val="7D68620F"/>
    <w:rsid w:val="7D69777E"/>
    <w:rsid w:val="7D7C6E9A"/>
    <w:rsid w:val="7D7D3B1C"/>
    <w:rsid w:val="7D927DC0"/>
    <w:rsid w:val="7DB34706"/>
    <w:rsid w:val="7E1A0A9F"/>
    <w:rsid w:val="7E3C401A"/>
    <w:rsid w:val="7E641213"/>
    <w:rsid w:val="7EE33139"/>
    <w:rsid w:val="7EF34773"/>
    <w:rsid w:val="7F0D08DC"/>
    <w:rsid w:val="7F152547"/>
    <w:rsid w:val="7F173D26"/>
    <w:rsid w:val="7F5DC674"/>
    <w:rsid w:val="7F666017"/>
    <w:rsid w:val="7F714EE5"/>
    <w:rsid w:val="7F7F2734"/>
    <w:rsid w:val="7FA63F96"/>
    <w:rsid w:val="7FAE0608"/>
    <w:rsid w:val="7FB9287C"/>
    <w:rsid w:val="7FCC47FD"/>
    <w:rsid w:val="7FD31973"/>
    <w:rsid w:val="7FE15B01"/>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64"/>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8"/>
    <w:qFormat/>
    <w:uiPriority w:val="0"/>
    <w:pPr>
      <w:ind w:firstLine="420" w:firstLineChars="200"/>
    </w:pPr>
  </w:style>
  <w:style w:type="paragraph" w:styleId="14">
    <w:name w:val="Document Map"/>
    <w:basedOn w:val="1"/>
    <w:link w:val="75"/>
    <w:qFormat/>
    <w:uiPriority w:val="0"/>
    <w:pPr>
      <w:shd w:val="clear" w:color="auto" w:fill="000080"/>
    </w:pPr>
    <w:rPr>
      <w:kern w:val="0"/>
      <w:sz w:val="20"/>
    </w:rPr>
  </w:style>
  <w:style w:type="paragraph" w:styleId="15">
    <w:name w:val="annotation text"/>
    <w:basedOn w:val="1"/>
    <w:link w:val="57"/>
    <w:unhideWhenUsed/>
    <w:qFormat/>
    <w:uiPriority w:val="99"/>
    <w:pPr>
      <w:jc w:val="left"/>
    </w:pPr>
    <w:rPr>
      <w:kern w:val="0"/>
      <w:sz w:val="20"/>
    </w:rPr>
  </w:style>
  <w:style w:type="paragraph" w:styleId="16">
    <w:name w:val="Body Text 3"/>
    <w:basedOn w:val="1"/>
    <w:link w:val="61"/>
    <w:qFormat/>
    <w:uiPriority w:val="0"/>
    <w:rPr>
      <w:rFonts w:ascii="宋体"/>
      <w:kern w:val="0"/>
      <w:sz w:val="24"/>
      <w:szCs w:val="20"/>
    </w:rPr>
  </w:style>
  <w:style w:type="paragraph" w:styleId="17">
    <w:name w:val="Body Text Indent"/>
    <w:basedOn w:val="1"/>
    <w:next w:val="1"/>
    <w:link w:val="74"/>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7"/>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1"/>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9"/>
    <w:qFormat/>
    <w:uiPriority w:val="0"/>
    <w:rPr>
      <w:kern w:val="0"/>
      <w:sz w:val="18"/>
      <w:szCs w:val="18"/>
    </w:r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7"/>
    <w:qFormat/>
    <w:uiPriority w:val="0"/>
    <w:rPr>
      <w:b/>
      <w:bCs/>
    </w:rPr>
  </w:style>
  <w:style w:type="paragraph" w:styleId="41">
    <w:name w:val="Body Text First Indent"/>
    <w:basedOn w:val="2"/>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7"/>
    <w:qFormat/>
    <w:uiPriority w:val="0"/>
    <w:pPr>
      <w:ind w:firstLine="420"/>
    </w:pPr>
    <w:rPr>
      <w:sz w:val="21"/>
    </w:r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5"/>
    <w:semiHidden/>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6"/>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2"/>
    <w:qFormat/>
    <w:uiPriority w:val="0"/>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7"/>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7"/>
    <w:qFormat/>
    <w:uiPriority w:val="0"/>
    <w:rPr>
      <w:szCs w:val="24"/>
    </w:rPr>
  </w:style>
  <w:style w:type="character" w:customStyle="1" w:styleId="75">
    <w:name w:val="文档结构图 字符"/>
    <w:link w:val="14"/>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25"/>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3"/>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6"/>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1"/>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5"/>
    <w:qFormat/>
    <w:uiPriority w:val="0"/>
    <w:rPr>
      <w:bdr w:val="dashed" w:color="auto" w:sz="48" w:space="0"/>
    </w:rPr>
  </w:style>
  <w:style w:type="character" w:customStyle="1" w:styleId="160">
    <w:name w:val="before"/>
    <w:basedOn w:val="45"/>
    <w:qFormat/>
    <w:uiPriority w:val="0"/>
    <w:rPr>
      <w:bdr w:val="single" w:color="auto" w:sz="48" w:space="0"/>
    </w:rPr>
  </w:style>
  <w:style w:type="character" w:customStyle="1" w:styleId="161">
    <w:name w:val="hover48"/>
    <w:basedOn w:val="45"/>
    <w:qFormat/>
    <w:uiPriority w:val="0"/>
    <w:rPr>
      <w:shd w:val="clear" w:color="auto" w:fill="346AC3"/>
    </w:rPr>
  </w:style>
  <w:style w:type="character" w:customStyle="1" w:styleId="162">
    <w:name w:val="hover49"/>
    <w:basedOn w:val="45"/>
    <w:qFormat/>
    <w:uiPriority w:val="0"/>
  </w:style>
  <w:style w:type="character" w:customStyle="1" w:styleId="163">
    <w:name w:val="hover50"/>
    <w:basedOn w:val="45"/>
    <w:qFormat/>
    <w:uiPriority w:val="0"/>
    <w:rPr>
      <w:color w:val="4285F4"/>
      <w:u w:val="none"/>
    </w:rPr>
  </w:style>
  <w:style w:type="character" w:customStyle="1" w:styleId="164">
    <w:name w:val="hover51"/>
    <w:basedOn w:val="45"/>
    <w:qFormat/>
    <w:uiPriority w:val="0"/>
    <w:rPr>
      <w:color w:val="4285F4"/>
    </w:rPr>
  </w:style>
  <w:style w:type="character" w:customStyle="1" w:styleId="165">
    <w:name w:val="hover52"/>
    <w:basedOn w:val="45"/>
    <w:qFormat/>
    <w:uiPriority w:val="0"/>
    <w:rPr>
      <w:color w:val="1A85D7"/>
    </w:rPr>
  </w:style>
  <w:style w:type="character" w:customStyle="1" w:styleId="166">
    <w:name w:val="credit"/>
    <w:basedOn w:val="45"/>
    <w:qFormat/>
    <w:uiPriority w:val="0"/>
    <w:rPr>
      <w:sz w:val="18"/>
      <w:szCs w:val="18"/>
    </w:rPr>
  </w:style>
  <w:style w:type="character" w:customStyle="1" w:styleId="167">
    <w:name w:val="first-child"/>
    <w:basedOn w:val="45"/>
    <w:qFormat/>
    <w:uiPriority w:val="0"/>
  </w:style>
  <w:style w:type="character" w:customStyle="1" w:styleId="168">
    <w:name w:val="font31"/>
    <w:basedOn w:val="45"/>
    <w:qFormat/>
    <w:uiPriority w:val="0"/>
    <w:rPr>
      <w:rFonts w:hint="eastAsia" w:ascii="宋体" w:hAnsi="宋体" w:eastAsia="宋体" w:cs="宋体"/>
      <w:color w:val="000000"/>
      <w:sz w:val="24"/>
      <w:szCs w:val="24"/>
      <w:u w:val="none"/>
    </w:rPr>
  </w:style>
  <w:style w:type="paragraph" w:customStyle="1" w:styleId="169">
    <w:name w:val="样式 + 首行缩进: 2 字符"/>
    <w:basedOn w:val="1"/>
    <w:qFormat/>
    <w:uiPriority w:val="0"/>
    <w:pPr>
      <w:adjustRightInd w:val="0"/>
      <w:spacing w:line="360" w:lineRule="auto"/>
      <w:ind w:firstLine="524" w:firstLineChars="200"/>
    </w:pPr>
    <w:rPr>
      <w:rFonts w:hint="eastAsia" w:ascii="宋体" w:hAnsi="宋体"/>
      <w:spacing w:val="11"/>
      <w:kern w:val="0"/>
      <w:sz w:val="24"/>
    </w:rPr>
  </w:style>
  <w:style w:type="paragraph" w:customStyle="1" w:styleId="170">
    <w:name w:val="表格内正文，无编号"/>
    <w:basedOn w:val="1"/>
    <w:qFormat/>
    <w:uiPriority w:val="0"/>
    <w:pPr>
      <w:spacing w:line="400" w:lineRule="exact"/>
      <w:ind w:firstLine="643" w:firstLineChars="200"/>
    </w:pPr>
  </w:style>
  <w:style w:type="paragraph" w:customStyle="1" w:styleId="171">
    <w:name w:val="*正文"/>
    <w:basedOn w:val="1"/>
    <w:qFormat/>
    <w:uiPriority w:val="0"/>
    <w:pPr>
      <w:widowControl/>
      <w:ind w:firstLine="200" w:firstLineChars="200"/>
    </w:pPr>
    <w:rPr>
      <w:rFonts w:ascii="仿宋_GB2312" w:eastAsia="仿宋_GB2312" w:cstheme="minorBidi"/>
      <w:sz w:val="24"/>
      <w:szCs w:val="28"/>
    </w:rPr>
  </w:style>
  <w:style w:type="paragraph" w:customStyle="1" w:styleId="172">
    <w:name w:val="表体"/>
    <w:basedOn w:val="1"/>
    <w:next w:val="1"/>
    <w:qFormat/>
    <w:uiPriority w:val="0"/>
    <w:pPr>
      <w:snapToGrid w:val="0"/>
      <w:spacing w:line="0" w:lineRule="atLeast"/>
    </w:pPr>
    <w:rPr>
      <w:b/>
      <w:szCs w:val="20"/>
    </w:rPr>
  </w:style>
  <w:style w:type="paragraph" w:styleId="17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38</Pages>
  <Words>3779</Words>
  <Characters>21545</Characters>
  <Lines>179</Lines>
  <Paragraphs>50</Paragraphs>
  <TotalTime>16</TotalTime>
  <ScaleCrop>false</ScaleCrop>
  <LinksUpToDate>false</LinksUpToDate>
  <CharactersWithSpaces>25274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2020-04-29T16:16:00Z</dcterms:created>
  <dc:creator>陈桂兰</dc:creator>
  <cp:lastModifiedBy>毕浪</cp:lastModifiedBy>
  <cp:lastPrinted>2022-06-07T02:51:00Z</cp:lastPrinted>
  <dcterms:modified xsi:type="dcterms:W3CDTF">2023-08-24T02:50:52Z</dcterms:modified>
  <dc:title>项目名称：2019年重庆市取消高速公路省界收费站项目</dc:title>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9EF7C19F0E744100818F232449DE0379</vt:lpwstr>
  </property>
</Properties>
</file>