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highlight w:val="none"/>
        </w:rPr>
      </w:pPr>
    </w:p>
    <w:p>
      <w:pPr>
        <w:spacing w:line="400" w:lineRule="exact"/>
        <w:jc w:val="center"/>
        <w:rPr>
          <w:rFonts w:hint="default" w:ascii="宋体" w:hAnsi="宋体" w:cs="宋体"/>
          <w:b/>
          <w:sz w:val="32"/>
          <w:szCs w:val="32"/>
          <w:highlight w:val="none"/>
          <w:lang w:val="en-US"/>
        </w:rPr>
      </w:pPr>
      <w:r>
        <w:rPr>
          <w:rFonts w:hint="eastAsia" w:ascii="宋体" w:hAnsi="宋体" w:cs="宋体"/>
          <w:b/>
          <w:sz w:val="32"/>
          <w:szCs w:val="32"/>
          <w:highlight w:val="none"/>
        </w:rPr>
        <w:t>项目名称：</w:t>
      </w:r>
      <w:r>
        <w:rPr>
          <w:rFonts w:hint="eastAsia" w:ascii="宋体" w:hAnsi="宋体" w:cs="宋体"/>
          <w:b/>
          <w:sz w:val="32"/>
          <w:szCs w:val="32"/>
          <w:highlight w:val="none"/>
          <w:lang w:eastAsia="zh-CN"/>
        </w:rPr>
        <w:t>2023年专项工程存储设备（第一批）采购</w:t>
      </w:r>
    </w:p>
    <w:p>
      <w:pPr>
        <w:rPr>
          <w:rFonts w:ascii="宋体" w:hAnsi="宋体" w:cs="宋体"/>
          <w:sz w:val="28"/>
          <w:szCs w:val="2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eastAsia="宋体" w:cs="宋体"/>
          <w:b/>
          <w:sz w:val="48"/>
          <w:szCs w:val="48"/>
          <w:highlight w:val="none"/>
          <w:lang w:val="en-US" w:eastAsia="zh-CN"/>
        </w:rPr>
      </w:pPr>
      <w:r>
        <w:rPr>
          <w:rFonts w:hint="eastAsia" w:ascii="宋体" w:hAnsi="宋体" w:cs="宋体"/>
          <w:b/>
          <w:sz w:val="48"/>
          <w:szCs w:val="48"/>
          <w:highlight w:val="none"/>
          <w:lang w:val="en-US" w:eastAsia="zh-CN"/>
        </w:rPr>
        <w:t xml:space="preserve"> </w:t>
      </w:r>
    </w:p>
    <w:p>
      <w:pPr>
        <w:jc w:val="center"/>
        <w:rPr>
          <w:rFonts w:ascii="宋体" w:hAnsi="宋体" w:cs="宋体"/>
          <w:b/>
          <w:sz w:val="48"/>
          <w:szCs w:val="48"/>
          <w:highlight w:val="none"/>
        </w:rPr>
      </w:pPr>
      <w:r>
        <w:rPr>
          <w:rFonts w:hint="eastAsia" w:ascii="宋体" w:hAnsi="宋体" w:cs="宋体"/>
          <w:b/>
          <w:sz w:val="48"/>
          <w:szCs w:val="48"/>
          <w:highlight w:val="none"/>
        </w:rPr>
        <w:t>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性</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比</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文</w:t>
      </w:r>
    </w:p>
    <w:p>
      <w:pPr>
        <w:jc w:val="center"/>
        <w:rPr>
          <w:rFonts w:ascii="宋体" w:hAnsi="宋体" w:cs="宋体"/>
          <w:b/>
          <w:sz w:val="48"/>
          <w:szCs w:val="48"/>
          <w:highlight w:val="none"/>
        </w:rPr>
      </w:pPr>
    </w:p>
    <w:p>
      <w:pPr>
        <w:jc w:val="center"/>
        <w:rPr>
          <w:rFonts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rPr>
          <w:highlight w:val="none"/>
        </w:rPr>
      </w:pPr>
    </w:p>
    <w:p>
      <w:pPr>
        <w:rPr>
          <w:highlight w:val="none"/>
        </w:rPr>
      </w:pPr>
    </w:p>
    <w:p>
      <w:pPr>
        <w:jc w:val="center"/>
        <w:rPr>
          <w:rFonts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3</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9 </w:t>
      </w:r>
      <w:r>
        <w:rPr>
          <w:rFonts w:hint="eastAsia" w:ascii="宋体" w:hAnsi="宋体" w:cs="宋体"/>
          <w:b/>
          <w:sz w:val="28"/>
          <w:szCs w:val="28"/>
          <w:highlight w:val="none"/>
        </w:rPr>
        <w:t>月</w:t>
      </w:r>
    </w:p>
    <w:p>
      <w:pPr>
        <w:pStyle w:val="27"/>
        <w:jc w:val="center"/>
        <w:rPr>
          <w:rFonts w:ascii="宋体" w:hAnsi="宋体" w:cs="宋体"/>
          <w:szCs w:val="21"/>
          <w:highlight w:val="none"/>
        </w:rPr>
      </w:pPr>
      <w:r>
        <w:rPr>
          <w:highlight w:val="none"/>
        </w:rPr>
        <w:br w:type="page"/>
      </w:r>
      <w:bookmarkStart w:id="0" w:name="_Toc247085669"/>
      <w:bookmarkStart w:id="1" w:name="_Toc296602400"/>
      <w:bookmarkStart w:id="2" w:name="_Toc507319889"/>
      <w:bookmarkStart w:id="3" w:name="_Toc246996898"/>
      <w:bookmarkStart w:id="4" w:name="_Toc507428442"/>
      <w:r>
        <w:rPr>
          <w:rFonts w:hint="eastAsia" w:ascii="宋体" w:hAnsi="宋体" w:cs="宋体"/>
          <w:b w:val="0"/>
          <w:sz w:val="32"/>
          <w:highlight w:val="none"/>
        </w:rPr>
        <w:t>目   录</w:t>
      </w:r>
      <w:bookmarkEnd w:id="0"/>
      <w:bookmarkEnd w:id="1"/>
      <w:bookmarkEnd w:id="2"/>
      <w:bookmarkEnd w:id="3"/>
      <w:bookmarkEnd w:id="4"/>
    </w:p>
    <w:p>
      <w:pPr>
        <w:pStyle w:val="27"/>
        <w:tabs>
          <w:tab w:val="right" w:leader="dot" w:pos="9638"/>
        </w:tabs>
        <w:rPr>
          <w:highlight w:val="none"/>
        </w:rPr>
      </w:pPr>
      <w:r>
        <w:rPr>
          <w:rFonts w:hint="eastAsia" w:ascii="宋体" w:hAnsi="宋体" w:eastAsia="宋体" w:cs="宋体"/>
          <w:b/>
          <w:bCs/>
          <w:caps/>
          <w:highlight w:val="none"/>
          <w:lang w:eastAsia="zh-CN"/>
        </w:rPr>
        <w:fldChar w:fldCharType="begin"/>
      </w:r>
      <w:r>
        <w:rPr>
          <w:rFonts w:hint="eastAsia" w:ascii="宋体" w:hAnsi="宋体" w:eastAsia="宋体" w:cs="宋体"/>
          <w:b/>
          <w:bCs/>
          <w:caps/>
          <w:highlight w:val="none"/>
          <w:lang w:eastAsia="zh-CN"/>
        </w:rPr>
        <w:instrText xml:space="preserve"> TOC \o "1-2" \h \z \u </w:instrText>
      </w:r>
      <w:r>
        <w:rPr>
          <w:rFonts w:hint="eastAsia" w:ascii="宋体" w:hAnsi="宋体" w:eastAsia="宋体" w:cs="宋体"/>
          <w:b/>
          <w:bCs/>
          <w:caps/>
          <w:highlight w:val="none"/>
          <w:lang w:eastAsia="zh-CN"/>
        </w:rPr>
        <w:fldChar w:fldCharType="separate"/>
      </w: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_Toc2331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_Toc2331 \h </w:instrText>
      </w:r>
      <w:r>
        <w:rPr>
          <w:highlight w:val="none"/>
        </w:rPr>
        <w:fldChar w:fldCharType="separate"/>
      </w:r>
      <w:r>
        <w:rPr>
          <w:highlight w:val="none"/>
        </w:rPr>
        <w:t>1</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_Toc14597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_Toc14597 \h </w:instrText>
      </w:r>
      <w:r>
        <w:rPr>
          <w:highlight w:val="none"/>
        </w:rPr>
        <w:fldChar w:fldCharType="separate"/>
      </w:r>
      <w:r>
        <w:rPr>
          <w:highlight w:val="none"/>
        </w:rPr>
        <w:t>3</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_Toc20774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_Toc20774 \h </w:instrText>
      </w:r>
      <w:r>
        <w:rPr>
          <w:highlight w:val="none"/>
        </w:rPr>
        <w:fldChar w:fldCharType="separate"/>
      </w:r>
      <w:r>
        <w:rPr>
          <w:highlight w:val="none"/>
        </w:rPr>
        <w:t>12</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_Toc9938 </w:instrText>
      </w:r>
      <w:r>
        <w:rPr>
          <w:rFonts w:hint="eastAsia" w:ascii="宋体" w:hAnsi="宋体" w:eastAsia="宋体" w:cs="宋体"/>
          <w:bCs/>
          <w:caps/>
          <w:highlight w:val="none"/>
          <w:lang w:eastAsia="zh-CN"/>
        </w:rPr>
        <w:fldChar w:fldCharType="separate"/>
      </w:r>
      <w:r>
        <w:rPr>
          <w:rFonts w:hint="eastAsia"/>
          <w:bCs/>
          <w:highlight w:val="none"/>
        </w:rPr>
        <w:t>第四章 报价说明</w:t>
      </w:r>
      <w:r>
        <w:rPr>
          <w:highlight w:val="none"/>
        </w:rPr>
        <w:tab/>
      </w:r>
      <w:r>
        <w:rPr>
          <w:highlight w:val="none"/>
        </w:rPr>
        <w:fldChar w:fldCharType="begin"/>
      </w:r>
      <w:r>
        <w:rPr>
          <w:highlight w:val="none"/>
        </w:rPr>
        <w:instrText xml:space="preserve"> PAGEREF _Toc9938 \h </w:instrText>
      </w:r>
      <w:r>
        <w:rPr>
          <w:highlight w:val="none"/>
        </w:rPr>
        <w:fldChar w:fldCharType="separate"/>
      </w:r>
      <w:r>
        <w:rPr>
          <w:highlight w:val="none"/>
        </w:rPr>
        <w:t>14</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_Toc8745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第五章  工程量清单</w:t>
      </w:r>
      <w:r>
        <w:rPr>
          <w:highlight w:val="none"/>
        </w:rPr>
        <w:tab/>
      </w:r>
      <w:r>
        <w:rPr>
          <w:highlight w:val="none"/>
        </w:rPr>
        <w:fldChar w:fldCharType="begin"/>
      </w:r>
      <w:r>
        <w:rPr>
          <w:highlight w:val="none"/>
        </w:rPr>
        <w:instrText xml:space="preserve"> PAGEREF _Toc8745 \h </w:instrText>
      </w:r>
      <w:r>
        <w:rPr>
          <w:highlight w:val="none"/>
        </w:rPr>
        <w:fldChar w:fldCharType="separate"/>
      </w:r>
      <w:r>
        <w:rPr>
          <w:highlight w:val="none"/>
        </w:rPr>
        <w:t>15</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_Toc3008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_Toc3008 \h </w:instrText>
      </w:r>
      <w:r>
        <w:rPr>
          <w:highlight w:val="none"/>
        </w:rPr>
        <w:fldChar w:fldCharType="separate"/>
      </w:r>
      <w:r>
        <w:rPr>
          <w:highlight w:val="none"/>
        </w:rPr>
        <w:t>16</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_Toc2585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_Toc2585 \h </w:instrText>
      </w:r>
      <w:r>
        <w:rPr>
          <w:highlight w:val="none"/>
        </w:rPr>
        <w:fldChar w:fldCharType="separate"/>
      </w:r>
      <w:r>
        <w:rPr>
          <w:highlight w:val="none"/>
        </w:rPr>
        <w:t>17</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_Toc1416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_Toc1416 \h </w:instrText>
      </w:r>
      <w:r>
        <w:rPr>
          <w:highlight w:val="none"/>
        </w:rPr>
        <w:fldChar w:fldCharType="separate"/>
      </w:r>
      <w:r>
        <w:rPr>
          <w:highlight w:val="none"/>
        </w:rPr>
        <w:t>19</w:t>
      </w:r>
      <w:r>
        <w:rPr>
          <w:highlight w:val="none"/>
        </w:rPr>
        <w:fldChar w:fldCharType="end"/>
      </w:r>
      <w:r>
        <w:rPr>
          <w:rFonts w:hint="eastAsia" w:ascii="宋体" w:hAnsi="宋体" w:eastAsia="宋体" w:cs="宋体"/>
          <w:bCs/>
          <w:caps/>
          <w:highlight w:val="none"/>
          <w:lang w:eastAsia="zh-CN"/>
        </w:rPr>
        <w:fldChar w:fldCharType="end"/>
      </w:r>
    </w:p>
    <w:p>
      <w:pPr>
        <w:pStyle w:val="33"/>
        <w:tabs>
          <w:tab w:val="right" w:leader="dot" w:pos="9628"/>
        </w:tabs>
        <w:rPr>
          <w:rFonts w:hint="eastAsia" w:ascii="宋体" w:hAnsi="宋体" w:eastAsia="宋体" w:cs="宋体"/>
          <w:b/>
          <w:bCs/>
          <w:caps/>
          <w:highlight w:val="none"/>
          <w:lang w:eastAsia="zh-CN"/>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eastAsia="宋体" w:cs="宋体"/>
          <w:bCs/>
          <w:caps/>
          <w:highlight w:val="none"/>
          <w:lang w:eastAsia="zh-CN"/>
        </w:rPr>
        <w:fldChar w:fldCharType="end"/>
      </w:r>
    </w:p>
    <w:p>
      <w:pPr>
        <w:pStyle w:val="3"/>
        <w:spacing w:before="0" w:after="0" w:line="360" w:lineRule="auto"/>
        <w:jc w:val="center"/>
        <w:rPr>
          <w:rFonts w:ascii="宋体" w:hAnsi="宋体" w:cs="宋体"/>
          <w:highlight w:val="none"/>
        </w:rPr>
      </w:pPr>
      <w:bookmarkStart w:id="5" w:name="_Toc2000404"/>
      <w:bookmarkStart w:id="6" w:name="_Toc246996157"/>
      <w:bookmarkStart w:id="7" w:name="_Toc507319890"/>
      <w:bookmarkStart w:id="8" w:name="_Toc247096243"/>
      <w:bookmarkStart w:id="9" w:name="_Toc247085671"/>
      <w:bookmarkStart w:id="10" w:name="_Toc152042287"/>
      <w:bookmarkStart w:id="11" w:name="_Toc152045511"/>
      <w:bookmarkStart w:id="12" w:name="_Toc246996900"/>
      <w:bookmarkStart w:id="13" w:name="_Toc179632527"/>
      <w:bookmarkStart w:id="14" w:name="_Toc144974479"/>
      <w:bookmarkStart w:id="15" w:name="_Toc10533"/>
      <w:bookmarkStart w:id="16" w:name="_Toc2331"/>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bookmarkEnd w:id="16"/>
    </w:p>
    <w:p>
      <w:pPr>
        <w:spacing w:line="440" w:lineRule="exact"/>
        <w:jc w:val="center"/>
        <w:rPr>
          <w:rFonts w:ascii="宋体" w:hAnsi="宋体" w:cs="宋体"/>
          <w:b/>
          <w:sz w:val="28"/>
          <w:szCs w:val="28"/>
          <w:highlight w:val="none"/>
        </w:rPr>
      </w:pPr>
      <w:bookmarkStart w:id="17" w:name="OLE_LINK3"/>
      <w:bookmarkStart w:id="18" w:name="OLE_LINK2"/>
      <w:r>
        <w:rPr>
          <w:rFonts w:hint="eastAsia" w:ascii="宋体" w:hAnsi="宋体" w:cs="宋体"/>
          <w:b/>
          <w:sz w:val="28"/>
          <w:szCs w:val="28"/>
          <w:highlight w:val="none"/>
          <w:lang w:val="en-US" w:eastAsia="zh-CN"/>
        </w:rPr>
        <w:t>2023年专项工程存储设备（第一批）采购</w:t>
      </w:r>
    </w:p>
    <w:p>
      <w:pPr>
        <w:spacing w:line="440" w:lineRule="exact"/>
        <w:jc w:val="center"/>
        <w:rPr>
          <w:rFonts w:ascii="宋体" w:hAnsi="宋体" w:cs="宋体"/>
          <w:b/>
          <w:sz w:val="28"/>
          <w:szCs w:val="28"/>
          <w:highlight w:val="none"/>
        </w:rPr>
      </w:pPr>
      <w:r>
        <w:rPr>
          <w:rFonts w:hint="eastAsia" w:ascii="宋体" w:hAnsi="宋体" w:cs="宋体"/>
          <w:b/>
          <w:sz w:val="28"/>
          <w:szCs w:val="28"/>
          <w:highlight w:val="none"/>
        </w:rPr>
        <w:t>竞争性比选公告</w:t>
      </w:r>
    </w:p>
    <w:p>
      <w:pPr>
        <w:spacing w:line="440" w:lineRule="exact"/>
        <w:jc w:val="center"/>
        <w:rPr>
          <w:rFonts w:ascii="宋体" w:hAnsi="宋体" w:cs="宋体"/>
          <w:b/>
          <w:sz w:val="28"/>
          <w:szCs w:val="28"/>
          <w:highlight w:val="none"/>
        </w:rPr>
      </w:pPr>
    </w:p>
    <w:p>
      <w:pPr>
        <w:pStyle w:val="4"/>
        <w:spacing w:before="0" w:after="0" w:line="360" w:lineRule="auto"/>
        <w:rPr>
          <w:rFonts w:ascii="宋体" w:hAnsi="宋体" w:eastAsia="宋体" w:cs="宋体"/>
          <w:highlight w:val="none"/>
        </w:rPr>
      </w:pPr>
      <w:bookmarkStart w:id="19" w:name="_Toc179632528"/>
      <w:bookmarkStart w:id="20" w:name="_Toc246996158"/>
      <w:bookmarkStart w:id="21" w:name="_Toc246996901"/>
      <w:bookmarkStart w:id="22" w:name="_Toc6549"/>
      <w:bookmarkStart w:id="23" w:name="_Toc10076"/>
      <w:bookmarkStart w:id="24" w:name="_Toc247085672"/>
      <w:bookmarkStart w:id="25" w:name="_Toc507319891"/>
      <w:bookmarkStart w:id="26" w:name="_Toc144974480"/>
      <w:bookmarkStart w:id="27" w:name="_Toc11329213"/>
      <w:bookmarkStart w:id="28" w:name="_Toc19148"/>
      <w:bookmarkStart w:id="29" w:name="_Toc152045512"/>
      <w:bookmarkStart w:id="30" w:name="_Toc152042288"/>
      <w:bookmarkStart w:id="31" w:name="_Toc24874"/>
      <w:r>
        <w:rPr>
          <w:rFonts w:hint="eastAsia" w:ascii="宋体" w:hAnsi="宋体" w:eastAsia="宋体" w:cs="宋体"/>
          <w:highlight w:val="none"/>
        </w:rPr>
        <w:t>1. 比选条件</w:t>
      </w:r>
      <w:bookmarkEnd w:id="19"/>
      <w:bookmarkEnd w:id="20"/>
      <w:bookmarkEnd w:id="21"/>
      <w:bookmarkEnd w:id="22"/>
      <w:bookmarkEnd w:id="23"/>
      <w:bookmarkEnd w:id="24"/>
      <w:bookmarkEnd w:id="25"/>
      <w:bookmarkEnd w:id="26"/>
      <w:bookmarkEnd w:id="27"/>
      <w:bookmarkEnd w:id="28"/>
      <w:bookmarkEnd w:id="29"/>
      <w:bookmarkEnd w:id="30"/>
      <w:bookmarkEnd w:id="31"/>
    </w:p>
    <w:p>
      <w:pPr>
        <w:spacing w:line="400" w:lineRule="exact"/>
        <w:jc w:val="left"/>
        <w:rPr>
          <w:rFonts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val="en-US" w:eastAsia="zh-CN"/>
        </w:rPr>
        <w:t>2023年专项工程存储设备（第一批）采购</w:t>
      </w:r>
      <w:r>
        <w:rPr>
          <w:rFonts w:hint="eastAsia" w:ascii="宋体" w:hAnsi="宋体" w:cs="宋体"/>
          <w:szCs w:val="21"/>
          <w:highlight w:val="none"/>
        </w:rPr>
        <w:t>，采购人为</w:t>
      </w:r>
      <w:r>
        <w:rPr>
          <w:rFonts w:hint="eastAsia" w:ascii="宋体" w:hAnsi="宋体" w:cs="宋体"/>
          <w:szCs w:val="21"/>
          <w:highlight w:val="none"/>
          <w:u w:val="single"/>
        </w:rPr>
        <w:t xml:space="preserve">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ascii="宋体" w:hAnsi="宋体" w:eastAsia="宋体" w:cs="宋体"/>
          <w:highlight w:val="none"/>
        </w:rPr>
      </w:pPr>
      <w:bookmarkStart w:id="32" w:name="_Toc152045513"/>
      <w:bookmarkStart w:id="33" w:name="_Toc507319892"/>
      <w:bookmarkStart w:id="34" w:name="_Toc18109"/>
      <w:bookmarkStart w:id="35" w:name="_Toc144974481"/>
      <w:bookmarkStart w:id="36" w:name="_Toc11329214"/>
      <w:bookmarkStart w:id="37" w:name="_Toc21343"/>
      <w:bookmarkStart w:id="38" w:name="_Toc10321"/>
      <w:bookmarkStart w:id="39" w:name="_Toc179632529"/>
      <w:bookmarkStart w:id="40" w:name="_Toc246996902"/>
      <w:bookmarkStart w:id="41" w:name="_Toc247085673"/>
      <w:bookmarkStart w:id="42" w:name="_Toc246996159"/>
      <w:bookmarkStart w:id="43" w:name="_Toc152042289"/>
      <w:bookmarkStart w:id="44" w:name="_Toc10952"/>
      <w:r>
        <w:rPr>
          <w:rFonts w:hint="eastAsia" w:ascii="宋体" w:hAnsi="宋体" w:eastAsia="宋体" w:cs="宋体"/>
          <w:highlight w:val="none"/>
        </w:rPr>
        <w:t>2. 项目概况与比选范围</w:t>
      </w:r>
      <w:bookmarkEnd w:id="32"/>
      <w:bookmarkEnd w:id="33"/>
      <w:bookmarkEnd w:id="34"/>
      <w:bookmarkEnd w:id="35"/>
      <w:bookmarkEnd w:id="36"/>
      <w:bookmarkEnd w:id="37"/>
      <w:bookmarkEnd w:id="38"/>
      <w:bookmarkEnd w:id="39"/>
      <w:bookmarkEnd w:id="40"/>
      <w:bookmarkEnd w:id="41"/>
      <w:bookmarkEnd w:id="42"/>
      <w:bookmarkEnd w:id="43"/>
      <w:bookmarkEnd w:id="44"/>
    </w:p>
    <w:p>
      <w:pPr>
        <w:spacing w:line="360" w:lineRule="auto"/>
        <w:ind w:firstLine="420" w:firstLineChars="200"/>
        <w:rPr>
          <w:rFonts w:ascii="宋体" w:hAnsi="宋体" w:cs="宋体"/>
          <w:highlight w:val="none"/>
        </w:rPr>
      </w:pPr>
      <w:bookmarkStart w:id="45" w:name="_Toc446247226"/>
      <w:r>
        <w:rPr>
          <w:rFonts w:hint="eastAsia" w:ascii="宋体" w:hAnsi="宋体" w:cs="宋体"/>
          <w:highlight w:val="none"/>
        </w:rPr>
        <w:t>2.1 项目地点：</w:t>
      </w:r>
      <w:bookmarkEnd w:id="45"/>
      <w:r>
        <w:rPr>
          <w:rFonts w:hint="eastAsia" w:ascii="宋体" w:hAnsi="宋体" w:cs="宋体"/>
          <w:highlight w:val="none"/>
        </w:rPr>
        <w:t>渝东公司石忠路隧道监控、渝东公司长万路新增路段监控、东北公司隧道视频监控系统升级改造、东南公司路段监控全覆盖及功能改造提升、中渝公司增设路段视频监控施工等</w:t>
      </w:r>
      <w:r>
        <w:rPr>
          <w:rFonts w:hint="eastAsia" w:ascii="宋体" w:hAnsi="宋体" w:cs="宋体"/>
          <w:highlight w:val="none"/>
          <w:lang w:val="en-US" w:eastAsia="zh-CN"/>
        </w:rPr>
        <w:t>项目所在地</w:t>
      </w:r>
      <w:r>
        <w:rPr>
          <w:rFonts w:hint="eastAsia" w:ascii="宋体" w:hAnsi="宋体" w:cs="宋体"/>
          <w:highlight w:val="none"/>
        </w:rPr>
        <w:t>。</w:t>
      </w:r>
    </w:p>
    <w:p>
      <w:pPr>
        <w:pStyle w:val="11"/>
        <w:adjustRightInd w:val="0"/>
        <w:spacing w:line="400" w:lineRule="exact"/>
        <w:rPr>
          <w:rFonts w:hint="eastAsia" w:ascii="宋体" w:hAnsi="宋体" w:eastAsia="宋体" w:cs="宋体"/>
          <w:highlight w:val="none"/>
          <w:lang w:eastAsia="zh-CN"/>
        </w:rPr>
      </w:pPr>
      <w:r>
        <w:rPr>
          <w:rFonts w:hint="eastAsia" w:ascii="宋体" w:hAnsi="宋体" w:cs="宋体"/>
          <w:szCs w:val="21"/>
          <w:highlight w:val="none"/>
        </w:rPr>
        <w:t xml:space="preserve">2.2 </w:t>
      </w:r>
      <w:r>
        <w:rPr>
          <w:rFonts w:hint="eastAsia" w:ascii="宋体" w:hAnsi="宋体" w:cs="宋体"/>
          <w:szCs w:val="21"/>
          <w:highlight w:val="none"/>
          <w:lang w:eastAsia="zh-CN"/>
        </w:rPr>
        <w:t>服务内容</w:t>
      </w:r>
      <w:r>
        <w:rPr>
          <w:rFonts w:hint="eastAsia" w:ascii="宋体" w:hAnsi="宋体" w:cs="宋体"/>
          <w:szCs w:val="21"/>
          <w:highlight w:val="none"/>
        </w:rPr>
        <w:t>：</w:t>
      </w:r>
      <w:r>
        <w:rPr>
          <w:rFonts w:hint="eastAsia" w:eastAsia="宋体" w:cs="Times New Roman"/>
          <w:highlight w:val="none"/>
          <w:lang w:val="en-US" w:eastAsia="zh-CN"/>
        </w:rPr>
        <w:t>对渝东公司石忠路隧道监控、渝东公司长万路新增路段监控、东北公司隧道视频监控系统升级改造、东南公司路段监控全覆盖及功能改造提升、中渝公司增设路段视频监控施工等项目</w:t>
      </w:r>
      <w:r>
        <w:rPr>
          <w:rFonts w:hint="eastAsia" w:ascii="宋体" w:hAnsi="宋体" w:cs="宋体"/>
          <w:szCs w:val="21"/>
          <w:lang w:val="en-US" w:eastAsia="zh-CN"/>
        </w:rPr>
        <w:t>存储</w:t>
      </w:r>
      <w:r>
        <w:rPr>
          <w:rFonts w:hint="eastAsia" w:ascii="Calibri" w:hAnsi="Calibri" w:eastAsia="宋体" w:cs="Times New Roman"/>
          <w:b w:val="0"/>
          <w:bCs w:val="0"/>
          <w:caps w:val="0"/>
          <w:kern w:val="2"/>
          <w:sz w:val="21"/>
          <w:szCs w:val="24"/>
          <w:lang w:val="en-US" w:eastAsia="zh-CN" w:bidi="ar-SA"/>
        </w:rPr>
        <w:t>设备</w:t>
      </w:r>
      <w:r>
        <w:rPr>
          <w:rFonts w:hint="eastAsia" w:ascii="Calibri" w:hAnsi="Calibri" w:cs="Times New Roman"/>
          <w:b w:val="0"/>
          <w:bCs w:val="0"/>
          <w:caps w:val="0"/>
          <w:kern w:val="2"/>
          <w:sz w:val="21"/>
          <w:szCs w:val="24"/>
          <w:lang w:val="en-US" w:eastAsia="zh-CN" w:bidi="ar-SA"/>
        </w:rPr>
        <w:t>供应及指导安装调试</w:t>
      </w:r>
      <w:r>
        <w:rPr>
          <w:rFonts w:hint="eastAsia" w:ascii="宋体" w:hAnsi="宋体" w:cs="宋体"/>
          <w:szCs w:val="21"/>
          <w:highlight w:val="none"/>
        </w:rPr>
        <w:t>，具体参数详见</w:t>
      </w:r>
      <w:r>
        <w:rPr>
          <w:rFonts w:hint="eastAsia" w:ascii="宋体" w:hAnsi="宋体" w:cs="宋体"/>
          <w:szCs w:val="21"/>
          <w:highlight w:val="none"/>
          <w:lang w:eastAsia="zh-CN"/>
        </w:rPr>
        <w:t>“第七章  技术标准和工作要求”。</w:t>
      </w:r>
    </w:p>
    <w:p>
      <w:pPr>
        <w:pStyle w:val="11"/>
        <w:adjustRightInd w:val="0"/>
        <w:spacing w:line="400" w:lineRule="exact"/>
        <w:rPr>
          <w:rFonts w:hint="eastAsia" w:ascii="宋体" w:hAnsi="宋体" w:cs="宋体"/>
          <w:highlight w:val="none"/>
        </w:rPr>
      </w:pPr>
      <w:r>
        <w:rPr>
          <w:rFonts w:hint="eastAsia" w:ascii="宋体" w:hAnsi="宋体" w:cs="宋体"/>
          <w:highlight w:val="none"/>
        </w:rPr>
        <w:t xml:space="preserve">2.3 </w:t>
      </w:r>
      <w:r>
        <w:rPr>
          <w:rFonts w:hint="eastAsia" w:ascii="宋体" w:hAnsi="宋体" w:cs="宋体"/>
          <w:highlight w:val="none"/>
          <w:lang w:val="en-US" w:eastAsia="zh-CN"/>
        </w:rPr>
        <w:t>工期要求</w:t>
      </w:r>
      <w:r>
        <w:rPr>
          <w:rFonts w:hint="eastAsia" w:ascii="宋体" w:hAnsi="宋体" w:cs="宋体"/>
          <w:highlight w:val="none"/>
        </w:rPr>
        <w:t>：合同签订后5天内开始供货；具体供货时间以甲方实际下达的订单为准。</w:t>
      </w:r>
    </w:p>
    <w:p>
      <w:pPr>
        <w:pStyle w:val="11"/>
        <w:adjustRightInd w:val="0"/>
        <w:spacing w:line="400" w:lineRule="exact"/>
        <w:rPr>
          <w:rFonts w:hint="eastAsia" w:ascii="宋体" w:hAnsi="宋体" w:cs="宋体"/>
          <w:b/>
          <w:bCs/>
        </w:rPr>
      </w:pPr>
      <w:r>
        <w:rPr>
          <w:rFonts w:hint="eastAsia" w:ascii="宋体" w:hAnsi="宋体" w:cs="宋体"/>
          <w:b/>
          <w:bCs/>
          <w:lang w:val="en-US" w:eastAsia="zh-CN"/>
        </w:rPr>
        <w:t>2.4</w:t>
      </w:r>
      <w:r>
        <w:rPr>
          <w:rFonts w:hint="eastAsia" w:ascii="宋体" w:hAnsi="宋体" w:cs="宋体"/>
          <w:b/>
          <w:bCs/>
        </w:rPr>
        <w:t>特别声明：</w:t>
      </w:r>
    </w:p>
    <w:p>
      <w:pPr>
        <w:pStyle w:val="11"/>
        <w:adjustRightInd w:val="0"/>
        <w:spacing w:line="400" w:lineRule="exact"/>
        <w:rPr>
          <w:rFonts w:hint="eastAsia" w:ascii="宋体" w:hAnsi="宋体" w:cs="宋体"/>
          <w:b/>
          <w:bCs/>
        </w:rPr>
      </w:pPr>
      <w:r>
        <w:rPr>
          <w:rFonts w:hint="eastAsia" w:ascii="宋体" w:hAnsi="宋体" w:cs="宋体"/>
          <w:b/>
          <w:bCs/>
        </w:rPr>
        <w:t>（</w:t>
      </w:r>
      <w:r>
        <w:rPr>
          <w:rFonts w:hint="eastAsia" w:ascii="宋体" w:hAnsi="宋体" w:cs="宋体"/>
          <w:b/>
          <w:bCs/>
          <w:lang w:val="en-US" w:eastAsia="zh-CN"/>
        </w:rPr>
        <w:t>1</w:t>
      </w:r>
      <w:r>
        <w:rPr>
          <w:rFonts w:hint="eastAsia" w:ascii="宋体" w:hAnsi="宋体" w:cs="宋体"/>
          <w:b/>
          <w:bCs/>
        </w:rPr>
        <w:t>）所投设备</w:t>
      </w:r>
      <w:r>
        <w:rPr>
          <w:rFonts w:hint="eastAsia" w:ascii="宋体" w:hAnsi="宋体" w:cs="宋体"/>
          <w:b/>
          <w:bCs/>
          <w:lang w:val="en-US" w:eastAsia="zh-CN"/>
        </w:rPr>
        <w:t>若有需要</w:t>
      </w:r>
      <w:r>
        <w:rPr>
          <w:rFonts w:hint="eastAsia" w:ascii="宋体" w:hAnsi="宋体" w:cs="宋体"/>
          <w:b/>
          <w:bCs/>
        </w:rPr>
        <w:t>接入路网现有系统</w:t>
      </w:r>
      <w:r>
        <w:rPr>
          <w:rFonts w:hint="eastAsia" w:ascii="宋体" w:hAnsi="宋体" w:cs="宋体"/>
          <w:b/>
          <w:bCs/>
          <w:lang w:val="en-US" w:eastAsia="zh-CN"/>
        </w:rPr>
        <w:t>的，</w:t>
      </w:r>
      <w:r>
        <w:rPr>
          <w:rFonts w:hint="eastAsia" w:ascii="宋体" w:hAnsi="宋体" w:cs="宋体"/>
          <w:b/>
          <w:bCs/>
        </w:rPr>
        <w:t>需保证在合同工期内接入路网现有的系统；</w:t>
      </w:r>
    </w:p>
    <w:p>
      <w:pPr>
        <w:pStyle w:val="11"/>
        <w:adjustRightInd w:val="0"/>
        <w:spacing w:line="400" w:lineRule="exact"/>
        <w:rPr>
          <w:rFonts w:hint="eastAsia" w:ascii="宋体" w:hAnsi="宋体" w:cs="宋体"/>
          <w:b/>
          <w:bCs/>
        </w:rPr>
      </w:pPr>
      <w:r>
        <w:rPr>
          <w:rFonts w:hint="eastAsia" w:ascii="宋体" w:hAnsi="宋体" w:cs="宋体"/>
          <w:b/>
          <w:bCs/>
        </w:rPr>
        <w:t>（</w:t>
      </w:r>
      <w:r>
        <w:rPr>
          <w:rFonts w:hint="eastAsia" w:ascii="宋体" w:hAnsi="宋体" w:cs="宋体"/>
          <w:b/>
          <w:bCs/>
          <w:lang w:val="en-US" w:eastAsia="zh-CN"/>
        </w:rPr>
        <w:t>2</w:t>
      </w:r>
      <w:r>
        <w:rPr>
          <w:rFonts w:hint="eastAsia" w:ascii="宋体" w:hAnsi="宋体" w:cs="宋体"/>
          <w:b/>
          <w:bCs/>
        </w:rPr>
        <w:t>）所投设备品牌需通过业主联合设计审查后方可实施，若未通过，需更换为业主联合设计认可品牌；</w:t>
      </w:r>
    </w:p>
    <w:p>
      <w:pPr>
        <w:pStyle w:val="11"/>
        <w:adjustRightInd w:val="0"/>
        <w:spacing w:line="400" w:lineRule="exact"/>
        <w:rPr>
          <w:rFonts w:hint="eastAsia" w:ascii="宋体" w:hAnsi="宋体" w:cs="宋体"/>
          <w:highlight w:val="none"/>
        </w:rPr>
      </w:pPr>
      <w:r>
        <w:rPr>
          <w:rFonts w:hint="eastAsia" w:ascii="宋体" w:hAnsi="宋体" w:cs="宋体"/>
          <w:b/>
          <w:bCs/>
        </w:rPr>
        <w:t>（</w:t>
      </w:r>
      <w:r>
        <w:rPr>
          <w:rFonts w:hint="eastAsia" w:ascii="宋体" w:hAnsi="宋体" w:cs="宋体"/>
          <w:b/>
          <w:bCs/>
          <w:lang w:val="en-US" w:eastAsia="zh-CN"/>
        </w:rPr>
        <w:t>3</w:t>
      </w:r>
      <w:r>
        <w:rPr>
          <w:rFonts w:hint="eastAsia" w:ascii="宋体" w:hAnsi="宋体" w:cs="宋体"/>
          <w:b/>
          <w:bCs/>
        </w:rPr>
        <w:t>）如果所投设备不是路网运行可靠品牌型号的，需要在5个工作日内通过测试，否则需无条件换成路网运行可靠的设备品牌型号；</w:t>
      </w:r>
    </w:p>
    <w:p>
      <w:pPr>
        <w:pStyle w:val="4"/>
        <w:spacing w:before="120" w:after="0" w:line="360" w:lineRule="auto"/>
        <w:rPr>
          <w:rFonts w:ascii="宋体" w:hAnsi="宋体" w:eastAsia="宋体" w:cs="宋体"/>
          <w:highlight w:val="none"/>
        </w:rPr>
      </w:pPr>
      <w:bookmarkStart w:id="46" w:name="_Toc507319893"/>
      <w:bookmarkStart w:id="47" w:name="_Toc30356"/>
      <w:bookmarkStart w:id="48" w:name="_Toc152042290"/>
      <w:bookmarkStart w:id="49" w:name="_Toc8744"/>
      <w:bookmarkStart w:id="50" w:name="_Toc144974482"/>
      <w:bookmarkStart w:id="51" w:name="_Toc247085674"/>
      <w:bookmarkStart w:id="52" w:name="_Toc7065"/>
      <w:bookmarkStart w:id="53" w:name="_Toc246996160"/>
      <w:bookmarkStart w:id="54" w:name="_Toc152045514"/>
      <w:bookmarkStart w:id="55" w:name="_Toc11329215"/>
      <w:bookmarkStart w:id="56" w:name="_Toc10171"/>
      <w:bookmarkStart w:id="57" w:name="_Toc179632530"/>
      <w:bookmarkStart w:id="58" w:name="_Toc246996903"/>
      <w:r>
        <w:rPr>
          <w:rFonts w:hint="eastAsia" w:ascii="宋体" w:hAnsi="宋体" w:eastAsia="宋体" w:cs="宋体"/>
          <w:highlight w:val="none"/>
        </w:rPr>
        <w:t>3. 报价人资格要求</w:t>
      </w:r>
      <w:bookmarkEnd w:id="46"/>
      <w:bookmarkEnd w:id="47"/>
      <w:bookmarkEnd w:id="48"/>
      <w:bookmarkEnd w:id="49"/>
      <w:bookmarkEnd w:id="50"/>
      <w:bookmarkEnd w:id="51"/>
      <w:bookmarkEnd w:id="52"/>
      <w:bookmarkEnd w:id="53"/>
      <w:bookmarkEnd w:id="54"/>
      <w:bookmarkEnd w:id="55"/>
      <w:bookmarkEnd w:id="56"/>
      <w:bookmarkEnd w:id="57"/>
      <w:bookmarkEnd w:id="58"/>
    </w:p>
    <w:p>
      <w:pPr>
        <w:pStyle w:val="11"/>
        <w:adjustRightInd w:val="0"/>
        <w:spacing w:line="400" w:lineRule="exact"/>
        <w:rPr>
          <w:rFonts w:hint="eastAsia" w:ascii="宋体" w:hAnsi="宋体" w:cs="宋体"/>
          <w:lang w:val="en-US" w:eastAsia="zh-CN"/>
        </w:rPr>
      </w:pPr>
      <w:bookmarkStart w:id="59" w:name="_Toc179632531"/>
      <w:bookmarkStart w:id="60" w:name="_Toc246996904"/>
      <w:bookmarkStart w:id="61" w:name="_Toc144974483"/>
      <w:bookmarkStart w:id="62" w:name="_Toc152042291"/>
      <w:bookmarkStart w:id="63" w:name="_Toc152045515"/>
      <w:bookmarkStart w:id="64" w:name="_Toc246996161"/>
      <w:bookmarkStart w:id="65" w:name="_Toc247085675"/>
      <w:r>
        <w:rPr>
          <w:rFonts w:hint="eastAsia" w:ascii="宋体" w:hAnsi="宋体" w:cs="宋体"/>
          <w:lang w:val="en-US" w:eastAsia="zh-CN"/>
        </w:rPr>
        <w:t>3.1 资质要求（以下资质文件若因疫情影响过期无法办理延续手续，需附相关行政部门下发的延期办理文件）：</w:t>
      </w:r>
    </w:p>
    <w:p>
      <w:pPr>
        <w:pStyle w:val="11"/>
        <w:adjustRightInd w:val="0"/>
        <w:spacing w:line="400" w:lineRule="exact"/>
        <w:rPr>
          <w:rFonts w:hint="eastAsia" w:ascii="宋体" w:hAnsi="宋体" w:cs="宋体"/>
          <w:lang w:val="en-US" w:eastAsia="zh-CN"/>
        </w:rPr>
      </w:pPr>
      <w:r>
        <w:rPr>
          <w:rFonts w:hint="eastAsia" w:ascii="宋体" w:hAnsi="宋体" w:cs="宋体"/>
          <w:lang w:val="en-US" w:eastAsia="zh-CN"/>
        </w:rPr>
        <w:t>（1）具有独立法人资格；</w:t>
      </w:r>
    </w:p>
    <w:p>
      <w:pPr>
        <w:pStyle w:val="11"/>
        <w:adjustRightInd w:val="0"/>
        <w:spacing w:line="400" w:lineRule="exact"/>
        <w:rPr>
          <w:rFonts w:hint="eastAsia" w:ascii="宋体" w:hAnsi="宋体" w:cs="宋体"/>
          <w:lang w:val="en-US" w:eastAsia="zh-CN"/>
        </w:rPr>
      </w:pPr>
      <w:r>
        <w:rPr>
          <w:rFonts w:hint="eastAsia" w:ascii="宋体" w:hAnsi="宋体" w:cs="宋体"/>
          <w:lang w:val="en-US" w:eastAsia="zh-CN"/>
        </w:rPr>
        <w:t>（2）具有有效的营业执照；</w:t>
      </w:r>
    </w:p>
    <w:p>
      <w:pPr>
        <w:pStyle w:val="11"/>
        <w:adjustRightInd w:val="0"/>
        <w:spacing w:line="400" w:lineRule="exact"/>
        <w:rPr>
          <w:rFonts w:hint="eastAsia" w:ascii="宋体" w:hAnsi="宋体" w:cs="宋体"/>
          <w:lang w:val="en-US" w:eastAsia="zh-CN"/>
        </w:rPr>
      </w:pPr>
      <w:r>
        <w:rPr>
          <w:rFonts w:hint="eastAsia" w:ascii="宋体" w:hAnsi="宋体" w:cs="宋体"/>
          <w:lang w:val="en-US" w:eastAsia="zh-CN"/>
        </w:rPr>
        <w:t>（3）</w:t>
      </w:r>
      <w:r>
        <w:rPr>
          <w:rFonts w:hint="eastAsia"/>
          <w:lang w:val="en-US" w:eastAsia="zh-CN"/>
        </w:rPr>
        <w:t>报价人为设备制造厂或设备代理商，如果为设备代理商需提供项目授权书</w:t>
      </w:r>
      <w:r>
        <w:rPr>
          <w:rFonts w:hint="eastAsia" w:ascii="宋体" w:hAnsi="宋体" w:cs="宋体"/>
          <w:lang w:val="en-US" w:eastAsia="zh-CN"/>
        </w:rPr>
        <w:t>。</w:t>
      </w:r>
    </w:p>
    <w:p>
      <w:pPr>
        <w:pStyle w:val="11"/>
        <w:adjustRightInd w:val="0"/>
        <w:spacing w:line="400" w:lineRule="exact"/>
        <w:ind w:left="0" w:leftChars="0" w:firstLine="420" w:firstLineChars="200"/>
        <w:rPr>
          <w:rFonts w:hint="eastAsia"/>
          <w:lang w:val="en-US" w:eastAsia="zh-CN"/>
        </w:rPr>
      </w:pPr>
      <w:r>
        <w:rPr>
          <w:rFonts w:hint="eastAsia" w:ascii="宋体" w:hAnsi="宋体" w:cs="宋体"/>
          <w:lang w:val="en-US" w:eastAsia="zh-CN"/>
        </w:rPr>
        <w:t>3.2业绩要求：</w:t>
      </w:r>
      <w:r>
        <w:rPr>
          <w:rFonts w:hint="eastAsia"/>
          <w:lang w:val="en-US" w:eastAsia="zh-CN"/>
        </w:rPr>
        <w:t>报价人所报品牌</w:t>
      </w:r>
      <w:r>
        <w:rPr>
          <w:rFonts w:hint="eastAsia" w:ascii="宋体" w:hAnsi="宋体" w:eastAsia="宋体" w:cs="宋体"/>
          <w:szCs w:val="21"/>
          <w:highlight w:val="none"/>
          <w:shd w:val="clear" w:color="auto" w:fill="FFFFFF"/>
          <w:lang w:val="en-US" w:eastAsia="zh-CN"/>
        </w:rPr>
        <w:t>近三年（2019年1月1日起至投标截止日）至少承担1项高速公路应用业绩</w:t>
      </w:r>
      <w:r>
        <w:rPr>
          <w:rFonts w:hint="default" w:ascii="宋体" w:hAnsi="宋体" w:cs="宋体"/>
          <w:lang w:eastAsia="zh-CN"/>
        </w:rPr>
        <w:t>（以合同签订时间为准）</w:t>
      </w:r>
      <w:r>
        <w:rPr>
          <w:rFonts w:hint="eastAsia" w:ascii="宋体" w:hAnsi="宋体" w:cs="宋体"/>
          <w:lang w:val="en-US" w:eastAsia="zh-CN"/>
        </w:rPr>
        <w:t>。</w:t>
      </w:r>
    </w:p>
    <w:p>
      <w:pPr>
        <w:pStyle w:val="11"/>
        <w:adjustRightInd w:val="0"/>
        <w:spacing w:line="400" w:lineRule="exact"/>
        <w:rPr>
          <w:rFonts w:hint="eastAsia" w:ascii="宋体" w:hAnsi="宋体" w:cs="宋体"/>
        </w:rPr>
      </w:pPr>
      <w:r>
        <w:rPr>
          <w:rFonts w:hint="eastAsia" w:ascii="宋体" w:hAnsi="宋体" w:cs="宋体"/>
        </w:rPr>
        <w:t>3.</w:t>
      </w:r>
      <w:r>
        <w:rPr>
          <w:rFonts w:hint="eastAsia" w:ascii="宋体" w:hAnsi="宋体" w:cs="宋体"/>
          <w:lang w:val="en-US" w:eastAsia="zh-CN"/>
        </w:rPr>
        <w:t>3</w:t>
      </w:r>
      <w:r>
        <w:rPr>
          <w:rFonts w:hint="eastAsia" w:ascii="宋体" w:hAnsi="宋体" w:cs="宋体"/>
        </w:rPr>
        <w:t xml:space="preserve"> 信誉要求：在国家企业信用信息公示系统（http://www.gsxt.gov.cn/）中未被列入严重违法失信企业名单（黑名单）信息；在“信用中国”网站（http://www.creditchina.gov.cn/）中未被列入失信惩戒执行人名单。</w:t>
      </w:r>
    </w:p>
    <w:p>
      <w:pPr>
        <w:pStyle w:val="11"/>
        <w:adjustRightInd w:val="0"/>
        <w:spacing w:line="400" w:lineRule="exact"/>
        <w:rPr>
          <w:rFonts w:hint="eastAsia" w:ascii="宋体" w:hAnsi="宋体" w:cs="宋体"/>
        </w:rPr>
      </w:pPr>
      <w:r>
        <w:rPr>
          <w:rFonts w:hint="eastAsia" w:ascii="宋体" w:hAnsi="宋体" w:cs="宋体"/>
        </w:rPr>
        <w:t>3.</w:t>
      </w:r>
      <w:r>
        <w:rPr>
          <w:rFonts w:hint="eastAsia" w:ascii="宋体" w:hAnsi="宋体" w:cs="宋体"/>
          <w:lang w:val="en-US" w:eastAsia="zh-CN"/>
        </w:rPr>
        <w:t>4</w:t>
      </w:r>
      <w:r>
        <w:rPr>
          <w:rFonts w:hint="eastAsia" w:ascii="宋体" w:hAnsi="宋体" w:cs="宋体"/>
        </w:rPr>
        <w:t xml:space="preserve"> 报价人须提供采购人要求的所有资质要求、业绩要求、信誉要求的复印件并加盖单位鲜公章。</w:t>
      </w:r>
    </w:p>
    <w:p>
      <w:pPr>
        <w:pStyle w:val="11"/>
        <w:adjustRightInd w:val="0"/>
        <w:spacing w:line="400" w:lineRule="exact"/>
        <w:rPr>
          <w:rFonts w:hint="eastAsia" w:ascii="宋体" w:hAnsi="宋体" w:cs="宋体"/>
        </w:rPr>
      </w:pPr>
      <w:r>
        <w:rPr>
          <w:rFonts w:hint="eastAsia" w:ascii="宋体" w:hAnsi="宋体" w:cs="宋体"/>
        </w:rPr>
        <w:t>3.</w:t>
      </w:r>
      <w:r>
        <w:rPr>
          <w:rFonts w:hint="eastAsia" w:ascii="宋体" w:hAnsi="宋体" w:cs="宋体"/>
          <w:lang w:val="en-US" w:eastAsia="zh-CN"/>
        </w:rPr>
        <w:t>5</w:t>
      </w:r>
      <w:r>
        <w:rPr>
          <w:rFonts w:hint="eastAsia" w:ascii="宋体" w:hAnsi="宋体" w:cs="宋体"/>
        </w:rPr>
        <w:t xml:space="preserve"> 本次比选不接受联合体报价。</w:t>
      </w:r>
    </w:p>
    <w:p>
      <w:pPr>
        <w:pStyle w:val="11"/>
        <w:adjustRightInd w:val="0"/>
        <w:spacing w:line="400" w:lineRule="exact"/>
        <w:rPr>
          <w:rFonts w:ascii="宋体" w:hAnsi="宋体" w:cs="宋体"/>
          <w:szCs w:val="21"/>
          <w:highlight w:val="none"/>
          <w:shd w:val="clear" w:color="auto" w:fill="FFFFFF"/>
        </w:rPr>
      </w:pPr>
      <w:r>
        <w:rPr>
          <w:rFonts w:hint="eastAsia" w:ascii="宋体" w:hAnsi="宋体" w:cs="宋体"/>
        </w:rPr>
        <w:t>3.</w:t>
      </w:r>
      <w:r>
        <w:rPr>
          <w:rFonts w:hint="eastAsia" w:ascii="宋体" w:hAnsi="宋体" w:cs="宋体"/>
          <w:lang w:val="en-US" w:eastAsia="zh-CN"/>
        </w:rPr>
        <w:t>6</w:t>
      </w:r>
      <w:r>
        <w:rPr>
          <w:rFonts w:hint="eastAsia" w:ascii="宋体" w:hAnsi="宋体" w:cs="宋体"/>
        </w:rPr>
        <w:t xml:space="preserve"> 单位负责人为同一人或者存在控股、管理关系的不同单位，不得同时参加本项目报价，否则均按无效报价处理</w:t>
      </w:r>
      <w:r>
        <w:rPr>
          <w:rFonts w:hint="eastAsia" w:ascii="宋体" w:hAnsi="宋体" w:cs="宋体"/>
          <w:szCs w:val="21"/>
          <w:highlight w:val="none"/>
          <w:shd w:val="clear" w:color="auto" w:fill="FFFFFF"/>
        </w:rPr>
        <w:t>。</w:t>
      </w:r>
    </w:p>
    <w:bookmarkEnd w:id="59"/>
    <w:bookmarkEnd w:id="60"/>
    <w:bookmarkEnd w:id="61"/>
    <w:bookmarkEnd w:id="62"/>
    <w:bookmarkEnd w:id="63"/>
    <w:bookmarkEnd w:id="64"/>
    <w:bookmarkEnd w:id="65"/>
    <w:p>
      <w:pPr>
        <w:pStyle w:val="4"/>
        <w:spacing w:before="120" w:after="0" w:line="400" w:lineRule="exact"/>
        <w:rPr>
          <w:rFonts w:ascii="宋体" w:hAnsi="宋体" w:eastAsia="宋体" w:cs="宋体"/>
          <w:highlight w:val="none"/>
        </w:rPr>
      </w:pPr>
      <w:bookmarkStart w:id="66" w:name="_Toc20193"/>
      <w:bookmarkStart w:id="67" w:name="_Toc25619"/>
      <w:bookmarkStart w:id="68" w:name="_Toc14361"/>
      <w:bookmarkStart w:id="69" w:name="_Toc11329216"/>
      <w:bookmarkStart w:id="70" w:name="_Toc507319894"/>
      <w:bookmarkStart w:id="71" w:name="_Toc12460"/>
      <w:bookmarkStart w:id="72" w:name="_Toc18284"/>
      <w:bookmarkStart w:id="73" w:name="_Toc507319897"/>
      <w:bookmarkStart w:id="74" w:name="_Toc152045517"/>
      <w:bookmarkStart w:id="75" w:name="_Toc179632534"/>
      <w:bookmarkStart w:id="76" w:name="_Toc246996164"/>
      <w:bookmarkStart w:id="77" w:name="_Toc247085678"/>
      <w:bookmarkStart w:id="78" w:name="_Toc11329219"/>
      <w:bookmarkStart w:id="79" w:name="_Toc18402"/>
      <w:bookmarkStart w:id="80" w:name="_Toc152042293"/>
      <w:bookmarkStart w:id="81" w:name="_Toc144974485"/>
      <w:bookmarkStart w:id="82" w:name="_Toc393"/>
      <w:bookmarkStart w:id="83" w:name="_Toc21615"/>
      <w:bookmarkStart w:id="84" w:name="_Toc246996907"/>
      <w:r>
        <w:rPr>
          <w:rFonts w:hint="eastAsia" w:ascii="宋体" w:hAnsi="宋体" w:eastAsia="宋体" w:cs="宋体"/>
          <w:highlight w:val="none"/>
        </w:rPr>
        <w:t>4. 比选文件的获取</w:t>
      </w:r>
      <w:bookmarkEnd w:id="66"/>
      <w:bookmarkEnd w:id="67"/>
      <w:bookmarkEnd w:id="68"/>
      <w:bookmarkEnd w:id="69"/>
      <w:bookmarkEnd w:id="70"/>
      <w:bookmarkEnd w:id="71"/>
    </w:p>
    <w:p>
      <w:pPr>
        <w:spacing w:line="360" w:lineRule="auto"/>
        <w:ind w:firstLine="420" w:firstLineChars="200"/>
        <w:rPr>
          <w:rFonts w:ascii="宋体" w:hAnsi="宋体"/>
          <w:szCs w:val="21"/>
          <w:highlight w:val="none"/>
        </w:rPr>
      </w:pPr>
      <w:bookmarkStart w:id="85" w:name="_Toc247085676"/>
      <w:bookmarkStart w:id="86" w:name="_Toc144974484"/>
      <w:bookmarkStart w:id="87" w:name="_Toc152042292"/>
      <w:bookmarkStart w:id="88" w:name="_Toc507319895"/>
      <w:bookmarkStart w:id="89" w:name="_Toc246996905"/>
      <w:bookmarkStart w:id="90" w:name="_Toc179632532"/>
      <w:bookmarkStart w:id="91" w:name="_Toc152045516"/>
      <w:bookmarkStart w:id="92" w:name="_Toc246996162"/>
      <w:bookmarkStart w:id="93" w:name="_Toc11329217"/>
      <w:r>
        <w:rPr>
          <w:rFonts w:hint="eastAsia" w:ascii="宋体" w:hAnsi="宋体"/>
          <w:szCs w:val="21"/>
          <w:highlight w:val="none"/>
        </w:rPr>
        <w:t>凡愿意参加的潜在报价人，在</w:t>
      </w:r>
      <w:r>
        <w:rPr>
          <w:rFonts w:hint="eastAsia" w:ascii="宋体" w:hAnsi="宋体"/>
          <w:szCs w:val="21"/>
          <w:highlight w:val="none"/>
          <w:u w:val="single"/>
        </w:rPr>
        <w:t xml:space="preserve">2023年 </w:t>
      </w:r>
      <w:r>
        <w:rPr>
          <w:rFonts w:hint="eastAsia" w:ascii="宋体" w:hAnsi="宋体"/>
          <w:szCs w:val="21"/>
          <w:highlight w:val="none"/>
          <w:u w:val="single"/>
          <w:lang w:val="en-US" w:eastAsia="zh-CN"/>
        </w:rPr>
        <w:t>9</w:t>
      </w:r>
      <w:r>
        <w:rPr>
          <w:rFonts w:hint="eastAsia" w:ascii="宋体" w:hAnsi="宋体"/>
          <w:szCs w:val="21"/>
          <w:highlight w:val="none"/>
          <w:u w:val="single"/>
        </w:rPr>
        <w:t xml:space="preserve"> 月 </w:t>
      </w:r>
      <w:r>
        <w:rPr>
          <w:rFonts w:hint="eastAsia" w:ascii="宋体" w:hAnsi="宋体"/>
          <w:szCs w:val="21"/>
          <w:highlight w:val="none"/>
          <w:u w:val="single"/>
          <w:lang w:val="en-US" w:eastAsia="zh-CN"/>
        </w:rPr>
        <w:t>4</w:t>
      </w:r>
      <w:r>
        <w:rPr>
          <w:rFonts w:hint="eastAsia" w:ascii="宋体" w:hAnsi="宋体"/>
          <w:szCs w:val="21"/>
          <w:highlight w:val="none"/>
          <w:u w:val="single"/>
        </w:rPr>
        <w:t xml:space="preserve">  日</w:t>
      </w:r>
      <w:r>
        <w:rPr>
          <w:rFonts w:hint="eastAsia" w:ascii="宋体" w:hAnsi="宋体"/>
          <w:szCs w:val="21"/>
          <w:highlight w:val="none"/>
          <w:u w:val="single"/>
          <w:lang w:val="en-US" w:eastAsia="zh-CN"/>
        </w:rPr>
        <w:t>下</w:t>
      </w:r>
      <w:r>
        <w:rPr>
          <w:rFonts w:hint="eastAsia" w:ascii="宋体" w:hAnsi="宋体"/>
          <w:szCs w:val="21"/>
          <w:highlight w:val="none"/>
          <w:u w:val="single"/>
        </w:rPr>
        <w:t>午1</w:t>
      </w:r>
      <w:r>
        <w:rPr>
          <w:rFonts w:hint="eastAsia" w:ascii="宋体" w:hAnsi="宋体"/>
          <w:szCs w:val="21"/>
          <w:highlight w:val="none"/>
          <w:u w:val="single"/>
          <w:lang w:val="en-US" w:eastAsia="zh-CN"/>
        </w:rPr>
        <w:t>5</w:t>
      </w:r>
      <w:r>
        <w:rPr>
          <w:rFonts w:hint="eastAsia" w:ascii="宋体" w:hAnsi="宋体"/>
          <w:szCs w:val="21"/>
          <w:highlight w:val="none"/>
          <w:u w:val="single"/>
        </w:rPr>
        <w:t>:00前</w:t>
      </w:r>
      <w:r>
        <w:rPr>
          <w:rFonts w:hint="eastAsia" w:ascii="宋体" w:hAnsi="宋体"/>
          <w:szCs w:val="21"/>
          <w:highlight w:val="none"/>
        </w:rPr>
        <w:t>在将响应性文件递交至重庆市渝北区新南路52号东界龙湖三楼重庆首讯科技股份有限公司东界龙湖办公区。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highlight w:val="none"/>
        </w:rPr>
      </w:pPr>
      <w:bookmarkStart w:id="94" w:name="_Toc31493"/>
      <w:bookmarkStart w:id="95" w:name="_Toc17832"/>
      <w:bookmarkStart w:id="96" w:name="_Toc9131"/>
      <w:bookmarkStart w:id="97" w:name="_Toc16686"/>
      <w:r>
        <w:rPr>
          <w:rFonts w:hint="eastAsia" w:ascii="宋体" w:hAnsi="宋体" w:eastAsia="宋体" w:cs="宋体"/>
          <w:highlight w:val="none"/>
        </w:rPr>
        <w:t>5. 竞争性比选响应文件的递交</w:t>
      </w:r>
      <w:bookmarkEnd w:id="85"/>
      <w:bookmarkEnd w:id="86"/>
      <w:bookmarkEnd w:id="87"/>
      <w:bookmarkEnd w:id="88"/>
      <w:bookmarkEnd w:id="89"/>
      <w:bookmarkEnd w:id="90"/>
      <w:bookmarkEnd w:id="91"/>
      <w:bookmarkEnd w:id="92"/>
      <w:bookmarkEnd w:id="93"/>
      <w:r>
        <w:rPr>
          <w:rFonts w:hint="eastAsia" w:ascii="宋体" w:hAnsi="宋体" w:eastAsia="宋体" w:cs="宋体"/>
          <w:highlight w:val="none"/>
        </w:rPr>
        <w:t>及相关事宜</w:t>
      </w:r>
      <w:bookmarkEnd w:id="94"/>
      <w:bookmarkEnd w:id="95"/>
      <w:bookmarkEnd w:id="96"/>
      <w:bookmarkEnd w:id="97"/>
    </w:p>
    <w:p>
      <w:pPr>
        <w:tabs>
          <w:tab w:val="left" w:pos="360"/>
        </w:tabs>
        <w:spacing w:line="400" w:lineRule="exact"/>
        <w:ind w:firstLine="420" w:firstLineChars="200"/>
        <w:rPr>
          <w:rFonts w:ascii="宋体" w:hAnsi="宋体" w:cs="宋体"/>
          <w:szCs w:val="21"/>
        </w:rPr>
      </w:pPr>
      <w:r>
        <w:rPr>
          <w:rFonts w:hint="eastAsia" w:ascii="宋体" w:hAnsi="宋体" w:cs="宋体"/>
          <w:szCs w:val="21"/>
        </w:rPr>
        <w:t>5.1报价截止时间和开标时间：</w:t>
      </w:r>
      <w:r>
        <w:rPr>
          <w:rFonts w:hint="eastAsia" w:ascii="宋体" w:hAnsi="宋体"/>
          <w:szCs w:val="21"/>
          <w:highlight w:val="none"/>
          <w:u w:val="single"/>
        </w:rPr>
        <w:t>2023</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9</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4</w:t>
      </w:r>
      <w:r>
        <w:rPr>
          <w:rFonts w:hint="eastAsia" w:ascii="宋体" w:hAnsi="宋体"/>
          <w:szCs w:val="21"/>
          <w:highlight w:val="none"/>
          <w:u w:val="single"/>
        </w:rPr>
        <w:t xml:space="preserve"> </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cs="宋体"/>
          <w:szCs w:val="21"/>
          <w:highlight w:val="none"/>
          <w:u w:val="single"/>
        </w:rPr>
        <w:t xml:space="preserve"> 1</w:t>
      </w:r>
      <w:r>
        <w:rPr>
          <w:rFonts w:hint="eastAsia" w:ascii="宋体" w:hAnsi="宋体" w:cs="宋体"/>
          <w:szCs w:val="21"/>
          <w:highlight w:val="none"/>
          <w:u w:val="single"/>
          <w:lang w:val="en-US" w:eastAsia="zh-CN"/>
        </w:rPr>
        <w:t>5</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0" w:firstLineChars="200"/>
        <w:rPr>
          <w:rFonts w:ascii="宋体" w:hAnsi="宋体" w:cs="宋体"/>
          <w:color w:val="FF0000"/>
          <w:szCs w:val="21"/>
        </w:rPr>
      </w:pPr>
      <w:r>
        <w:rPr>
          <w:rFonts w:hint="eastAsia" w:ascii="宋体" w:hAnsi="宋体" w:cs="宋体"/>
          <w:szCs w:val="21"/>
        </w:rPr>
        <w:t>5.2报价的递交：报价人将完整的密封的报价资料递交至重庆市渝北区新南路52号东界龙湖三楼重庆首讯科技股份有限公司东界龙湖办公区</w:t>
      </w:r>
      <w:r>
        <w:rPr>
          <w:rFonts w:hint="eastAsia" w:ascii="宋体" w:hAnsi="宋体"/>
          <w:szCs w:val="21"/>
        </w:rPr>
        <w:t>。</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5.3</w:t>
      </w:r>
      <w:r>
        <w:rPr>
          <w:rFonts w:ascii="宋体" w:hAnsi="宋体" w:cs="宋体"/>
          <w:szCs w:val="21"/>
        </w:rPr>
        <w:t>采购人不组织工程现场踏勘，不召开报价预备会。</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5.4竞争性比选响应文件提交</w:t>
      </w:r>
      <w:r>
        <w:rPr>
          <w:rFonts w:hint="eastAsia" w:ascii="宋体" w:hAnsi="宋体" w:cs="宋体"/>
          <w:b/>
          <w:bCs/>
          <w:szCs w:val="21"/>
        </w:rPr>
        <w:t>正本1份</w:t>
      </w:r>
      <w:r>
        <w:rPr>
          <w:rFonts w:hint="eastAsia" w:ascii="宋体" w:hAnsi="宋体" w:cs="宋体"/>
          <w:szCs w:val="21"/>
        </w:rPr>
        <w:t>，</w:t>
      </w:r>
      <w:r>
        <w:rPr>
          <w:rFonts w:hint="eastAsia" w:ascii="宋体" w:hAnsi="宋体" w:cs="宋体"/>
          <w:b/>
          <w:bCs/>
          <w:szCs w:val="21"/>
        </w:rPr>
        <w:t>副本1份</w:t>
      </w:r>
      <w:r>
        <w:rPr>
          <w:rFonts w:hint="eastAsia" w:ascii="宋体" w:hAnsi="宋体" w:cs="宋体"/>
          <w:szCs w:val="21"/>
        </w:rPr>
        <w:t>，副本可为正本的复印件，竞争性比选响应文件需</w:t>
      </w:r>
      <w:r>
        <w:rPr>
          <w:rFonts w:hint="eastAsia" w:ascii="宋体" w:hAnsi="宋体" w:cs="宋体"/>
          <w:b/>
          <w:bCs/>
          <w:szCs w:val="21"/>
        </w:rPr>
        <w:t>装订成册</w:t>
      </w:r>
      <w:r>
        <w:rPr>
          <w:rFonts w:hint="eastAsia" w:ascii="宋体" w:hAnsi="宋体" w:cs="宋体"/>
          <w:szCs w:val="21"/>
        </w:rPr>
        <w:t>；报价人应提供竞争性比选响应文件</w:t>
      </w:r>
      <w:r>
        <w:rPr>
          <w:rFonts w:hint="eastAsia" w:ascii="宋体" w:hAnsi="宋体" w:cs="宋体"/>
          <w:b/>
          <w:bCs/>
          <w:szCs w:val="21"/>
        </w:rPr>
        <w:t>电子文件1份</w:t>
      </w:r>
      <w:r>
        <w:rPr>
          <w:rFonts w:hint="eastAsia" w:ascii="宋体" w:hAnsi="宋体" w:cs="宋体"/>
          <w:szCs w:val="21"/>
        </w:rPr>
        <w:t>（U盘1份，电子文件内容须包括竞争性比选响应文件全部内容）。当电子文件与纸质版竞争性比选响应文件不一致时，以纸质版竞争性比选响应文件为准，当正本与副本不一致时，以正本为准。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5.5本次竞争性比选响应文件的组成：竞争性比选响应声明书、法定代表人身份证明或法定代表人授权委托书、报价一览表、资格审查资料、报价人须知前附表规定要求的资料、报价人基本信息及其他材料、低价风险担保提交承诺书、报价人认为需要提供的其他相关文件（注：以上所有文件均须加盖报价人的公章）。</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5.6密封要求：竞争性比选响应文件密封到一个封袋中，在封套上写明：</w:t>
      </w:r>
      <w:r>
        <w:rPr>
          <w:rFonts w:hint="eastAsia" w:ascii="宋体" w:hAnsi="宋体" w:cs="宋体"/>
          <w:b/>
          <w:bCs/>
          <w:szCs w:val="21"/>
          <w:u w:val="single"/>
        </w:rPr>
        <w:t xml:space="preserve">2023年专项工程存储设备（第一批）采购竞争性比选响应文件，在2023年 </w:t>
      </w:r>
      <w:r>
        <w:rPr>
          <w:rFonts w:hint="eastAsia" w:ascii="宋体" w:hAnsi="宋体" w:cs="宋体"/>
          <w:b/>
          <w:bCs/>
          <w:szCs w:val="21"/>
          <w:u w:val="single"/>
          <w:lang w:val="en-US" w:eastAsia="zh-CN"/>
        </w:rPr>
        <w:t>9</w:t>
      </w:r>
      <w:r>
        <w:rPr>
          <w:rFonts w:hint="eastAsia" w:ascii="宋体" w:hAnsi="宋体" w:cs="宋体"/>
          <w:b/>
          <w:bCs/>
          <w:szCs w:val="21"/>
          <w:u w:val="single"/>
        </w:rPr>
        <w:t xml:space="preserve">  月 </w:t>
      </w:r>
      <w:r>
        <w:rPr>
          <w:rFonts w:hint="eastAsia" w:ascii="宋体" w:hAnsi="宋体" w:cs="宋体"/>
          <w:b/>
          <w:bCs/>
          <w:szCs w:val="21"/>
          <w:u w:val="single"/>
          <w:lang w:val="en-US" w:eastAsia="zh-CN"/>
        </w:rPr>
        <w:t>4</w:t>
      </w:r>
      <w:r>
        <w:rPr>
          <w:rFonts w:hint="eastAsia" w:ascii="宋体" w:hAnsi="宋体" w:cs="宋体"/>
          <w:b/>
          <w:bCs/>
          <w:szCs w:val="21"/>
          <w:u w:val="single"/>
        </w:rPr>
        <w:t xml:space="preserve"> 日1</w:t>
      </w:r>
      <w:r>
        <w:rPr>
          <w:rFonts w:hint="eastAsia" w:ascii="宋体" w:hAnsi="宋体" w:cs="宋体"/>
          <w:b/>
          <w:bCs/>
          <w:szCs w:val="21"/>
          <w:u w:val="single"/>
          <w:lang w:val="en-US" w:eastAsia="zh-CN"/>
        </w:rPr>
        <w:t>5</w:t>
      </w:r>
      <w:r>
        <w:rPr>
          <w:rFonts w:hint="eastAsia" w:ascii="宋体" w:hAnsi="宋体" w:cs="宋体"/>
          <w:b/>
          <w:bCs/>
          <w:szCs w:val="21"/>
          <w:u w:val="single"/>
        </w:rPr>
        <w:t>：00时前不得开启</w:t>
      </w:r>
      <w:r>
        <w:rPr>
          <w:rFonts w:hint="eastAsia" w:ascii="宋体" w:hAnsi="宋体" w:cs="宋体"/>
          <w:b/>
          <w:bCs/>
          <w:szCs w:val="21"/>
        </w:rPr>
        <w:t>。</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5.7逾期送达，或未送达指定地点，或未密封的竞争性比选响应文件，采购人不予受理。</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rPr>
        <w:t>5.8递交方式：现场递交或邮寄，若采用现场递交方式需在投标截止当天将文件送达并参与现场开标；若采用邮寄方式需用顺丰等快递公司邮寄至重庆首讯科技股份有限公司（重庆市渝北区龙溪街道新南路52号东界龙湖三楼），否则采购人有权拒收，采用邮寄方式的报价人默认认可采购人的开标结果，不得由此提出任何质疑</w:t>
      </w:r>
      <w:r>
        <w:rPr>
          <w:rFonts w:ascii="宋体" w:hAnsi="宋体" w:cs="宋体"/>
          <w:szCs w:val="21"/>
          <w:highlight w:val="none"/>
        </w:rPr>
        <w:t>。</w:t>
      </w:r>
    </w:p>
    <w:p>
      <w:pPr>
        <w:pStyle w:val="4"/>
        <w:spacing w:before="120" w:after="0" w:line="400" w:lineRule="exact"/>
        <w:rPr>
          <w:rFonts w:ascii="宋体" w:hAnsi="宋体" w:eastAsia="宋体" w:cs="宋体"/>
          <w:highlight w:val="none"/>
        </w:rPr>
      </w:pPr>
      <w:r>
        <w:rPr>
          <w:rFonts w:hint="eastAsia" w:ascii="宋体" w:hAnsi="宋体" w:eastAsia="宋体" w:cs="宋体"/>
          <w:highlight w:val="none"/>
        </w:rPr>
        <w:t>6. 联系方式</w:t>
      </w:r>
      <w:bookmarkEnd w:id="72"/>
      <w:bookmarkEnd w:id="73"/>
      <w:bookmarkEnd w:id="74"/>
      <w:bookmarkEnd w:id="75"/>
      <w:bookmarkEnd w:id="76"/>
      <w:bookmarkEnd w:id="77"/>
      <w:bookmarkEnd w:id="78"/>
      <w:bookmarkEnd w:id="79"/>
      <w:bookmarkEnd w:id="80"/>
      <w:bookmarkEnd w:id="81"/>
      <w:bookmarkEnd w:id="82"/>
      <w:bookmarkEnd w:id="83"/>
      <w:bookmarkEnd w:id="84"/>
    </w:p>
    <w:tbl>
      <w:tblPr>
        <w:tblStyle w:val="41"/>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0"/>
              <w:spacing w:before="0" w:beforeAutospacing="0" w:after="0" w:afterAutospacing="0" w:line="400" w:lineRule="exact"/>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0"/>
              <w:spacing w:before="0" w:beforeAutospacing="0" w:after="0" w:afterAutospacing="0" w:line="400" w:lineRule="exact"/>
              <w:ind w:firstLine="420" w:firstLineChars="200"/>
              <w:jc w:val="both"/>
              <w:rPr>
                <w:rFonts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highlight w:val="none"/>
              </w:rPr>
            </w:pPr>
            <w:r>
              <w:rPr>
                <w:rFonts w:hint="eastAsia" w:ascii="宋体" w:hAnsi="宋体" w:cs="宋体"/>
                <w:szCs w:val="21"/>
                <w:highlight w:val="none"/>
              </w:rPr>
              <w:t>地址：重庆市渝北区龙溪街道新南路52号东界龙湖三楼</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技术联系人：</w:t>
            </w:r>
            <w:r>
              <w:rPr>
                <w:rFonts w:hint="eastAsia" w:ascii="宋体" w:hAnsi="宋体" w:cs="宋体"/>
                <w:szCs w:val="21"/>
                <w:highlight w:val="none"/>
                <w:lang w:val="en-US" w:eastAsia="zh-CN"/>
              </w:rPr>
              <w:t>东北公司：胡老师  电 话：13983604241</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1680" w:firstLineChars="800"/>
              <w:rPr>
                <w:rFonts w:hint="default" w:eastAsia="宋体"/>
                <w:highlight w:val="none"/>
                <w:lang w:val="en-US" w:eastAsia="zh-CN"/>
              </w:rPr>
            </w:pPr>
            <w:r>
              <w:rPr>
                <w:rFonts w:hint="eastAsia"/>
                <w:highlight w:val="none"/>
                <w:lang w:val="en-US" w:eastAsia="zh-CN"/>
              </w:rPr>
              <w:t>渝东公司：</w:t>
            </w:r>
            <w:r>
              <w:rPr>
                <w:rFonts w:hint="eastAsia" w:ascii="宋体" w:hAnsi="宋体" w:cs="宋体"/>
                <w:szCs w:val="21"/>
                <w:highlight w:val="none"/>
                <w:lang w:val="en-US" w:eastAsia="zh-CN"/>
              </w:rPr>
              <w:t>刘</w:t>
            </w:r>
            <w:r>
              <w:rPr>
                <w:rFonts w:hint="eastAsia" w:ascii="宋体" w:hAnsi="宋体" w:cs="宋体"/>
                <w:szCs w:val="21"/>
                <w:highlight w:val="none"/>
              </w:rPr>
              <w:t>老师</w:t>
            </w:r>
            <w:r>
              <w:rPr>
                <w:rFonts w:hint="eastAsia" w:ascii="宋体" w:hAnsi="宋体" w:cs="宋体"/>
                <w:szCs w:val="21"/>
                <w:highlight w:val="none"/>
                <w:lang w:val="en-US" w:eastAsia="zh-CN"/>
              </w:rPr>
              <w:t xml:space="preserve">  </w:t>
            </w:r>
            <w:r>
              <w:rPr>
                <w:rFonts w:hint="eastAsia" w:ascii="宋体" w:hAnsi="宋体" w:cs="宋体"/>
                <w:szCs w:val="21"/>
                <w:highlight w:val="none"/>
              </w:rPr>
              <w:t>电 话</w:t>
            </w:r>
            <w:r>
              <w:rPr>
                <w:rFonts w:hint="eastAsia" w:ascii="宋体" w:hAnsi="宋体" w:cs="宋体"/>
                <w:szCs w:val="21"/>
                <w:highlight w:val="none"/>
                <w:lang w:eastAsia="zh-CN"/>
              </w:rPr>
              <w:t>：</w:t>
            </w:r>
            <w:r>
              <w:rPr>
                <w:rFonts w:hint="eastAsia" w:ascii="宋体" w:hAnsi="宋体" w:cs="宋体"/>
                <w:szCs w:val="21"/>
                <w:lang w:val="en-US" w:eastAsia="zh-CN"/>
              </w:rPr>
              <w:t>15902377663</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1680" w:firstLineChars="800"/>
              <w:rPr>
                <w:rFonts w:hint="default"/>
                <w:highlight w:val="none"/>
                <w:lang w:val="en-US" w:eastAsia="zh-CN"/>
              </w:rPr>
            </w:pPr>
            <w:r>
              <w:rPr>
                <w:rFonts w:hint="eastAsia"/>
                <w:highlight w:val="none"/>
                <w:lang w:val="en-US" w:eastAsia="zh-CN"/>
              </w:rPr>
              <w:t>东南公司：雷老师  电 话：</w:t>
            </w:r>
            <w:r>
              <w:rPr>
                <w:rFonts w:hint="eastAsia" w:ascii="宋体" w:hAnsi="宋体" w:cs="宋体"/>
                <w:szCs w:val="21"/>
                <w:lang w:val="en-US" w:eastAsia="zh-CN"/>
              </w:rPr>
              <w:t>15111916421</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1680" w:firstLineChars="800"/>
              <w:rPr>
                <w:rFonts w:hint="default"/>
                <w:highlight w:val="none"/>
                <w:lang w:val="en-US" w:eastAsia="zh-CN"/>
              </w:rPr>
            </w:pPr>
            <w:r>
              <w:rPr>
                <w:rFonts w:hint="eastAsia"/>
                <w:highlight w:val="none"/>
                <w:lang w:val="en-US" w:eastAsia="zh-CN"/>
              </w:rPr>
              <w:t>中渝公司：王老师  电 话：</w:t>
            </w:r>
            <w:r>
              <w:rPr>
                <w:rFonts w:hint="eastAsia" w:ascii="宋体" w:hAnsi="宋体" w:eastAsia="宋体" w:cs="宋体"/>
                <w:szCs w:val="21"/>
                <w:lang w:val="en-US" w:eastAsia="zh-CN"/>
              </w:rPr>
              <w:t>13650500946</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00" w:lineRule="exact"/>
              <w:ind w:firstLine="420" w:firstLineChars="200"/>
              <w:rPr>
                <w:rFonts w:ascii="宋体" w:hAnsi="宋体" w:cs="宋体"/>
                <w:szCs w:val="21"/>
                <w:highlight w:val="none"/>
              </w:rPr>
            </w:pPr>
            <w:r>
              <w:rPr>
                <w:rFonts w:hint="eastAsia" w:ascii="宋体" w:hAnsi="宋体" w:cs="宋体"/>
                <w:szCs w:val="21"/>
                <w:highlight w:val="none"/>
              </w:rPr>
              <w:t>商务联系人：</w:t>
            </w:r>
            <w:r>
              <w:rPr>
                <w:rFonts w:hint="eastAsia" w:ascii="宋体" w:hAnsi="宋体" w:cs="宋体"/>
                <w:szCs w:val="21"/>
                <w:highlight w:val="none"/>
                <w:lang w:val="en-US" w:eastAsia="zh-CN"/>
              </w:rPr>
              <w:t xml:space="preserve">          毕</w:t>
            </w:r>
            <w:r>
              <w:rPr>
                <w:rFonts w:hint="eastAsia" w:ascii="宋体" w:hAnsi="宋体" w:cs="宋体"/>
                <w:szCs w:val="21"/>
                <w:highlight w:val="none"/>
              </w:rPr>
              <w:t>老师</w:t>
            </w:r>
            <w:r>
              <w:rPr>
                <w:rFonts w:hint="eastAsia" w:ascii="宋体" w:hAnsi="宋体" w:cs="宋体"/>
                <w:szCs w:val="21"/>
                <w:highlight w:val="none"/>
                <w:lang w:val="en-US" w:eastAsia="zh-CN"/>
              </w:rPr>
              <w:t xml:space="preserve">  </w:t>
            </w:r>
            <w:r>
              <w:rPr>
                <w:rFonts w:hint="eastAsia" w:ascii="宋体" w:hAnsi="宋体" w:cs="宋体"/>
                <w:szCs w:val="21"/>
                <w:highlight w:val="none"/>
              </w:rPr>
              <w:t>电 话：</w:t>
            </w:r>
            <w:r>
              <w:rPr>
                <w:rFonts w:hint="eastAsia" w:ascii="宋体" w:hAnsi="宋体" w:cs="宋体"/>
                <w:szCs w:val="21"/>
                <w:highlight w:val="none"/>
                <w:lang w:val="en-US" w:eastAsia="zh-CN"/>
              </w:rPr>
              <w:t>18223189022</w:t>
            </w:r>
          </w:p>
        </w:tc>
        <w:tc>
          <w:tcPr>
            <w:tcW w:w="1415" w:type="dxa"/>
            <w:vAlign w:val="center"/>
          </w:tcPr>
          <w:p>
            <w:pPr>
              <w:spacing w:line="400" w:lineRule="exact"/>
              <w:ind w:firstLine="420" w:firstLineChars="200"/>
              <w:rPr>
                <w:rFonts w:ascii="宋体" w:hAnsi="宋体" w:cs="宋体"/>
                <w:szCs w:val="21"/>
                <w:highlight w:val="none"/>
              </w:rPr>
            </w:pPr>
          </w:p>
        </w:tc>
      </w:tr>
    </w:tbl>
    <w:p>
      <w:pPr>
        <w:rPr>
          <w:highlight w:val="none"/>
        </w:rPr>
      </w:pPr>
    </w:p>
    <w:p>
      <w:pPr>
        <w:pStyle w:val="27"/>
        <w:rPr>
          <w:highlight w:val="none"/>
        </w:rPr>
      </w:pPr>
    </w:p>
    <w:bookmarkEnd w:id="17"/>
    <w:bookmarkEnd w:id="18"/>
    <w:p>
      <w:pPr>
        <w:pStyle w:val="3"/>
        <w:spacing w:before="0" w:after="0" w:line="360" w:lineRule="auto"/>
        <w:jc w:val="center"/>
        <w:rPr>
          <w:rFonts w:ascii="宋体" w:hAnsi="宋体" w:cs="宋体"/>
          <w:highlight w:val="none"/>
        </w:rPr>
      </w:pPr>
      <w:bookmarkStart w:id="98" w:name="_Toc21719"/>
      <w:bookmarkStart w:id="99" w:name="_Toc246996173"/>
      <w:bookmarkStart w:id="100" w:name="_Toc144974495"/>
      <w:bookmarkStart w:id="101" w:name="_Toc247085687"/>
      <w:bookmarkStart w:id="102" w:name="_Toc2000405"/>
      <w:bookmarkStart w:id="103" w:name="_Toc152042303"/>
      <w:bookmarkStart w:id="104" w:name="_Toc246996916"/>
      <w:bookmarkStart w:id="105" w:name="_Toc507319898"/>
      <w:bookmarkStart w:id="106" w:name="_Toc152045527"/>
      <w:bookmarkStart w:id="107" w:name="_Toc179632544"/>
      <w:r>
        <w:rPr>
          <w:rFonts w:hint="eastAsia" w:ascii="宋体" w:hAnsi="宋体" w:cs="宋体"/>
          <w:highlight w:val="none"/>
        </w:rPr>
        <w:br w:type="page"/>
      </w:r>
      <w:bookmarkStart w:id="108" w:name="_Toc14597"/>
      <w:r>
        <w:rPr>
          <w:rFonts w:hint="eastAsia" w:ascii="宋体" w:hAnsi="宋体" w:cs="宋体"/>
          <w:highlight w:val="none"/>
        </w:rPr>
        <w:t>第二章 报价人须知</w:t>
      </w:r>
      <w:bookmarkEnd w:id="98"/>
      <w:bookmarkEnd w:id="99"/>
      <w:bookmarkEnd w:id="100"/>
      <w:bookmarkEnd w:id="101"/>
      <w:bookmarkEnd w:id="102"/>
      <w:bookmarkEnd w:id="103"/>
      <w:bookmarkEnd w:id="104"/>
      <w:bookmarkEnd w:id="105"/>
      <w:bookmarkEnd w:id="106"/>
      <w:bookmarkEnd w:id="107"/>
      <w:bookmarkEnd w:id="108"/>
    </w:p>
    <w:tbl>
      <w:tblPr>
        <w:tblStyle w:val="41"/>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kern w:val="0"/>
                <w:szCs w:val="21"/>
                <w:highlight w:val="none"/>
              </w:rPr>
            </w:pPr>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址：重庆市渝北区龙溪街道新南路52号东界龙湖三楼</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毕老师</w:t>
            </w:r>
          </w:p>
          <w:p>
            <w:pPr>
              <w:keepNext w:val="0"/>
              <w:keepLines w:val="0"/>
              <w:suppressLineNumbers w:val="0"/>
              <w:topLinePunct/>
              <w:spacing w:before="0" w:beforeAutospacing="0" w:after="0" w:afterAutospacing="0" w:line="420" w:lineRule="exact"/>
              <w:ind w:left="0" w:right="0"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18223189022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cs="Times New Roman"/>
                <w:lang w:eastAsia="zh-CN"/>
              </w:rPr>
              <w:t>2023年专项工程存储设备（第一批）采购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比选范围</w:t>
            </w:r>
          </w:p>
        </w:tc>
        <w:tc>
          <w:tcPr>
            <w:tcW w:w="7104" w:type="dxa"/>
            <w:vAlign w:val="center"/>
          </w:tcPr>
          <w:p>
            <w:pPr>
              <w:keepNext w:val="0"/>
              <w:keepLines w:val="0"/>
              <w:suppressLineNumbers w:val="0"/>
              <w:tabs>
                <w:tab w:val="left" w:pos="3000"/>
                <w:tab w:val="left" w:pos="3280"/>
                <w:tab w:val="left" w:pos="6120"/>
                <w:tab w:val="left" w:pos="7540"/>
                <w:tab w:val="left" w:pos="8320"/>
              </w:tabs>
              <w:autoSpaceDE w:val="0"/>
              <w:autoSpaceDN w:val="0"/>
              <w:adjustRightInd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r>
              <w:rPr>
                <w:rFonts w:hint="eastAsia" w:ascii="宋体" w:hAnsi="宋体" w:cs="宋体"/>
                <w:kern w:val="0"/>
                <w:szCs w:val="21"/>
                <w:highlight w:val="none"/>
              </w:rPr>
              <w:t>工期</w:t>
            </w:r>
            <w:r>
              <w:rPr>
                <w:rFonts w:hint="eastAsia" w:ascii="宋体" w:hAnsi="宋体" w:cs="宋体"/>
                <w:kern w:val="0"/>
                <w:szCs w:val="21"/>
                <w:highlight w:val="none"/>
                <w:lang w:val="en-US" w:eastAsia="zh-CN"/>
              </w:rPr>
              <w:t>要求</w:t>
            </w:r>
          </w:p>
        </w:tc>
        <w:tc>
          <w:tcPr>
            <w:tcW w:w="7104" w:type="dxa"/>
            <w:vAlign w:val="center"/>
          </w:tcPr>
          <w:p>
            <w:pPr>
              <w:keepNext w:val="0"/>
              <w:keepLines w:val="0"/>
              <w:suppressLineNumbers w:val="0"/>
              <w:tabs>
                <w:tab w:val="left" w:pos="3000"/>
                <w:tab w:val="left" w:pos="3280"/>
                <w:tab w:val="left" w:pos="6120"/>
                <w:tab w:val="left" w:pos="7540"/>
                <w:tab w:val="left" w:pos="8320"/>
              </w:tabs>
              <w:autoSpaceDE w:val="0"/>
              <w:autoSpaceDN w:val="0"/>
              <w:adjustRightInd w:val="0"/>
              <w:spacing w:before="0" w:beforeAutospacing="0" w:after="0" w:afterAutospacing="0" w:line="400" w:lineRule="exact"/>
              <w:ind w:left="0" w:right="0"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达到国家和地方现行有关质量标准和比选文件第七章技术标准和工作要求，并且一次性验收合格，缺陷责任期为</w:t>
            </w:r>
            <w:r>
              <w:rPr>
                <w:rFonts w:hint="eastAsia" w:ascii="宋体" w:hAnsi="宋体" w:cs="宋体"/>
                <w:szCs w:val="21"/>
                <w:highlight w:val="none"/>
                <w:lang w:val="en-US" w:eastAsia="zh-CN"/>
              </w:rPr>
              <w:t>24</w:t>
            </w:r>
            <w:r>
              <w:rPr>
                <w:rFonts w:hint="eastAsia" w:ascii="宋体" w:hAnsi="宋体" w:cs="宋体"/>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（1）资质条件：见附录1</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（2）财务要求：见附录2</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（3）业绩要求：见附录3</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（4）信誉要求：见附录4</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（5）项目主要人员要求：见附录5</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（6）其他要求：见附录6、见附录7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keepNext w:val="0"/>
              <w:keepLines w:val="0"/>
              <w:suppressLineNumbers w:val="0"/>
              <w:spacing w:before="0" w:beforeAutospacing="0" w:after="0" w:afterAutospacing="0" w:line="44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7"/>
              <w:keepNext w:val="0"/>
              <w:keepLines w:val="0"/>
              <w:suppressLineNumbers w:val="0"/>
              <w:spacing w:before="72" w:beforeAutospacing="0" w:after="0" w:afterAutospacing="0" w:line="400" w:lineRule="exact"/>
              <w:ind w:left="0" w:right="0"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szCs w:val="21"/>
                <w:highlight w:val="none"/>
              </w:rPr>
            </w:pPr>
            <w:r>
              <w:rPr>
                <w:rFonts w:hint="eastAsia" w:ascii="宋体" w:hAnsi="宋体" w:cs="宋体"/>
                <w:b/>
                <w:szCs w:val="21"/>
                <w:highlight w:val="none"/>
              </w:rPr>
              <w:t>综合单价取小数点后两位，小数点后第三位四舍五入。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ascii="宋体" w:hAnsi="宋体"/>
                <w:szCs w:val="21"/>
                <w:highlight w:val="none"/>
              </w:rPr>
            </w:pPr>
            <w:r>
              <w:rPr>
                <w:rFonts w:hint="eastAsia" w:ascii="宋体" w:hAnsi="宋体"/>
                <w:b/>
                <w:bCs/>
                <w:szCs w:val="21"/>
                <w:highlight w:val="none"/>
              </w:rPr>
              <w:t>本项目最高限价</w:t>
            </w:r>
            <w:r>
              <w:rPr>
                <w:rFonts w:hint="eastAsia" w:ascii="宋体" w:hAnsi="宋体"/>
                <w:b/>
                <w:bCs/>
                <w:szCs w:val="21"/>
                <w:highlight w:val="none"/>
                <w:u w:val="single"/>
                <w:lang w:val="en-US" w:eastAsia="zh-CN"/>
              </w:rPr>
              <w:t xml:space="preserve"> 710500.00 </w:t>
            </w:r>
            <w:r>
              <w:rPr>
                <w:rFonts w:hint="eastAsia" w:ascii="宋体" w:hAnsi="宋体"/>
                <w:b/>
                <w:bCs/>
                <w:szCs w:val="21"/>
                <w:highlight w:val="none"/>
              </w:rPr>
              <w:t>元。</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b/>
                <w:bCs/>
                <w:kern w:val="0"/>
                <w:szCs w:val="21"/>
                <w:highlight w:val="none"/>
              </w:rPr>
            </w:pPr>
            <w:r>
              <w:rPr>
                <w:rFonts w:hint="eastAsia" w:ascii="宋体" w:hAnsi="宋体" w:cs="宋体"/>
                <w:b/>
                <w:szCs w:val="21"/>
                <w:highlight w:val="none"/>
              </w:rPr>
              <w:t>报价人报价不得高于采购人发布的最高限价，否则其竞争性比选响应文件视为重大偏差，竞争性比选响应文件将按否决报价处理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（1）乙方供货并经甲方验收合格后，支付到货金额的80%；</w:t>
            </w:r>
          </w:p>
          <w:p>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（2）乙方完成所有供货并经甲方验收合格后30日内支付至到货总金额的95%；</w:t>
            </w:r>
          </w:p>
          <w:p>
            <w:pPr>
              <w:keepNext w:val="0"/>
              <w:keepLines w:val="0"/>
              <w:suppressLineNumbers w:val="0"/>
              <w:spacing w:before="0" w:beforeAutospacing="0" w:after="0" w:afterAutospacing="0" w:line="400" w:lineRule="exact"/>
              <w:ind w:left="0" w:right="0" w:firstLine="420" w:firstLineChars="200"/>
              <w:rPr>
                <w:rFonts w:hint="eastAsia"/>
                <w:highlight w:val="none"/>
              </w:rPr>
            </w:pPr>
            <w:r>
              <w:rPr>
                <w:rFonts w:hint="eastAsia" w:ascii="Times New Roman" w:hAnsi="Times New Roman" w:eastAsia="宋体" w:cs="Times New Roman"/>
                <w:kern w:val="2"/>
                <w:sz w:val="21"/>
                <w:szCs w:val="24"/>
                <w:highlight w:val="none"/>
                <w:lang w:val="en-US" w:eastAsia="zh-CN" w:bidi="ar-SA"/>
              </w:rPr>
              <w:t>（3）双方已确认的结算货款的5%作为质量保证金，质量保修期届满两年后且双方无异议的情况下，由乙方主动提出书面申请，经甲方业务部门确认后，30个工作日内全额支付（质量保证金不计任何利息），若乙方未提出书面申请，则相应的延迟责任由乙方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rPr>
                <w:rFonts w:hint="default"/>
                <w:highlight w:val="none"/>
                <w:lang w:val="en-US" w:eastAsia="zh-CN"/>
              </w:rPr>
            </w:pPr>
            <w:r>
              <w:rPr>
                <w:rFonts w:hint="eastAsia"/>
                <w:highlight w:val="none"/>
              </w:rPr>
              <w:t>乙方未能按合同进度计划及时完成合同约定的工作，已造成或预期造成工期延误，甲方有权终止乙方不能按合同约定或预期不能按时完成的剩余工程</w:t>
            </w:r>
            <w:r>
              <w:rPr>
                <w:rFonts w:hint="eastAsia"/>
                <w:highlight w:val="none"/>
                <w:lang w:val="en-US" w:eastAsia="zh-CN"/>
              </w:rPr>
              <w:t>量</w:t>
            </w:r>
            <w:r>
              <w:rPr>
                <w:rFonts w:hint="eastAsia"/>
                <w:highlight w:val="none"/>
              </w:rPr>
              <w:t>，并由甲方另行选择单位实施，且因此产生的费用由乙方承担。</w:t>
            </w:r>
            <w:r>
              <w:rPr>
                <w:rFonts w:hint="default" w:cs="Times New Roman"/>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highlight w:val="none"/>
              </w:rPr>
            </w:pP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97" w:type="dxa"/>
            <w:vAlign w:val="center"/>
          </w:tcPr>
          <w:p>
            <w:pPr>
              <w:pStyle w:val="147"/>
              <w:keepNext w:val="0"/>
              <w:keepLines w:val="0"/>
              <w:suppressLineNumbers w:val="0"/>
              <w:spacing w:before="0" w:beforeAutospacing="0" w:after="0" w:afterAutospacing="0" w:line="400" w:lineRule="exact"/>
              <w:ind w:left="0" w:right="0"/>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7"/>
              <w:keepNext w:val="0"/>
              <w:keepLines w:val="0"/>
              <w:suppressLineNumbers w:val="0"/>
              <w:spacing w:before="0" w:beforeAutospacing="0" w:after="0" w:afterAutospacing="0" w:line="400" w:lineRule="exact"/>
              <w:ind w:left="0" w:right="0"/>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snapToGrid w:val="0"/>
              <w:spacing w:line="400" w:lineRule="exact"/>
              <w:ind w:firstLine="420" w:firstLineChars="200"/>
              <w:rPr>
                <w:rFonts w:ascii="宋体" w:hAnsi="宋体" w:cs="宋体"/>
              </w:rPr>
            </w:pPr>
            <w:r>
              <w:rPr>
                <w:rFonts w:hint="eastAsia" w:ascii="宋体" w:hAnsi="宋体" w:cs="宋体"/>
              </w:rPr>
              <w:t>一、投标保证金</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1、报价人须缴纳投标保证金</w:t>
            </w:r>
            <w:r>
              <w:rPr>
                <w:rFonts w:hint="eastAsia" w:hAnsi="宋体"/>
                <w:b/>
                <w:bCs/>
                <w:color w:val="auto"/>
                <w:kern w:val="2"/>
                <w:sz w:val="21"/>
                <w:szCs w:val="21"/>
                <w:lang w:val="en-US" w:eastAsia="zh-CN"/>
              </w:rPr>
              <w:t>5000</w:t>
            </w:r>
            <w:r>
              <w:rPr>
                <w:rFonts w:hint="eastAsia" w:hAnsi="宋体"/>
                <w:color w:val="auto"/>
                <w:kern w:val="2"/>
                <w:sz w:val="21"/>
                <w:szCs w:val="21"/>
              </w:rPr>
              <w:t>元，由报价人从公司基本账户将投标保证金汇至以下指定账户：</w:t>
            </w:r>
          </w:p>
          <w:p>
            <w:pPr>
              <w:pStyle w:val="147"/>
              <w:spacing w:line="400" w:lineRule="exact"/>
              <w:ind w:firstLine="420" w:firstLineChars="200"/>
              <w:rPr>
                <w:rFonts w:hAnsi="宋体"/>
                <w:color w:val="auto"/>
                <w:kern w:val="2"/>
                <w:sz w:val="21"/>
                <w:szCs w:val="21"/>
              </w:rPr>
            </w:pPr>
            <w:r>
              <w:rPr>
                <w:rFonts w:hAnsi="宋体"/>
                <w:color w:val="auto"/>
                <w:kern w:val="2"/>
                <w:sz w:val="21"/>
                <w:szCs w:val="21"/>
              </w:rPr>
              <w:t>保证金到账截止时间</w:t>
            </w:r>
            <w:r>
              <w:rPr>
                <w:rFonts w:hAnsi="宋体"/>
                <w:color w:val="auto"/>
                <w:kern w:val="2"/>
                <w:sz w:val="21"/>
                <w:szCs w:val="21"/>
                <w:highlight w:val="none"/>
              </w:rPr>
              <w:t>：202</w:t>
            </w:r>
            <w:r>
              <w:rPr>
                <w:rFonts w:hint="eastAsia" w:hAnsi="宋体"/>
                <w:color w:val="auto"/>
                <w:kern w:val="2"/>
                <w:sz w:val="21"/>
                <w:szCs w:val="21"/>
                <w:highlight w:val="none"/>
                <w:lang w:val="en-US" w:eastAsia="zh-CN"/>
              </w:rPr>
              <w:t>3</w:t>
            </w:r>
            <w:r>
              <w:rPr>
                <w:rFonts w:hAnsi="宋体"/>
                <w:color w:val="auto"/>
                <w:kern w:val="2"/>
                <w:sz w:val="21"/>
                <w:szCs w:val="21"/>
                <w:highlight w:val="none"/>
              </w:rPr>
              <w:t>年</w:t>
            </w:r>
            <w:r>
              <w:rPr>
                <w:rFonts w:hint="eastAsia" w:hAnsi="宋体"/>
                <w:color w:val="auto"/>
                <w:kern w:val="2"/>
                <w:sz w:val="21"/>
                <w:szCs w:val="21"/>
                <w:highlight w:val="none"/>
                <w:lang w:val="en-US" w:eastAsia="zh-CN"/>
              </w:rPr>
              <w:t>9</w:t>
            </w:r>
            <w:r>
              <w:rPr>
                <w:rFonts w:hAnsi="宋体"/>
                <w:color w:val="auto"/>
                <w:kern w:val="2"/>
                <w:sz w:val="21"/>
                <w:szCs w:val="21"/>
                <w:highlight w:val="none"/>
              </w:rPr>
              <w:t>月</w:t>
            </w:r>
            <w:r>
              <w:rPr>
                <w:rFonts w:hint="eastAsia" w:hAnsi="宋体"/>
                <w:color w:val="auto"/>
                <w:kern w:val="2"/>
                <w:sz w:val="21"/>
                <w:szCs w:val="21"/>
                <w:highlight w:val="none"/>
                <w:lang w:val="en-US" w:eastAsia="zh-CN"/>
              </w:rPr>
              <w:t>4</w:t>
            </w:r>
            <w:r>
              <w:rPr>
                <w:rFonts w:hAnsi="宋体"/>
                <w:color w:val="auto"/>
                <w:kern w:val="2"/>
                <w:sz w:val="21"/>
                <w:szCs w:val="21"/>
                <w:highlight w:val="none"/>
              </w:rPr>
              <w:t>日</w:t>
            </w:r>
            <w:r>
              <w:rPr>
                <w:rFonts w:hint="eastAsia" w:hAnsi="宋体"/>
                <w:color w:val="auto"/>
                <w:kern w:val="2"/>
                <w:sz w:val="21"/>
                <w:szCs w:val="21"/>
                <w:highlight w:val="none"/>
                <w:lang w:val="en-US" w:eastAsia="zh-CN"/>
              </w:rPr>
              <w:t>15</w:t>
            </w:r>
            <w:r>
              <w:rPr>
                <w:rFonts w:hAnsi="宋体"/>
                <w:color w:val="auto"/>
                <w:kern w:val="2"/>
                <w:sz w:val="21"/>
                <w:szCs w:val="21"/>
                <w:highlight w:val="none"/>
              </w:rPr>
              <w:t>时00分前；</w:t>
            </w:r>
          </w:p>
          <w:p>
            <w:pPr>
              <w:pStyle w:val="147"/>
              <w:spacing w:line="400" w:lineRule="exact"/>
              <w:ind w:firstLine="420" w:firstLineChars="200"/>
              <w:rPr>
                <w:rFonts w:hAnsi="宋体"/>
                <w:color w:val="auto"/>
                <w:kern w:val="2"/>
                <w:sz w:val="21"/>
                <w:szCs w:val="21"/>
              </w:rPr>
            </w:pPr>
            <w:r>
              <w:rPr>
                <w:rFonts w:hAnsi="宋体"/>
                <w:color w:val="auto"/>
                <w:kern w:val="2"/>
                <w:sz w:val="21"/>
                <w:szCs w:val="21"/>
              </w:rPr>
              <w:t>若竞争性比选响应文件内无投标保证金缴纳凭证，采购人有权作废标处理，若投标保证金存在虚假不实情况，采购人有权作废标处理。</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Ansi="宋体"/>
                <w:color w:val="auto"/>
                <w:kern w:val="2"/>
                <w:sz w:val="21"/>
                <w:szCs w:val="21"/>
              </w:rPr>
              <w:t>投标保证金退还方式</w:t>
            </w:r>
            <w:bookmarkStart w:id="291" w:name="_GoBack"/>
            <w:bookmarkEnd w:id="291"/>
          </w:p>
          <w:p>
            <w:pPr>
              <w:pStyle w:val="147"/>
              <w:spacing w:line="400" w:lineRule="exact"/>
              <w:ind w:firstLine="420" w:firstLineChars="200"/>
              <w:rPr>
                <w:rFonts w:hAnsi="宋体"/>
                <w:color w:val="auto"/>
                <w:kern w:val="2"/>
                <w:sz w:val="21"/>
                <w:szCs w:val="21"/>
              </w:rPr>
            </w:pPr>
            <w:r>
              <w:rPr>
                <w:rFonts w:hAnsi="宋体"/>
                <w:color w:val="auto"/>
                <w:kern w:val="2"/>
                <w:sz w:val="21"/>
                <w:szCs w:val="21"/>
              </w:rPr>
              <w:t>为便于及时退还，</w:t>
            </w:r>
            <w:r>
              <w:rPr>
                <w:rFonts w:hint="eastAsia" w:hAnsi="宋体"/>
                <w:color w:val="auto"/>
                <w:kern w:val="2"/>
                <w:sz w:val="21"/>
                <w:szCs w:val="21"/>
              </w:rPr>
              <w:t>报价人</w:t>
            </w:r>
            <w:r>
              <w:rPr>
                <w:rFonts w:hAnsi="宋体"/>
                <w:color w:val="auto"/>
                <w:kern w:val="2"/>
                <w:sz w:val="21"/>
                <w:szCs w:val="21"/>
              </w:rPr>
              <w:t>在递交响应文件的同时，递交本项目保证金银行回单和公司的开户许可证复印件。</w:t>
            </w:r>
          </w:p>
          <w:p>
            <w:pPr>
              <w:pStyle w:val="147"/>
              <w:spacing w:line="400" w:lineRule="exact"/>
              <w:ind w:firstLine="420" w:firstLineChars="200"/>
              <w:rPr>
                <w:rFonts w:hAnsi="宋体"/>
                <w:color w:val="auto"/>
                <w:kern w:val="2"/>
                <w:sz w:val="21"/>
                <w:szCs w:val="21"/>
              </w:rPr>
            </w:pPr>
            <w:r>
              <w:rPr>
                <w:rFonts w:hAnsi="宋体"/>
                <w:color w:val="auto"/>
                <w:kern w:val="2"/>
                <w:sz w:val="21"/>
                <w:szCs w:val="21"/>
              </w:rPr>
              <w:t>未</w:t>
            </w:r>
            <w:r>
              <w:rPr>
                <w:rFonts w:hint="eastAsia" w:hAnsi="宋体"/>
                <w:color w:val="auto"/>
                <w:kern w:val="2"/>
                <w:sz w:val="21"/>
                <w:szCs w:val="21"/>
              </w:rPr>
              <w:t>中标报价人</w:t>
            </w:r>
            <w:r>
              <w:rPr>
                <w:rFonts w:hAnsi="宋体"/>
                <w:color w:val="auto"/>
                <w:kern w:val="2"/>
                <w:sz w:val="21"/>
                <w:szCs w:val="21"/>
              </w:rPr>
              <w:t>的投标保证金，于该项目结果公示期结束后15个工作日内无息退还至</w:t>
            </w:r>
            <w:r>
              <w:rPr>
                <w:rFonts w:hint="eastAsia" w:hAnsi="宋体"/>
                <w:color w:val="auto"/>
                <w:kern w:val="2"/>
                <w:sz w:val="21"/>
                <w:szCs w:val="21"/>
              </w:rPr>
              <w:t>报价人</w:t>
            </w:r>
            <w:r>
              <w:rPr>
                <w:rFonts w:hAnsi="宋体"/>
                <w:color w:val="auto"/>
                <w:kern w:val="2"/>
                <w:sz w:val="21"/>
                <w:szCs w:val="21"/>
              </w:rPr>
              <w:t>基本账户。</w:t>
            </w:r>
          </w:p>
          <w:p>
            <w:pPr>
              <w:pStyle w:val="147"/>
              <w:spacing w:line="400" w:lineRule="exact"/>
              <w:ind w:firstLine="420" w:firstLineChars="200"/>
              <w:rPr>
                <w:rFonts w:hAnsi="宋体"/>
                <w:color w:val="auto"/>
                <w:kern w:val="2"/>
                <w:sz w:val="21"/>
                <w:szCs w:val="21"/>
              </w:rPr>
            </w:pPr>
            <w:r>
              <w:rPr>
                <w:rFonts w:hAnsi="宋体"/>
                <w:color w:val="auto"/>
                <w:kern w:val="2"/>
                <w:sz w:val="21"/>
                <w:szCs w:val="21"/>
              </w:rPr>
              <w:t>中标人的投标保证金，自合同签订后15个工作日内无息退还至中标人基本账户。</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二、履约保证金</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1、</w:t>
            </w:r>
            <w:r>
              <w:rPr>
                <w:rFonts w:hAnsi="宋体"/>
                <w:color w:val="auto"/>
                <w:kern w:val="2"/>
                <w:sz w:val="21"/>
                <w:szCs w:val="21"/>
              </w:rPr>
              <w:t>履约担保作为本</w:t>
            </w:r>
            <w:r>
              <w:rPr>
                <w:rFonts w:hint="eastAsia" w:hAnsi="宋体"/>
                <w:color w:val="auto"/>
                <w:kern w:val="2"/>
                <w:sz w:val="21"/>
                <w:szCs w:val="21"/>
              </w:rPr>
              <w:t>项目</w:t>
            </w:r>
            <w:r>
              <w:rPr>
                <w:rFonts w:hAnsi="宋体"/>
                <w:color w:val="auto"/>
                <w:kern w:val="2"/>
                <w:sz w:val="21"/>
                <w:szCs w:val="21"/>
              </w:rPr>
              <w:t>合同附件</w:t>
            </w:r>
            <w:r>
              <w:rPr>
                <w:rFonts w:hint="eastAsia" w:hAnsi="宋体"/>
                <w:color w:val="auto"/>
                <w:kern w:val="2"/>
                <w:sz w:val="21"/>
                <w:szCs w:val="21"/>
              </w:rPr>
              <w:t>；</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2、履约保证金的金额：</w:t>
            </w:r>
            <w:r>
              <w:rPr>
                <w:rFonts w:hint="eastAsia" w:hAnsi="宋体"/>
                <w:color w:val="auto"/>
                <w:kern w:val="2"/>
                <w:sz w:val="21"/>
                <w:szCs w:val="21"/>
                <w:lang w:val="en-US" w:eastAsia="zh-CN"/>
              </w:rPr>
              <w:t>中标</w:t>
            </w:r>
            <w:r>
              <w:rPr>
                <w:rFonts w:hint="eastAsia" w:hAnsi="宋体"/>
                <w:color w:val="auto"/>
                <w:kern w:val="2"/>
                <w:sz w:val="21"/>
                <w:szCs w:val="21"/>
              </w:rPr>
              <w:t>金额的</w:t>
            </w:r>
            <w:r>
              <w:rPr>
                <w:rFonts w:hint="eastAsia" w:hAnsi="宋体"/>
                <w:b/>
                <w:bCs/>
                <w:color w:val="auto"/>
                <w:kern w:val="2"/>
                <w:sz w:val="21"/>
                <w:szCs w:val="21"/>
                <w:lang w:val="en-US" w:eastAsia="zh-CN"/>
              </w:rPr>
              <w:t>5</w:t>
            </w:r>
            <w:r>
              <w:rPr>
                <w:rFonts w:hAnsi="宋体"/>
                <w:b/>
                <w:bCs/>
                <w:color w:val="auto"/>
                <w:kern w:val="2"/>
                <w:sz w:val="21"/>
                <w:szCs w:val="21"/>
              </w:rPr>
              <w:t>%</w:t>
            </w:r>
            <w:r>
              <w:rPr>
                <w:rFonts w:hint="eastAsia" w:hAnsi="宋体"/>
                <w:color w:val="auto"/>
                <w:kern w:val="2"/>
                <w:sz w:val="21"/>
                <w:szCs w:val="21"/>
              </w:rPr>
              <w:t>；</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3、履约保证金有效期：自双方签订的合同文件生效之日起，至合同约定时间或暂定金额使用完成为止。</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4、履约保证金的提交及退还：在甲方发出中标通知书后5个工作日内，中标人向采购人提供履约保证金</w:t>
            </w:r>
            <w:r>
              <w:rPr>
                <w:rFonts w:hAnsi="宋体"/>
                <w:color w:val="auto"/>
                <w:kern w:val="2"/>
                <w:sz w:val="21"/>
                <w:szCs w:val="21"/>
              </w:rPr>
              <w:t>缴纳凭证</w:t>
            </w:r>
            <w:r>
              <w:rPr>
                <w:rFonts w:hint="eastAsia" w:hAnsi="宋体"/>
                <w:color w:val="auto"/>
                <w:kern w:val="2"/>
                <w:sz w:val="21"/>
                <w:szCs w:val="21"/>
              </w:rPr>
              <w:t>。履约保证金在完成合同约定的全部工作内容后由中标人提出申请，28天后无息退还剩余部分。</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三、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r>
              <w:rPr>
                <w:rFonts w:hAnsi="宋体"/>
                <w:color w:val="auto"/>
                <w:kern w:val="2"/>
                <w:sz w:val="21"/>
                <w:szCs w:val="21"/>
              </w:rPr>
              <w:t>转款备注：</w:t>
            </w:r>
            <w:r>
              <w:rPr>
                <w:rFonts w:hint="eastAsia" w:hAnsi="宋体"/>
                <w:color w:val="auto"/>
                <w:kern w:val="2"/>
                <w:sz w:val="21"/>
                <w:szCs w:val="21"/>
                <w:lang w:eastAsia="zh-CN"/>
              </w:rPr>
              <w:t>2023年渝蓉高速大足石刻服务区机电工程配管采购</w:t>
            </w:r>
            <w:r>
              <w:rPr>
                <w:rFonts w:hint="eastAsia" w:hAnsi="宋体"/>
                <w:color w:val="auto"/>
                <w:kern w:val="2"/>
                <w:sz w:val="21"/>
                <w:szCs w:val="21"/>
                <w:lang w:val="en-US" w:eastAsia="zh-CN"/>
              </w:rPr>
              <w:t>投标</w:t>
            </w:r>
            <w:r>
              <w:rPr>
                <w:rFonts w:hint="eastAsia" w:hAnsi="宋体"/>
                <w:color w:val="auto"/>
                <w:kern w:val="2"/>
                <w:sz w:val="21"/>
                <w:szCs w:val="21"/>
              </w:rPr>
              <w:t>保证金</w:t>
            </w:r>
            <w:r>
              <w:rPr>
                <w:rFonts w:hAnsi="宋体"/>
                <w:color w:val="auto"/>
                <w:kern w:val="2"/>
                <w:sz w:val="21"/>
                <w:szCs w:val="21"/>
              </w:rPr>
              <w:t>。</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四、采购人指定的开户银行及账号如下：</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账户名称：重庆首讯科技股份有限公司</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开户银行：兴业银行重庆分行营业部</w:t>
            </w:r>
          </w:p>
          <w:p>
            <w:pPr>
              <w:pStyle w:val="147"/>
              <w:keepNext w:val="0"/>
              <w:keepLines w:val="0"/>
              <w:suppressLineNumbers w:val="0"/>
              <w:spacing w:before="0" w:beforeAutospacing="0" w:after="0" w:afterAutospacing="0" w:line="400" w:lineRule="exact"/>
              <w:ind w:left="0" w:right="0" w:firstLine="420" w:firstLineChars="200"/>
              <w:rPr>
                <w:rFonts w:hint="default" w:hAnsi="宋体" w:cs="宋体"/>
                <w:color w:val="auto"/>
                <w:kern w:val="2"/>
                <w:sz w:val="21"/>
                <w:szCs w:val="24"/>
                <w:highlight w:val="none"/>
                <w:lang w:val="en-US" w:eastAsia="zh-CN" w:bidi="ar-SA"/>
              </w:rPr>
            </w:pPr>
            <w:r>
              <w:rPr>
                <w:rFonts w:hint="eastAsia" w:hAnsi="宋体"/>
                <w:color w:val="auto"/>
                <w:kern w:val="2"/>
                <w:sz w:val="21"/>
                <w:szCs w:val="21"/>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7"/>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7"/>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7"/>
              <w:keepNext w:val="0"/>
              <w:keepLines w:val="0"/>
              <w:suppressLineNumbers w:val="0"/>
              <w:spacing w:before="0" w:beforeAutospacing="0" w:after="0" w:afterAutospacing="0" w:line="400" w:lineRule="exact"/>
              <w:ind w:left="0" w:right="0"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rPr>
              <w:t>监督部门：合规监管部</w:t>
            </w:r>
          </w:p>
          <w:p>
            <w:pPr>
              <w:pStyle w:val="147"/>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rPr>
            </w:pPr>
            <w:r>
              <w:rPr>
                <w:rFonts w:hint="eastAsia" w:hAnsi="宋体"/>
                <w:color w:val="auto"/>
                <w:kern w:val="2"/>
                <w:sz w:val="21"/>
                <w:szCs w:val="21"/>
                <w:highlight w:val="none"/>
              </w:rPr>
              <w:t>地    址：</w:t>
            </w:r>
            <w:r>
              <w:rPr>
                <w:rFonts w:hint="eastAsia" w:hAnsi="宋体"/>
                <w:color w:val="auto"/>
                <w:kern w:val="2"/>
                <w:sz w:val="21"/>
                <w:szCs w:val="21"/>
                <w:highlight w:val="none"/>
                <w:lang w:val="en-US" w:eastAsia="zh-CN"/>
              </w:rPr>
              <w:t>重庆市渝北区龙溪街道新南路52号东界龙湖三楼</w:t>
            </w:r>
          </w:p>
          <w:p>
            <w:pPr>
              <w:pStyle w:val="147"/>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keepNext w:val="0"/>
              <w:keepLines w:val="0"/>
              <w:suppressLineNumbers w:val="0"/>
              <w:spacing w:before="0" w:beforeAutospacing="0" w:after="0" w:afterAutospacing="0" w:line="400" w:lineRule="exact"/>
              <w:ind w:left="0" w:right="0"/>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22</w:t>
            </w:r>
          </w:p>
        </w:tc>
        <w:tc>
          <w:tcPr>
            <w:tcW w:w="9210" w:type="dxa"/>
            <w:gridSpan w:val="2"/>
            <w:vAlign w:val="center"/>
          </w:tcPr>
          <w:p>
            <w:pPr>
              <w:pStyle w:val="147"/>
              <w:keepNext w:val="0"/>
              <w:keepLines w:val="0"/>
              <w:suppressLineNumbers w:val="0"/>
              <w:spacing w:before="0" w:beforeAutospacing="0" w:after="0" w:afterAutospacing="0" w:line="400" w:lineRule="exact"/>
              <w:ind w:left="0" w:right="0" w:firstLine="482" w:firstLineChars="200"/>
              <w:jc w:val="center"/>
              <w:rPr>
                <w:rFonts w:hint="eastAsia" w:hAnsi="宋体"/>
                <w:color w:val="auto"/>
                <w:kern w:val="2"/>
                <w:sz w:val="21"/>
                <w:szCs w:val="21"/>
                <w:highlight w:val="none"/>
              </w:rPr>
            </w:pPr>
            <w:r>
              <w:rPr>
                <w:rFonts w:hint="default"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keepNext w:val="0"/>
              <w:keepLines w:val="0"/>
              <w:suppressLineNumbers w:val="0"/>
              <w:spacing w:before="0" w:beforeAutospacing="0" w:after="0" w:afterAutospacing="0" w:line="400" w:lineRule="exact"/>
              <w:ind w:left="0" w:right="0"/>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22</w:t>
            </w:r>
            <w:r>
              <w:rPr>
                <w:rFonts w:hint="eastAsia" w:hAnsi="宋体"/>
                <w:color w:val="auto"/>
                <w:kern w:val="2"/>
                <w:sz w:val="21"/>
                <w:szCs w:val="21"/>
                <w:highlight w:val="none"/>
              </w:rPr>
              <w:t>.1</w:t>
            </w:r>
          </w:p>
        </w:tc>
        <w:tc>
          <w:tcPr>
            <w:tcW w:w="9210" w:type="dxa"/>
            <w:gridSpan w:val="2"/>
            <w:vAlign w:val="center"/>
          </w:tcPr>
          <w:p>
            <w:pPr>
              <w:pStyle w:val="147"/>
              <w:keepNext w:val="0"/>
              <w:keepLines w:val="0"/>
              <w:suppressLineNumbers w:val="0"/>
              <w:spacing w:before="0" w:beforeAutospacing="0" w:after="0" w:afterAutospacing="0" w:line="400" w:lineRule="exact"/>
              <w:ind w:left="0" w:right="0" w:firstLine="420" w:firstLineChars="200"/>
              <w:rPr>
                <w:rFonts w:hint="default"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仍少于3个，按法定程序开标和评标，确定中标人。</w:t>
            </w:r>
          </w:p>
        </w:tc>
      </w:tr>
    </w:tbl>
    <w:p>
      <w:pPr>
        <w:pStyle w:val="3"/>
        <w:spacing w:before="0" w:after="0" w:line="360" w:lineRule="auto"/>
        <w:jc w:val="center"/>
        <w:rPr>
          <w:rFonts w:ascii="宋体" w:hAnsi="宋体" w:cs="宋体"/>
          <w:highlight w:val="none"/>
        </w:rPr>
      </w:pPr>
    </w:p>
    <w:p>
      <w:pPr>
        <w:rPr>
          <w:highlight w:val="none"/>
        </w:rPr>
      </w:pPr>
    </w:p>
    <w:p>
      <w:pPr>
        <w:spacing w:line="360" w:lineRule="auto"/>
        <w:jc w:val="center"/>
        <w:rPr>
          <w:rFonts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sz w:val="30"/>
          <w:szCs w:val="30"/>
          <w:highlight w:val="none"/>
        </w:rPr>
      </w:pPr>
      <w:bookmarkStart w:id="109" w:name="_Toc17399"/>
      <w:bookmarkStart w:id="110" w:name="_Toc11329222"/>
      <w:bookmarkStart w:id="111" w:name="_Toc17532"/>
      <w:bookmarkStart w:id="112" w:name="_Toc11284"/>
      <w:bookmarkStart w:id="113" w:name="_Toc30198"/>
      <w:r>
        <w:rPr>
          <w:rFonts w:hint="eastAsia" w:ascii="宋体" w:hAnsi="宋体" w:eastAsia="宋体" w:cs="宋体"/>
          <w:sz w:val="28"/>
          <w:szCs w:val="28"/>
          <w:highlight w:val="none"/>
        </w:rPr>
        <w:t>附录1  资格审查条件（资质最低要求）</w:t>
      </w:r>
      <w:bookmarkEnd w:id="109"/>
      <w:bookmarkEnd w:id="110"/>
      <w:bookmarkEnd w:id="111"/>
      <w:bookmarkEnd w:id="112"/>
      <w:bookmarkEnd w:id="113"/>
    </w:p>
    <w:tbl>
      <w:tblPr>
        <w:tblStyle w:val="4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9108"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9108" w:type="dxa"/>
          </w:tcPr>
          <w:p>
            <w:pPr>
              <w:tabs>
                <w:tab w:val="left" w:pos="1035"/>
              </w:tabs>
              <w:spacing w:line="240" w:lineRule="auto"/>
              <w:ind w:firstLine="420" w:firstLineChars="200"/>
              <w:jc w:val="left"/>
              <w:rPr>
                <w:rFonts w:hint="eastAsia" w:ascii="Calibri" w:hAnsi="Calibri" w:eastAsia="宋体" w:cs="Times New Roman"/>
                <w:b w:val="0"/>
                <w:bCs w:val="0"/>
                <w:caps/>
                <w:kern w:val="2"/>
                <w:sz w:val="21"/>
                <w:szCs w:val="21"/>
                <w:highlight w:val="none"/>
                <w:lang w:val="en-US" w:eastAsia="zh-CN" w:bidi="ar-SA"/>
              </w:rPr>
            </w:pPr>
            <w:r>
              <w:rPr>
                <w:rFonts w:hint="eastAsia" w:ascii="Calibri" w:hAnsi="Calibri" w:eastAsia="宋体" w:cs="Times New Roman"/>
                <w:b w:val="0"/>
                <w:bCs w:val="0"/>
                <w:caps/>
                <w:kern w:val="2"/>
                <w:sz w:val="21"/>
                <w:szCs w:val="21"/>
                <w:highlight w:val="none"/>
                <w:lang w:val="en-US" w:eastAsia="zh-CN" w:bidi="ar-SA"/>
              </w:rPr>
              <w:t>1、具有独立法人资格；</w:t>
            </w:r>
          </w:p>
          <w:p>
            <w:pPr>
              <w:tabs>
                <w:tab w:val="left" w:pos="1035"/>
              </w:tabs>
              <w:spacing w:line="240" w:lineRule="auto"/>
              <w:ind w:firstLine="420" w:firstLineChars="200"/>
              <w:jc w:val="left"/>
              <w:rPr>
                <w:rFonts w:hint="eastAsia" w:ascii="Calibri" w:hAnsi="Calibri" w:eastAsia="宋体" w:cs="Times New Roman"/>
                <w:b w:val="0"/>
                <w:bCs w:val="0"/>
                <w:caps/>
                <w:kern w:val="2"/>
                <w:sz w:val="21"/>
                <w:szCs w:val="21"/>
                <w:highlight w:val="none"/>
                <w:lang w:val="en-US" w:eastAsia="zh-CN" w:bidi="ar-SA"/>
              </w:rPr>
            </w:pPr>
            <w:r>
              <w:rPr>
                <w:rFonts w:hint="eastAsia" w:ascii="Calibri" w:hAnsi="Calibri" w:eastAsia="宋体" w:cs="Times New Roman"/>
                <w:b w:val="0"/>
                <w:bCs w:val="0"/>
                <w:caps/>
                <w:kern w:val="2"/>
                <w:sz w:val="21"/>
                <w:szCs w:val="21"/>
                <w:highlight w:val="none"/>
                <w:lang w:val="en-US" w:eastAsia="zh-CN" w:bidi="ar-SA"/>
              </w:rPr>
              <w:t>2、具有有效的营业执照；</w:t>
            </w:r>
          </w:p>
          <w:p>
            <w:pPr>
              <w:tabs>
                <w:tab w:val="left" w:pos="1035"/>
              </w:tabs>
              <w:spacing w:line="240" w:lineRule="auto"/>
              <w:ind w:firstLine="420" w:firstLineChars="200"/>
              <w:jc w:val="left"/>
              <w:rPr>
                <w:rFonts w:hint="default" w:eastAsia="宋体"/>
                <w:highlight w:val="none"/>
                <w:lang w:val="en-US" w:eastAsia="zh-CN"/>
              </w:rPr>
            </w:pPr>
            <w:r>
              <w:rPr>
                <w:rFonts w:hint="eastAsia" w:ascii="Calibri" w:hAnsi="Calibri" w:eastAsia="宋体" w:cs="Times New Roman"/>
                <w:b w:val="0"/>
                <w:bCs w:val="0"/>
                <w:caps/>
                <w:kern w:val="2"/>
                <w:sz w:val="21"/>
                <w:szCs w:val="21"/>
                <w:highlight w:val="none"/>
                <w:lang w:val="en-US" w:eastAsia="zh-CN" w:bidi="ar-SA"/>
              </w:rPr>
              <w:t>3、报价人为设备制造厂或设备代理商，如果为设备代理商需提供项目授权书；</w:t>
            </w:r>
          </w:p>
        </w:tc>
      </w:tr>
    </w:tbl>
    <w:p>
      <w:pPr>
        <w:spacing w:line="440" w:lineRule="exact"/>
        <w:ind w:firstLine="420" w:firstLineChars="200"/>
        <w:rPr>
          <w:rFonts w:ascii="宋体" w:hAnsi="宋体" w:cs="宋体"/>
          <w:highlight w:val="none"/>
        </w:rPr>
      </w:pPr>
      <w:r>
        <w:rPr>
          <w:rFonts w:hint="eastAsia" w:ascii="宋体" w:hAnsi="宋体" w:cs="宋体"/>
          <w:highlight w:val="none"/>
        </w:rPr>
        <w:t>注：须提供报价人营业执照、</w:t>
      </w:r>
      <w:r>
        <w:rPr>
          <w:rFonts w:hint="eastAsia" w:ascii="宋体" w:hAnsi="宋体" w:cs="宋体"/>
          <w:highlight w:val="none"/>
          <w:lang w:val="en-US" w:eastAsia="zh-CN"/>
        </w:rPr>
        <w:t>授权书、</w:t>
      </w:r>
      <w:r>
        <w:rPr>
          <w:rFonts w:hint="eastAsia" w:ascii="宋体" w:hAnsi="宋体" w:cs="宋体"/>
          <w:highlight w:val="none"/>
        </w:rPr>
        <w:t>资质证书等复印件</w:t>
      </w:r>
      <w:r>
        <w:rPr>
          <w:rFonts w:hint="eastAsia" w:ascii="宋体" w:hAnsi="宋体" w:cs="宋体"/>
          <w:highlight w:val="none"/>
          <w:lang w:val="en-US" w:eastAsia="zh-CN"/>
        </w:rPr>
        <w:t>,</w:t>
      </w:r>
      <w:r>
        <w:rPr>
          <w:rFonts w:hint="eastAsia" w:ascii="宋体" w:hAnsi="宋体" w:cs="宋体"/>
          <w:highlight w:val="none"/>
        </w:rPr>
        <w:t>并加盖单位鲜公章。</w:t>
      </w:r>
    </w:p>
    <w:p>
      <w:pPr>
        <w:spacing w:line="440" w:lineRule="exact"/>
        <w:ind w:firstLine="413" w:firstLineChars="147"/>
        <w:jc w:val="center"/>
        <w:rPr>
          <w:rFonts w:ascii="宋体" w:hAnsi="宋体" w:cs="宋体"/>
          <w:b/>
          <w:sz w:val="28"/>
          <w:szCs w:val="28"/>
          <w:highlight w:val="none"/>
        </w:rPr>
      </w:pPr>
    </w:p>
    <w:p>
      <w:pPr>
        <w:pStyle w:val="4"/>
        <w:jc w:val="center"/>
        <w:rPr>
          <w:rFonts w:ascii="宋体" w:hAnsi="宋体" w:eastAsia="宋体" w:cs="宋体"/>
          <w:bCs w:val="0"/>
          <w:highlight w:val="none"/>
        </w:rPr>
      </w:pPr>
      <w:bookmarkStart w:id="114" w:name="_Toc11329223"/>
      <w:bookmarkStart w:id="115" w:name="_Toc17235"/>
      <w:bookmarkStart w:id="116" w:name="_Toc30363"/>
      <w:bookmarkStart w:id="117" w:name="_Toc1778"/>
      <w:bookmarkStart w:id="118" w:name="_Toc30995"/>
      <w:r>
        <w:rPr>
          <w:rFonts w:hint="eastAsia" w:ascii="宋体" w:hAnsi="宋体" w:eastAsia="宋体" w:cs="宋体"/>
          <w:bCs w:val="0"/>
          <w:sz w:val="28"/>
          <w:szCs w:val="28"/>
          <w:highlight w:val="none"/>
        </w:rPr>
        <w:t>附录2  资格审查条件（财务最低要求）</w:t>
      </w:r>
      <w:bookmarkEnd w:id="114"/>
      <w:bookmarkEnd w:id="115"/>
      <w:bookmarkEnd w:id="116"/>
      <w:bookmarkEnd w:id="117"/>
      <w:bookmarkEnd w:id="118"/>
    </w:p>
    <w:tbl>
      <w:tblPr>
        <w:tblStyle w:val="41"/>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484"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484" w:type="dxa"/>
          </w:tcPr>
          <w:p>
            <w:pPr>
              <w:spacing w:line="400" w:lineRule="exact"/>
              <w:rPr>
                <w:highlight w:val="none"/>
              </w:rPr>
            </w:pPr>
            <w:r>
              <w:rPr>
                <w:rFonts w:hint="eastAsia"/>
                <w:highlight w:val="none"/>
              </w:rPr>
              <w:t>无</w:t>
            </w:r>
          </w:p>
        </w:tc>
      </w:tr>
    </w:tbl>
    <w:p>
      <w:pPr>
        <w:pStyle w:val="4"/>
        <w:jc w:val="center"/>
        <w:rPr>
          <w:rFonts w:ascii="宋体" w:hAnsi="宋体" w:eastAsia="宋体" w:cs="宋体"/>
          <w:bCs w:val="0"/>
          <w:sz w:val="28"/>
          <w:szCs w:val="28"/>
          <w:highlight w:val="none"/>
        </w:rPr>
      </w:pPr>
      <w:bookmarkStart w:id="119" w:name="_Toc28315"/>
      <w:bookmarkStart w:id="120" w:name="_Toc16638"/>
      <w:bookmarkStart w:id="121" w:name="_Toc19507"/>
      <w:bookmarkStart w:id="122" w:name="_Toc11329224"/>
      <w:bookmarkStart w:id="123" w:name="_Toc6263"/>
      <w:r>
        <w:rPr>
          <w:rFonts w:hint="eastAsia" w:ascii="宋体" w:hAnsi="宋体" w:eastAsia="宋体" w:cs="宋体"/>
          <w:bCs w:val="0"/>
          <w:sz w:val="28"/>
          <w:szCs w:val="28"/>
          <w:highlight w:val="none"/>
        </w:rPr>
        <w:t>附录3  资格审查条件（业绩最低要求）</w:t>
      </w:r>
      <w:bookmarkEnd w:id="119"/>
      <w:bookmarkEnd w:id="120"/>
      <w:bookmarkEnd w:id="121"/>
      <w:bookmarkEnd w:id="122"/>
      <w:bookmarkEnd w:id="123"/>
    </w:p>
    <w:tbl>
      <w:tblPr>
        <w:tblStyle w:val="4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3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22" w:type="dxa"/>
          </w:tcPr>
          <w:p>
            <w:pPr>
              <w:spacing w:line="400" w:lineRule="exact"/>
              <w:ind w:firstLine="420" w:firstLineChars="200"/>
              <w:rPr>
                <w:rFonts w:hint="default"/>
                <w:highlight w:val="none"/>
                <w:lang w:val="en-US"/>
              </w:rPr>
            </w:pPr>
            <w:r>
              <w:rPr>
                <w:rFonts w:hint="eastAsia" w:ascii="Calibri" w:hAnsi="Calibri" w:eastAsia="宋体" w:cs="Times New Roman"/>
                <w:b w:val="0"/>
                <w:bCs w:val="0"/>
                <w:caps/>
                <w:kern w:val="2"/>
                <w:sz w:val="21"/>
                <w:szCs w:val="21"/>
                <w:highlight w:val="none"/>
                <w:lang w:val="en-US" w:eastAsia="zh-CN" w:bidi="ar-SA"/>
              </w:rPr>
              <w:t>报价人所报品牌近三年（2020年1月1日起至投标截止日）至少承担1项高速公路应用业绩（以合同签订时间为准）。</w:t>
            </w:r>
          </w:p>
        </w:tc>
      </w:tr>
    </w:tbl>
    <w:p>
      <w:pPr>
        <w:pStyle w:val="4"/>
        <w:ind w:firstLine="420" w:firstLineChars="200"/>
        <w:jc w:val="both"/>
        <w:rPr>
          <w:rFonts w:ascii="宋体" w:hAnsi="宋体" w:eastAsia="宋体" w:cs="宋体"/>
          <w:bCs w:val="0"/>
          <w:sz w:val="28"/>
          <w:szCs w:val="28"/>
          <w:highlight w:val="none"/>
        </w:rPr>
      </w:pPr>
      <w:bookmarkStart w:id="124" w:name="_Toc11329225"/>
      <w:r>
        <w:rPr>
          <w:rFonts w:hint="eastAsia" w:ascii="宋体" w:hAnsi="宋体" w:eastAsia="宋体" w:cs="宋体"/>
          <w:b w:val="0"/>
          <w:bCs w:val="0"/>
          <w:kern w:val="2"/>
          <w:sz w:val="21"/>
          <w:szCs w:val="24"/>
          <w:highlight w:val="none"/>
          <w:lang w:val="en-US" w:eastAsia="zh-CN" w:bidi="ar-SA"/>
        </w:rPr>
        <w:t>注：须提供合同复印件,合同内容至少应包括货物名称、品牌、数量、合同签订日期、合同签订方名称等内容。合同中涉及商业机密的部分可隐去。</w:t>
      </w:r>
    </w:p>
    <w:p>
      <w:pPr>
        <w:pStyle w:val="4"/>
        <w:jc w:val="center"/>
        <w:rPr>
          <w:rFonts w:ascii="宋体" w:hAnsi="宋体" w:cs="宋体"/>
          <w:b w:val="0"/>
          <w:sz w:val="28"/>
          <w:szCs w:val="28"/>
          <w:highlight w:val="none"/>
        </w:rPr>
      </w:pPr>
      <w:bookmarkStart w:id="125" w:name="_Toc2830"/>
      <w:bookmarkStart w:id="126" w:name="_Toc12296"/>
      <w:bookmarkStart w:id="127" w:name="_Toc26749"/>
      <w:bookmarkStart w:id="128" w:name="_Toc10083"/>
      <w:r>
        <w:rPr>
          <w:rFonts w:hint="eastAsia" w:ascii="宋体" w:hAnsi="宋体" w:eastAsia="宋体" w:cs="宋体"/>
          <w:bCs w:val="0"/>
          <w:sz w:val="28"/>
          <w:szCs w:val="28"/>
          <w:highlight w:val="none"/>
        </w:rPr>
        <w:t>附录4 资格审查条件（信誉最低要求）</w:t>
      </w:r>
      <w:bookmarkEnd w:id="124"/>
      <w:bookmarkEnd w:id="125"/>
      <w:bookmarkEnd w:id="126"/>
      <w:bookmarkEnd w:id="127"/>
      <w:bookmarkEnd w:id="128"/>
    </w:p>
    <w:tbl>
      <w:tblPr>
        <w:tblStyle w:val="41"/>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213" w:type="dxa"/>
          </w:tcPr>
          <w:p>
            <w:pPr>
              <w:spacing w:line="400" w:lineRule="exact"/>
              <w:jc w:val="center"/>
              <w:rPr>
                <w:rFonts w:ascii="宋体" w:hAnsi="宋体" w:cs="宋体"/>
                <w:szCs w:val="21"/>
                <w:highlight w:val="none"/>
              </w:rPr>
            </w:pPr>
            <w:r>
              <w:rPr>
                <w:rFonts w:hint="eastAsia" w:ascii="宋体" w:hAnsi="宋体" w:cs="宋体"/>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213" w:type="dxa"/>
          </w:tcPr>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rPr>
              <w:t>信誉良好：在国家企业信用信息公示系统（http://www.gsxt.gov.cn/）中未被列入严重违法失信企业名单（黑名单）信息；在“信用中国”网站（http://www.creditchina.gov.cn/）中未被列入失信惩戒执行人名单。</w:t>
            </w:r>
          </w:p>
        </w:tc>
      </w:tr>
    </w:tbl>
    <w:p>
      <w:pPr>
        <w:pStyle w:val="27"/>
        <w:ind w:firstLine="402" w:firstLineChars="200"/>
        <w:rPr>
          <w:rFonts w:hint="eastAsia" w:ascii="Times New Roman" w:hAnsi="宋体"/>
          <w:sz w:val="21"/>
          <w:szCs w:val="21"/>
          <w:highlight w:val="none"/>
        </w:rPr>
      </w:pPr>
      <w:r>
        <w:rPr>
          <w:rFonts w:hint="eastAsia"/>
          <w:highlight w:val="none"/>
        </w:rPr>
        <w:t>注：</w:t>
      </w:r>
      <w:r>
        <w:rPr>
          <w:rFonts w:hint="eastAsia" w:ascii="Times New Roman" w:hAnsi="宋体"/>
          <w:sz w:val="21"/>
          <w:szCs w:val="21"/>
          <w:highlight w:val="none"/>
        </w:rPr>
        <w:t>须提供信誉网站查询结果截图,并加盖单位鲜公章。</w:t>
      </w:r>
    </w:p>
    <w:p>
      <w:pPr>
        <w:pStyle w:val="4"/>
        <w:jc w:val="center"/>
        <w:rPr>
          <w:rFonts w:hint="eastAsia" w:ascii="宋体" w:hAnsi="宋体" w:eastAsia="宋体" w:cs="宋体"/>
          <w:bCs w:val="0"/>
          <w:sz w:val="28"/>
          <w:szCs w:val="28"/>
          <w:highlight w:val="none"/>
        </w:rPr>
      </w:pPr>
      <w:bookmarkStart w:id="129" w:name="_Toc11329226"/>
      <w:bookmarkStart w:id="130" w:name="_Toc27096"/>
      <w:bookmarkStart w:id="131" w:name="_Toc25591"/>
      <w:bookmarkStart w:id="132" w:name="_Toc12773"/>
      <w:bookmarkStart w:id="133" w:name="_Toc14083"/>
    </w:p>
    <w:p>
      <w:pPr>
        <w:pStyle w:val="4"/>
        <w:jc w:val="center"/>
        <w:rPr>
          <w:rFonts w:ascii="宋体" w:hAnsi="宋体" w:eastAsia="宋体" w:cs="宋体"/>
          <w:bCs w:val="0"/>
          <w:sz w:val="28"/>
          <w:szCs w:val="28"/>
          <w:highlight w:val="none"/>
        </w:rPr>
      </w:pPr>
      <w:r>
        <w:rPr>
          <w:rFonts w:hint="eastAsia" w:ascii="宋体" w:hAnsi="宋体" w:eastAsia="宋体" w:cs="宋体"/>
          <w:bCs w:val="0"/>
          <w:sz w:val="28"/>
          <w:szCs w:val="28"/>
          <w:highlight w:val="none"/>
        </w:rPr>
        <w:t>附录5 资格审查文件（项目主要管理人员最低要求）</w:t>
      </w:r>
      <w:bookmarkEnd w:id="129"/>
      <w:bookmarkEnd w:id="130"/>
      <w:bookmarkEnd w:id="131"/>
      <w:bookmarkEnd w:id="132"/>
      <w:bookmarkEnd w:id="133"/>
    </w:p>
    <w:p>
      <w:pPr>
        <w:spacing w:line="400" w:lineRule="exact"/>
        <w:jc w:val="center"/>
        <w:rPr>
          <w:highlight w:val="none"/>
        </w:rPr>
      </w:pPr>
      <w:r>
        <w:rPr>
          <w:rFonts w:hint="eastAsia" w:ascii="宋体" w:hAnsi="宋体" w:cs="宋体"/>
          <w:b/>
          <w:szCs w:val="21"/>
          <w:highlight w:val="none"/>
        </w:rPr>
        <w:t>主要管理人员最低要求</w:t>
      </w:r>
    </w:p>
    <w:tbl>
      <w:tblPr>
        <w:tblStyle w:val="41"/>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bookmarkStart w:id="134" w:name="_Toc387234996"/>
            <w:bookmarkStart w:id="135" w:name="_Toc388534043"/>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lang w:val="en-US" w:eastAsia="zh-CN"/>
              </w:rPr>
              <w:t>/</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w:t>
            </w:r>
            <w:r>
              <w:rPr>
                <w:rFonts w:hint="eastAsia" w:ascii="宋体" w:hAnsi="宋体" w:cs="宋体"/>
                <w:szCs w:val="21"/>
                <w:highlight w:val="none"/>
              </w:rPr>
              <w:t xml:space="preserve">。 </w:t>
            </w:r>
          </w:p>
        </w:tc>
      </w:tr>
    </w:tbl>
    <w:p>
      <w:pPr>
        <w:spacing w:line="400" w:lineRule="exact"/>
        <w:ind w:firstLine="420" w:firstLineChars="200"/>
        <w:jc w:val="left"/>
        <w:rPr>
          <w:rFonts w:ascii="宋体" w:hAnsi="宋体" w:cs="宋体"/>
          <w:szCs w:val="21"/>
          <w:highlight w:val="none"/>
        </w:rPr>
      </w:pPr>
    </w:p>
    <w:p>
      <w:pPr>
        <w:pStyle w:val="27"/>
        <w:rPr>
          <w:highlight w:val="none"/>
        </w:rPr>
      </w:pPr>
    </w:p>
    <w:p>
      <w:pPr>
        <w:outlineLvl w:val="1"/>
        <w:rPr>
          <w:rFonts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4"/>
        <w:rPr>
          <w:rFonts w:hAnsi="宋体"/>
          <w:b w:val="0"/>
          <w:sz w:val="28"/>
          <w:szCs w:val="28"/>
          <w:highlight w:val="none"/>
        </w:rPr>
      </w:pPr>
      <w:bookmarkStart w:id="136" w:name="_Toc4169"/>
      <w:bookmarkStart w:id="137" w:name="_Toc17384"/>
      <w:bookmarkStart w:id="138" w:name="_Toc6096"/>
      <w:bookmarkStart w:id="139" w:name="_Toc17216"/>
      <w:r>
        <w:rPr>
          <w:rFonts w:hint="eastAsia" w:ascii="宋体" w:hAnsi="宋体" w:cs="宋体"/>
          <w:b w:val="0"/>
          <w:sz w:val="28"/>
          <w:szCs w:val="28"/>
          <w:highlight w:val="none"/>
        </w:rPr>
        <w:t>附录</w:t>
      </w:r>
      <w:r>
        <w:rPr>
          <w:rFonts w:hint="eastAsia" w:ascii="宋体" w:hAnsi="宋体" w:cs="宋体"/>
          <w:b w:val="0"/>
          <w:sz w:val="28"/>
          <w:szCs w:val="28"/>
          <w:highlight w:val="none"/>
          <w:lang w:val="en-US" w:eastAsia="zh-CN"/>
        </w:rPr>
        <w:t>6</w:t>
      </w:r>
      <w:r>
        <w:rPr>
          <w:rFonts w:hint="eastAsia" w:ascii="宋体" w:hAnsi="宋体" w:cs="宋体"/>
          <w:b w:val="0"/>
          <w:sz w:val="28"/>
          <w:szCs w:val="28"/>
          <w:highlight w:val="none"/>
        </w:rPr>
        <w:t xml:space="preserve"> 资格审查文件（主要机械设备和试验检测设备最低要求）</w:t>
      </w:r>
      <w:bookmarkEnd w:id="136"/>
      <w:bookmarkEnd w:id="137"/>
      <w:bookmarkEnd w:id="138"/>
      <w:bookmarkEnd w:id="139"/>
    </w:p>
    <w:tbl>
      <w:tblPr>
        <w:tblStyle w:val="41"/>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rPr>
                <w:highlight w:val="none"/>
              </w:rPr>
            </w:pPr>
            <w:r>
              <w:rPr>
                <w:rFonts w:hint="eastAsia" w:ascii="宋体" w:hAnsi="宋体" w:cs="宋体"/>
                <w:caps/>
                <w:szCs w:val="21"/>
                <w:highlight w:val="none"/>
              </w:rPr>
              <w:t>无</w:t>
            </w:r>
            <w:r>
              <w:rPr>
                <w:rFonts w:hint="eastAsia" w:ascii="宋体" w:hAnsi="宋体" w:cs="宋体"/>
                <w:caps/>
                <w:szCs w:val="21"/>
                <w:highlight w:val="none"/>
                <w:lang w:val="en-US" w:eastAsia="zh-CN"/>
              </w:rPr>
              <w:t>要求</w:t>
            </w:r>
            <w:r>
              <w:rPr>
                <w:rFonts w:hint="eastAsia" w:ascii="宋体" w:hAnsi="宋体" w:cs="宋体"/>
                <w:caps/>
                <w:szCs w:val="21"/>
                <w:highlight w:val="none"/>
              </w:rPr>
              <w:t xml:space="preserve">。 </w:t>
            </w:r>
          </w:p>
        </w:tc>
      </w:tr>
    </w:tbl>
    <w:p>
      <w:pPr>
        <w:spacing w:line="400" w:lineRule="exact"/>
        <w:ind w:firstLine="420"/>
        <w:rPr>
          <w:rFonts w:ascii="宋体" w:hAnsi="宋体" w:cs="宋体"/>
          <w:kern w:val="0"/>
          <w:szCs w:val="21"/>
          <w:highlight w:val="none"/>
        </w:rPr>
      </w:pPr>
      <w:r>
        <w:rPr>
          <w:rFonts w:hint="eastAsia" w:ascii="宋体" w:hAnsi="宋体" w:cs="宋体"/>
          <w:bCs/>
          <w:kern w:val="0"/>
          <w:szCs w:val="21"/>
          <w:highlight w:val="none"/>
        </w:rPr>
        <w:t>注：以上设备</w:t>
      </w:r>
      <w:r>
        <w:rPr>
          <w:rFonts w:hint="eastAsia" w:ascii="宋体" w:hAnsi="宋体" w:cs="宋体"/>
          <w:kern w:val="0"/>
          <w:highlight w:val="none"/>
        </w:rPr>
        <w:t>由报价人</w:t>
      </w:r>
      <w:r>
        <w:rPr>
          <w:rFonts w:hint="eastAsia" w:ascii="宋体" w:hAnsi="宋体" w:cs="宋体"/>
          <w:b/>
          <w:kern w:val="0"/>
          <w:highlight w:val="none"/>
        </w:rPr>
        <w:t>自行承诺</w:t>
      </w:r>
      <w:r>
        <w:rPr>
          <w:rFonts w:hint="eastAsia" w:ascii="宋体" w:hAnsi="宋体" w:cs="宋体"/>
          <w:kern w:val="0"/>
          <w:highlight w:val="none"/>
        </w:rPr>
        <w:t>，</w:t>
      </w:r>
      <w:r>
        <w:rPr>
          <w:rFonts w:hint="eastAsia" w:ascii="宋体" w:hAnsi="宋体" w:cs="宋体"/>
          <w:kern w:val="0"/>
          <w:szCs w:val="21"/>
          <w:highlight w:val="none"/>
        </w:rPr>
        <w:t>无需提供有关证明资料，并加盖单位鲜公章。</w:t>
      </w:r>
    </w:p>
    <w:p>
      <w:pPr>
        <w:pStyle w:val="147"/>
        <w:adjustRightInd/>
        <w:spacing w:line="400" w:lineRule="exact"/>
        <w:ind w:firstLine="422" w:firstLineChars="200"/>
        <w:jc w:val="both"/>
        <w:rPr>
          <w:rFonts w:hAnsi="宋体"/>
          <w:bCs/>
          <w:color w:val="auto"/>
          <w:sz w:val="21"/>
          <w:szCs w:val="21"/>
          <w:highlight w:val="none"/>
        </w:rPr>
      </w:pPr>
      <w:r>
        <w:rPr>
          <w:rFonts w:hint="eastAsia" w:hAnsi="宋体"/>
          <w:b/>
          <w:bCs/>
          <w:color w:val="auto"/>
          <w:sz w:val="21"/>
          <w:szCs w:val="21"/>
          <w:highlight w:val="none"/>
        </w:rPr>
        <w:t>以上（附录1-附录7中的资格审查）的要求均为强制性条件，其中任何一条不满足要求，则按否决报价处理。</w:t>
      </w:r>
    </w:p>
    <w:p>
      <w:pPr>
        <w:pStyle w:val="147"/>
        <w:adjustRightInd/>
        <w:spacing w:line="360" w:lineRule="auto"/>
        <w:jc w:val="both"/>
        <w:rPr>
          <w:rFonts w:hAnsi="宋体"/>
          <w:bCs/>
          <w:color w:val="auto"/>
          <w:sz w:val="21"/>
          <w:szCs w:val="21"/>
          <w:highlight w:val="none"/>
        </w:rPr>
      </w:pPr>
    </w:p>
    <w:bookmarkEnd w:id="134"/>
    <w:bookmarkEnd w:id="135"/>
    <w:p>
      <w:pPr>
        <w:spacing w:line="440" w:lineRule="exact"/>
        <w:rPr>
          <w:rFonts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ascii="宋体" w:hAnsi="宋体" w:cs="宋体"/>
          <w:highlight w:val="none"/>
        </w:rPr>
      </w:pPr>
    </w:p>
    <w:p>
      <w:pPr>
        <w:pStyle w:val="3"/>
        <w:spacing w:before="0" w:after="0" w:line="360" w:lineRule="auto"/>
        <w:jc w:val="center"/>
        <w:rPr>
          <w:rFonts w:ascii="宋体" w:hAnsi="宋体" w:cs="宋体"/>
          <w:highlight w:val="none"/>
        </w:rPr>
      </w:pPr>
      <w:bookmarkStart w:id="140" w:name="_Toc2000406"/>
      <w:bookmarkStart w:id="141" w:name="_Toc179632605"/>
      <w:bookmarkStart w:id="142" w:name="_Toc246996973"/>
      <w:bookmarkStart w:id="143" w:name="_Toc152042364"/>
      <w:bookmarkStart w:id="144" w:name="_Toc144974554"/>
      <w:bookmarkStart w:id="145" w:name="_Toc7682"/>
      <w:bookmarkStart w:id="146" w:name="_Toc507319957"/>
      <w:bookmarkStart w:id="147" w:name="_Toc20774"/>
      <w:bookmarkStart w:id="148" w:name="_Toc247085745"/>
      <w:bookmarkStart w:id="149" w:name="_Toc152045587"/>
      <w:bookmarkStart w:id="150" w:name="_Toc246996230"/>
      <w:r>
        <w:rPr>
          <w:rFonts w:hint="eastAsia" w:ascii="宋体" w:hAnsi="宋体" w:cs="宋体"/>
          <w:highlight w:val="none"/>
        </w:rPr>
        <w:t>第三章 评标办法（经评审的最低投标价法）</w:t>
      </w:r>
      <w:bookmarkEnd w:id="140"/>
      <w:bookmarkEnd w:id="141"/>
      <w:bookmarkEnd w:id="142"/>
      <w:bookmarkEnd w:id="143"/>
      <w:bookmarkEnd w:id="144"/>
      <w:bookmarkEnd w:id="145"/>
      <w:bookmarkEnd w:id="146"/>
      <w:bookmarkEnd w:id="147"/>
      <w:bookmarkEnd w:id="148"/>
      <w:bookmarkEnd w:id="149"/>
      <w:bookmarkEnd w:id="150"/>
    </w:p>
    <w:p>
      <w:pPr>
        <w:rPr>
          <w:highlight w:val="none"/>
        </w:rPr>
      </w:pPr>
    </w:p>
    <w:tbl>
      <w:tblPr>
        <w:tblStyle w:val="41"/>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rPr>
                <w:highlight w:val="none"/>
              </w:rPr>
            </w:pPr>
            <w:r>
              <w:rPr>
                <w:highlight w:val="none"/>
              </w:rPr>
              <w:t>如出现报价相等时，评审小组按以下原则确定第一中标候选人：</w:t>
            </w:r>
          </w:p>
          <w:p>
            <w:pPr>
              <w:spacing w:line="360" w:lineRule="auto"/>
              <w:ind w:firstLine="210" w:firstLineChars="100"/>
              <w:rPr>
                <w:highlight w:val="none"/>
              </w:rPr>
            </w:pPr>
            <w:r>
              <w:rPr>
                <w:rFonts w:hint="eastAsia"/>
                <w:highlight w:val="none"/>
              </w:rPr>
              <w:t>以最早提交报价文件的投标人为第一中标候选人</w:t>
            </w:r>
            <w:r>
              <w:rPr>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highlight w:val="none"/>
              </w:rPr>
            </w:pPr>
            <w:r>
              <w:rPr>
                <w:rFonts w:hint="eastAsia"/>
                <w:highlight w:val="none"/>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与</w:t>
            </w:r>
            <w:r>
              <w:rPr>
                <w:rFonts w:hint="eastAsia"/>
                <w:highlight w:val="none"/>
              </w:rPr>
              <w:t>采购人</w:t>
            </w:r>
            <w:r>
              <w:rPr>
                <w:highlight w:val="none"/>
              </w:rPr>
              <w:t>存在利害关系可能影响</w:t>
            </w:r>
            <w:r>
              <w:rPr>
                <w:rFonts w:hint="eastAsia"/>
                <w:highlight w:val="none"/>
              </w:rPr>
              <w:t>比选</w:t>
            </w:r>
            <w:r>
              <w:rPr>
                <w:highlight w:val="none"/>
              </w:rPr>
              <w:t>公正性的法人、其他组织或者个人，不得参加</w:t>
            </w:r>
            <w:r>
              <w:rPr>
                <w:rFonts w:hint="eastAsia"/>
                <w:highlight w:val="none"/>
              </w:rPr>
              <w:t>报价</w:t>
            </w: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11</w:t>
            </w:r>
            <w:r>
              <w:rPr>
                <w:highlight w:val="none"/>
              </w:rPr>
              <w:t>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人须知”前附表附录1的规定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财务要求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人须知”前附表附录2的规定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人须知”前附表附录3的规定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人须知”前附表附录4的规定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项目主要管理人员</w:t>
            </w:r>
            <w:r>
              <w:rPr>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人须知”前附表附录5的规定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项目施工、安装及调试劳务人员最低要求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人须知”前附表附录7的规定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施工地点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3</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9</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10</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w:t>
            </w:r>
            <w:r>
              <w:rPr>
                <w:rFonts w:hint="eastAsia"/>
                <w:highlight w:val="none"/>
                <w:lang w:eastAsia="zh-CN"/>
              </w:rPr>
              <w:t>最低投标价</w:t>
            </w:r>
            <w:r>
              <w:rPr>
                <w:highlight w:val="none"/>
              </w:rPr>
              <w:t>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价从低到高的先后顺序，推荐</w:t>
            </w:r>
            <w:r>
              <w:rPr>
                <w:rFonts w:hint="eastAsia"/>
                <w:highlight w:val="none"/>
                <w:lang w:val="en-US" w:eastAsia="zh-CN"/>
              </w:rPr>
              <w:t>2</w:t>
            </w:r>
            <w:r>
              <w:rPr>
                <w:highlight w:val="none"/>
              </w:rPr>
              <w:t>名中标候选人。</w:t>
            </w:r>
          </w:p>
        </w:tc>
      </w:tr>
    </w:tbl>
    <w:p>
      <w:pPr>
        <w:rPr>
          <w:rFonts w:ascii="宋体" w:hAnsi="宋体" w:cs="宋体"/>
          <w:highlight w:val="none"/>
        </w:rPr>
      </w:pPr>
    </w:p>
    <w:p>
      <w:pPr>
        <w:pStyle w:val="27"/>
        <w:jc w:val="center"/>
        <w:rPr>
          <w:highlight w:val="none"/>
        </w:rPr>
      </w:pPr>
      <w:r>
        <w:rPr>
          <w:rFonts w:hint="eastAsia"/>
          <w:highlight w:val="none"/>
        </w:rPr>
        <w:br w:type="page"/>
      </w:r>
      <w:bookmarkStart w:id="151" w:name="_Toc9938"/>
      <w:bookmarkStart w:id="152" w:name="_Toc13787"/>
      <w:r>
        <w:rPr>
          <w:rStyle w:val="80"/>
          <w:rFonts w:hint="eastAsia"/>
          <w:b/>
          <w:bCs/>
          <w:highlight w:val="none"/>
        </w:rPr>
        <w:t>第四章 报价说明</w:t>
      </w:r>
      <w:bookmarkEnd w:id="151"/>
      <w:bookmarkEnd w:id="152"/>
    </w:p>
    <w:p>
      <w:pPr>
        <w:pStyle w:val="27"/>
        <w:rPr>
          <w:rFonts w:hint="eastAsia" w:ascii="宋体" w:hAnsi="宋体" w:cs="宋体"/>
          <w:b w:val="0"/>
          <w:bCs w:val="0"/>
          <w:sz w:val="21"/>
          <w:szCs w:val="21"/>
          <w:highlight w:val="none"/>
        </w:rPr>
      </w:pPr>
      <w:r>
        <w:rPr>
          <w:rFonts w:hint="eastAsia" w:ascii="宋体" w:hAnsi="宋体" w:cs="宋体"/>
          <w:b w:val="0"/>
          <w:bCs w:val="0"/>
          <w:sz w:val="21"/>
          <w:szCs w:val="21"/>
          <w:highlight w:val="none"/>
        </w:rPr>
        <w:t>（1）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p>
    <w:p>
      <w:pPr>
        <w:pStyle w:val="27"/>
        <w:rPr>
          <w:rFonts w:hint="eastAsia" w:ascii="宋体" w:hAnsi="宋体" w:cs="宋体"/>
          <w:b w:val="0"/>
          <w:bCs w:val="0"/>
          <w:sz w:val="21"/>
          <w:szCs w:val="21"/>
          <w:highlight w:val="none"/>
        </w:rPr>
      </w:pPr>
      <w:r>
        <w:rPr>
          <w:rFonts w:hint="eastAsia" w:ascii="宋体" w:hAnsi="宋体" w:cs="宋体"/>
          <w:b w:val="0"/>
          <w:bCs w:val="0"/>
          <w:sz w:val="21"/>
          <w:szCs w:val="21"/>
          <w:highlight w:val="none"/>
        </w:rPr>
        <w:t>（2）报价人在分项报价表中填报的综合单价承包到现场所产生的路费、差旅费等。</w:t>
      </w:r>
    </w:p>
    <w:p>
      <w:pPr>
        <w:pStyle w:val="27"/>
        <w:rPr>
          <w:rFonts w:hint="eastAsia" w:ascii="宋体" w:hAnsi="宋体" w:cs="宋体"/>
          <w:b w:val="0"/>
          <w:bCs w:val="0"/>
          <w:sz w:val="21"/>
          <w:szCs w:val="21"/>
          <w:highlight w:val="none"/>
        </w:rPr>
      </w:pPr>
      <w:r>
        <w:rPr>
          <w:rFonts w:hint="eastAsia" w:ascii="宋体" w:hAnsi="宋体" w:cs="宋体"/>
          <w:b w:val="0"/>
          <w:bCs w:val="0"/>
          <w:sz w:val="21"/>
          <w:szCs w:val="21"/>
          <w:highlight w:val="none"/>
        </w:rPr>
        <w:t>（3）报价有算术错误的，评审小组按以下原则对报价进行修正，修正的价格经报价人书面确认后具有约束力。报价人不接受修正价格的，其报价应当予以否决。</w:t>
      </w:r>
    </w:p>
    <w:p>
      <w:pPr>
        <w:pStyle w:val="27"/>
        <w:rPr>
          <w:rFonts w:hint="eastAsia" w:ascii="宋体" w:hAnsi="宋体" w:cs="宋体"/>
          <w:b w:val="0"/>
          <w:bCs w:val="0"/>
          <w:sz w:val="21"/>
          <w:szCs w:val="21"/>
          <w:highlight w:val="none"/>
        </w:rPr>
      </w:pPr>
      <w:r>
        <w:rPr>
          <w:rFonts w:hint="eastAsia" w:ascii="宋体" w:hAnsi="宋体" w:cs="宋体"/>
          <w:b w:val="0"/>
          <w:bCs w:val="0"/>
          <w:sz w:val="21"/>
          <w:szCs w:val="21"/>
          <w:highlight w:val="none"/>
        </w:rPr>
        <w:t>①竞争性比选响应文件中的大写金额与小写金额不一致的，以大写金额为准；</w:t>
      </w:r>
    </w:p>
    <w:p>
      <w:pPr>
        <w:pStyle w:val="27"/>
        <w:rPr>
          <w:rFonts w:hint="eastAsia" w:ascii="宋体" w:hAnsi="宋体" w:eastAsia="宋体" w:cs="宋体"/>
          <w:b w:val="0"/>
          <w:bCs w:val="0"/>
          <w:sz w:val="21"/>
          <w:szCs w:val="21"/>
          <w:highlight w:val="none"/>
          <w:lang w:eastAsia="zh-CN"/>
        </w:rPr>
      </w:pPr>
      <w:r>
        <w:rPr>
          <w:rFonts w:hint="eastAsia" w:ascii="宋体" w:hAnsi="宋体" w:cs="宋体"/>
          <w:b w:val="0"/>
          <w:bCs w:val="0"/>
          <w:sz w:val="21"/>
          <w:szCs w:val="21"/>
          <w:highlight w:val="none"/>
        </w:rPr>
        <w:t>②总价金额与依据单价计算出的结果不一致的，以单价金额为准修正总价，但单价金额小数点有明显错误的除外</w:t>
      </w:r>
      <w:r>
        <w:rPr>
          <w:rFonts w:hint="eastAsia" w:ascii="宋体" w:hAnsi="宋体" w:cs="宋体"/>
          <w:b w:val="0"/>
          <w:bCs w:val="0"/>
          <w:sz w:val="21"/>
          <w:szCs w:val="21"/>
          <w:highlight w:val="none"/>
          <w:lang w:eastAsia="zh-CN"/>
        </w:rPr>
        <w:t>；</w:t>
      </w:r>
    </w:p>
    <w:p>
      <w:pPr>
        <w:pStyle w:val="27"/>
        <w:rPr>
          <w:rFonts w:hint="eastAsia" w:ascii="宋体" w:hAnsi="宋体" w:cs="宋体"/>
          <w:b w:val="0"/>
          <w:bCs w:val="0"/>
          <w:sz w:val="21"/>
          <w:szCs w:val="21"/>
          <w:highlight w:val="none"/>
        </w:rPr>
      </w:pPr>
      <w:r>
        <w:rPr>
          <w:rFonts w:hint="eastAsia" w:ascii="宋体" w:hAnsi="宋体" w:cs="宋体"/>
          <w:b w:val="0"/>
          <w:bCs w:val="0"/>
          <w:sz w:val="21"/>
          <w:szCs w:val="21"/>
          <w:highlight w:val="none"/>
        </w:rPr>
        <w:t>（4）实际采购数量以采购人最终需求数量为准，报价清单中单价在合同执行过程中保持固定不变，报价人不得以实际采购数量的变化提出调整合同单价。</w:t>
      </w:r>
    </w:p>
    <w:p>
      <w:pPr>
        <w:pStyle w:val="27"/>
        <w:rPr>
          <w:rFonts w:hint="eastAsia" w:ascii="宋体" w:hAnsi="宋体" w:eastAsia="宋体" w:cs="宋体"/>
          <w:b w:val="0"/>
          <w:bCs w:val="0"/>
          <w:sz w:val="21"/>
          <w:szCs w:val="21"/>
          <w:highlight w:val="none"/>
          <w:lang w:eastAsia="zh-CN"/>
        </w:rPr>
      </w:pPr>
      <w:r>
        <w:rPr>
          <w:rFonts w:hint="eastAsia" w:ascii="宋体" w:hAnsi="宋体" w:cs="宋体"/>
          <w:b w:val="0"/>
          <w:bCs w:val="0"/>
          <w:sz w:val="21"/>
          <w:szCs w:val="21"/>
          <w:highlight w:val="none"/>
        </w:rPr>
        <w:t>（5）报价清单中各项金额均以人民币（元）结算</w:t>
      </w:r>
      <w:r>
        <w:rPr>
          <w:rFonts w:hint="eastAsia" w:ascii="宋体" w:hAnsi="宋体" w:cs="宋体"/>
          <w:b w:val="0"/>
          <w:bCs w:val="0"/>
          <w:sz w:val="21"/>
          <w:szCs w:val="21"/>
          <w:highlight w:val="none"/>
          <w:lang w:eastAsia="zh-CN"/>
        </w:rPr>
        <w:t>；</w:t>
      </w:r>
    </w:p>
    <w:p>
      <w:pPr>
        <w:pStyle w:val="27"/>
        <w:rPr>
          <w:rFonts w:hint="eastAsia" w:eastAsia="宋体"/>
          <w:highlight w:val="none"/>
          <w:lang w:eastAsia="zh-CN"/>
        </w:rPr>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b w:val="0"/>
          <w:bCs w:val="0"/>
          <w:sz w:val="21"/>
          <w:szCs w:val="21"/>
          <w:highlight w:val="none"/>
        </w:rPr>
        <w:t>（6）需缴纳的一切税费均由报价单位承担，所有税费均由服务单位自行缴纳</w:t>
      </w:r>
      <w:r>
        <w:rPr>
          <w:rFonts w:hint="eastAsia" w:ascii="宋体" w:hAnsi="宋体" w:cs="宋体"/>
          <w:b w:val="0"/>
          <w:bCs w:val="0"/>
          <w:sz w:val="21"/>
          <w:szCs w:val="21"/>
          <w:highlight w:val="none"/>
          <w:lang w:eastAsia="zh-CN"/>
        </w:rPr>
        <w:t>。</w:t>
      </w:r>
    </w:p>
    <w:p>
      <w:pPr>
        <w:spacing w:line="400" w:lineRule="exact"/>
        <w:rPr>
          <w:rFonts w:ascii="宋体" w:hAnsi="宋体" w:cs="宋体"/>
          <w:szCs w:val="21"/>
          <w:highlight w:val="none"/>
        </w:rPr>
      </w:pPr>
      <w:bookmarkStart w:id="153" w:name="_Toc246997097"/>
      <w:bookmarkStart w:id="154" w:name="_Toc144974855"/>
      <w:bookmarkStart w:id="155" w:name="_Toc152045786"/>
      <w:bookmarkStart w:id="156" w:name="_Toc179632806"/>
      <w:bookmarkStart w:id="157" w:name="_Toc246996354"/>
      <w:bookmarkStart w:id="158" w:name="_Toc247085872"/>
      <w:bookmarkStart w:id="159" w:name="_Toc152042575"/>
    </w:p>
    <w:p>
      <w:pPr>
        <w:pStyle w:val="3"/>
        <w:spacing w:before="0" w:after="0" w:line="360" w:lineRule="auto"/>
        <w:jc w:val="center"/>
        <w:rPr>
          <w:rFonts w:ascii="宋体" w:hAnsi="宋体" w:cs="宋体"/>
          <w:highlight w:val="none"/>
        </w:rPr>
      </w:pPr>
      <w:bookmarkStart w:id="160" w:name="_Toc152045772"/>
      <w:bookmarkStart w:id="161" w:name="_Toc152042554"/>
      <w:bookmarkStart w:id="162" w:name="_Toc246997083"/>
      <w:bookmarkStart w:id="163" w:name="_Toc24503"/>
      <w:bookmarkStart w:id="164" w:name="_Toc2000409"/>
      <w:bookmarkStart w:id="165" w:name="_Toc246996340"/>
      <w:bookmarkStart w:id="166" w:name="_Toc8745"/>
      <w:bookmarkStart w:id="167" w:name="_Toc179632789"/>
      <w:bookmarkStart w:id="168" w:name="_Toc514858705"/>
      <w:bookmarkStart w:id="169" w:name="_Toc144974834"/>
      <w:bookmarkStart w:id="170" w:name="_Toc247085855"/>
      <w:r>
        <w:rPr>
          <w:rFonts w:hint="eastAsia" w:ascii="宋体" w:hAnsi="宋体" w:cs="宋体"/>
          <w:highlight w:val="none"/>
        </w:rPr>
        <w:t>第五章  工程量清单</w:t>
      </w:r>
      <w:bookmarkEnd w:id="160"/>
      <w:bookmarkEnd w:id="161"/>
      <w:bookmarkEnd w:id="162"/>
      <w:bookmarkEnd w:id="163"/>
      <w:bookmarkEnd w:id="164"/>
      <w:bookmarkEnd w:id="165"/>
      <w:bookmarkEnd w:id="166"/>
      <w:bookmarkEnd w:id="167"/>
      <w:bookmarkEnd w:id="168"/>
      <w:bookmarkEnd w:id="169"/>
      <w:bookmarkEnd w:id="170"/>
    </w:p>
    <w:p>
      <w:pPr>
        <w:ind w:firstLine="420"/>
        <w:jc w:val="left"/>
        <w:rPr>
          <w:rFonts w:ascii="宋体" w:hAnsi="宋体" w:cs="宋体"/>
          <w:b/>
          <w:highlight w:val="none"/>
        </w:rPr>
      </w:pPr>
      <w:bookmarkStart w:id="171" w:name="_Toc152042571"/>
      <w:bookmarkStart w:id="172" w:name="_Toc152045782"/>
      <w:bookmarkStart w:id="173" w:name="_Toc144974851"/>
      <w:bookmarkStart w:id="174" w:name="_Toc247096438"/>
      <w:bookmarkStart w:id="175" w:name="_Toc179632800"/>
      <w:bookmarkStart w:id="176" w:name="_Toc246996350"/>
      <w:bookmarkStart w:id="177" w:name="_Toc246997093"/>
      <w:bookmarkStart w:id="178" w:name="_Toc247085866"/>
    </w:p>
    <w:p>
      <w:pPr>
        <w:jc w:val="center"/>
        <w:rPr>
          <w:rFonts w:hint="default" w:ascii="宋体" w:hAnsi="宋体" w:eastAsia="宋体" w:cs="宋体"/>
          <w:b/>
          <w:highlight w:val="none"/>
          <w:lang w:val="en-US" w:eastAsia="zh-CN"/>
        </w:rPr>
      </w:pPr>
      <w:r>
        <w:rPr>
          <w:rFonts w:hint="eastAsia" w:ascii="宋体" w:hAnsi="宋体" w:cs="宋体"/>
          <w:b/>
          <w:highlight w:val="none"/>
          <w:lang w:val="en-US" w:eastAsia="zh-CN"/>
        </w:rPr>
        <w:t>详见附件。</w:t>
      </w: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pStyle w:val="27"/>
        <w:rPr>
          <w:rFonts w:ascii="宋体" w:hAnsi="宋体" w:cs="宋体"/>
          <w:b/>
          <w:highlight w:val="none"/>
        </w:rPr>
      </w:pPr>
    </w:p>
    <w:p>
      <w:pPr>
        <w:rPr>
          <w:rFonts w:ascii="宋体" w:hAnsi="宋体" w:cs="宋体"/>
          <w:b/>
          <w:highlight w:val="none"/>
        </w:rPr>
      </w:pPr>
    </w:p>
    <w:p>
      <w:pPr>
        <w:pStyle w:val="27"/>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pStyle w:val="3"/>
        <w:numPr>
          <w:ilvl w:val="0"/>
          <w:numId w:val="2"/>
        </w:numPr>
        <w:spacing w:before="0" w:after="0" w:line="360" w:lineRule="auto"/>
        <w:jc w:val="center"/>
        <w:rPr>
          <w:rFonts w:hint="eastAsia" w:ascii="宋体" w:hAnsi="宋体" w:cs="宋体"/>
          <w:highlight w:val="none"/>
        </w:rPr>
      </w:pPr>
      <w:bookmarkStart w:id="179" w:name="_Toc3008"/>
      <w:bookmarkStart w:id="180" w:name="_Toc503951042"/>
      <w:bookmarkStart w:id="181" w:name="_Toc12440"/>
      <w:bookmarkStart w:id="182" w:name="_Toc513633963"/>
      <w:bookmarkStart w:id="183" w:name="_Toc514858706"/>
      <w:bookmarkStart w:id="184" w:name="_Toc2000410"/>
      <w:bookmarkStart w:id="185" w:name="_Toc447827048"/>
      <w:r>
        <w:rPr>
          <w:rFonts w:hint="eastAsia" w:ascii="宋体" w:hAnsi="宋体" w:cs="宋体"/>
          <w:highlight w:val="none"/>
        </w:rPr>
        <w:t xml:space="preserve"> 图  纸</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27"/>
        <w:jc w:val="center"/>
        <w:rPr>
          <w:rFonts w:hint="default" w:eastAsia="宋体"/>
          <w:lang w:val="en-US" w:eastAsia="zh-CN"/>
        </w:rPr>
      </w:pPr>
      <w:r>
        <w:rPr>
          <w:rFonts w:hint="eastAsia"/>
          <w:lang w:val="en-US" w:eastAsia="zh-CN"/>
        </w:rPr>
        <w:t>无。</w:t>
      </w:r>
    </w:p>
    <w:p>
      <w:pPr>
        <w:rPr>
          <w:rFonts w:hint="default" w:eastAsia="宋体"/>
          <w:lang w:val="en-US" w:eastAsia="zh-CN"/>
        </w:rPr>
      </w:pPr>
    </w:p>
    <w:p>
      <w:pPr>
        <w:pStyle w:val="27"/>
        <w:rPr>
          <w:rFonts w:hint="default"/>
          <w:lang w:val="en-US" w:eastAsia="zh-CN"/>
        </w:rPr>
      </w:pPr>
    </w:p>
    <w:p>
      <w:r>
        <w:rPr>
          <w:rFonts w:hint="eastAsia"/>
          <w:lang w:val="en-US" w:eastAsia="zh-CN"/>
        </w:rPr>
        <w:t xml:space="preserve"> </w:t>
      </w:r>
    </w:p>
    <w:p/>
    <w:p/>
    <w:p/>
    <w:p>
      <w:pPr>
        <w:rPr>
          <w:rFonts w:ascii="宋体" w:hAnsi="宋体" w:cs="宋体"/>
          <w:b/>
          <w:highlight w:val="none"/>
        </w:rPr>
      </w:pPr>
      <w:r>
        <w:rPr>
          <w:rFonts w:hint="eastAsia"/>
          <w:lang w:val="en-US" w:eastAsia="zh-CN"/>
        </w:rPr>
        <w:t xml:space="preserve">            </w:t>
      </w:r>
    </w:p>
    <w:p>
      <w:pPr>
        <w:rPr>
          <w:rFonts w:ascii="宋体" w:hAnsi="宋体" w:cs="宋体"/>
          <w:b/>
          <w:highlight w:val="none"/>
        </w:rPr>
      </w:pPr>
    </w:p>
    <w:p>
      <w:pPr>
        <w:pStyle w:val="27"/>
      </w:pPr>
    </w:p>
    <w:p>
      <w:pPr>
        <w:spacing w:line="400" w:lineRule="exact"/>
        <w:rPr>
          <w:rFonts w:ascii="宋体" w:hAnsi="宋体" w:cs="宋体"/>
          <w:highlight w:val="none"/>
        </w:rPr>
      </w:pPr>
      <w:r>
        <w:rPr>
          <w:rFonts w:hint="eastAsia" w:ascii="宋体" w:hAnsi="宋体" w:cs="宋体"/>
          <w:highlight w:val="none"/>
        </w:rPr>
        <w:br w:type="page"/>
      </w:r>
      <w:bookmarkStart w:id="186" w:name="_Toc152045785"/>
      <w:bookmarkStart w:id="187" w:name="_Toc152042574"/>
      <w:bookmarkStart w:id="188" w:name="_Toc144974854"/>
    </w:p>
    <w:p>
      <w:pPr>
        <w:pStyle w:val="3"/>
        <w:spacing w:before="0" w:after="0" w:line="360" w:lineRule="auto"/>
        <w:jc w:val="center"/>
        <w:rPr>
          <w:rFonts w:ascii="宋体" w:hAnsi="宋体" w:cs="宋体"/>
          <w:highlight w:val="none"/>
        </w:rPr>
      </w:pPr>
      <w:bookmarkStart w:id="189" w:name="_Toc514858707"/>
      <w:bookmarkStart w:id="190" w:name="_Toc2000411"/>
      <w:bookmarkStart w:id="191" w:name="_Toc513633964"/>
      <w:bookmarkStart w:id="192" w:name="_Toc246996353"/>
      <w:bookmarkStart w:id="193" w:name="_Toc2585"/>
      <w:bookmarkStart w:id="194" w:name="_Toc10887"/>
      <w:bookmarkStart w:id="195" w:name="_Toc503951043"/>
      <w:bookmarkStart w:id="196" w:name="_Toc447827049"/>
      <w:bookmarkStart w:id="197" w:name="_Toc179632804"/>
      <w:bookmarkStart w:id="198" w:name="_Toc247085870"/>
      <w:bookmarkStart w:id="199" w:name="_Toc246997096"/>
      <w:r>
        <w:rPr>
          <w:rFonts w:hint="eastAsia" w:ascii="宋体" w:hAnsi="宋体" w:cs="宋体"/>
          <w:highlight w:val="none"/>
        </w:rPr>
        <w:t>第七章  技术标准和工作要求</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bookmarkEnd w:id="153"/>
    <w:bookmarkEnd w:id="154"/>
    <w:bookmarkEnd w:id="155"/>
    <w:bookmarkEnd w:id="156"/>
    <w:bookmarkEnd w:id="157"/>
    <w:bookmarkEnd w:id="158"/>
    <w:bookmarkEnd w:id="159"/>
    <w:p>
      <w:pPr>
        <w:pStyle w:val="3"/>
        <w:spacing w:before="0" w:after="0" w:line="360" w:lineRule="auto"/>
        <w:jc w:val="center"/>
        <w:rPr>
          <w:rFonts w:ascii="宋体" w:hAnsi="宋体" w:cs="宋体"/>
          <w:highlight w:val="none"/>
        </w:rPr>
      </w:pPr>
      <w:bookmarkStart w:id="200" w:name="_Toc2000412"/>
      <w:bookmarkStart w:id="201" w:name="_Toc514430114"/>
      <w:bookmarkStart w:id="202" w:name="_Toc12089"/>
      <w:bookmarkStart w:id="203" w:name="_Toc514858708"/>
      <w:bookmarkStart w:id="204" w:name="_Toc13280"/>
      <w:bookmarkStart w:id="205" w:name="_Toc507320039"/>
      <w:bookmarkStart w:id="206" w:name="_Toc246996355"/>
      <w:bookmarkStart w:id="207" w:name="_Toc246997098"/>
      <w:bookmarkStart w:id="208" w:name="_Toc247085873"/>
      <w:bookmarkStart w:id="209" w:name="_Toc152042576"/>
      <w:bookmarkStart w:id="210" w:name="_Toc179632807"/>
      <w:bookmarkStart w:id="211" w:name="_Toc144974856"/>
      <w:bookmarkStart w:id="212" w:name="_Toc152045787"/>
      <w:r>
        <w:rPr>
          <w:rFonts w:hint="eastAsia" w:ascii="宋体" w:hAnsi="宋体" w:cs="宋体"/>
          <w:sz w:val="24"/>
          <w:szCs w:val="24"/>
          <w:highlight w:val="none"/>
          <w:lang w:val="en-US" w:eastAsia="zh-CN"/>
        </w:rPr>
        <w:t>详见清单要求。</w:t>
      </w:r>
      <w:r>
        <w:rPr>
          <w:rFonts w:hint="eastAsia" w:ascii="宋体" w:hAnsi="宋体" w:cs="宋体"/>
          <w:highlight w:val="none"/>
        </w:rPr>
        <w:br w:type="page"/>
      </w:r>
      <w:r>
        <w:rPr>
          <w:rFonts w:hint="eastAsia" w:ascii="宋体" w:hAnsi="宋体" w:cs="宋体"/>
          <w:highlight w:val="none"/>
        </w:rPr>
        <w:t>第八章  工程量清单计量规则</w:t>
      </w:r>
      <w:bookmarkEnd w:id="200"/>
      <w:bookmarkEnd w:id="201"/>
      <w:bookmarkEnd w:id="202"/>
      <w:bookmarkEnd w:id="203"/>
      <w:bookmarkEnd w:id="204"/>
    </w:p>
    <w:p>
      <w:pPr>
        <w:spacing w:line="360" w:lineRule="auto"/>
        <w:ind w:firstLine="420" w:firstLineChars="200"/>
        <w:rPr>
          <w:rFonts w:ascii="宋体" w:hAnsi="宋体" w:cs="宋体"/>
          <w:szCs w:val="21"/>
          <w:highlight w:val="none"/>
        </w:rPr>
      </w:pPr>
    </w:p>
    <w:p>
      <w:pPr>
        <w:pStyle w:val="3"/>
        <w:spacing w:before="0" w:after="0" w:line="360" w:lineRule="auto"/>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无。</w:t>
      </w: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bookmarkStart w:id="213" w:name="_Toc513633965"/>
    </w:p>
    <w:p>
      <w:pPr>
        <w:rPr>
          <w:rFonts w:ascii="宋体" w:hAnsi="宋体" w:cs="宋体"/>
          <w:highlight w:val="none"/>
        </w:rPr>
      </w:pPr>
    </w:p>
    <w:p>
      <w:pPr>
        <w:pStyle w:val="3"/>
        <w:spacing w:before="0" w:after="0" w:line="360" w:lineRule="auto"/>
        <w:jc w:val="center"/>
        <w:rPr>
          <w:rFonts w:ascii="宋体" w:hAnsi="宋体" w:cs="宋体"/>
          <w:highlight w:val="none"/>
        </w:rPr>
      </w:pPr>
      <w:bookmarkStart w:id="214" w:name="_Toc514858709"/>
      <w:bookmarkStart w:id="215" w:name="_Toc24853"/>
      <w:bookmarkStart w:id="216" w:name="_Toc2000413"/>
      <w:bookmarkStart w:id="217" w:name="_Toc1416"/>
      <w:r>
        <w:rPr>
          <w:rFonts w:hint="eastAsia" w:ascii="宋体" w:hAnsi="宋体" w:cs="宋体"/>
          <w:highlight w:val="none"/>
        </w:rPr>
        <w:t>第九章  竞争性比选响应文件格式</w:t>
      </w:r>
      <w:bookmarkEnd w:id="213"/>
      <w:bookmarkEnd w:id="214"/>
      <w:bookmarkEnd w:id="215"/>
      <w:bookmarkEnd w:id="216"/>
      <w:bookmarkEnd w:id="217"/>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ascii="宋体" w:hAnsi="宋体" w:cs="宋体"/>
          <w:highlight w:val="none"/>
        </w:rPr>
      </w:pPr>
    </w:p>
    <w:p>
      <w:pPr>
        <w:jc w:val="center"/>
        <w:rPr>
          <w:rFonts w:ascii="宋体" w:hAnsi="宋体" w:cs="宋体"/>
          <w:sz w:val="52"/>
          <w:szCs w:val="52"/>
          <w:highlight w:val="none"/>
          <w:u w:val="single"/>
        </w:rPr>
      </w:pPr>
      <w:bookmarkStart w:id="218" w:name="_Toc514858710"/>
      <w:bookmarkStart w:id="219" w:name="_Toc503951046"/>
      <w:bookmarkStart w:id="220" w:name="_Toc513633967"/>
      <w:bookmarkStart w:id="221" w:name="_Toc513646738"/>
      <w:bookmarkStart w:id="222" w:name="_Toc503971829"/>
      <w:r>
        <w:rPr>
          <w:rFonts w:hint="eastAsia" w:ascii="宋体" w:hAnsi="宋体" w:cs="宋体"/>
          <w:b/>
          <w:bCs/>
          <w:sz w:val="48"/>
          <w:szCs w:val="56"/>
          <w:highlight w:val="none"/>
          <w:u w:val="single"/>
        </w:rPr>
        <w:t xml:space="preserve"> </w:t>
      </w:r>
      <w:bookmarkEnd w:id="218"/>
      <w:bookmarkEnd w:id="219"/>
      <w:bookmarkEnd w:id="220"/>
      <w:bookmarkEnd w:id="221"/>
      <w:bookmarkEnd w:id="222"/>
      <w:r>
        <w:rPr>
          <w:rFonts w:hint="eastAsia" w:ascii="宋体" w:hAnsi="宋体" w:cs="宋体"/>
          <w:b/>
          <w:bCs/>
          <w:sz w:val="48"/>
          <w:szCs w:val="56"/>
          <w:highlight w:val="none"/>
          <w:u w:val="single"/>
          <w:lang w:val="en-US" w:eastAsia="zh-CN"/>
        </w:rPr>
        <w:t>2023年专项工程存储设备（第一批）采购</w:t>
      </w:r>
      <w:r>
        <w:rPr>
          <w:rFonts w:hint="eastAsia" w:ascii="宋体" w:hAnsi="宋体" w:cs="宋体"/>
          <w:sz w:val="52"/>
          <w:szCs w:val="52"/>
          <w:highlight w:val="none"/>
          <w:u w:val="single"/>
        </w:rPr>
        <w:t xml:space="preserve"> </w:t>
      </w:r>
    </w:p>
    <w:p>
      <w:pPr>
        <w:rPr>
          <w:rFonts w:ascii="宋体" w:hAnsi="宋体" w:cs="宋体"/>
          <w:sz w:val="20"/>
          <w:szCs w:val="20"/>
          <w:highlight w:val="none"/>
        </w:rPr>
      </w:pPr>
    </w:p>
    <w:p>
      <w:pPr>
        <w:jc w:val="center"/>
        <w:rPr>
          <w:rFonts w:ascii="宋体" w:hAnsi="宋体" w:cs="宋体"/>
          <w:sz w:val="44"/>
          <w:szCs w:val="44"/>
          <w:highlight w:val="none"/>
        </w:rPr>
      </w:pPr>
      <w:r>
        <w:rPr>
          <w:rFonts w:hint="eastAsia" w:ascii="宋体" w:hAnsi="宋体" w:cs="宋体"/>
          <w:sz w:val="44"/>
          <w:szCs w:val="44"/>
          <w:highlight w:val="none"/>
        </w:rPr>
        <w:t xml:space="preserve"> </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jc w:val="center"/>
        <w:rPr>
          <w:rFonts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ascii="宋体" w:hAnsi="宋体" w:cs="宋体"/>
          <w:b/>
          <w:sz w:val="32"/>
          <w:szCs w:val="32"/>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pStyle w:val="27"/>
        <w:rPr>
          <w:highlight w:val="none"/>
        </w:rPr>
      </w:pPr>
    </w:p>
    <w:p>
      <w:pPr>
        <w:rPr>
          <w:highlight w:val="none"/>
        </w:rPr>
      </w:pPr>
    </w:p>
    <w:p>
      <w:pPr>
        <w:pStyle w:val="27"/>
        <w:rPr>
          <w:highlight w:val="none"/>
        </w:rPr>
      </w:pPr>
    </w:p>
    <w:p>
      <w:pPr>
        <w:rPr>
          <w:highlight w:val="none"/>
        </w:rPr>
      </w:pPr>
    </w:p>
    <w:p>
      <w:pPr>
        <w:pStyle w:val="27"/>
        <w:rPr>
          <w:highlight w:val="none"/>
        </w:rPr>
      </w:pPr>
    </w:p>
    <w:p>
      <w:pPr>
        <w:jc w:val="center"/>
        <w:rPr>
          <w:rFonts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pStyle w:val="4"/>
        <w:jc w:val="center"/>
        <w:rPr>
          <w:rFonts w:ascii="宋体" w:hAnsi="宋体" w:eastAsia="宋体" w:cs="宋体"/>
          <w:highlight w:val="none"/>
        </w:rPr>
      </w:pPr>
      <w:bookmarkStart w:id="223" w:name="_Toc11078"/>
      <w:bookmarkStart w:id="224" w:name="_Toc28780"/>
      <w:bookmarkStart w:id="225" w:name="_Toc1368"/>
      <w:bookmarkStart w:id="226" w:name="_Toc5459"/>
      <w:bookmarkStart w:id="227" w:name="_Toc11329273"/>
      <w:r>
        <w:rPr>
          <w:rFonts w:hint="eastAsia" w:ascii="宋体" w:hAnsi="宋体" w:eastAsia="宋体" w:cs="宋体"/>
          <w:highlight w:val="none"/>
        </w:rPr>
        <w:t>目    录</w:t>
      </w:r>
      <w:bookmarkEnd w:id="205"/>
      <w:bookmarkEnd w:id="206"/>
      <w:bookmarkEnd w:id="207"/>
      <w:bookmarkEnd w:id="208"/>
      <w:bookmarkEnd w:id="209"/>
      <w:bookmarkEnd w:id="210"/>
      <w:bookmarkEnd w:id="211"/>
      <w:bookmarkEnd w:id="212"/>
      <w:bookmarkEnd w:id="223"/>
      <w:bookmarkEnd w:id="224"/>
      <w:bookmarkEnd w:id="225"/>
      <w:bookmarkEnd w:id="226"/>
      <w:bookmarkEnd w:id="227"/>
    </w:p>
    <w:p>
      <w:pPr>
        <w:spacing w:line="400" w:lineRule="exact"/>
        <w:rPr>
          <w:rFonts w:ascii="宋体" w:hAnsi="宋体" w:cs="宋体"/>
          <w:highlight w:val="none"/>
        </w:rPr>
      </w:pPr>
      <w:r>
        <w:rPr>
          <w:rFonts w:hint="eastAsia" w:ascii="宋体" w:hAnsi="宋体" w:cs="宋体"/>
          <w:highlight w:val="none"/>
        </w:rPr>
        <w:t>一、竞争性响应声明书</w:t>
      </w:r>
    </w:p>
    <w:p>
      <w:pPr>
        <w:spacing w:line="400" w:lineRule="exact"/>
        <w:rPr>
          <w:rFonts w:ascii="宋体" w:hAnsi="宋体" w:cs="宋体"/>
          <w:highlight w:val="none"/>
        </w:rPr>
      </w:pPr>
      <w:r>
        <w:rPr>
          <w:rFonts w:hint="eastAsia" w:ascii="宋体" w:hAnsi="宋体" w:cs="宋体"/>
          <w:highlight w:val="none"/>
        </w:rPr>
        <w:t>二、报价一览表</w:t>
      </w:r>
    </w:p>
    <w:p>
      <w:pPr>
        <w:spacing w:line="400" w:lineRule="exact"/>
        <w:rPr>
          <w:rFonts w:ascii="宋体" w:hAnsi="宋体" w:cs="宋体"/>
          <w:highlight w:val="none"/>
        </w:rPr>
      </w:pPr>
      <w:r>
        <w:rPr>
          <w:rFonts w:hint="eastAsia" w:ascii="宋体" w:hAnsi="宋体" w:cs="宋体"/>
          <w:highlight w:val="none"/>
        </w:rPr>
        <w:t>三、资格审查资料</w:t>
      </w:r>
    </w:p>
    <w:p>
      <w:pPr>
        <w:spacing w:line="400" w:lineRule="exact"/>
        <w:rPr>
          <w:rFonts w:hint="eastAsia" w:ascii="宋体" w:hAnsi="宋体" w:eastAsia="宋体" w:cs="宋体"/>
          <w:highlight w:val="none"/>
        </w:rPr>
      </w:pPr>
      <w:r>
        <w:rPr>
          <w:rFonts w:hint="eastAsia" w:ascii="宋体" w:hAnsi="宋体" w:cs="宋体"/>
          <w:highlight w:val="none"/>
        </w:rPr>
        <w:t>四、</w:t>
      </w:r>
      <w:r>
        <w:rPr>
          <w:rFonts w:hint="eastAsia" w:ascii="宋体" w:hAnsi="宋体" w:cs="宋体"/>
          <w:szCs w:val="21"/>
          <w:highlight w:val="none"/>
        </w:rPr>
        <w:t>报价人须知</w:t>
      </w:r>
      <w:r>
        <w:rPr>
          <w:rFonts w:hint="eastAsia" w:ascii="宋体" w:hAnsi="宋体" w:eastAsia="宋体" w:cs="宋体"/>
          <w:highlight w:val="none"/>
        </w:rPr>
        <w:t>前附表规定的其他材料</w:t>
      </w:r>
    </w:p>
    <w:p>
      <w:pPr>
        <w:spacing w:line="400" w:lineRule="exact"/>
        <w:rPr>
          <w:rFonts w:hint="eastAsia" w:ascii="宋体" w:hAnsi="宋体" w:eastAsia="宋体" w:cs="宋体"/>
          <w:highlight w:val="none"/>
        </w:rPr>
      </w:pPr>
      <w:r>
        <w:rPr>
          <w:rFonts w:hint="eastAsia" w:ascii="宋体" w:hAnsi="宋体" w:eastAsia="宋体" w:cs="宋体"/>
          <w:highlight w:val="none"/>
          <w:lang w:val="en-US" w:eastAsia="zh-CN"/>
        </w:rPr>
        <w:t>五、报价人基本信息及其他材料</w:t>
      </w:r>
    </w:p>
    <w:p>
      <w:pPr>
        <w:spacing w:line="400" w:lineRule="exact"/>
        <w:rPr>
          <w:rFonts w:hint="eastAsia" w:ascii="宋体" w:hAnsi="宋体" w:eastAsia="宋体" w:cs="宋体"/>
          <w:highlight w:val="none"/>
        </w:rPr>
      </w:pPr>
      <w:r>
        <w:rPr>
          <w:rFonts w:hint="eastAsia" w:ascii="宋体" w:hAnsi="宋体" w:eastAsia="宋体" w:cs="宋体"/>
          <w:highlight w:val="none"/>
        </w:rPr>
        <w:t xml:space="preserve"> </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r>
        <w:rPr>
          <w:rFonts w:ascii="宋体" w:hAnsi="宋体" w:cs="宋体"/>
          <w:highlight w:val="none"/>
        </w:rPr>
        <w:br w:type="page"/>
      </w:r>
    </w:p>
    <w:p>
      <w:pPr>
        <w:pStyle w:val="4"/>
        <w:spacing w:before="0" w:after="0" w:line="360" w:lineRule="auto"/>
        <w:jc w:val="center"/>
        <w:rPr>
          <w:rFonts w:ascii="宋体" w:hAnsi="宋体" w:eastAsia="宋体" w:cs="宋体"/>
          <w:sz w:val="28"/>
          <w:highlight w:val="none"/>
        </w:rPr>
      </w:pPr>
      <w:bookmarkStart w:id="228" w:name="_Toc11329274"/>
      <w:bookmarkStart w:id="229" w:name="_Toc8870"/>
      <w:bookmarkStart w:id="230" w:name="_Toc25874"/>
      <w:bookmarkStart w:id="231" w:name="_Toc15863"/>
      <w:bookmarkStart w:id="232" w:name="_Toc4828"/>
      <w:bookmarkStart w:id="233" w:name="_Toc29547"/>
      <w:bookmarkStart w:id="234" w:name="_Toc513633969"/>
      <w:bookmarkStart w:id="235" w:name="_Toc503951048"/>
      <w:bookmarkStart w:id="236" w:name="_Toc447827053"/>
      <w:r>
        <w:rPr>
          <w:rFonts w:hint="eastAsia" w:ascii="宋体" w:hAnsi="宋体" w:eastAsia="宋体" w:cs="宋体"/>
          <w:sz w:val="28"/>
          <w:highlight w:val="none"/>
        </w:rPr>
        <w:t>一、</w:t>
      </w:r>
      <w:bookmarkEnd w:id="228"/>
      <w:bookmarkEnd w:id="229"/>
      <w:r>
        <w:rPr>
          <w:rFonts w:hint="eastAsia" w:ascii="宋体" w:hAnsi="宋体" w:eastAsia="宋体" w:cs="宋体"/>
          <w:sz w:val="28"/>
          <w:highlight w:val="none"/>
        </w:rPr>
        <w:t>竞争比选响应声明书</w:t>
      </w:r>
      <w:bookmarkEnd w:id="230"/>
      <w:bookmarkEnd w:id="231"/>
      <w:bookmarkEnd w:id="232"/>
      <w:bookmarkEnd w:id="233"/>
    </w:p>
    <w:p>
      <w:pPr>
        <w:tabs>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rPr>
        <w:t>重庆首讯科技股份有限公司</w:t>
      </w:r>
    </w:p>
    <w:p>
      <w:pPr>
        <w:spacing w:line="700" w:lineRule="atLeast"/>
        <w:ind w:firstLine="480" w:firstLineChars="200"/>
        <w:rPr>
          <w:rFonts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sz w:val="24"/>
          <w:highlight w:val="none"/>
        </w:rPr>
        <w:t>方为</w:t>
      </w:r>
      <w:r>
        <w:rPr>
          <w:rFonts w:hint="eastAsia" w:ascii="Arial" w:hAnsi="Arial" w:cs="Arial"/>
          <w:color w:val="000000"/>
          <w:sz w:val="24"/>
          <w:highlight w:val="none"/>
          <w:u w:val="single"/>
          <w:lang w:val="en-US" w:eastAsia="zh-CN"/>
        </w:rPr>
        <w:t>2023年专项工程存储设备（第一批）采购</w:t>
      </w:r>
      <w:r>
        <w:rPr>
          <w:rFonts w:hint="eastAsia" w:ascii="Arial" w:hAnsi="Arial" w:cs="Arial"/>
          <w:sz w:val="24"/>
          <w:highlight w:val="none"/>
        </w:rPr>
        <w:t>竞争比选项目及服</w:t>
      </w:r>
      <w:r>
        <w:rPr>
          <w:rFonts w:hint="eastAsia" w:ascii="Arial" w:hAnsi="Arial" w:cs="Arial"/>
          <w:color w:val="000000"/>
          <w:sz w:val="24"/>
          <w:highlight w:val="none"/>
        </w:rPr>
        <w:t>务的竞争比选邀请，签字代表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经正式授权并代表竞争比选响应单位</w:t>
      </w:r>
      <w:r>
        <w:rPr>
          <w:rFonts w:hint="eastAsia" w:ascii="Arial" w:hAnsi="Arial" w:cs="Arial"/>
          <w:color w:val="000000"/>
          <w:sz w:val="24"/>
          <w:highlight w:val="none"/>
          <w:u w:val="single"/>
        </w:rPr>
        <w:t>（竞争比选响应单位名称）</w:t>
      </w:r>
      <w:r>
        <w:rPr>
          <w:rFonts w:hint="eastAsia" w:ascii="Arial" w:hAnsi="Arial" w:cs="Arial"/>
          <w:color w:val="000000"/>
          <w:sz w:val="24"/>
          <w:highlight w:val="none"/>
        </w:rPr>
        <w:t>提交报价文件。</w:t>
      </w:r>
    </w:p>
    <w:p>
      <w:pPr>
        <w:spacing w:line="700" w:lineRule="atLeast"/>
        <w:ind w:firstLine="480" w:firstLineChars="200"/>
        <w:rPr>
          <w:rFonts w:ascii="Arial" w:hAnsi="Arial" w:cs="Arial"/>
          <w:color w:val="000000"/>
          <w:sz w:val="24"/>
          <w:highlight w:val="none"/>
          <w:u w:val="single"/>
        </w:rPr>
      </w:pPr>
      <w:r>
        <w:rPr>
          <w:rFonts w:hint="eastAsia" w:ascii="Arial" w:hAnsi="Arial" w:cs="Arial"/>
          <w:color w:val="000000"/>
          <w:sz w:val="24"/>
          <w:highlight w:val="none"/>
          <w:u w:val="single"/>
        </w:rPr>
        <w:t>我方愿以人民币：              元（大写            元）的报价总价，按照竞争比选文件的要求，承担本次竞争比选文件要求的</w:t>
      </w:r>
      <w:r>
        <w:rPr>
          <w:rFonts w:hint="eastAsia" w:ascii="Arial" w:hAnsi="Arial" w:cs="Arial"/>
          <w:color w:val="000000"/>
          <w:sz w:val="24"/>
          <w:highlight w:val="none"/>
          <w:u w:val="single"/>
          <w:lang w:val="en-US" w:eastAsia="zh-CN"/>
        </w:rPr>
        <w:t>供货任务</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rPr>
        <w:t>、竞争比选响应单位将按竞争比选文件规定履行合同责任和义务。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4、与本竞争比选响应有关的一切正式往来通讯请寄：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竞争比选响应单位法定代表人或授权代表人（签字）：</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竞争比选响应单位法定代表人或授权代表人职务：</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sz w:val="24"/>
          <w:highlight w:val="none"/>
        </w:rPr>
        <w:t>竞争比选响应单位名称（加盖公章）：</w:t>
      </w:r>
      <w:r>
        <w:rPr>
          <w:rFonts w:ascii="Arial" w:hAnsi="Arial" w:cs="Arial"/>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b/>
          <w:sz w:val="24"/>
          <w:highlight w:val="none"/>
        </w:rPr>
      </w:pPr>
    </w:p>
    <w:p>
      <w:pPr>
        <w:outlineLvl w:val="0"/>
        <w:rPr>
          <w:b/>
          <w:sz w:val="24"/>
          <w:highlight w:val="none"/>
        </w:rPr>
      </w:pPr>
    </w:p>
    <w:p>
      <w:pPr>
        <w:outlineLvl w:val="0"/>
        <w:rPr>
          <w:b/>
          <w:sz w:val="24"/>
          <w:highlight w:val="none"/>
        </w:rPr>
      </w:pPr>
    </w:p>
    <w:p>
      <w:pPr>
        <w:outlineLvl w:val="0"/>
        <w:rPr>
          <w:b/>
          <w:sz w:val="24"/>
          <w:highlight w:val="none"/>
        </w:rPr>
      </w:pPr>
    </w:p>
    <w:p>
      <w:pPr>
        <w:pStyle w:val="4"/>
        <w:jc w:val="center"/>
        <w:rPr>
          <w:rFonts w:hint="eastAsia" w:ascii="宋体" w:hAnsi="宋体" w:eastAsia="宋体" w:cs="宋体"/>
          <w:sz w:val="24"/>
          <w:szCs w:val="24"/>
          <w:highlight w:val="none"/>
        </w:rPr>
      </w:pPr>
      <w:bookmarkStart w:id="237" w:name="_Toc14141"/>
      <w:r>
        <w:rPr>
          <w:rFonts w:hint="eastAsia" w:ascii="宋体" w:hAnsi="宋体" w:eastAsia="宋体" w:cs="宋体"/>
          <w:sz w:val="24"/>
          <w:szCs w:val="24"/>
          <w:highlight w:val="none"/>
        </w:rPr>
        <w:t>（一）法定代表人身份证明</w:t>
      </w:r>
      <w:bookmarkEnd w:id="237"/>
    </w:p>
    <w:p>
      <w:pPr>
        <w:spacing w:line="440" w:lineRule="exact"/>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38" w:name="_Toc352691662"/>
      <w:bookmarkStart w:id="239" w:name="_Toc27897"/>
      <w:bookmarkStart w:id="240" w:name="_Toc369531698"/>
      <w:r>
        <w:rPr>
          <w:rFonts w:ascii="宋体" w:hAnsi="宋体"/>
          <w:highlight w:val="none"/>
          <w:u w:val="single"/>
        </w:rPr>
        <w:t xml:space="preserve">        </w:t>
      </w:r>
      <w:r>
        <w:rPr>
          <w:rFonts w:ascii="宋体" w:hAnsi="宋体"/>
          <w:highlight w:val="none"/>
        </w:rPr>
        <w:t>年</w:t>
      </w:r>
      <w:bookmarkEnd w:id="238"/>
      <w:bookmarkEnd w:id="239"/>
      <w:bookmarkEnd w:id="240"/>
      <w:r>
        <w:rPr>
          <w:rFonts w:ascii="宋体" w:hAnsi="宋体"/>
          <w:highlight w:val="none"/>
        </w:rPr>
        <w:t>龄</w:t>
      </w:r>
      <w:bookmarkStart w:id="241" w:name="_Toc384308377"/>
      <w:bookmarkStart w:id="242" w:name="_Toc15573"/>
      <w:bookmarkStart w:id="243" w:name="_Toc144974858"/>
      <w:bookmarkStart w:id="244" w:name="_Toc361508754"/>
      <w:bookmarkStart w:id="245" w:name="_Toc247514248"/>
      <w:bookmarkStart w:id="246" w:name="_Toc369531699"/>
      <w:bookmarkStart w:id="247" w:name="_Toc152042578"/>
      <w:bookmarkStart w:id="248" w:name="_Toc300835211"/>
      <w:bookmarkStart w:id="249" w:name="_Toc152045789"/>
      <w:bookmarkStart w:id="250" w:name="_Toc352691663"/>
      <w:bookmarkStart w:id="251" w:name="_Toc247527829"/>
      <w:r>
        <w:rPr>
          <w:rFonts w:ascii="宋体" w:hAnsi="宋体"/>
          <w:highlight w:val="none"/>
        </w:rPr>
        <w:t>：</w:t>
      </w:r>
      <w:bookmarkEnd w:id="241"/>
      <w:bookmarkEnd w:id="242"/>
      <w:bookmarkEnd w:id="243"/>
      <w:bookmarkEnd w:id="244"/>
      <w:bookmarkEnd w:id="245"/>
      <w:bookmarkEnd w:id="246"/>
      <w:bookmarkEnd w:id="247"/>
      <w:bookmarkEnd w:id="248"/>
      <w:bookmarkEnd w:id="249"/>
      <w:bookmarkEnd w:id="250"/>
      <w:bookmarkEnd w:id="251"/>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52" w:name="_Toc491883233"/>
      <w:bookmarkStart w:id="253" w:name="_Toc58"/>
      <w:r>
        <w:rPr>
          <w:rFonts w:hint="eastAsia" w:ascii="宋体" w:hAnsi="宋体" w:eastAsia="宋体" w:cs="宋体"/>
          <w:sz w:val="24"/>
          <w:szCs w:val="24"/>
          <w:highlight w:val="none"/>
        </w:rPr>
        <w:t>（二）</w:t>
      </w:r>
      <w:bookmarkEnd w:id="252"/>
      <w:r>
        <w:rPr>
          <w:rFonts w:hint="eastAsia" w:ascii="宋体" w:hAnsi="宋体" w:eastAsia="宋体" w:cs="宋体"/>
          <w:sz w:val="24"/>
          <w:szCs w:val="24"/>
          <w:highlight w:val="none"/>
        </w:rPr>
        <w:t>法定代表人授权委托书</w:t>
      </w:r>
      <w:bookmarkEnd w:id="253"/>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hint="eastAsia"/>
          <w:highlight w:val="none"/>
        </w:rPr>
        <w:sectPr>
          <w:pgSz w:w="11906" w:h="16838"/>
          <w:pgMar w:top="1440" w:right="1803" w:bottom="1440" w:left="1803" w:header="851" w:footer="992" w:gutter="0"/>
          <w:cols w:space="720" w:num="1"/>
          <w:titlePg/>
          <w:docGrid w:type="lines" w:linePitch="319" w:charSpace="0"/>
        </w:sect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outlineLvl w:val="0"/>
        <w:rPr>
          <w:b/>
          <w:sz w:val="24"/>
          <w:highlight w:val="none"/>
        </w:rPr>
      </w:pPr>
    </w:p>
    <w:p>
      <w:pPr>
        <w:jc w:val="center"/>
        <w:rPr>
          <w:rFonts w:ascii="宋体" w:hAnsi="宋体" w:cs="宋体"/>
          <w:b/>
          <w:highlight w:val="none"/>
        </w:rPr>
      </w:pPr>
      <w:bookmarkStart w:id="254" w:name="_Toc11329275"/>
      <w:r>
        <w:rPr>
          <w:rFonts w:hint="eastAsia" w:ascii="宋体" w:hAnsi="宋体" w:cs="宋体"/>
          <w:b/>
          <w:bCs/>
          <w:kern w:val="0"/>
          <w:sz w:val="28"/>
          <w:szCs w:val="32"/>
          <w:highlight w:val="none"/>
        </w:rPr>
        <w:t>二、</w:t>
      </w:r>
      <w:bookmarkEnd w:id="234"/>
      <w:bookmarkEnd w:id="235"/>
      <w:bookmarkEnd w:id="236"/>
      <w:bookmarkEnd w:id="254"/>
      <w:r>
        <w:rPr>
          <w:rFonts w:hint="eastAsia" w:ascii="宋体" w:hAnsi="宋体" w:cs="宋体"/>
          <w:b/>
          <w:bCs/>
          <w:kern w:val="0"/>
          <w:sz w:val="28"/>
          <w:szCs w:val="32"/>
          <w:highlight w:val="none"/>
        </w:rPr>
        <w:t>报价一览表</w:t>
      </w:r>
    </w:p>
    <w:p>
      <w:pPr>
        <w:ind w:left="765"/>
        <w:jc w:val="center"/>
        <w:rPr>
          <w:rFonts w:ascii="宋体" w:hAnsi="宋体" w:cs="宋体"/>
          <w:szCs w:val="21"/>
          <w:highlight w:val="none"/>
        </w:rPr>
      </w:pPr>
    </w:p>
    <w:p>
      <w:pPr>
        <w:pStyle w:val="37"/>
        <w:jc w:val="both"/>
        <w:rPr>
          <w:rFonts w:hAnsi="宋体"/>
          <w:highlight w:val="none"/>
        </w:rPr>
      </w:pPr>
      <w:r>
        <w:rPr>
          <w:rFonts w:hint="eastAsia" w:hAnsi="宋体"/>
          <w:highlight w:val="none"/>
        </w:rPr>
        <w:t>重庆首讯科技股份有限公司：</w:t>
      </w:r>
    </w:p>
    <w:p>
      <w:pPr>
        <w:spacing w:line="360" w:lineRule="auto"/>
        <w:ind w:firstLine="480" w:firstLineChars="200"/>
        <w:jc w:val="left"/>
        <w:rPr>
          <w:rFonts w:ascii="宋体" w:hAnsi="宋体"/>
          <w:b/>
          <w:color w:val="000000"/>
          <w:sz w:val="24"/>
          <w:highlight w:val="none"/>
        </w:rPr>
      </w:pPr>
      <w:r>
        <w:rPr>
          <w:rFonts w:hint="eastAsia" w:ascii="宋体" w:hAnsi="宋体"/>
          <w:color w:val="000000"/>
          <w:sz w:val="24"/>
          <w:highlight w:val="none"/>
        </w:rPr>
        <w:t>在研究了竞争比选文件中所有文件后，我司对</w:t>
      </w:r>
      <w:r>
        <w:rPr>
          <w:rFonts w:hint="eastAsia" w:ascii="宋体" w:hAnsi="宋体"/>
          <w:color w:val="000000"/>
          <w:sz w:val="24"/>
          <w:highlight w:val="none"/>
          <w:u w:val="single"/>
          <w:lang w:val="en-US" w:eastAsia="zh-CN"/>
        </w:rPr>
        <w:t>2023年专项工程存储设备（第一批）采购</w:t>
      </w:r>
      <w:r>
        <w:rPr>
          <w:rFonts w:hint="eastAsia" w:ascii="宋体" w:hAnsi="宋体"/>
          <w:color w:val="000000"/>
          <w:sz w:val="24"/>
          <w:highlight w:val="none"/>
          <w:u w:val="single"/>
        </w:rPr>
        <w:t xml:space="preserve"> </w:t>
      </w:r>
      <w:r>
        <w:rPr>
          <w:rFonts w:hint="eastAsia" w:ascii="宋体" w:hAnsi="宋体"/>
          <w:color w:val="000000"/>
          <w:sz w:val="24"/>
          <w:highlight w:val="none"/>
        </w:rPr>
        <w:t>竞</w:t>
      </w:r>
      <w:r>
        <w:rPr>
          <w:rFonts w:hint="eastAsia" w:ascii="Arial" w:hAnsi="Arial" w:cs="Arial"/>
          <w:color w:val="000000"/>
          <w:sz w:val="24"/>
          <w:highlight w:val="none"/>
        </w:rPr>
        <w:t>争比选响应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82" w:firstLineChars="200"/>
        <w:rPr>
          <w:rFonts w:ascii="宋体" w:hAnsi="宋体" w:cs="宋体"/>
          <w:b/>
          <w:kern w:val="0"/>
          <w:sz w:val="28"/>
          <w:szCs w:val="28"/>
          <w:highlight w:val="none"/>
        </w:rPr>
      </w:pPr>
      <w:r>
        <w:rPr>
          <w:rFonts w:hint="eastAsia" w:ascii="宋体" w:hAnsi="宋体"/>
          <w:b/>
          <w:bCs/>
          <w:color w:val="000000"/>
          <w:sz w:val="24"/>
          <w:highlight w:val="none"/>
        </w:rPr>
        <w:t>报价采用表格形式，见“工程量清单”。</w:t>
      </w:r>
      <w:r>
        <w:rPr>
          <w:rFonts w:hint="eastAsia" w:ascii="宋体" w:hAnsi="宋体" w:cs="宋体"/>
          <w:b/>
          <w:kern w:val="0"/>
          <w:sz w:val="28"/>
          <w:szCs w:val="28"/>
          <w:highlight w:val="none"/>
        </w:rPr>
        <w:t xml:space="preserve"> </w:t>
      </w:r>
    </w:p>
    <w:p>
      <w:pPr>
        <w:spacing w:line="400" w:lineRule="exact"/>
        <w:rPr>
          <w:rFonts w:ascii="宋体" w:hAnsi="宋体" w:cs="宋体"/>
          <w:kern w:val="0"/>
          <w:szCs w:val="21"/>
          <w:highlight w:val="none"/>
        </w:rPr>
      </w:pPr>
    </w:p>
    <w:p>
      <w:pPr>
        <w:pStyle w:val="4"/>
        <w:spacing w:before="0" w:after="0" w:line="360" w:lineRule="auto"/>
        <w:jc w:val="center"/>
        <w:rPr>
          <w:rFonts w:ascii="宋体" w:hAnsi="宋体" w:eastAsia="宋体" w:cs="宋体"/>
          <w:sz w:val="28"/>
          <w:highlight w:val="none"/>
        </w:rPr>
      </w:pPr>
      <w:bookmarkStart w:id="255" w:name="_Toc513633971"/>
      <w:bookmarkStart w:id="256" w:name="_Toc11329278"/>
      <w:bookmarkStart w:id="257" w:name="_Toc503951050"/>
      <w:bookmarkStart w:id="258" w:name="_Toc447827058"/>
      <w:bookmarkStart w:id="259" w:name="_Toc144974871"/>
      <w:bookmarkStart w:id="260" w:name="_Toc152045803"/>
      <w:bookmarkStart w:id="261" w:name="_Toc152042592"/>
      <w:bookmarkStart w:id="262" w:name="_Toc179632823"/>
      <w:bookmarkStart w:id="263" w:name="_Toc246997112"/>
      <w:bookmarkStart w:id="264" w:name="_Toc246996369"/>
      <w:bookmarkStart w:id="265" w:name="_Toc247085887"/>
      <w:r>
        <w:rPr>
          <w:rFonts w:hint="eastAsia" w:ascii="宋体" w:hAnsi="宋体" w:eastAsia="宋体" w:cs="宋体"/>
          <w:sz w:val="28"/>
          <w:highlight w:val="none"/>
        </w:rPr>
        <w:br w:type="page"/>
      </w:r>
      <w:bookmarkStart w:id="266" w:name="_Toc18757"/>
      <w:bookmarkStart w:id="267" w:name="_Toc12910"/>
      <w:bookmarkStart w:id="268" w:name="_Toc19207"/>
      <w:bookmarkStart w:id="269" w:name="_Toc11961"/>
      <w:r>
        <w:rPr>
          <w:rFonts w:hint="eastAsia" w:ascii="宋体" w:hAnsi="宋体" w:eastAsia="宋体" w:cs="宋体"/>
          <w:sz w:val="28"/>
          <w:highlight w:val="none"/>
        </w:rPr>
        <w:t>三、资格审查资料</w:t>
      </w:r>
      <w:bookmarkEnd w:id="255"/>
      <w:bookmarkEnd w:id="256"/>
      <w:bookmarkEnd w:id="257"/>
      <w:bookmarkEnd w:id="266"/>
      <w:bookmarkEnd w:id="267"/>
      <w:bookmarkEnd w:id="268"/>
      <w:bookmarkEnd w:id="269"/>
    </w:p>
    <w:p>
      <w:pPr>
        <w:pStyle w:val="4"/>
        <w:spacing w:before="0" w:after="0" w:line="360" w:lineRule="auto"/>
        <w:jc w:val="center"/>
        <w:rPr>
          <w:rFonts w:ascii="宋体" w:hAnsi="宋体" w:eastAsia="宋体" w:cs="宋体"/>
          <w:sz w:val="28"/>
          <w:highlight w:val="none"/>
        </w:rPr>
      </w:pPr>
      <w:bookmarkStart w:id="270" w:name="_Toc17915"/>
      <w:bookmarkStart w:id="271" w:name="_Toc32456"/>
      <w:bookmarkStart w:id="272" w:name="_Toc22003"/>
      <w:bookmarkStart w:id="273" w:name="_Toc23731"/>
      <w:r>
        <w:rPr>
          <w:rFonts w:hint="eastAsia" w:ascii="宋体" w:hAnsi="宋体" w:eastAsia="宋体" w:cs="宋体"/>
          <w:sz w:val="28"/>
          <w:highlight w:val="none"/>
        </w:rPr>
        <w:t>（营业执照、资质证书等）</w:t>
      </w:r>
      <w:bookmarkEnd w:id="270"/>
      <w:bookmarkEnd w:id="271"/>
      <w:bookmarkEnd w:id="272"/>
      <w:bookmarkEnd w:id="273"/>
    </w:p>
    <w:bookmarkEnd w:id="258"/>
    <w:bookmarkEnd w:id="259"/>
    <w:bookmarkEnd w:id="260"/>
    <w:bookmarkEnd w:id="261"/>
    <w:bookmarkEnd w:id="262"/>
    <w:bookmarkEnd w:id="263"/>
    <w:bookmarkEnd w:id="264"/>
    <w:bookmarkEnd w:id="265"/>
    <w:p>
      <w:pPr>
        <w:rPr>
          <w:highlight w:val="none"/>
        </w:rPr>
      </w:pPr>
      <w:bookmarkStart w:id="274" w:name="_Toc503951055"/>
      <w:bookmarkStart w:id="275" w:name="_Toc513633973"/>
      <w:bookmarkStart w:id="276" w:name="_Toc447827068"/>
    </w:p>
    <w:p>
      <w:pPr>
        <w:pStyle w:val="4"/>
        <w:spacing w:before="0" w:after="0" w:line="360" w:lineRule="auto"/>
        <w:jc w:val="center"/>
        <w:rPr>
          <w:rFonts w:ascii="宋体" w:hAnsi="宋体" w:eastAsia="宋体" w:cs="宋体"/>
          <w:sz w:val="28"/>
          <w:highlight w:val="none"/>
        </w:rPr>
      </w:pPr>
      <w:bookmarkStart w:id="277" w:name="_Toc11672"/>
      <w:bookmarkStart w:id="278" w:name="_Toc11329281"/>
      <w:r>
        <w:rPr>
          <w:rFonts w:hint="eastAsia" w:ascii="宋体" w:hAnsi="宋体" w:eastAsia="宋体" w:cs="宋体"/>
          <w:sz w:val="28"/>
          <w:highlight w:val="none"/>
        </w:rPr>
        <w:br w:type="page"/>
      </w:r>
      <w:bookmarkStart w:id="279" w:name="_Toc11243"/>
      <w:bookmarkStart w:id="280" w:name="_Toc29559"/>
      <w:bookmarkStart w:id="281" w:name="_Toc4378"/>
      <w:r>
        <w:rPr>
          <w:rFonts w:hint="eastAsia" w:ascii="宋体" w:hAnsi="宋体" w:eastAsia="宋体" w:cs="宋体"/>
          <w:sz w:val="28"/>
          <w:highlight w:val="none"/>
        </w:rPr>
        <w:t>四、</w:t>
      </w:r>
      <w:bookmarkEnd w:id="274"/>
      <w:bookmarkEnd w:id="275"/>
      <w:bookmarkEnd w:id="276"/>
      <w:r>
        <w:rPr>
          <w:rFonts w:hint="eastAsia" w:ascii="宋体" w:hAnsi="宋体" w:eastAsia="宋体" w:cs="宋体"/>
          <w:sz w:val="28"/>
          <w:highlight w:val="none"/>
        </w:rPr>
        <w:t>报价人须知前附表规定的其他材料</w:t>
      </w:r>
      <w:bookmarkEnd w:id="277"/>
      <w:bookmarkEnd w:id="278"/>
      <w:bookmarkEnd w:id="279"/>
      <w:bookmarkEnd w:id="280"/>
      <w:bookmarkEnd w:id="281"/>
    </w:p>
    <w:p>
      <w:pPr>
        <w:pStyle w:val="5"/>
        <w:jc w:val="center"/>
        <w:rPr>
          <w:rFonts w:ascii="宋体" w:hAnsi="宋体" w:cs="宋体"/>
          <w:sz w:val="28"/>
          <w:highlight w:val="none"/>
        </w:rPr>
      </w:pPr>
      <w:bookmarkStart w:id="282" w:name="bookmark81"/>
      <w:bookmarkStart w:id="283" w:name="_Toc513633974"/>
      <w:bookmarkStart w:id="284" w:name="_Toc503951058"/>
      <w:r>
        <w:rPr>
          <w:rFonts w:hint="eastAsia" w:ascii="宋体" w:hAnsi="宋体" w:cs="宋体"/>
          <w:sz w:val="28"/>
          <w:highlight w:val="none"/>
        </w:rPr>
        <w:t>（一）</w:t>
      </w:r>
      <w:bookmarkEnd w:id="282"/>
      <w:bookmarkStart w:id="285" w:name="_Toc507681488"/>
      <w:bookmarkStart w:id="286" w:name="_Toc504639215"/>
      <w:bookmarkStart w:id="287" w:name="_Toc507681700"/>
      <w:r>
        <w:rPr>
          <w:rFonts w:hint="eastAsia" w:ascii="宋体" w:hAnsi="宋体" w:cs="宋体"/>
          <w:sz w:val="28"/>
          <w:highlight w:val="none"/>
        </w:rPr>
        <w:t>报价人自行承诺部分</w:t>
      </w:r>
      <w:bookmarkEnd w:id="285"/>
      <w:bookmarkEnd w:id="286"/>
      <w:bookmarkEnd w:id="287"/>
    </w:p>
    <w:p>
      <w:pPr>
        <w:spacing w:line="360" w:lineRule="auto"/>
        <w:ind w:firstLine="422" w:firstLineChars="200"/>
        <w:jc w:val="left"/>
        <w:rPr>
          <w:rFonts w:hint="eastAsia" w:ascii="宋体" w:hAnsi="宋体" w:cs="宋体"/>
          <w:kern w:val="0"/>
          <w:szCs w:val="21"/>
          <w:highlight w:val="none"/>
        </w:rPr>
      </w:pPr>
      <w:r>
        <w:rPr>
          <w:rFonts w:hint="eastAsia" w:ascii="宋体" w:hAnsi="宋体" w:cs="宋体"/>
          <w:b/>
          <w:bCs/>
          <w:kern w:val="0"/>
          <w:szCs w:val="21"/>
          <w:highlight w:val="none"/>
          <w:lang w:val="en-US" w:eastAsia="zh-CN"/>
        </w:rPr>
        <w:t>我司参加</w:t>
      </w:r>
      <w:r>
        <w:rPr>
          <w:rFonts w:hint="eastAsia" w:ascii="宋体" w:hAnsi="宋体" w:cs="宋体"/>
          <w:b/>
          <w:bCs/>
          <w:kern w:val="0"/>
          <w:szCs w:val="21"/>
          <w:highlight w:val="none"/>
          <w:u w:val="single"/>
          <w:lang w:val="en-US" w:eastAsia="zh-CN"/>
        </w:rPr>
        <w:t>2023年专项工程存储设备（第一批）采购</w:t>
      </w:r>
      <w:r>
        <w:rPr>
          <w:rFonts w:hint="eastAsia" w:ascii="宋体" w:hAnsi="宋体" w:cs="宋体"/>
          <w:b/>
          <w:bCs/>
          <w:kern w:val="0"/>
          <w:szCs w:val="21"/>
          <w:highlight w:val="none"/>
          <w:lang w:val="en-US" w:eastAsia="zh-CN"/>
        </w:rPr>
        <w:t>的竞争性比选，对以下内容作出承诺：</w:t>
      </w:r>
    </w:p>
    <w:p>
      <w:pPr>
        <w:pStyle w:val="15"/>
        <w:numPr>
          <w:ilvl w:val="0"/>
          <w:numId w:val="3"/>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cs="宋体"/>
          <w:kern w:val="0"/>
          <w:sz w:val="21"/>
          <w:szCs w:val="21"/>
          <w:highlight w:val="none"/>
          <w:u w:val="none"/>
          <w:lang w:val="en-US" w:eastAsia="zh-CN" w:bidi="ar-SA"/>
        </w:rPr>
        <w:t>（工期承诺）</w:t>
      </w:r>
      <w:r>
        <w:rPr>
          <w:rFonts w:hint="eastAsia" w:ascii="宋体" w:hAnsi="宋体" w:eastAsia="宋体" w:cs="宋体"/>
          <w:kern w:val="0"/>
          <w:sz w:val="21"/>
          <w:szCs w:val="21"/>
          <w:highlight w:val="none"/>
          <w:u w:val="none"/>
          <w:lang w:val="en-US" w:eastAsia="zh-CN" w:bidi="ar-SA"/>
        </w:rPr>
        <w:t>。</w:t>
      </w:r>
    </w:p>
    <w:p>
      <w:pPr>
        <w:pStyle w:val="15"/>
        <w:numPr>
          <w:ilvl w:val="0"/>
          <w:numId w:val="3"/>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cs="宋体"/>
          <w:kern w:val="0"/>
          <w:sz w:val="21"/>
          <w:szCs w:val="21"/>
          <w:highlight w:val="none"/>
          <w:u w:val="none"/>
          <w:lang w:val="en-US" w:eastAsia="zh-CN" w:bidi="ar-SA"/>
        </w:rPr>
        <w:t>（质量承诺）</w:t>
      </w:r>
      <w:r>
        <w:rPr>
          <w:rFonts w:hint="eastAsia" w:ascii="宋体" w:hAnsi="宋体" w:eastAsia="宋体" w:cs="宋体"/>
          <w:kern w:val="0"/>
          <w:sz w:val="21"/>
          <w:szCs w:val="21"/>
          <w:highlight w:val="none"/>
          <w:u w:val="none"/>
          <w:lang w:val="en-US" w:eastAsia="zh-CN" w:bidi="ar-SA"/>
        </w:rPr>
        <w:t>。</w:t>
      </w:r>
    </w:p>
    <w:p>
      <w:pPr>
        <w:pStyle w:val="15"/>
        <w:numPr>
          <w:ilvl w:val="0"/>
          <w:numId w:val="3"/>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cs="宋体"/>
          <w:kern w:val="0"/>
          <w:sz w:val="21"/>
          <w:szCs w:val="21"/>
          <w:highlight w:val="none"/>
          <w:u w:val="none"/>
          <w:lang w:val="en-US" w:eastAsia="zh-CN" w:bidi="ar-SA"/>
        </w:rPr>
        <w:t>（安全承诺）</w:t>
      </w:r>
      <w:r>
        <w:rPr>
          <w:rFonts w:hint="eastAsia" w:ascii="宋体" w:hAnsi="宋体" w:eastAsia="宋体" w:cs="宋体"/>
          <w:kern w:val="0"/>
          <w:sz w:val="21"/>
          <w:szCs w:val="21"/>
          <w:highlight w:val="none"/>
          <w:u w:val="none"/>
          <w:lang w:val="en-US" w:eastAsia="zh-CN" w:bidi="ar-SA"/>
        </w:rPr>
        <w:t>。</w:t>
      </w:r>
    </w:p>
    <w:p>
      <w:pPr>
        <w:spacing w:line="360" w:lineRule="auto"/>
        <w:ind w:firstLine="420" w:firstLineChars="200"/>
        <w:jc w:val="left"/>
        <w:rPr>
          <w:rFonts w:hint="eastAsia" w:ascii="宋体" w:hAnsi="宋体" w:cs="宋体"/>
          <w:kern w:val="0"/>
          <w:szCs w:val="21"/>
          <w:highlight w:val="none"/>
        </w:rPr>
      </w:pPr>
      <w:r>
        <w:rPr>
          <w:rFonts w:hint="eastAsia"/>
          <w:lang w:val="en-US" w:eastAsia="zh-CN"/>
        </w:rPr>
        <w:t>（其余报价人需承诺部分自行往下编号添加）</w:t>
      </w:r>
    </w:p>
    <w:p>
      <w:pPr>
        <w:pStyle w:val="5"/>
        <w:jc w:val="center"/>
        <w:rPr>
          <w:rFonts w:hint="eastAsia" w:ascii="宋体" w:hAnsi="宋体" w:cs="宋体"/>
          <w:sz w:val="28"/>
          <w:highlight w:val="none"/>
        </w:rPr>
      </w:pPr>
    </w:p>
    <w:p>
      <w:pPr>
        <w:pStyle w:val="5"/>
        <w:jc w:val="center"/>
        <w:rPr>
          <w:rFonts w:hint="eastAsia" w:ascii="宋体" w:hAnsi="宋体" w:cs="宋体"/>
          <w:sz w:val="28"/>
          <w:highlight w:val="none"/>
        </w:rPr>
      </w:pPr>
    </w:p>
    <w:p>
      <w:pPr>
        <w:pStyle w:val="4"/>
        <w:spacing w:before="0" w:after="0" w:line="360" w:lineRule="auto"/>
        <w:jc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 xml:space="preserve">                         签字：</w:t>
      </w:r>
    </w:p>
    <w:p>
      <w:pPr>
        <w:pStyle w:val="5"/>
        <w:jc w:val="center"/>
        <w:rPr>
          <w:rFonts w:ascii="宋体" w:hAnsi="宋体" w:cs="宋体"/>
          <w:sz w:val="28"/>
          <w:highlight w:val="none"/>
        </w:rPr>
      </w:pPr>
      <w:r>
        <w:rPr>
          <w:rFonts w:hint="eastAsia" w:ascii="宋体" w:hAnsi="宋体" w:eastAsia="宋体" w:cs="宋体"/>
          <w:b/>
          <w:bCs/>
          <w:kern w:val="0"/>
          <w:sz w:val="21"/>
          <w:szCs w:val="21"/>
          <w:highlight w:val="none"/>
          <w:lang w:val="en-US" w:eastAsia="zh-CN" w:bidi="ar-SA"/>
        </w:rPr>
        <w:t xml:space="preserve">                         盖章：</w:t>
      </w:r>
    </w:p>
    <w:p>
      <w:pPr>
        <w:rPr>
          <w:rFonts w:ascii="宋体" w:hAnsi="宋体" w:cs="宋体"/>
          <w:sz w:val="28"/>
          <w:highlight w:val="none"/>
        </w:rPr>
      </w:pPr>
    </w:p>
    <w:p>
      <w:pPr>
        <w:pStyle w:val="15"/>
        <w:rPr>
          <w:rFonts w:ascii="宋体" w:hAnsi="宋体" w:cs="宋体"/>
          <w:sz w:val="28"/>
          <w:highlight w:val="none"/>
        </w:rPr>
      </w:pPr>
    </w:p>
    <w:p>
      <w:pPr>
        <w:rPr>
          <w:rFonts w:ascii="宋体" w:hAnsi="宋体" w:cs="宋体"/>
          <w:sz w:val="28"/>
          <w:highlight w:val="none"/>
        </w:rPr>
      </w:pPr>
    </w:p>
    <w:p>
      <w:pPr>
        <w:pStyle w:val="15"/>
        <w:rPr>
          <w:rFonts w:ascii="宋体" w:hAnsi="宋体" w:cs="宋体"/>
          <w:sz w:val="28"/>
          <w:highlight w:val="none"/>
        </w:rPr>
      </w:pPr>
    </w:p>
    <w:p>
      <w:pPr>
        <w:rPr>
          <w:rFonts w:ascii="宋体" w:hAnsi="宋体" w:cs="宋体"/>
          <w:sz w:val="28"/>
          <w:highlight w:val="none"/>
        </w:rPr>
      </w:pPr>
    </w:p>
    <w:p>
      <w:pPr>
        <w:pStyle w:val="15"/>
        <w:rPr>
          <w:rFonts w:ascii="宋体" w:hAnsi="宋体" w:cs="宋体"/>
          <w:sz w:val="28"/>
          <w:highlight w:val="none"/>
        </w:rPr>
      </w:pPr>
    </w:p>
    <w:p>
      <w:pPr>
        <w:rPr>
          <w:rFonts w:ascii="宋体" w:hAnsi="宋体" w:cs="宋体"/>
          <w:sz w:val="28"/>
          <w:highlight w:val="none"/>
        </w:rPr>
      </w:pPr>
    </w:p>
    <w:p>
      <w:pPr>
        <w:pStyle w:val="15"/>
        <w:rPr>
          <w:rFonts w:ascii="宋体" w:hAnsi="宋体" w:cs="宋体"/>
          <w:sz w:val="28"/>
          <w:highlight w:val="none"/>
        </w:rPr>
      </w:pPr>
    </w:p>
    <w:p/>
    <w:p>
      <w:pPr>
        <w:pStyle w:val="5"/>
        <w:jc w:val="center"/>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五</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5"/>
        <w:spacing w:before="0" w:after="0" w:line="360" w:lineRule="auto"/>
        <w:jc w:val="center"/>
        <w:rPr>
          <w:sz w:val="28"/>
          <w:szCs w:val="28"/>
          <w:highlight w:val="none"/>
        </w:rPr>
      </w:pPr>
      <w:bookmarkStart w:id="288" w:name="_Toc4375"/>
      <w:bookmarkStart w:id="289" w:name="_Toc508110857"/>
      <w:bookmarkStart w:id="290" w:name="_Toc452107137"/>
      <w:r>
        <w:rPr>
          <w:rFonts w:hint="eastAsia"/>
          <w:sz w:val="28"/>
          <w:szCs w:val="28"/>
          <w:highlight w:val="none"/>
          <w:lang w:eastAsia="zh-CN"/>
        </w:rPr>
        <w:t>（</w:t>
      </w:r>
      <w:r>
        <w:rPr>
          <w:rFonts w:hint="eastAsia"/>
          <w:sz w:val="28"/>
          <w:szCs w:val="28"/>
          <w:highlight w:val="none"/>
          <w:lang w:val="en-US" w:eastAsia="zh-CN"/>
        </w:rPr>
        <w:t>一</w:t>
      </w:r>
      <w:r>
        <w:rPr>
          <w:rFonts w:hint="eastAsia"/>
          <w:sz w:val="28"/>
          <w:szCs w:val="28"/>
          <w:highlight w:val="none"/>
          <w:lang w:eastAsia="zh-CN"/>
        </w:rPr>
        <w:t>）</w:t>
      </w:r>
      <w:r>
        <w:rPr>
          <w:rFonts w:hint="eastAsia"/>
          <w:sz w:val="28"/>
          <w:szCs w:val="28"/>
          <w:highlight w:val="none"/>
        </w:rPr>
        <w:t>报价人基本信息表</w:t>
      </w:r>
      <w:bookmarkEnd w:id="288"/>
      <w:bookmarkEnd w:id="289"/>
      <w:bookmarkEnd w:id="290"/>
    </w:p>
    <w:p>
      <w:pPr>
        <w:pStyle w:val="25"/>
        <w:rPr>
          <w:highlight w:val="none"/>
        </w:rPr>
      </w:pPr>
    </w:p>
    <w:tbl>
      <w:tblPr>
        <w:tblStyle w:val="41"/>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报价人</w:t>
            </w:r>
          </w:p>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default" w:ascii="宋体" w:hAnsi="宋体" w:cs="宋体"/>
                <w:color w:val="000000"/>
                <w:szCs w:val="21"/>
                <w:highlight w:val="none"/>
              </w:rPr>
            </w:pPr>
            <w:r>
              <w:rPr>
                <w:rFonts w:hint="eastAsia" w:ascii="宋体" w:hAnsi="宋体" w:cs="宋体"/>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highlight w:val="none"/>
              </w:rPr>
            </w:pPr>
            <w:r>
              <w:rPr>
                <w:rFonts w:hint="eastAsia" w:ascii="宋体" w:hAnsi="宋体" w:cs="宋体"/>
                <w:color w:val="000000"/>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210" w:firstLineChars="100"/>
              <w:jc w:val="center"/>
              <w:rPr>
                <w:rFonts w:hint="default" w:ascii="宋体" w:hAnsi="宋体" w:cs="宋体"/>
                <w:color w:val="000000"/>
                <w:szCs w:val="21"/>
                <w:highlight w:val="none"/>
              </w:rPr>
            </w:pPr>
            <w:r>
              <w:rPr>
                <w:rFonts w:hint="eastAsia" w:ascii="宋体" w:hAnsi="宋体" w:cs="宋体"/>
                <w:color w:val="000000"/>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0" w:beforeAutospacing="0" w:after="0" w:afterAutospacing="0" w:line="440" w:lineRule="exact"/>
              <w:ind w:left="0" w:right="0"/>
              <w:rPr>
                <w:rFonts w:hint="default" w:ascii="宋体" w:hAnsi="宋体" w:cs="宋体"/>
                <w:color w:val="000000"/>
                <w:szCs w:val="21"/>
                <w:highlight w:val="none"/>
              </w:rPr>
            </w:pPr>
            <w:r>
              <w:rPr>
                <w:rFonts w:hint="eastAsia" w:ascii="宋体" w:hAnsi="宋体" w:cs="宋体"/>
                <w:color w:val="000000"/>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bl>
    <w:p>
      <w:pPr>
        <w:pStyle w:val="5"/>
        <w:jc w:val="center"/>
        <w:rPr>
          <w:rFonts w:hint="eastAsia" w:ascii="宋体" w:hAnsi="宋体" w:cs="宋体"/>
          <w:sz w:val="28"/>
          <w:highlight w:val="none"/>
        </w:rPr>
      </w:pPr>
    </w:p>
    <w:p>
      <w:pPr>
        <w:pStyle w:val="5"/>
        <w:jc w:val="center"/>
        <w:rPr>
          <w:rFonts w:ascii="宋体" w:hAnsi="宋体" w:cs="宋体"/>
          <w:sz w:val="28"/>
          <w:highlight w:val="none"/>
        </w:rPr>
      </w:pPr>
      <w:r>
        <w:rPr>
          <w:rFonts w:hint="eastAsia" w:ascii="宋体" w:hAnsi="宋体" w:cs="宋体"/>
          <w:sz w:val="28"/>
          <w:highlight w:val="none"/>
        </w:rPr>
        <w:t>（二）其他材料（</w:t>
      </w:r>
      <w:r>
        <w:rPr>
          <w:rFonts w:hint="eastAsia" w:ascii="宋体" w:hAnsi="宋体" w:cs="宋体"/>
          <w:sz w:val="28"/>
          <w:highlight w:val="none"/>
          <w:lang w:val="en-US" w:eastAsia="zh-CN"/>
        </w:rPr>
        <w:t>投标保证金等</w:t>
      </w:r>
      <w:r>
        <w:rPr>
          <w:rFonts w:hint="eastAsia" w:ascii="宋体" w:hAnsi="宋体" w:cs="宋体"/>
          <w:sz w:val="28"/>
          <w:highlight w:val="none"/>
        </w:rPr>
        <w:t>）</w:t>
      </w:r>
    </w:p>
    <w:p>
      <w:pPr>
        <w:outlineLvl w:val="0"/>
        <w:rPr>
          <w:b/>
          <w:sz w:val="24"/>
          <w:highlight w:val="none"/>
        </w:rPr>
      </w:pPr>
    </w:p>
    <w:p>
      <w:pPr>
        <w:pStyle w:val="5"/>
        <w:jc w:val="center"/>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15"/>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15"/>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15"/>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15"/>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15"/>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15"/>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15"/>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bookmarkEnd w:id="283"/>
    <w:bookmarkEnd w:id="284"/>
    <w:p>
      <w:pPr>
        <w:pStyle w:val="27"/>
        <w:rPr>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D9FE270-6EE0-4463-8978-B871FE330DA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2934503-F122-4CA9-8E7F-7CFCF0D73BAF}"/>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5"/>
      </w:rPr>
    </w:pPr>
    <w:r>
      <w:fldChar w:fldCharType="begin"/>
    </w:r>
    <w:r>
      <w:rPr>
        <w:rStyle w:val="45"/>
      </w:rPr>
      <w:instrText xml:space="preserve">PAGE  </w:instrTex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PAGE   \* MERGEFORMAT</w:instrText>
    </w:r>
    <w:r>
      <w:fldChar w:fldCharType="separate"/>
    </w:r>
    <w:r>
      <w:rPr>
        <w:lang w:val="zh-CN"/>
      </w:rPr>
      <w:t>17</w:t>
    </w:r>
    <w:r>
      <w:fldChar w:fldCharType="end"/>
    </w:r>
  </w:p>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PAGE   \* MERGEFORMAT</w:instrText>
    </w:r>
    <w:r>
      <w:fldChar w:fldCharType="separate"/>
    </w:r>
    <w:r>
      <w:rPr>
        <w:lang w:val="zh-CN"/>
      </w:rPr>
      <w:t>6</w:t>
    </w:r>
    <w:r>
      <w:fldChar w:fldCharType="end"/>
    </w:r>
  </w:p>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73</w:t>
    </w:r>
    <w:r>
      <w:fldChar w:fldCharType="end"/>
    </w:r>
  </w:p>
  <w:p>
    <w:pPr>
      <w:pStyle w:val="25"/>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19</w:t>
    </w:r>
    <w:r>
      <w:fldChar w:fldCharType="end"/>
    </w:r>
  </w:p>
  <w:p>
    <w:pPr>
      <w:pStyle w:val="25"/>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jc w:val="center"/>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5"/>
                  <w:rPr>
                    <w:rStyle w:val="45"/>
                  </w:rPr>
                </w:pPr>
                <w:r>
                  <w:fldChar w:fldCharType="begin"/>
                </w:r>
                <w:r>
                  <w:rPr>
                    <w:rStyle w:val="45"/>
                  </w:rPr>
                  <w:instrText xml:space="preserve">PAGE  </w:instrText>
                </w:r>
                <w:r>
                  <w:fldChar w:fldCharType="separate"/>
                </w:r>
                <w:r>
                  <w:rPr>
                    <w:rStyle w:val="45"/>
                  </w:rPr>
                  <w:t>23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51BDF"/>
    <w:multiLevelType w:val="singleLevel"/>
    <w:tmpl w:val="87F51BDF"/>
    <w:lvl w:ilvl="0" w:tentative="0">
      <w:start w:val="1"/>
      <w:numFmt w:val="decimal"/>
      <w:suff w:val="nothing"/>
      <w:lvlText w:val="（%1）"/>
      <w:lvlJc w:val="left"/>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605BA1E1"/>
    <w:multiLevelType w:val="singleLevel"/>
    <w:tmpl w:val="605BA1E1"/>
    <w:lvl w:ilvl="0" w:tentative="0">
      <w:start w:val="6"/>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ViY2MzMmY4ZjlhZjg2YzY5MDlhM2RhYjY2NWE4ZmI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0E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61F7"/>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5746"/>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6B5B"/>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93"/>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66C"/>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2741"/>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554E2"/>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862"/>
    <w:rsid w:val="00EC4BAC"/>
    <w:rsid w:val="00EC58D0"/>
    <w:rsid w:val="00EC6200"/>
    <w:rsid w:val="00ED29DF"/>
    <w:rsid w:val="00ED2A3C"/>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773477"/>
    <w:rsid w:val="017A43FC"/>
    <w:rsid w:val="01852BD3"/>
    <w:rsid w:val="0197794F"/>
    <w:rsid w:val="022E5ECA"/>
    <w:rsid w:val="02812C2F"/>
    <w:rsid w:val="029E0ABC"/>
    <w:rsid w:val="02A800C5"/>
    <w:rsid w:val="02C31095"/>
    <w:rsid w:val="02C540E4"/>
    <w:rsid w:val="02D032D3"/>
    <w:rsid w:val="034B5451"/>
    <w:rsid w:val="036C5E11"/>
    <w:rsid w:val="037D0CD2"/>
    <w:rsid w:val="038A3F97"/>
    <w:rsid w:val="038B3366"/>
    <w:rsid w:val="03981B5E"/>
    <w:rsid w:val="03996EAD"/>
    <w:rsid w:val="039F467D"/>
    <w:rsid w:val="03F60BFA"/>
    <w:rsid w:val="04023CC8"/>
    <w:rsid w:val="042674F4"/>
    <w:rsid w:val="04601D6A"/>
    <w:rsid w:val="04C12ED8"/>
    <w:rsid w:val="04DC5749"/>
    <w:rsid w:val="04E26FED"/>
    <w:rsid w:val="04ED4500"/>
    <w:rsid w:val="04FD6633"/>
    <w:rsid w:val="05871A0A"/>
    <w:rsid w:val="05A70EA9"/>
    <w:rsid w:val="05D55D36"/>
    <w:rsid w:val="060C2525"/>
    <w:rsid w:val="062756FD"/>
    <w:rsid w:val="063362B9"/>
    <w:rsid w:val="067C53E7"/>
    <w:rsid w:val="06820F5E"/>
    <w:rsid w:val="06923122"/>
    <w:rsid w:val="06AE2ABA"/>
    <w:rsid w:val="06AF5A0D"/>
    <w:rsid w:val="06DD02BB"/>
    <w:rsid w:val="06E71F51"/>
    <w:rsid w:val="07041E52"/>
    <w:rsid w:val="07050666"/>
    <w:rsid w:val="07362674"/>
    <w:rsid w:val="073B54B2"/>
    <w:rsid w:val="07652F63"/>
    <w:rsid w:val="077B3234"/>
    <w:rsid w:val="078801B7"/>
    <w:rsid w:val="078E1545"/>
    <w:rsid w:val="07943000"/>
    <w:rsid w:val="081748AE"/>
    <w:rsid w:val="08406399"/>
    <w:rsid w:val="08575FBE"/>
    <w:rsid w:val="08635851"/>
    <w:rsid w:val="08C2359B"/>
    <w:rsid w:val="09041814"/>
    <w:rsid w:val="092D7BDC"/>
    <w:rsid w:val="09332D2B"/>
    <w:rsid w:val="093E2D64"/>
    <w:rsid w:val="098B1DA7"/>
    <w:rsid w:val="09A31A61"/>
    <w:rsid w:val="09D92F4C"/>
    <w:rsid w:val="09DE1094"/>
    <w:rsid w:val="09E2475B"/>
    <w:rsid w:val="09EC3E56"/>
    <w:rsid w:val="0A062E2F"/>
    <w:rsid w:val="0A3F34B7"/>
    <w:rsid w:val="0A4B11BE"/>
    <w:rsid w:val="0A8E5B8D"/>
    <w:rsid w:val="0AA240FA"/>
    <w:rsid w:val="0AAC0CBB"/>
    <w:rsid w:val="0AAD0691"/>
    <w:rsid w:val="0AD84BD3"/>
    <w:rsid w:val="0AFA16FB"/>
    <w:rsid w:val="0B0443BA"/>
    <w:rsid w:val="0B1061C6"/>
    <w:rsid w:val="0B2B08D5"/>
    <w:rsid w:val="0B3A0C9A"/>
    <w:rsid w:val="0B616E15"/>
    <w:rsid w:val="0BB825ED"/>
    <w:rsid w:val="0BC0647C"/>
    <w:rsid w:val="0BF26817"/>
    <w:rsid w:val="0C22464A"/>
    <w:rsid w:val="0C623EAC"/>
    <w:rsid w:val="0CAD24AF"/>
    <w:rsid w:val="0CE2641B"/>
    <w:rsid w:val="0CE8154F"/>
    <w:rsid w:val="0CEA34BE"/>
    <w:rsid w:val="0CF45A62"/>
    <w:rsid w:val="0D662EE5"/>
    <w:rsid w:val="0D7445F1"/>
    <w:rsid w:val="0D9339BE"/>
    <w:rsid w:val="0D9F0DC4"/>
    <w:rsid w:val="0DDE695A"/>
    <w:rsid w:val="0E023FCF"/>
    <w:rsid w:val="0E2D072E"/>
    <w:rsid w:val="0E3B295D"/>
    <w:rsid w:val="0E47249B"/>
    <w:rsid w:val="0E551882"/>
    <w:rsid w:val="0E887A67"/>
    <w:rsid w:val="0E96111C"/>
    <w:rsid w:val="0E9E2292"/>
    <w:rsid w:val="0EA31D7A"/>
    <w:rsid w:val="0EF375AF"/>
    <w:rsid w:val="0EF8359E"/>
    <w:rsid w:val="0F105091"/>
    <w:rsid w:val="0F4C19DA"/>
    <w:rsid w:val="0F4C7D05"/>
    <w:rsid w:val="0F5F17BD"/>
    <w:rsid w:val="0F90531D"/>
    <w:rsid w:val="0FA805FB"/>
    <w:rsid w:val="0FAD64B5"/>
    <w:rsid w:val="0FEB1B4B"/>
    <w:rsid w:val="0FFF5930"/>
    <w:rsid w:val="101C207C"/>
    <w:rsid w:val="10421816"/>
    <w:rsid w:val="10701B06"/>
    <w:rsid w:val="1087479C"/>
    <w:rsid w:val="10A265EF"/>
    <w:rsid w:val="110732FE"/>
    <w:rsid w:val="111B31CE"/>
    <w:rsid w:val="11485B0D"/>
    <w:rsid w:val="11586E4C"/>
    <w:rsid w:val="11653417"/>
    <w:rsid w:val="117076B2"/>
    <w:rsid w:val="117533BA"/>
    <w:rsid w:val="11D56D08"/>
    <w:rsid w:val="122136E2"/>
    <w:rsid w:val="125E1A9C"/>
    <w:rsid w:val="1276289F"/>
    <w:rsid w:val="1288522D"/>
    <w:rsid w:val="129D6A95"/>
    <w:rsid w:val="12AF4046"/>
    <w:rsid w:val="12CE506D"/>
    <w:rsid w:val="12DE7753"/>
    <w:rsid w:val="12F65490"/>
    <w:rsid w:val="12F73D2A"/>
    <w:rsid w:val="13112273"/>
    <w:rsid w:val="13511DF6"/>
    <w:rsid w:val="138B4634"/>
    <w:rsid w:val="138F1214"/>
    <w:rsid w:val="13D101C7"/>
    <w:rsid w:val="13D65F2A"/>
    <w:rsid w:val="1400440E"/>
    <w:rsid w:val="144729D8"/>
    <w:rsid w:val="14AB614D"/>
    <w:rsid w:val="14D56A06"/>
    <w:rsid w:val="14FC0EBF"/>
    <w:rsid w:val="15411A54"/>
    <w:rsid w:val="15507C7E"/>
    <w:rsid w:val="15664AEF"/>
    <w:rsid w:val="158E23E1"/>
    <w:rsid w:val="159D7EA6"/>
    <w:rsid w:val="159F1BF9"/>
    <w:rsid w:val="15AC518D"/>
    <w:rsid w:val="160B0227"/>
    <w:rsid w:val="165D4F05"/>
    <w:rsid w:val="1674139D"/>
    <w:rsid w:val="167C24BB"/>
    <w:rsid w:val="16CF02A2"/>
    <w:rsid w:val="16F512D4"/>
    <w:rsid w:val="17081A7A"/>
    <w:rsid w:val="170D377F"/>
    <w:rsid w:val="17292C0C"/>
    <w:rsid w:val="176F50FE"/>
    <w:rsid w:val="17A45CB6"/>
    <w:rsid w:val="17DD0B49"/>
    <w:rsid w:val="180E6EF9"/>
    <w:rsid w:val="181C1400"/>
    <w:rsid w:val="18223BBF"/>
    <w:rsid w:val="18D435BC"/>
    <w:rsid w:val="18F11B7B"/>
    <w:rsid w:val="193844ED"/>
    <w:rsid w:val="198310E9"/>
    <w:rsid w:val="19BA69A5"/>
    <w:rsid w:val="19DF6D3F"/>
    <w:rsid w:val="19E24459"/>
    <w:rsid w:val="19F0782F"/>
    <w:rsid w:val="19FB72C6"/>
    <w:rsid w:val="1A3D7EBE"/>
    <w:rsid w:val="1A4353A0"/>
    <w:rsid w:val="1A7E4804"/>
    <w:rsid w:val="1A9C5527"/>
    <w:rsid w:val="1AC75EFD"/>
    <w:rsid w:val="1AD00D8B"/>
    <w:rsid w:val="1ADA27A4"/>
    <w:rsid w:val="1B075A0C"/>
    <w:rsid w:val="1B114159"/>
    <w:rsid w:val="1B67066F"/>
    <w:rsid w:val="1B6A6854"/>
    <w:rsid w:val="1B7229E4"/>
    <w:rsid w:val="1B7A5EC7"/>
    <w:rsid w:val="1B9724FE"/>
    <w:rsid w:val="1BA35EDC"/>
    <w:rsid w:val="1C2017B0"/>
    <w:rsid w:val="1CB30939"/>
    <w:rsid w:val="1CF6260F"/>
    <w:rsid w:val="1CF83AEA"/>
    <w:rsid w:val="1D6914D5"/>
    <w:rsid w:val="1D7E09CF"/>
    <w:rsid w:val="1DF33318"/>
    <w:rsid w:val="1E2123EB"/>
    <w:rsid w:val="1E7F32B0"/>
    <w:rsid w:val="1E81362E"/>
    <w:rsid w:val="1E8B15D7"/>
    <w:rsid w:val="1EBB622E"/>
    <w:rsid w:val="1EEA13A6"/>
    <w:rsid w:val="1EFE0AE6"/>
    <w:rsid w:val="1EFE64E9"/>
    <w:rsid w:val="1F6207D0"/>
    <w:rsid w:val="1F7E34F3"/>
    <w:rsid w:val="1F882FF2"/>
    <w:rsid w:val="1FE1627D"/>
    <w:rsid w:val="1FEA603B"/>
    <w:rsid w:val="201A1476"/>
    <w:rsid w:val="20293E2F"/>
    <w:rsid w:val="206E3E8E"/>
    <w:rsid w:val="207277F1"/>
    <w:rsid w:val="208247DE"/>
    <w:rsid w:val="2093114F"/>
    <w:rsid w:val="209B57AA"/>
    <w:rsid w:val="20A87B06"/>
    <w:rsid w:val="20D83D6E"/>
    <w:rsid w:val="20EA6084"/>
    <w:rsid w:val="20F01139"/>
    <w:rsid w:val="20F1461D"/>
    <w:rsid w:val="212B522B"/>
    <w:rsid w:val="216B5207"/>
    <w:rsid w:val="21736537"/>
    <w:rsid w:val="21977807"/>
    <w:rsid w:val="219D77BC"/>
    <w:rsid w:val="22031056"/>
    <w:rsid w:val="22446344"/>
    <w:rsid w:val="226827C0"/>
    <w:rsid w:val="227875E3"/>
    <w:rsid w:val="227C6EFF"/>
    <w:rsid w:val="22942795"/>
    <w:rsid w:val="229B25D6"/>
    <w:rsid w:val="22A10D06"/>
    <w:rsid w:val="22E46F4A"/>
    <w:rsid w:val="22F20159"/>
    <w:rsid w:val="23486890"/>
    <w:rsid w:val="23AB4CDF"/>
    <w:rsid w:val="23C37A75"/>
    <w:rsid w:val="23D964C1"/>
    <w:rsid w:val="23EB6BB8"/>
    <w:rsid w:val="24436391"/>
    <w:rsid w:val="24AD6D9A"/>
    <w:rsid w:val="24C42510"/>
    <w:rsid w:val="254A5C25"/>
    <w:rsid w:val="258E0271"/>
    <w:rsid w:val="259358AB"/>
    <w:rsid w:val="259E376E"/>
    <w:rsid w:val="25CE5F37"/>
    <w:rsid w:val="26154215"/>
    <w:rsid w:val="26666FDC"/>
    <w:rsid w:val="26B267E7"/>
    <w:rsid w:val="26C80CCF"/>
    <w:rsid w:val="26CD51A3"/>
    <w:rsid w:val="26F65310"/>
    <w:rsid w:val="27352534"/>
    <w:rsid w:val="27357F9F"/>
    <w:rsid w:val="27EF1935"/>
    <w:rsid w:val="27F66ABE"/>
    <w:rsid w:val="280A1B75"/>
    <w:rsid w:val="28256D6A"/>
    <w:rsid w:val="283962F8"/>
    <w:rsid w:val="28A9637D"/>
    <w:rsid w:val="28B740DA"/>
    <w:rsid w:val="28BD3A65"/>
    <w:rsid w:val="28C17575"/>
    <w:rsid w:val="290212C1"/>
    <w:rsid w:val="29403128"/>
    <w:rsid w:val="29656DCE"/>
    <w:rsid w:val="298B4B23"/>
    <w:rsid w:val="29C0316B"/>
    <w:rsid w:val="29D875FE"/>
    <w:rsid w:val="2A194E5D"/>
    <w:rsid w:val="2A594BC2"/>
    <w:rsid w:val="2AA90FA0"/>
    <w:rsid w:val="2AB53836"/>
    <w:rsid w:val="2B33404E"/>
    <w:rsid w:val="2B552F60"/>
    <w:rsid w:val="2B726FF9"/>
    <w:rsid w:val="2BA576C3"/>
    <w:rsid w:val="2BB367B9"/>
    <w:rsid w:val="2BB611C4"/>
    <w:rsid w:val="2C184D47"/>
    <w:rsid w:val="2C543302"/>
    <w:rsid w:val="2C796A89"/>
    <w:rsid w:val="2C856399"/>
    <w:rsid w:val="2CBD3A96"/>
    <w:rsid w:val="2CC74339"/>
    <w:rsid w:val="2CCE1414"/>
    <w:rsid w:val="2CF93ABF"/>
    <w:rsid w:val="2D1E27A3"/>
    <w:rsid w:val="2D465DBB"/>
    <w:rsid w:val="2D766528"/>
    <w:rsid w:val="2DE2142E"/>
    <w:rsid w:val="2E3229C1"/>
    <w:rsid w:val="2E6510BC"/>
    <w:rsid w:val="2E6A704D"/>
    <w:rsid w:val="2E8A6255"/>
    <w:rsid w:val="2EBC0FFC"/>
    <w:rsid w:val="2F0B1048"/>
    <w:rsid w:val="2F141AAA"/>
    <w:rsid w:val="2F6F34DE"/>
    <w:rsid w:val="2FF23F99"/>
    <w:rsid w:val="30236367"/>
    <w:rsid w:val="30331BC6"/>
    <w:rsid w:val="303E7E03"/>
    <w:rsid w:val="304A182B"/>
    <w:rsid w:val="30666D3B"/>
    <w:rsid w:val="30757C00"/>
    <w:rsid w:val="30761B12"/>
    <w:rsid w:val="307852E8"/>
    <w:rsid w:val="307D5D65"/>
    <w:rsid w:val="30B34CE3"/>
    <w:rsid w:val="30CB1C83"/>
    <w:rsid w:val="31450491"/>
    <w:rsid w:val="31832D29"/>
    <w:rsid w:val="31AE3364"/>
    <w:rsid w:val="31D20CDE"/>
    <w:rsid w:val="31EF007A"/>
    <w:rsid w:val="31F37E23"/>
    <w:rsid w:val="320D762A"/>
    <w:rsid w:val="32223DC6"/>
    <w:rsid w:val="32665008"/>
    <w:rsid w:val="327B6CAD"/>
    <w:rsid w:val="329032EF"/>
    <w:rsid w:val="32930B88"/>
    <w:rsid w:val="329970EF"/>
    <w:rsid w:val="32B35AAA"/>
    <w:rsid w:val="334459AC"/>
    <w:rsid w:val="33705A64"/>
    <w:rsid w:val="337449DC"/>
    <w:rsid w:val="33C024F3"/>
    <w:rsid w:val="33D55126"/>
    <w:rsid w:val="33F44ABC"/>
    <w:rsid w:val="342645AD"/>
    <w:rsid w:val="34335C8F"/>
    <w:rsid w:val="34617CD8"/>
    <w:rsid w:val="34646885"/>
    <w:rsid w:val="34731A2E"/>
    <w:rsid w:val="34A61339"/>
    <w:rsid w:val="34F26E0C"/>
    <w:rsid w:val="34F3793E"/>
    <w:rsid w:val="35185DCE"/>
    <w:rsid w:val="35545DA9"/>
    <w:rsid w:val="35574E9C"/>
    <w:rsid w:val="35712E34"/>
    <w:rsid w:val="357D1550"/>
    <w:rsid w:val="35ED793B"/>
    <w:rsid w:val="35F25212"/>
    <w:rsid w:val="366C082D"/>
    <w:rsid w:val="36C90DD1"/>
    <w:rsid w:val="3703397C"/>
    <w:rsid w:val="374A2D3B"/>
    <w:rsid w:val="37704489"/>
    <w:rsid w:val="37925427"/>
    <w:rsid w:val="37A55DCC"/>
    <w:rsid w:val="37CA04FF"/>
    <w:rsid w:val="37FD2868"/>
    <w:rsid w:val="38643511"/>
    <w:rsid w:val="38AD49B0"/>
    <w:rsid w:val="39082AF0"/>
    <w:rsid w:val="394C68A5"/>
    <w:rsid w:val="395E479A"/>
    <w:rsid w:val="39A36C2D"/>
    <w:rsid w:val="39AA29B9"/>
    <w:rsid w:val="39C9079C"/>
    <w:rsid w:val="39E71AEC"/>
    <w:rsid w:val="39F60058"/>
    <w:rsid w:val="3A104089"/>
    <w:rsid w:val="3A6C5593"/>
    <w:rsid w:val="3AA14ABB"/>
    <w:rsid w:val="3AAC6550"/>
    <w:rsid w:val="3AB8426E"/>
    <w:rsid w:val="3ACF765C"/>
    <w:rsid w:val="3AD278CD"/>
    <w:rsid w:val="3AFA4BE5"/>
    <w:rsid w:val="3B144639"/>
    <w:rsid w:val="3B2A44B8"/>
    <w:rsid w:val="3B2B6476"/>
    <w:rsid w:val="3BBC038E"/>
    <w:rsid w:val="3C1F017C"/>
    <w:rsid w:val="3C852047"/>
    <w:rsid w:val="3C926C30"/>
    <w:rsid w:val="3CA13116"/>
    <w:rsid w:val="3CA925AE"/>
    <w:rsid w:val="3CF877AB"/>
    <w:rsid w:val="3D131743"/>
    <w:rsid w:val="3D306CB2"/>
    <w:rsid w:val="3D613D22"/>
    <w:rsid w:val="3D667959"/>
    <w:rsid w:val="3D8230F2"/>
    <w:rsid w:val="3D881916"/>
    <w:rsid w:val="3D886E2C"/>
    <w:rsid w:val="3DA60864"/>
    <w:rsid w:val="3DD83D60"/>
    <w:rsid w:val="3DF044B2"/>
    <w:rsid w:val="3E044CAE"/>
    <w:rsid w:val="3E4E4383"/>
    <w:rsid w:val="3EAD4174"/>
    <w:rsid w:val="3EAD7F9C"/>
    <w:rsid w:val="3EB32892"/>
    <w:rsid w:val="3EBC3336"/>
    <w:rsid w:val="3F064AE9"/>
    <w:rsid w:val="3F3B0C43"/>
    <w:rsid w:val="3F4C62B0"/>
    <w:rsid w:val="3F5160C2"/>
    <w:rsid w:val="3FB2668C"/>
    <w:rsid w:val="3FC06492"/>
    <w:rsid w:val="3FC27B53"/>
    <w:rsid w:val="402A34B8"/>
    <w:rsid w:val="40360CD1"/>
    <w:rsid w:val="405C39B3"/>
    <w:rsid w:val="40613E30"/>
    <w:rsid w:val="40736573"/>
    <w:rsid w:val="409B4A07"/>
    <w:rsid w:val="40A96C24"/>
    <w:rsid w:val="40F66678"/>
    <w:rsid w:val="4120577A"/>
    <w:rsid w:val="412368EE"/>
    <w:rsid w:val="4134460A"/>
    <w:rsid w:val="4167053C"/>
    <w:rsid w:val="416C6B92"/>
    <w:rsid w:val="41FD121E"/>
    <w:rsid w:val="421A7627"/>
    <w:rsid w:val="421B512C"/>
    <w:rsid w:val="4233112B"/>
    <w:rsid w:val="42613503"/>
    <w:rsid w:val="42721624"/>
    <w:rsid w:val="428E5F29"/>
    <w:rsid w:val="42F057B4"/>
    <w:rsid w:val="432F7565"/>
    <w:rsid w:val="43352B14"/>
    <w:rsid w:val="43702851"/>
    <w:rsid w:val="4424604A"/>
    <w:rsid w:val="44490F85"/>
    <w:rsid w:val="445014AB"/>
    <w:rsid w:val="44FE409C"/>
    <w:rsid w:val="454A7807"/>
    <w:rsid w:val="454F0B76"/>
    <w:rsid w:val="457E2BBE"/>
    <w:rsid w:val="45CC2B61"/>
    <w:rsid w:val="45D43F84"/>
    <w:rsid w:val="45E076C0"/>
    <w:rsid w:val="460C5E7C"/>
    <w:rsid w:val="461971A9"/>
    <w:rsid w:val="4662498C"/>
    <w:rsid w:val="46A022D9"/>
    <w:rsid w:val="46A9554B"/>
    <w:rsid w:val="46BE1A6C"/>
    <w:rsid w:val="46D7175B"/>
    <w:rsid w:val="4716722E"/>
    <w:rsid w:val="471B3499"/>
    <w:rsid w:val="47391B5A"/>
    <w:rsid w:val="47B440D5"/>
    <w:rsid w:val="48037A8A"/>
    <w:rsid w:val="48377D23"/>
    <w:rsid w:val="485F04C9"/>
    <w:rsid w:val="486634EE"/>
    <w:rsid w:val="48807890"/>
    <w:rsid w:val="48A64B98"/>
    <w:rsid w:val="48BC156D"/>
    <w:rsid w:val="48E804E2"/>
    <w:rsid w:val="48F765BE"/>
    <w:rsid w:val="492568A0"/>
    <w:rsid w:val="492C1C18"/>
    <w:rsid w:val="49320F23"/>
    <w:rsid w:val="49DD73AE"/>
    <w:rsid w:val="49F308E0"/>
    <w:rsid w:val="49F95BD6"/>
    <w:rsid w:val="4A225551"/>
    <w:rsid w:val="4A2D058F"/>
    <w:rsid w:val="4A5B655E"/>
    <w:rsid w:val="4AD703A4"/>
    <w:rsid w:val="4B5B0245"/>
    <w:rsid w:val="4B86504E"/>
    <w:rsid w:val="4B866AF8"/>
    <w:rsid w:val="4BD07B58"/>
    <w:rsid w:val="4BDC276F"/>
    <w:rsid w:val="4BF97BFE"/>
    <w:rsid w:val="4C2B00B1"/>
    <w:rsid w:val="4C3176AB"/>
    <w:rsid w:val="4C5B2226"/>
    <w:rsid w:val="4C6E278E"/>
    <w:rsid w:val="4CD55307"/>
    <w:rsid w:val="4CF73C3A"/>
    <w:rsid w:val="4CFF2296"/>
    <w:rsid w:val="4D0478AD"/>
    <w:rsid w:val="4D52686A"/>
    <w:rsid w:val="4D7251FF"/>
    <w:rsid w:val="4D86623D"/>
    <w:rsid w:val="4E275DC7"/>
    <w:rsid w:val="4E472C92"/>
    <w:rsid w:val="4E5A4335"/>
    <w:rsid w:val="4E9D5C2D"/>
    <w:rsid w:val="4EBA57C1"/>
    <w:rsid w:val="4F0E39D4"/>
    <w:rsid w:val="4F1F1461"/>
    <w:rsid w:val="4FA91AAC"/>
    <w:rsid w:val="4FBD0FF5"/>
    <w:rsid w:val="4FC854D7"/>
    <w:rsid w:val="50142DE1"/>
    <w:rsid w:val="5015687B"/>
    <w:rsid w:val="501926CA"/>
    <w:rsid w:val="503A7FC5"/>
    <w:rsid w:val="50450BAF"/>
    <w:rsid w:val="505E3D68"/>
    <w:rsid w:val="5094143C"/>
    <w:rsid w:val="509C7E88"/>
    <w:rsid w:val="50DC432B"/>
    <w:rsid w:val="514F4075"/>
    <w:rsid w:val="516A440A"/>
    <w:rsid w:val="51791341"/>
    <w:rsid w:val="51C42E16"/>
    <w:rsid w:val="51D46493"/>
    <w:rsid w:val="525351F4"/>
    <w:rsid w:val="525A6FBC"/>
    <w:rsid w:val="526C0997"/>
    <w:rsid w:val="52753BB2"/>
    <w:rsid w:val="52882C0B"/>
    <w:rsid w:val="52D41C73"/>
    <w:rsid w:val="52EA77AF"/>
    <w:rsid w:val="533D33D1"/>
    <w:rsid w:val="53670B33"/>
    <w:rsid w:val="53775B6A"/>
    <w:rsid w:val="53D43855"/>
    <w:rsid w:val="53EE1101"/>
    <w:rsid w:val="53FC4E8E"/>
    <w:rsid w:val="541717DC"/>
    <w:rsid w:val="54414309"/>
    <w:rsid w:val="54446DEC"/>
    <w:rsid w:val="547364BE"/>
    <w:rsid w:val="54934F61"/>
    <w:rsid w:val="54DD7595"/>
    <w:rsid w:val="551C5030"/>
    <w:rsid w:val="55322232"/>
    <w:rsid w:val="553C46BA"/>
    <w:rsid w:val="55494082"/>
    <w:rsid w:val="55545189"/>
    <w:rsid w:val="557D5B60"/>
    <w:rsid w:val="55834A19"/>
    <w:rsid w:val="55A74BDB"/>
    <w:rsid w:val="55B619AB"/>
    <w:rsid w:val="55F0088B"/>
    <w:rsid w:val="55F526C6"/>
    <w:rsid w:val="56066DC9"/>
    <w:rsid w:val="56107FAC"/>
    <w:rsid w:val="564E1228"/>
    <w:rsid w:val="56A6131D"/>
    <w:rsid w:val="56A82B00"/>
    <w:rsid w:val="56BC5AD0"/>
    <w:rsid w:val="56D00C68"/>
    <w:rsid w:val="56E9175C"/>
    <w:rsid w:val="571373FF"/>
    <w:rsid w:val="57895A45"/>
    <w:rsid w:val="57BD3F39"/>
    <w:rsid w:val="57C5313B"/>
    <w:rsid w:val="57D807D4"/>
    <w:rsid w:val="57DE3E13"/>
    <w:rsid w:val="57EA7969"/>
    <w:rsid w:val="581C6180"/>
    <w:rsid w:val="58750691"/>
    <w:rsid w:val="58AB575D"/>
    <w:rsid w:val="59445F91"/>
    <w:rsid w:val="59815208"/>
    <w:rsid w:val="59AB1B93"/>
    <w:rsid w:val="59F001A4"/>
    <w:rsid w:val="5A1E2DE7"/>
    <w:rsid w:val="5A825684"/>
    <w:rsid w:val="5A953392"/>
    <w:rsid w:val="5B123FA7"/>
    <w:rsid w:val="5B3D683F"/>
    <w:rsid w:val="5B613C0E"/>
    <w:rsid w:val="5B913B2C"/>
    <w:rsid w:val="5BB47782"/>
    <w:rsid w:val="5BB67B93"/>
    <w:rsid w:val="5BBC1352"/>
    <w:rsid w:val="5BCA6564"/>
    <w:rsid w:val="5BE2525D"/>
    <w:rsid w:val="5BF97EFA"/>
    <w:rsid w:val="5C1E3775"/>
    <w:rsid w:val="5C381264"/>
    <w:rsid w:val="5C413204"/>
    <w:rsid w:val="5C527E32"/>
    <w:rsid w:val="5C672644"/>
    <w:rsid w:val="5C8132C7"/>
    <w:rsid w:val="5C9D7700"/>
    <w:rsid w:val="5CA23A25"/>
    <w:rsid w:val="5CBD6D10"/>
    <w:rsid w:val="5CBF44B1"/>
    <w:rsid w:val="5CC26330"/>
    <w:rsid w:val="5CD67F41"/>
    <w:rsid w:val="5D017C51"/>
    <w:rsid w:val="5D0266BB"/>
    <w:rsid w:val="5D463591"/>
    <w:rsid w:val="5D4F2A78"/>
    <w:rsid w:val="5D792AE4"/>
    <w:rsid w:val="5DF91E52"/>
    <w:rsid w:val="5E2F58D3"/>
    <w:rsid w:val="5E4222CF"/>
    <w:rsid w:val="5E5A06FD"/>
    <w:rsid w:val="5E6D3270"/>
    <w:rsid w:val="5E731DF1"/>
    <w:rsid w:val="5E7A120F"/>
    <w:rsid w:val="5E9342EC"/>
    <w:rsid w:val="5EAB19DE"/>
    <w:rsid w:val="5F1E4EC5"/>
    <w:rsid w:val="5F200E8F"/>
    <w:rsid w:val="5F226D5E"/>
    <w:rsid w:val="5F2F1FEB"/>
    <w:rsid w:val="5F3815EE"/>
    <w:rsid w:val="5F5C32D6"/>
    <w:rsid w:val="5F7F6212"/>
    <w:rsid w:val="5FCF62BD"/>
    <w:rsid w:val="600E788A"/>
    <w:rsid w:val="604130CF"/>
    <w:rsid w:val="60624750"/>
    <w:rsid w:val="60794FD4"/>
    <w:rsid w:val="607B1928"/>
    <w:rsid w:val="60814FEF"/>
    <w:rsid w:val="60D32F5A"/>
    <w:rsid w:val="610E2B4C"/>
    <w:rsid w:val="619C5EAE"/>
    <w:rsid w:val="61A23C3A"/>
    <w:rsid w:val="61DE43D4"/>
    <w:rsid w:val="61E06967"/>
    <w:rsid w:val="624216A0"/>
    <w:rsid w:val="626736F9"/>
    <w:rsid w:val="62792BC7"/>
    <w:rsid w:val="628E1BE9"/>
    <w:rsid w:val="62BD52E8"/>
    <w:rsid w:val="62D06FF9"/>
    <w:rsid w:val="62D765EB"/>
    <w:rsid w:val="62DB47B4"/>
    <w:rsid w:val="630665EC"/>
    <w:rsid w:val="636B22CC"/>
    <w:rsid w:val="637F4381"/>
    <w:rsid w:val="63B65AC7"/>
    <w:rsid w:val="63D7428B"/>
    <w:rsid w:val="64061766"/>
    <w:rsid w:val="640C4C0D"/>
    <w:rsid w:val="645830D7"/>
    <w:rsid w:val="6470717E"/>
    <w:rsid w:val="647258C3"/>
    <w:rsid w:val="64AA2E73"/>
    <w:rsid w:val="64CC53EB"/>
    <w:rsid w:val="64E8446E"/>
    <w:rsid w:val="65262602"/>
    <w:rsid w:val="6534541F"/>
    <w:rsid w:val="65376B47"/>
    <w:rsid w:val="654042F5"/>
    <w:rsid w:val="660447CA"/>
    <w:rsid w:val="6635284A"/>
    <w:rsid w:val="665622BC"/>
    <w:rsid w:val="665E5759"/>
    <w:rsid w:val="666C4EE6"/>
    <w:rsid w:val="66FB0FDC"/>
    <w:rsid w:val="66FC5AFF"/>
    <w:rsid w:val="6731395C"/>
    <w:rsid w:val="67901777"/>
    <w:rsid w:val="67AE7B43"/>
    <w:rsid w:val="67BA7741"/>
    <w:rsid w:val="680D0CA5"/>
    <w:rsid w:val="68A45648"/>
    <w:rsid w:val="68A5668C"/>
    <w:rsid w:val="6911241F"/>
    <w:rsid w:val="69145B6D"/>
    <w:rsid w:val="69147344"/>
    <w:rsid w:val="691722BE"/>
    <w:rsid w:val="6918360E"/>
    <w:rsid w:val="69771617"/>
    <w:rsid w:val="697933DA"/>
    <w:rsid w:val="69943146"/>
    <w:rsid w:val="69B67115"/>
    <w:rsid w:val="69CB5649"/>
    <w:rsid w:val="69DF2DDC"/>
    <w:rsid w:val="69EF53B4"/>
    <w:rsid w:val="6A126DD2"/>
    <w:rsid w:val="6A254DE4"/>
    <w:rsid w:val="6A2B0508"/>
    <w:rsid w:val="6A420E56"/>
    <w:rsid w:val="6A627350"/>
    <w:rsid w:val="6A924E32"/>
    <w:rsid w:val="6A94008C"/>
    <w:rsid w:val="6AC83870"/>
    <w:rsid w:val="6AC954A6"/>
    <w:rsid w:val="6AE60947"/>
    <w:rsid w:val="6B0B374F"/>
    <w:rsid w:val="6B172843"/>
    <w:rsid w:val="6B1F0CCB"/>
    <w:rsid w:val="6B6234E5"/>
    <w:rsid w:val="6BBD11F5"/>
    <w:rsid w:val="6BD12800"/>
    <w:rsid w:val="6C5E02FC"/>
    <w:rsid w:val="6C721812"/>
    <w:rsid w:val="6C8B0F52"/>
    <w:rsid w:val="6C8B53A2"/>
    <w:rsid w:val="6C967106"/>
    <w:rsid w:val="6CA74665"/>
    <w:rsid w:val="6CC30D7F"/>
    <w:rsid w:val="6CD408F6"/>
    <w:rsid w:val="6CDD0DD0"/>
    <w:rsid w:val="6CEF589A"/>
    <w:rsid w:val="6D0127E4"/>
    <w:rsid w:val="6D19028F"/>
    <w:rsid w:val="6D1C168A"/>
    <w:rsid w:val="6D3113B3"/>
    <w:rsid w:val="6D3668DD"/>
    <w:rsid w:val="6DB941BD"/>
    <w:rsid w:val="6E0365A1"/>
    <w:rsid w:val="6E114BDF"/>
    <w:rsid w:val="6E5F1098"/>
    <w:rsid w:val="6E616947"/>
    <w:rsid w:val="6E797EBB"/>
    <w:rsid w:val="6E872302"/>
    <w:rsid w:val="6EA41FA2"/>
    <w:rsid w:val="6F193452"/>
    <w:rsid w:val="6F381CAC"/>
    <w:rsid w:val="6F9C6902"/>
    <w:rsid w:val="6FA0729C"/>
    <w:rsid w:val="6FCE02DD"/>
    <w:rsid w:val="70100CA2"/>
    <w:rsid w:val="70393572"/>
    <w:rsid w:val="703E1036"/>
    <w:rsid w:val="705F5C3A"/>
    <w:rsid w:val="707324D0"/>
    <w:rsid w:val="70893D25"/>
    <w:rsid w:val="709D5E1B"/>
    <w:rsid w:val="70A24D48"/>
    <w:rsid w:val="70BA64EF"/>
    <w:rsid w:val="70C900DF"/>
    <w:rsid w:val="71326D32"/>
    <w:rsid w:val="713623DF"/>
    <w:rsid w:val="71410E09"/>
    <w:rsid w:val="715A596A"/>
    <w:rsid w:val="717C247D"/>
    <w:rsid w:val="71816B8E"/>
    <w:rsid w:val="71832D29"/>
    <w:rsid w:val="71907818"/>
    <w:rsid w:val="71B50A76"/>
    <w:rsid w:val="71C33899"/>
    <w:rsid w:val="71E95916"/>
    <w:rsid w:val="723C2E63"/>
    <w:rsid w:val="7250588C"/>
    <w:rsid w:val="725D4136"/>
    <w:rsid w:val="726F5278"/>
    <w:rsid w:val="727E786A"/>
    <w:rsid w:val="72B843C0"/>
    <w:rsid w:val="72BD0544"/>
    <w:rsid w:val="72C0472D"/>
    <w:rsid w:val="72D11D5C"/>
    <w:rsid w:val="72D54114"/>
    <w:rsid w:val="72E85DAD"/>
    <w:rsid w:val="730B14BE"/>
    <w:rsid w:val="732303D9"/>
    <w:rsid w:val="733A6A18"/>
    <w:rsid w:val="73532CC9"/>
    <w:rsid w:val="744975DD"/>
    <w:rsid w:val="744E5F5D"/>
    <w:rsid w:val="74624413"/>
    <w:rsid w:val="746920A5"/>
    <w:rsid w:val="74977656"/>
    <w:rsid w:val="74C87E25"/>
    <w:rsid w:val="74DE73F5"/>
    <w:rsid w:val="752A7E05"/>
    <w:rsid w:val="755169C7"/>
    <w:rsid w:val="75A43ED1"/>
    <w:rsid w:val="75AD509E"/>
    <w:rsid w:val="75D07F8B"/>
    <w:rsid w:val="75DF1DCE"/>
    <w:rsid w:val="75E066F3"/>
    <w:rsid w:val="75EE5669"/>
    <w:rsid w:val="75F249EA"/>
    <w:rsid w:val="76187DE5"/>
    <w:rsid w:val="767D7C04"/>
    <w:rsid w:val="76957051"/>
    <w:rsid w:val="76AF3454"/>
    <w:rsid w:val="76EC474C"/>
    <w:rsid w:val="771F0FD0"/>
    <w:rsid w:val="773E064E"/>
    <w:rsid w:val="774E1211"/>
    <w:rsid w:val="777B71D8"/>
    <w:rsid w:val="77884142"/>
    <w:rsid w:val="77A54D53"/>
    <w:rsid w:val="77E31623"/>
    <w:rsid w:val="77F936FE"/>
    <w:rsid w:val="77FC6767"/>
    <w:rsid w:val="781A0BEC"/>
    <w:rsid w:val="78202415"/>
    <w:rsid w:val="78213FC9"/>
    <w:rsid w:val="783B1525"/>
    <w:rsid w:val="78701D9C"/>
    <w:rsid w:val="78757A9E"/>
    <w:rsid w:val="788409DA"/>
    <w:rsid w:val="795E1548"/>
    <w:rsid w:val="7A0C1011"/>
    <w:rsid w:val="7A0E7A81"/>
    <w:rsid w:val="7A321CDB"/>
    <w:rsid w:val="7A63199E"/>
    <w:rsid w:val="7A6D1D3E"/>
    <w:rsid w:val="7A6E32C8"/>
    <w:rsid w:val="7AC900CF"/>
    <w:rsid w:val="7AFC6F17"/>
    <w:rsid w:val="7B052FBD"/>
    <w:rsid w:val="7B5A5A6C"/>
    <w:rsid w:val="7B5C250E"/>
    <w:rsid w:val="7B5E7074"/>
    <w:rsid w:val="7B6D0F87"/>
    <w:rsid w:val="7B783FD8"/>
    <w:rsid w:val="7B9A3DB8"/>
    <w:rsid w:val="7BF20E1E"/>
    <w:rsid w:val="7C3206D2"/>
    <w:rsid w:val="7C9408F4"/>
    <w:rsid w:val="7CAA0021"/>
    <w:rsid w:val="7CB90CC2"/>
    <w:rsid w:val="7CBC4000"/>
    <w:rsid w:val="7CD97919"/>
    <w:rsid w:val="7CFA62C0"/>
    <w:rsid w:val="7CFB2CE9"/>
    <w:rsid w:val="7D04126C"/>
    <w:rsid w:val="7D212CA5"/>
    <w:rsid w:val="7D255EE2"/>
    <w:rsid w:val="7D293184"/>
    <w:rsid w:val="7D69777E"/>
    <w:rsid w:val="7DB34706"/>
    <w:rsid w:val="7DBF2C63"/>
    <w:rsid w:val="7DC06473"/>
    <w:rsid w:val="7DD21409"/>
    <w:rsid w:val="7E176B90"/>
    <w:rsid w:val="7E1A0A9F"/>
    <w:rsid w:val="7E3C401A"/>
    <w:rsid w:val="7E435C16"/>
    <w:rsid w:val="7E641213"/>
    <w:rsid w:val="7E6E0173"/>
    <w:rsid w:val="7E7427D8"/>
    <w:rsid w:val="7E797F46"/>
    <w:rsid w:val="7EA2583A"/>
    <w:rsid w:val="7EA447C6"/>
    <w:rsid w:val="7EC16AFC"/>
    <w:rsid w:val="7EF34773"/>
    <w:rsid w:val="7F0D08DC"/>
    <w:rsid w:val="7F4029E3"/>
    <w:rsid w:val="7F714EE5"/>
    <w:rsid w:val="7F795BB0"/>
    <w:rsid w:val="7F7F2734"/>
    <w:rsid w:val="7FA63F96"/>
    <w:rsid w:val="7FB9287C"/>
    <w:rsid w:val="7FCC47FD"/>
    <w:rsid w:val="7FD20E4A"/>
    <w:rsid w:val="7FFB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5"/>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4"/>
    <w:qFormat/>
    <w:uiPriority w:val="0"/>
    <w:pPr>
      <w:keepNext/>
      <w:keepLines/>
      <w:spacing w:before="260" w:after="260" w:line="415" w:lineRule="auto"/>
      <w:outlineLvl w:val="2"/>
    </w:pPr>
    <w:rPr>
      <w:b/>
      <w:bCs/>
      <w:kern w:val="0"/>
      <w:sz w:val="32"/>
      <w:szCs w:val="32"/>
    </w:rPr>
  </w:style>
  <w:style w:type="paragraph" w:styleId="2">
    <w:name w:val="heading 4"/>
    <w:basedOn w:val="1"/>
    <w:next w:val="1"/>
    <w:link w:val="89"/>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6"/>
    <w:basedOn w:val="1"/>
    <w:next w:val="1"/>
    <w:link w:val="56"/>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7">
    <w:name w:val="heading 7"/>
    <w:basedOn w:val="1"/>
    <w:next w:val="1"/>
    <w:link w:val="96"/>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1"/>
    <w:next w:val="1"/>
    <w:link w:val="78"/>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9">
    <w:name w:val="heading 9"/>
    <w:basedOn w:val="1"/>
    <w:next w:val="1"/>
    <w:link w:val="70"/>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10">
    <w:name w:val="toc 7"/>
    <w:basedOn w:val="1"/>
    <w:next w:val="1"/>
    <w:qFormat/>
    <w:uiPriority w:val="39"/>
    <w:pPr>
      <w:ind w:left="1260"/>
      <w:jc w:val="left"/>
    </w:pPr>
    <w:rPr>
      <w:rFonts w:ascii="Calibri" w:hAnsi="Calibri"/>
      <w:sz w:val="18"/>
      <w:szCs w:val="18"/>
    </w:rPr>
  </w:style>
  <w:style w:type="paragraph" w:styleId="11">
    <w:name w:val="Normal Indent"/>
    <w:basedOn w:val="1"/>
    <w:link w:val="66"/>
    <w:qFormat/>
    <w:uiPriority w:val="0"/>
    <w:pPr>
      <w:ind w:firstLine="420" w:firstLineChars="200"/>
    </w:pPr>
  </w:style>
  <w:style w:type="paragraph" w:styleId="12">
    <w:name w:val="Document Map"/>
    <w:basedOn w:val="1"/>
    <w:link w:val="73"/>
    <w:qFormat/>
    <w:uiPriority w:val="0"/>
    <w:pPr>
      <w:shd w:val="clear" w:color="auto" w:fill="000080"/>
    </w:pPr>
    <w:rPr>
      <w:kern w:val="0"/>
      <w:sz w:val="20"/>
    </w:rPr>
  </w:style>
  <w:style w:type="paragraph" w:styleId="13">
    <w:name w:val="annotation text"/>
    <w:basedOn w:val="1"/>
    <w:link w:val="55"/>
    <w:unhideWhenUsed/>
    <w:qFormat/>
    <w:uiPriority w:val="99"/>
    <w:pPr>
      <w:jc w:val="left"/>
    </w:pPr>
    <w:rPr>
      <w:kern w:val="0"/>
      <w:sz w:val="20"/>
    </w:rPr>
  </w:style>
  <w:style w:type="paragraph" w:styleId="14">
    <w:name w:val="Body Text 3"/>
    <w:basedOn w:val="1"/>
    <w:link w:val="59"/>
    <w:qFormat/>
    <w:uiPriority w:val="0"/>
    <w:rPr>
      <w:rFonts w:ascii="宋体"/>
      <w:kern w:val="0"/>
      <w:sz w:val="24"/>
      <w:szCs w:val="20"/>
    </w:rPr>
  </w:style>
  <w:style w:type="paragraph" w:styleId="15">
    <w:name w:val="Body Text"/>
    <w:basedOn w:val="1"/>
    <w:next w:val="1"/>
    <w:link w:val="62"/>
    <w:qFormat/>
    <w:uiPriority w:val="0"/>
    <w:pPr>
      <w:spacing w:after="120"/>
    </w:pPr>
    <w:rPr>
      <w:kern w:val="0"/>
      <w:sz w:val="20"/>
    </w:rPr>
  </w:style>
  <w:style w:type="paragraph" w:styleId="16">
    <w:name w:val="Body Text Indent"/>
    <w:basedOn w:val="1"/>
    <w:next w:val="1"/>
    <w:link w:val="72"/>
    <w:qFormat/>
    <w:uiPriority w:val="0"/>
    <w:pPr>
      <w:spacing w:after="120"/>
      <w:ind w:left="420" w:leftChars="200"/>
    </w:pPr>
    <w:rPr>
      <w:kern w:val="0"/>
      <w:sz w:val="20"/>
    </w:rPr>
  </w:style>
  <w:style w:type="paragraph" w:styleId="17">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8">
    <w:name w:val="toc 5"/>
    <w:basedOn w:val="1"/>
    <w:next w:val="1"/>
    <w:qFormat/>
    <w:uiPriority w:val="39"/>
    <w:pPr>
      <w:ind w:left="840"/>
      <w:jc w:val="left"/>
    </w:pPr>
    <w:rPr>
      <w:rFonts w:ascii="Calibri" w:hAnsi="Calibri"/>
      <w:sz w:val="18"/>
      <w:szCs w:val="18"/>
    </w:rPr>
  </w:style>
  <w:style w:type="paragraph" w:styleId="19">
    <w:name w:val="toc 3"/>
    <w:basedOn w:val="1"/>
    <w:next w:val="1"/>
    <w:qFormat/>
    <w:uiPriority w:val="39"/>
    <w:pPr>
      <w:ind w:left="420"/>
      <w:jc w:val="left"/>
    </w:pPr>
    <w:rPr>
      <w:rFonts w:ascii="Calibri" w:hAnsi="Calibri"/>
      <w:i/>
      <w:iCs/>
      <w:sz w:val="20"/>
      <w:szCs w:val="20"/>
    </w:rPr>
  </w:style>
  <w:style w:type="paragraph" w:styleId="20">
    <w:name w:val="Plain Text"/>
    <w:basedOn w:val="1"/>
    <w:link w:val="95"/>
    <w:qFormat/>
    <w:uiPriority w:val="99"/>
    <w:rPr>
      <w:rFonts w:ascii="Courier New" w:hAnsi="Courier New"/>
      <w:kern w:val="0"/>
      <w:sz w:val="20"/>
      <w:szCs w:val="20"/>
    </w:rPr>
  </w:style>
  <w:style w:type="paragraph" w:styleId="21">
    <w:name w:val="toc 8"/>
    <w:basedOn w:val="1"/>
    <w:next w:val="1"/>
    <w:qFormat/>
    <w:uiPriority w:val="39"/>
    <w:pPr>
      <w:ind w:left="1470"/>
      <w:jc w:val="left"/>
    </w:pPr>
    <w:rPr>
      <w:rFonts w:ascii="Calibri" w:hAnsi="Calibri"/>
      <w:sz w:val="18"/>
      <w:szCs w:val="18"/>
    </w:rPr>
  </w:style>
  <w:style w:type="paragraph" w:styleId="22">
    <w:name w:val="Date"/>
    <w:basedOn w:val="1"/>
    <w:next w:val="1"/>
    <w:link w:val="79"/>
    <w:qFormat/>
    <w:uiPriority w:val="0"/>
    <w:rPr>
      <w:kern w:val="0"/>
      <w:sz w:val="24"/>
      <w:szCs w:val="20"/>
    </w:rPr>
  </w:style>
  <w:style w:type="paragraph" w:styleId="23">
    <w:name w:val="Body Text Indent 2"/>
    <w:basedOn w:val="1"/>
    <w:qFormat/>
    <w:uiPriority w:val="0"/>
    <w:pPr>
      <w:spacing w:after="120" w:line="480" w:lineRule="auto"/>
      <w:ind w:left="420" w:leftChars="200"/>
    </w:pPr>
  </w:style>
  <w:style w:type="paragraph" w:styleId="24">
    <w:name w:val="Balloon Text"/>
    <w:basedOn w:val="1"/>
    <w:link w:val="77"/>
    <w:qFormat/>
    <w:uiPriority w:val="0"/>
    <w:rPr>
      <w:kern w:val="0"/>
      <w:sz w:val="18"/>
      <w:szCs w:val="18"/>
    </w:rPr>
  </w:style>
  <w:style w:type="paragraph" w:styleId="25">
    <w:name w:val="footer"/>
    <w:basedOn w:val="1"/>
    <w:link w:val="91"/>
    <w:qFormat/>
    <w:uiPriority w:val="99"/>
    <w:pPr>
      <w:tabs>
        <w:tab w:val="center" w:pos="4153"/>
        <w:tab w:val="right" w:pos="8306"/>
      </w:tabs>
      <w:snapToGrid w:val="0"/>
      <w:jc w:val="left"/>
    </w:pPr>
    <w:rPr>
      <w:kern w:val="0"/>
      <w:sz w:val="18"/>
      <w:szCs w:val="18"/>
    </w:rPr>
  </w:style>
  <w:style w:type="paragraph" w:styleId="26">
    <w:name w:val="header"/>
    <w:basedOn w:val="1"/>
    <w:link w:val="69"/>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qFormat/>
    <w:uiPriority w:val="39"/>
    <w:pPr>
      <w:spacing w:before="120" w:after="120"/>
      <w:jc w:val="left"/>
    </w:pPr>
    <w:rPr>
      <w:rFonts w:ascii="Calibri" w:hAnsi="Calibri"/>
      <w:b/>
      <w:bCs/>
      <w:caps/>
      <w:sz w:val="20"/>
      <w:szCs w:val="20"/>
    </w:rPr>
  </w:style>
  <w:style w:type="paragraph" w:styleId="28">
    <w:name w:val="toc 4"/>
    <w:basedOn w:val="1"/>
    <w:next w:val="1"/>
    <w:qFormat/>
    <w:uiPriority w:val="39"/>
    <w:pPr>
      <w:ind w:left="630"/>
      <w:jc w:val="left"/>
    </w:pPr>
    <w:rPr>
      <w:rFonts w:ascii="Calibri" w:hAnsi="Calibri"/>
      <w:sz w:val="18"/>
      <w:szCs w:val="18"/>
    </w:rPr>
  </w:style>
  <w:style w:type="paragraph" w:styleId="29">
    <w:name w:val="footnote text"/>
    <w:basedOn w:val="1"/>
    <w:link w:val="63"/>
    <w:qFormat/>
    <w:uiPriority w:val="0"/>
    <w:rPr>
      <w:kern w:val="0"/>
      <w:sz w:val="20"/>
      <w:szCs w:val="20"/>
    </w:rPr>
  </w:style>
  <w:style w:type="paragraph" w:styleId="30">
    <w:name w:val="toc 6"/>
    <w:basedOn w:val="1"/>
    <w:next w:val="1"/>
    <w:qFormat/>
    <w:uiPriority w:val="39"/>
    <w:pPr>
      <w:ind w:left="1050"/>
      <w:jc w:val="left"/>
    </w:pPr>
    <w:rPr>
      <w:rFonts w:ascii="Calibri" w:hAnsi="Calibri"/>
      <w:sz w:val="18"/>
      <w:szCs w:val="18"/>
    </w:rPr>
  </w:style>
  <w:style w:type="paragraph" w:styleId="31">
    <w:name w:val="Body Text Indent 3"/>
    <w:basedOn w:val="1"/>
    <w:link w:val="83"/>
    <w:qFormat/>
    <w:uiPriority w:val="0"/>
    <w:pPr>
      <w:spacing w:after="120"/>
      <w:ind w:left="420" w:leftChars="200"/>
    </w:pPr>
    <w:rPr>
      <w:kern w:val="0"/>
      <w:sz w:val="16"/>
      <w:szCs w:val="16"/>
    </w:rPr>
  </w:style>
  <w:style w:type="paragraph" w:styleId="32">
    <w:name w:val="table of figures"/>
    <w:basedOn w:val="1"/>
    <w:next w:val="1"/>
    <w:qFormat/>
    <w:uiPriority w:val="0"/>
    <w:pPr>
      <w:ind w:left="200" w:leftChars="200" w:hanging="200" w:hangingChars="200"/>
    </w:pPr>
  </w:style>
  <w:style w:type="paragraph" w:styleId="33">
    <w:name w:val="toc 2"/>
    <w:basedOn w:val="1"/>
    <w:next w:val="1"/>
    <w:qFormat/>
    <w:uiPriority w:val="39"/>
    <w:pPr>
      <w:ind w:left="210"/>
      <w:jc w:val="left"/>
    </w:pPr>
    <w:rPr>
      <w:rFonts w:ascii="Calibri" w:hAnsi="Calibri"/>
      <w:smallCaps/>
      <w:sz w:val="20"/>
      <w:szCs w:val="20"/>
    </w:rPr>
  </w:style>
  <w:style w:type="paragraph" w:styleId="34">
    <w:name w:val="toc 9"/>
    <w:basedOn w:val="1"/>
    <w:next w:val="1"/>
    <w:qFormat/>
    <w:uiPriority w:val="39"/>
    <w:pPr>
      <w:ind w:left="1680"/>
      <w:jc w:val="left"/>
    </w:pPr>
    <w:rPr>
      <w:rFonts w:ascii="Calibri" w:hAnsi="Calibri"/>
      <w:sz w:val="18"/>
      <w:szCs w:val="18"/>
    </w:rPr>
  </w:style>
  <w:style w:type="paragraph" w:styleId="35">
    <w:name w:val="HTML Preformatted"/>
    <w:basedOn w:val="1"/>
    <w:link w:val="9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index 1"/>
    <w:basedOn w:val="1"/>
    <w:next w:val="1"/>
    <w:semiHidden/>
    <w:qFormat/>
    <w:uiPriority w:val="0"/>
    <w:pPr>
      <w:spacing w:line="360" w:lineRule="auto"/>
      <w:jc w:val="center"/>
    </w:pPr>
    <w:rPr>
      <w:rFonts w:ascii="宋体" w:hAnsi="Arial" w:cs="Arial"/>
      <w:b/>
      <w:color w:val="000000"/>
      <w:sz w:val="24"/>
    </w:rPr>
  </w:style>
  <w:style w:type="paragraph" w:styleId="38">
    <w:name w:val="Title"/>
    <w:basedOn w:val="1"/>
    <w:link w:val="76"/>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3"/>
    <w:next w:val="13"/>
    <w:link w:val="65"/>
    <w:qFormat/>
    <w:uiPriority w:val="0"/>
    <w:rPr>
      <w:b/>
      <w:bCs/>
    </w:rPr>
  </w:style>
  <w:style w:type="paragraph" w:styleId="40">
    <w:name w:val="Body Text First Indent 2"/>
    <w:basedOn w:val="16"/>
    <w:unhideWhenUsed/>
    <w:qFormat/>
    <w:uiPriority w:val="0"/>
    <w:pPr>
      <w:ind w:firstLine="420"/>
    </w:pPr>
  </w:style>
  <w:style w:type="table" w:styleId="42">
    <w:name w:val="Table Grid"/>
    <w:basedOn w:val="4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style>
  <w:style w:type="character" w:styleId="46">
    <w:name w:val="FollowedHyperlink"/>
    <w:qFormat/>
    <w:uiPriority w:val="0"/>
    <w:rPr>
      <w:rFonts w:hint="default" w:ascii="Arial" w:hAnsi="Arial" w:eastAsia="Arial" w:cs="Arial"/>
      <w:color w:val="333333"/>
      <w:sz w:val="21"/>
      <w:szCs w:val="21"/>
      <w:u w:val="none"/>
    </w:rPr>
  </w:style>
  <w:style w:type="character" w:styleId="47">
    <w:name w:val="Hyperlink"/>
    <w:qFormat/>
    <w:uiPriority w:val="99"/>
    <w:rPr>
      <w:rFonts w:ascii="Arial" w:hAnsi="Arial" w:eastAsia="Arial" w:cs="Arial"/>
      <w:color w:val="333333"/>
      <w:sz w:val="21"/>
      <w:szCs w:val="21"/>
      <w:u w:val="none"/>
    </w:rPr>
  </w:style>
  <w:style w:type="character" w:styleId="48">
    <w:name w:val="annotation reference"/>
    <w:qFormat/>
    <w:uiPriority w:val="0"/>
    <w:rPr>
      <w:sz w:val="21"/>
      <w:szCs w:val="21"/>
    </w:rPr>
  </w:style>
  <w:style w:type="character" w:styleId="49">
    <w:name w:val="footnote reference"/>
    <w:qFormat/>
    <w:uiPriority w:val="0"/>
    <w:rPr>
      <w:vertAlign w:val="superscript"/>
    </w:rPr>
  </w:style>
  <w:style w:type="character" w:customStyle="1" w:styleId="50">
    <w:name w:val="apple-style-span"/>
    <w:qFormat/>
    <w:uiPriority w:val="0"/>
    <w:rPr>
      <w:rFonts w:ascii="Verdana" w:hAnsi="Verdana" w:eastAsia="宋体"/>
      <w:sz w:val="21"/>
      <w:lang w:val="en-US" w:eastAsia="en-US" w:bidi="ar-SA"/>
    </w:rPr>
  </w:style>
  <w:style w:type="character" w:customStyle="1" w:styleId="51">
    <w:name w:val="正文文本 3 Char1"/>
    <w:semiHidden/>
    <w:qFormat/>
    <w:uiPriority w:val="99"/>
    <w:rPr>
      <w:rFonts w:ascii="Times New Roman" w:hAnsi="Times New Roman" w:eastAsia="宋体" w:cs="Times New Roman"/>
      <w:sz w:val="16"/>
      <w:szCs w:val="16"/>
    </w:rPr>
  </w:style>
  <w:style w:type="character" w:customStyle="1" w:styleId="52">
    <w:name w:val="样式 宋体"/>
    <w:qFormat/>
    <w:uiPriority w:val="0"/>
    <w:rPr>
      <w:rFonts w:ascii="Times New Roman" w:hAnsi="Times New Roman" w:eastAsia="宋体"/>
      <w:sz w:val="21"/>
    </w:rPr>
  </w:style>
  <w:style w:type="character" w:customStyle="1" w:styleId="53">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4">
    <w:name w:val="标题 3 字符"/>
    <w:link w:val="5"/>
    <w:qFormat/>
    <w:uiPriority w:val="0"/>
    <w:rPr>
      <w:rFonts w:ascii="Times New Roman" w:hAnsi="Times New Roman" w:eastAsia="宋体" w:cs="Times New Roman"/>
      <w:b/>
      <w:bCs/>
      <w:sz w:val="32"/>
      <w:szCs w:val="32"/>
    </w:rPr>
  </w:style>
  <w:style w:type="character" w:customStyle="1" w:styleId="55">
    <w:name w:val="批注文字 字符"/>
    <w:link w:val="13"/>
    <w:semiHidden/>
    <w:qFormat/>
    <w:uiPriority w:val="99"/>
    <w:rPr>
      <w:rFonts w:ascii="Times New Roman" w:hAnsi="Times New Roman" w:eastAsia="宋体" w:cs="Times New Roman"/>
      <w:szCs w:val="24"/>
    </w:rPr>
  </w:style>
  <w:style w:type="character" w:customStyle="1" w:styleId="56">
    <w:name w:val="标题 6 字符"/>
    <w:link w:val="6"/>
    <w:qFormat/>
    <w:uiPriority w:val="0"/>
    <w:rPr>
      <w:rFonts w:ascii="Arial" w:hAnsi="Arial" w:eastAsia="黑体" w:cs="Times New Roman"/>
      <w:b/>
      <w:bCs/>
      <w:kern w:val="0"/>
      <w:sz w:val="24"/>
      <w:szCs w:val="24"/>
    </w:rPr>
  </w:style>
  <w:style w:type="character" w:customStyle="1" w:styleId="57">
    <w:name w:val="Char Char8"/>
    <w:qFormat/>
    <w:uiPriority w:val="0"/>
    <w:rPr>
      <w:rFonts w:ascii="Arial" w:hAnsi="Arial" w:eastAsia="黑体"/>
      <w:b/>
      <w:bCs/>
      <w:kern w:val="2"/>
      <w:sz w:val="32"/>
      <w:szCs w:val="32"/>
      <w:lang w:val="en-US" w:eastAsia="zh-CN" w:bidi="ar-SA"/>
    </w:rPr>
  </w:style>
  <w:style w:type="character" w:customStyle="1" w:styleId="58">
    <w:name w:val="脚注文本 Char1"/>
    <w:semiHidden/>
    <w:qFormat/>
    <w:uiPriority w:val="99"/>
    <w:rPr>
      <w:rFonts w:ascii="Times New Roman" w:hAnsi="Times New Roman" w:eastAsia="宋体" w:cs="Times New Roman"/>
      <w:sz w:val="18"/>
      <w:szCs w:val="18"/>
    </w:rPr>
  </w:style>
  <w:style w:type="character" w:customStyle="1" w:styleId="59">
    <w:name w:val="正文文本 3 字符"/>
    <w:link w:val="14"/>
    <w:qFormat/>
    <w:uiPriority w:val="0"/>
    <w:rPr>
      <w:rFonts w:ascii="宋体"/>
      <w:sz w:val="24"/>
    </w:rPr>
  </w:style>
  <w:style w:type="character" w:customStyle="1" w:styleId="60">
    <w:name w:val="页脚 Char1"/>
    <w:semiHidden/>
    <w:qFormat/>
    <w:uiPriority w:val="99"/>
    <w:rPr>
      <w:rFonts w:ascii="Times New Roman" w:hAnsi="Times New Roman" w:eastAsia="宋体" w:cs="Times New Roman"/>
      <w:sz w:val="18"/>
      <w:szCs w:val="18"/>
    </w:rPr>
  </w:style>
  <w:style w:type="character" w:customStyle="1" w:styleId="61">
    <w:name w:val="标题 Char1"/>
    <w:qFormat/>
    <w:uiPriority w:val="10"/>
    <w:rPr>
      <w:rFonts w:ascii="Calibri Light" w:hAnsi="Calibri Light" w:eastAsia="宋体" w:cs="Times New Roman"/>
      <w:b/>
      <w:bCs/>
      <w:sz w:val="32"/>
      <w:szCs w:val="32"/>
    </w:rPr>
  </w:style>
  <w:style w:type="character" w:customStyle="1" w:styleId="62">
    <w:name w:val="正文文本 字符"/>
    <w:link w:val="15"/>
    <w:qFormat/>
    <w:uiPriority w:val="0"/>
    <w:rPr>
      <w:rFonts w:eastAsia="宋体"/>
      <w:szCs w:val="24"/>
    </w:rPr>
  </w:style>
  <w:style w:type="character" w:customStyle="1" w:styleId="63">
    <w:name w:val="脚注文本 字符"/>
    <w:link w:val="29"/>
    <w:qFormat/>
    <w:uiPriority w:val="0"/>
    <w:rPr>
      <w:rFonts w:eastAsia="宋体"/>
    </w:rPr>
  </w:style>
  <w:style w:type="character" w:customStyle="1" w:styleId="64">
    <w:name w:val="纯文本 Char1"/>
    <w:semiHidden/>
    <w:qFormat/>
    <w:uiPriority w:val="99"/>
    <w:rPr>
      <w:rFonts w:ascii="宋体" w:hAnsi="Courier New" w:eastAsia="宋体" w:cs="Courier New"/>
      <w:szCs w:val="21"/>
    </w:rPr>
  </w:style>
  <w:style w:type="character" w:customStyle="1" w:styleId="65">
    <w:name w:val="批注主题 字符"/>
    <w:link w:val="39"/>
    <w:qFormat/>
    <w:uiPriority w:val="0"/>
    <w:rPr>
      <w:rFonts w:ascii="Times New Roman" w:hAnsi="Times New Roman" w:eastAsia="宋体" w:cs="Times New Roman"/>
      <w:b/>
      <w:bCs/>
      <w:szCs w:val="24"/>
    </w:rPr>
  </w:style>
  <w:style w:type="character" w:customStyle="1" w:styleId="66">
    <w:name w:val="正文缩进 字符"/>
    <w:link w:val="11"/>
    <w:qFormat/>
    <w:locked/>
    <w:uiPriority w:val="0"/>
    <w:rPr>
      <w:kern w:val="2"/>
      <w:sz w:val="21"/>
      <w:szCs w:val="24"/>
    </w:rPr>
  </w:style>
  <w:style w:type="character" w:customStyle="1" w:styleId="67">
    <w:name w:val="font11"/>
    <w:qFormat/>
    <w:uiPriority w:val="0"/>
    <w:rPr>
      <w:rFonts w:hint="default" w:ascii="Times New Roman" w:hAnsi="Times New Roman" w:cs="Times New Roman"/>
      <w:color w:val="000000"/>
      <w:sz w:val="22"/>
      <w:szCs w:val="22"/>
      <w:u w:val="none"/>
    </w:rPr>
  </w:style>
  <w:style w:type="character" w:customStyle="1" w:styleId="68">
    <w:name w:val="font01"/>
    <w:qFormat/>
    <w:uiPriority w:val="0"/>
    <w:rPr>
      <w:rFonts w:hint="eastAsia" w:ascii="宋体" w:hAnsi="宋体" w:eastAsia="宋体" w:cs="宋体"/>
      <w:color w:val="000000"/>
      <w:sz w:val="22"/>
      <w:szCs w:val="22"/>
      <w:u w:val="none"/>
    </w:rPr>
  </w:style>
  <w:style w:type="character" w:customStyle="1" w:styleId="69">
    <w:name w:val="页眉 字符"/>
    <w:link w:val="26"/>
    <w:qFormat/>
    <w:uiPriority w:val="0"/>
    <w:rPr>
      <w:rFonts w:ascii="Times New Roman" w:hAnsi="Times New Roman" w:eastAsia="宋体" w:cs="Times New Roman"/>
      <w:sz w:val="18"/>
      <w:szCs w:val="18"/>
    </w:rPr>
  </w:style>
  <w:style w:type="character" w:customStyle="1" w:styleId="70">
    <w:name w:val="标题 9 字符"/>
    <w:link w:val="9"/>
    <w:qFormat/>
    <w:uiPriority w:val="0"/>
    <w:rPr>
      <w:rFonts w:ascii="Arial" w:hAnsi="Arial" w:eastAsia="黑体" w:cs="Times New Roman"/>
      <w:kern w:val="0"/>
      <w:szCs w:val="21"/>
    </w:rPr>
  </w:style>
  <w:style w:type="character" w:customStyle="1" w:styleId="71">
    <w:name w:val="标题 2 Char1"/>
    <w:qFormat/>
    <w:uiPriority w:val="0"/>
    <w:rPr>
      <w:rFonts w:ascii="Arial" w:hAnsi="Arial" w:eastAsia="黑体" w:cs="Times New Roman"/>
      <w:b/>
      <w:bCs/>
      <w:sz w:val="32"/>
      <w:szCs w:val="32"/>
      <w:lang w:val="en-US" w:eastAsia="en-US" w:bidi="ar-SA"/>
    </w:rPr>
  </w:style>
  <w:style w:type="character" w:customStyle="1" w:styleId="72">
    <w:name w:val="正文文本缩进 字符"/>
    <w:link w:val="16"/>
    <w:qFormat/>
    <w:uiPriority w:val="0"/>
    <w:rPr>
      <w:szCs w:val="24"/>
    </w:rPr>
  </w:style>
  <w:style w:type="character" w:customStyle="1" w:styleId="73">
    <w:name w:val="文档结构图 字符"/>
    <w:link w:val="12"/>
    <w:qFormat/>
    <w:uiPriority w:val="0"/>
    <w:rPr>
      <w:rFonts w:ascii="Times New Roman" w:hAnsi="Times New Roman" w:eastAsia="宋体" w:cs="Times New Roman"/>
      <w:szCs w:val="24"/>
      <w:shd w:val="clear" w:color="auto" w:fill="000080"/>
    </w:rPr>
  </w:style>
  <w:style w:type="character" w:customStyle="1" w:styleId="74">
    <w:name w:val="font161"/>
    <w:qFormat/>
    <w:uiPriority w:val="0"/>
    <w:rPr>
      <w:b/>
      <w:bCs/>
      <w:sz w:val="32"/>
      <w:szCs w:val="32"/>
    </w:rPr>
  </w:style>
  <w:style w:type="character" w:customStyle="1" w:styleId="75">
    <w:name w:val="标题 2 字符"/>
    <w:link w:val="4"/>
    <w:qFormat/>
    <w:uiPriority w:val="0"/>
    <w:rPr>
      <w:rFonts w:ascii="Arial" w:hAnsi="Arial" w:eastAsia="黑体" w:cs="Times New Roman"/>
      <w:b/>
      <w:bCs/>
      <w:sz w:val="32"/>
      <w:szCs w:val="32"/>
    </w:rPr>
  </w:style>
  <w:style w:type="character" w:customStyle="1" w:styleId="76">
    <w:name w:val="标题 字符"/>
    <w:link w:val="38"/>
    <w:qFormat/>
    <w:uiPriority w:val="0"/>
    <w:rPr>
      <w:rFonts w:ascii="Arial" w:hAnsi="Arial"/>
      <w:b/>
      <w:sz w:val="32"/>
    </w:rPr>
  </w:style>
  <w:style w:type="character" w:customStyle="1" w:styleId="77">
    <w:name w:val="批注框文本 字符"/>
    <w:link w:val="24"/>
    <w:qFormat/>
    <w:uiPriority w:val="0"/>
    <w:rPr>
      <w:rFonts w:ascii="Times New Roman" w:hAnsi="Times New Roman" w:eastAsia="宋体" w:cs="Times New Roman"/>
      <w:sz w:val="18"/>
      <w:szCs w:val="18"/>
    </w:rPr>
  </w:style>
  <w:style w:type="character" w:customStyle="1" w:styleId="78">
    <w:name w:val="标题 8 字符"/>
    <w:link w:val="8"/>
    <w:qFormat/>
    <w:uiPriority w:val="0"/>
    <w:rPr>
      <w:rFonts w:ascii="Arial" w:hAnsi="Arial" w:eastAsia="黑体" w:cs="Times New Roman"/>
      <w:kern w:val="0"/>
      <w:sz w:val="24"/>
      <w:szCs w:val="24"/>
    </w:rPr>
  </w:style>
  <w:style w:type="character" w:customStyle="1" w:styleId="79">
    <w:name w:val="日期 字符"/>
    <w:link w:val="22"/>
    <w:qFormat/>
    <w:uiPriority w:val="0"/>
    <w:rPr>
      <w:rFonts w:ascii="Times New Roman" w:hAnsi="Times New Roman" w:eastAsia="宋体" w:cs="Times New Roman"/>
      <w:sz w:val="24"/>
      <w:szCs w:val="20"/>
    </w:rPr>
  </w:style>
  <w:style w:type="character" w:customStyle="1" w:styleId="80">
    <w:name w:val="标题 1 字符"/>
    <w:link w:val="3"/>
    <w:qFormat/>
    <w:uiPriority w:val="0"/>
    <w:rPr>
      <w:rFonts w:ascii="Times New Roman" w:hAnsi="Times New Roman" w:eastAsia="宋体" w:cs="Times New Roman"/>
      <w:b/>
      <w:bCs/>
      <w:kern w:val="44"/>
      <w:sz w:val="44"/>
      <w:szCs w:val="44"/>
    </w:rPr>
  </w:style>
  <w:style w:type="character" w:customStyle="1" w:styleId="81">
    <w:name w:val="招标节 Char"/>
    <w:link w:val="82"/>
    <w:qFormat/>
    <w:locked/>
    <w:uiPriority w:val="0"/>
    <w:rPr>
      <w:b/>
      <w:sz w:val="24"/>
      <w:szCs w:val="24"/>
    </w:rPr>
  </w:style>
  <w:style w:type="paragraph" w:customStyle="1" w:styleId="82">
    <w:name w:val="招标节"/>
    <w:basedOn w:val="1"/>
    <w:next w:val="1"/>
    <w:link w:val="81"/>
    <w:qFormat/>
    <w:uiPriority w:val="0"/>
    <w:pPr>
      <w:spacing w:beforeLines="50" w:afterLines="50"/>
      <w:outlineLvl w:val="1"/>
    </w:pPr>
    <w:rPr>
      <w:b/>
      <w:kern w:val="0"/>
      <w:sz w:val="24"/>
    </w:rPr>
  </w:style>
  <w:style w:type="character" w:customStyle="1" w:styleId="83">
    <w:name w:val="正文文本缩进 3 字符"/>
    <w:link w:val="31"/>
    <w:qFormat/>
    <w:uiPriority w:val="0"/>
    <w:rPr>
      <w:rFonts w:ascii="Times New Roman" w:hAnsi="Times New Roman" w:eastAsia="宋体" w:cs="Times New Roman"/>
      <w:sz w:val="16"/>
      <w:szCs w:val="16"/>
    </w:rPr>
  </w:style>
  <w:style w:type="character" w:customStyle="1" w:styleId="84">
    <w:name w:val="tpc_content1"/>
    <w:qFormat/>
    <w:uiPriority w:val="0"/>
    <w:rPr>
      <w:sz w:val="20"/>
      <w:szCs w:val="20"/>
    </w:rPr>
  </w:style>
  <w:style w:type="character" w:customStyle="1" w:styleId="85">
    <w:name w:val="Char Char"/>
    <w:qFormat/>
    <w:uiPriority w:val="0"/>
    <w:rPr>
      <w:rFonts w:ascii="Arial" w:hAnsi="Arial" w:eastAsia="黑体"/>
      <w:b/>
      <w:bCs/>
      <w:kern w:val="2"/>
      <w:sz w:val="32"/>
      <w:szCs w:val="32"/>
      <w:lang w:val="en-US" w:eastAsia="zh-CN" w:bidi="ar-SA"/>
    </w:rPr>
  </w:style>
  <w:style w:type="character" w:customStyle="1" w:styleId="86">
    <w:name w:val="正文文本 Char1"/>
    <w:semiHidden/>
    <w:qFormat/>
    <w:uiPriority w:val="99"/>
    <w:rPr>
      <w:rFonts w:ascii="Times New Roman" w:hAnsi="Times New Roman" w:eastAsia="宋体" w:cs="Times New Roman"/>
      <w:szCs w:val="24"/>
    </w:rPr>
  </w:style>
  <w:style w:type="character" w:customStyle="1" w:styleId="87">
    <w:name w:val="Char Char2"/>
    <w:qFormat/>
    <w:uiPriority w:val="0"/>
    <w:rPr>
      <w:rFonts w:eastAsia="宋体"/>
      <w:kern w:val="2"/>
      <w:sz w:val="21"/>
      <w:szCs w:val="24"/>
      <w:lang w:val="en-US" w:eastAsia="zh-CN" w:bidi="ar-SA"/>
    </w:rPr>
  </w:style>
  <w:style w:type="character" w:customStyle="1" w:styleId="88">
    <w:name w:val="apple-converted-space"/>
    <w:qFormat/>
    <w:uiPriority w:val="0"/>
  </w:style>
  <w:style w:type="character" w:customStyle="1" w:styleId="89">
    <w:name w:val="标题 4 字符"/>
    <w:link w:val="2"/>
    <w:qFormat/>
    <w:uiPriority w:val="0"/>
    <w:rPr>
      <w:rFonts w:ascii="Arial" w:hAnsi="Arial" w:eastAsia="黑体" w:cs="Times New Roman"/>
      <w:b/>
      <w:bCs/>
      <w:sz w:val="28"/>
      <w:szCs w:val="28"/>
    </w:rPr>
  </w:style>
  <w:style w:type="character" w:customStyle="1" w:styleId="90">
    <w:name w:val="正文文本缩进 Char1"/>
    <w:semiHidden/>
    <w:qFormat/>
    <w:uiPriority w:val="99"/>
    <w:rPr>
      <w:rFonts w:ascii="Times New Roman" w:hAnsi="Times New Roman" w:eastAsia="宋体" w:cs="Times New Roman"/>
      <w:szCs w:val="24"/>
    </w:rPr>
  </w:style>
  <w:style w:type="character" w:customStyle="1" w:styleId="91">
    <w:name w:val="页脚 字符"/>
    <w:link w:val="25"/>
    <w:qFormat/>
    <w:uiPriority w:val="99"/>
    <w:rPr>
      <w:sz w:val="18"/>
      <w:szCs w:val="18"/>
    </w:rPr>
  </w:style>
  <w:style w:type="character" w:customStyle="1" w:styleId="92">
    <w:name w:val="Char Char7"/>
    <w:qFormat/>
    <w:uiPriority w:val="0"/>
    <w:rPr>
      <w:rFonts w:ascii="Arial" w:hAnsi="Arial" w:eastAsia="黑体"/>
      <w:b/>
      <w:bCs/>
      <w:kern w:val="2"/>
      <w:sz w:val="32"/>
      <w:szCs w:val="32"/>
      <w:lang w:val="en-US" w:eastAsia="zh-CN" w:bidi="ar-SA"/>
    </w:rPr>
  </w:style>
  <w:style w:type="character" w:customStyle="1" w:styleId="93">
    <w:name w:val="HTML 预设格式 字符"/>
    <w:link w:val="35"/>
    <w:qFormat/>
    <w:uiPriority w:val="0"/>
    <w:rPr>
      <w:rFonts w:ascii="微软雅黑" w:hAnsi="微软雅黑" w:eastAsia="微软雅黑" w:cs="Times New Roman"/>
      <w:kern w:val="0"/>
      <w:sz w:val="24"/>
      <w:szCs w:val="24"/>
    </w:rPr>
  </w:style>
  <w:style w:type="character" w:customStyle="1" w:styleId="94">
    <w:name w:val="批注文字 Char"/>
    <w:qFormat/>
    <w:uiPriority w:val="0"/>
    <w:rPr>
      <w:rFonts w:eastAsia="宋体"/>
      <w:kern w:val="2"/>
      <w:sz w:val="21"/>
      <w:szCs w:val="24"/>
      <w:lang w:val="en-US" w:eastAsia="zh-CN" w:bidi="ar-SA"/>
    </w:rPr>
  </w:style>
  <w:style w:type="character" w:customStyle="1" w:styleId="95">
    <w:name w:val="纯文本 字符"/>
    <w:link w:val="20"/>
    <w:qFormat/>
    <w:uiPriority w:val="99"/>
    <w:rPr>
      <w:rFonts w:ascii="Courier New" w:hAnsi="Courier New"/>
    </w:rPr>
  </w:style>
  <w:style w:type="character" w:customStyle="1" w:styleId="96">
    <w:name w:val="标题 7 字符"/>
    <w:link w:val="7"/>
    <w:qFormat/>
    <w:uiPriority w:val="0"/>
    <w:rPr>
      <w:rFonts w:ascii="Times New Roman" w:hAnsi="Times New Roman" w:eastAsia="宋体" w:cs="Times New Roman"/>
      <w:b/>
      <w:bCs/>
      <w:kern w:val="0"/>
      <w:sz w:val="24"/>
      <w:szCs w:val="24"/>
    </w:rPr>
  </w:style>
  <w:style w:type="paragraph" w:customStyle="1" w:styleId="97">
    <w:name w:val="样式4"/>
    <w:basedOn w:val="5"/>
    <w:qFormat/>
    <w:uiPriority w:val="0"/>
    <w:rPr>
      <w:rFonts w:eastAsia="Arial"/>
    </w:rPr>
  </w:style>
  <w:style w:type="paragraph" w:customStyle="1" w:styleId="98">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9">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font10"/>
    <w:basedOn w:val="1"/>
    <w:qFormat/>
    <w:uiPriority w:val="0"/>
    <w:pPr>
      <w:widowControl/>
      <w:spacing w:before="100" w:beforeAutospacing="1" w:after="100" w:afterAutospacing="1"/>
      <w:jc w:val="left"/>
    </w:pPr>
    <w:rPr>
      <w:kern w:val="0"/>
      <w:sz w:val="28"/>
      <w:szCs w:val="28"/>
    </w:rPr>
  </w:style>
  <w:style w:type="paragraph" w:customStyle="1" w:styleId="101">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样式1"/>
    <w:basedOn w:val="5"/>
    <w:qFormat/>
    <w:uiPriority w:val="0"/>
    <w:rPr>
      <w:rFonts w:eastAsia="Arial"/>
    </w:rPr>
  </w:style>
  <w:style w:type="paragraph" w:customStyle="1" w:styleId="104">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Char"/>
    <w:basedOn w:val="1"/>
    <w:qFormat/>
    <w:uiPriority w:val="0"/>
    <w:pPr>
      <w:tabs>
        <w:tab w:val="left" w:pos="360"/>
      </w:tabs>
    </w:pPr>
    <w:rPr>
      <w:sz w:val="24"/>
    </w:rPr>
  </w:style>
  <w:style w:type="paragraph" w:customStyle="1" w:styleId="107">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表格"/>
    <w:basedOn w:val="1"/>
    <w:qFormat/>
    <w:uiPriority w:val="0"/>
    <w:pPr>
      <w:jc w:val="center"/>
      <w:textAlignment w:val="center"/>
    </w:pPr>
    <w:rPr>
      <w:rFonts w:ascii="华文细黑" w:hAnsi="华文细黑"/>
      <w:kern w:val="0"/>
      <w:szCs w:val="20"/>
    </w:rPr>
  </w:style>
  <w:style w:type="paragraph" w:customStyle="1" w:styleId="109">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3">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列出段落1"/>
    <w:basedOn w:val="1"/>
    <w:qFormat/>
    <w:uiPriority w:val="34"/>
    <w:pPr>
      <w:ind w:firstLine="420" w:firstLineChars="200"/>
    </w:pPr>
    <w:rPr>
      <w:rFonts w:ascii="Calibri" w:hAnsi="Calibri"/>
      <w:szCs w:val="22"/>
    </w:rPr>
  </w:style>
  <w:style w:type="paragraph" w:customStyle="1" w:styleId="11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0">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3">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4">
    <w:name w:val="1"/>
    <w:basedOn w:val="1"/>
    <w:next w:val="1"/>
    <w:qFormat/>
    <w:uiPriority w:val="0"/>
  </w:style>
  <w:style w:type="paragraph" w:customStyle="1" w:styleId="125">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规范文本"/>
    <w:basedOn w:val="20"/>
    <w:qFormat/>
    <w:uiPriority w:val="0"/>
    <w:pPr>
      <w:adjustRightInd w:val="0"/>
      <w:snapToGrid w:val="0"/>
      <w:spacing w:line="360" w:lineRule="exact"/>
      <w:ind w:firstLine="420"/>
    </w:pPr>
    <w:rPr>
      <w:rFonts w:ascii="宋体"/>
      <w:snapToGrid w:val="0"/>
      <w:szCs w:val="21"/>
    </w:rPr>
  </w:style>
  <w:style w:type="paragraph" w:customStyle="1" w:styleId="128">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29">
    <w:name w:val="节"/>
    <w:basedOn w:val="20"/>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0">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1">
    <w:name w:val="样式3"/>
    <w:basedOn w:val="5"/>
    <w:qFormat/>
    <w:uiPriority w:val="0"/>
    <w:rPr>
      <w:rFonts w:eastAsia="Arial"/>
    </w:rPr>
  </w:style>
  <w:style w:type="paragraph" w:customStyle="1" w:styleId="132">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5">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7">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0">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1">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3">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5">
    <w:name w:val="第二"/>
    <w:basedOn w:val="1"/>
    <w:qFormat/>
    <w:uiPriority w:val="0"/>
    <w:pPr>
      <w:adjustRightInd w:val="0"/>
      <w:snapToGrid w:val="0"/>
      <w:spacing w:line="360" w:lineRule="auto"/>
      <w:ind w:right="-108" w:rightChars="-45" w:firstLine="482"/>
    </w:pPr>
    <w:rPr>
      <w:b/>
    </w:rPr>
  </w:style>
  <w:style w:type="paragraph" w:customStyle="1" w:styleId="14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8">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9">
    <w:name w:val="内容"/>
    <w:basedOn w:val="1"/>
    <w:qFormat/>
    <w:uiPriority w:val="0"/>
    <w:pPr>
      <w:spacing w:line="480" w:lineRule="exact"/>
      <w:ind w:firstLine="200" w:firstLineChars="200"/>
    </w:pPr>
  </w:style>
  <w:style w:type="paragraph" w:customStyle="1" w:styleId="15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2">
    <w:name w:val="列出段落11"/>
    <w:basedOn w:val="1"/>
    <w:qFormat/>
    <w:uiPriority w:val="99"/>
    <w:pPr>
      <w:ind w:firstLine="420" w:firstLineChars="200"/>
    </w:pPr>
  </w:style>
  <w:style w:type="paragraph" w:customStyle="1" w:styleId="153">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6">
    <w:name w:val="样式2"/>
    <w:basedOn w:val="5"/>
    <w:qFormat/>
    <w:uiPriority w:val="0"/>
  </w:style>
  <w:style w:type="character" w:customStyle="1" w:styleId="157">
    <w:name w:val="after"/>
    <w:qFormat/>
    <w:uiPriority w:val="0"/>
    <w:rPr>
      <w:bdr w:val="dashed" w:color="auto" w:sz="48" w:space="0"/>
    </w:rPr>
  </w:style>
  <w:style w:type="character" w:customStyle="1" w:styleId="158">
    <w:name w:val="before"/>
    <w:qFormat/>
    <w:uiPriority w:val="0"/>
    <w:rPr>
      <w:bdr w:val="single" w:color="auto" w:sz="48" w:space="0"/>
    </w:rPr>
  </w:style>
  <w:style w:type="character" w:customStyle="1" w:styleId="159">
    <w:name w:val="hover48"/>
    <w:qFormat/>
    <w:uiPriority w:val="0"/>
    <w:rPr>
      <w:shd w:val="clear" w:color="auto" w:fill="346AC3"/>
    </w:rPr>
  </w:style>
  <w:style w:type="character" w:customStyle="1" w:styleId="160">
    <w:name w:val="hover49"/>
    <w:basedOn w:val="43"/>
    <w:qFormat/>
    <w:uiPriority w:val="0"/>
  </w:style>
  <w:style w:type="character" w:customStyle="1" w:styleId="161">
    <w:name w:val="hover50"/>
    <w:qFormat/>
    <w:uiPriority w:val="0"/>
    <w:rPr>
      <w:color w:val="4285F4"/>
      <w:u w:val="none"/>
    </w:rPr>
  </w:style>
  <w:style w:type="character" w:customStyle="1" w:styleId="162">
    <w:name w:val="hover51"/>
    <w:qFormat/>
    <w:uiPriority w:val="0"/>
    <w:rPr>
      <w:color w:val="4285F4"/>
    </w:rPr>
  </w:style>
  <w:style w:type="character" w:customStyle="1" w:styleId="163">
    <w:name w:val="hover52"/>
    <w:qFormat/>
    <w:uiPriority w:val="0"/>
    <w:rPr>
      <w:color w:val="1A85D7"/>
    </w:rPr>
  </w:style>
  <w:style w:type="character" w:customStyle="1" w:styleId="164">
    <w:name w:val="credit"/>
    <w:qFormat/>
    <w:uiPriority w:val="0"/>
    <w:rPr>
      <w:sz w:val="18"/>
      <w:szCs w:val="18"/>
    </w:rPr>
  </w:style>
  <w:style w:type="character" w:customStyle="1" w:styleId="165">
    <w:name w:val="first-child"/>
    <w:basedOn w:val="43"/>
    <w:qFormat/>
    <w:uiPriority w:val="0"/>
  </w:style>
  <w:style w:type="paragraph" w:styleId="16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5131</Words>
  <Characters>5389</Characters>
  <Lines>61</Lines>
  <Paragraphs>17</Paragraphs>
  <TotalTime>1</TotalTime>
  <ScaleCrop>false</ScaleCrop>
  <LinksUpToDate>false</LinksUpToDate>
  <CharactersWithSpaces>5803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2020-04-29T08:16:00Z</dcterms:created>
  <dc:creator>陈桂兰</dc:creator>
  <cp:lastModifiedBy>毕浪</cp:lastModifiedBy>
  <cp:lastPrinted>2022-06-08T09:13:00Z</cp:lastPrinted>
  <dcterms:modified xsi:type="dcterms:W3CDTF">2023-08-30T03:41:53Z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9AA232BBC7F94BBAA841210958F5E029</vt:lpwstr>
  </property>
</Properties>
</file>