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2"/>
        <w:rPr>
          <w:rFonts w:ascii="宋体"/>
          <w:b/>
          <w:bCs/>
          <w:snapToGrid w:val="0"/>
          <w:color w:val="auto"/>
          <w:kern w:val="0"/>
          <w:sz w:val="28"/>
          <w:szCs w:val="28"/>
          <w:highlight w:val="none"/>
        </w:rPr>
      </w:pPr>
      <w:bookmarkStart w:id="0" w:name="OLE_LINK4"/>
      <w:r>
        <w:rPr>
          <w:rFonts w:hint="eastAsia" w:ascii="宋体"/>
          <w:b/>
          <w:bCs/>
          <w:snapToGrid w:val="0"/>
          <w:color w:val="auto"/>
          <w:kern w:val="0"/>
          <w:sz w:val="28"/>
          <w:szCs w:val="28"/>
          <w:highlight w:val="none"/>
        </w:rPr>
        <w:t>巫溪至开州高速公路科研项</w:t>
      </w:r>
      <w:r>
        <w:rPr>
          <w:rFonts w:hint="eastAsia" w:ascii="宋体"/>
          <w:b/>
          <w:bCs/>
          <w:snapToGrid w:val="0"/>
          <w:color w:val="auto"/>
          <w:kern w:val="0"/>
          <w:sz w:val="28"/>
          <w:szCs w:val="28"/>
          <w:highlight w:val="none"/>
          <w:lang w:val="en-US" w:eastAsia="zh-CN"/>
        </w:rPr>
        <w:t>目WYKKY1/WYKKY2</w:t>
      </w:r>
      <w:bookmarkStart w:id="1" w:name="_Toc14305"/>
      <w:r>
        <w:rPr>
          <w:rFonts w:ascii="宋体"/>
          <w:b/>
          <w:bCs/>
          <w:snapToGrid w:val="0"/>
          <w:color w:val="auto"/>
          <w:w w:val="99"/>
          <w:kern w:val="0"/>
          <w:sz w:val="28"/>
          <w:szCs w:val="28"/>
          <w:highlight w:val="none"/>
        </w:rPr>
        <w:t>招标公告</w:t>
      </w:r>
      <w:bookmarkEnd w:id="1"/>
    </w:p>
    <w:p>
      <w:pPr>
        <w:pStyle w:val="3"/>
        <w:spacing w:before="100" w:after="100" w:line="460" w:lineRule="exact"/>
        <w:outlineLvl w:val="2"/>
        <w:rPr>
          <w:rFonts w:ascii="宋体"/>
          <w:snapToGrid w:val="0"/>
          <w:color w:val="auto"/>
          <w:sz w:val="28"/>
          <w:szCs w:val="28"/>
          <w:highlight w:val="none"/>
        </w:rPr>
      </w:pPr>
      <w:bookmarkStart w:id="2" w:name="_Toc224103299"/>
      <w:bookmarkStart w:id="3" w:name="_Toc277082536"/>
      <w:bookmarkStart w:id="4" w:name="_Toc200359427"/>
      <w:bookmarkStart w:id="5" w:name="_Toc430530416"/>
      <w:bookmarkStart w:id="6" w:name="_Toc200359238"/>
      <w:bookmarkStart w:id="7" w:name="_Toc509218692"/>
      <w:bookmarkStart w:id="8" w:name="_Toc287607728"/>
      <w:bookmarkStart w:id="9" w:name="_Toc287620667"/>
      <w:r>
        <w:rPr>
          <w:rFonts w:ascii="宋体"/>
          <w:snapToGrid w:val="0"/>
          <w:color w:val="auto"/>
          <w:sz w:val="28"/>
          <w:szCs w:val="28"/>
          <w:highlight w:val="none"/>
        </w:rPr>
        <w:t>1. 招标条件</w:t>
      </w:r>
      <w:bookmarkEnd w:id="2"/>
      <w:bookmarkEnd w:id="3"/>
      <w:bookmarkEnd w:id="4"/>
      <w:bookmarkEnd w:id="5"/>
      <w:bookmarkEnd w:id="6"/>
      <w:bookmarkEnd w:id="7"/>
      <w:bookmarkEnd w:id="8"/>
      <w:bookmarkEnd w:id="9"/>
    </w:p>
    <w:p>
      <w:pPr>
        <w:tabs>
          <w:tab w:val="left" w:pos="480"/>
        </w:tabs>
        <w:adjustRightInd w:val="0"/>
        <w:spacing w:line="360" w:lineRule="auto"/>
        <w:ind w:firstLine="352" w:firstLineChars="168"/>
        <w:jc w:val="left"/>
        <w:rPr>
          <w:rFonts w:ascii="宋体"/>
          <w:color w:val="auto"/>
          <w:szCs w:val="21"/>
          <w:highlight w:val="none"/>
        </w:rPr>
      </w:pPr>
      <w:bookmarkStart w:id="10" w:name="OLE_LINK1"/>
      <w:r>
        <w:rPr>
          <w:rFonts w:hint="eastAsia" w:ascii="宋体"/>
          <w:color w:val="auto"/>
          <w:szCs w:val="21"/>
          <w:highlight w:val="none"/>
        </w:rPr>
        <w:t>巫溪至开州高速公路项目科研资金已纳入了概算，资金已落实</w:t>
      </w:r>
      <w:r>
        <w:rPr>
          <w:rFonts w:hint="eastAsia" w:ascii="宋体" w:hAnsi="宋体"/>
          <w:color w:val="auto"/>
          <w:szCs w:val="21"/>
          <w:highlight w:val="none"/>
        </w:rPr>
        <w:t>，《高危地质走廊带高速公路重点路段抗灾能力提升技术》、《巴东组高速公路软岩隧道围岩变形控制与结构全寿命期监测预警技术》科研课题已由重庆高速巫云开建设有限公司在重庆市交通局立项，</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color w:val="auto"/>
          <w:szCs w:val="21"/>
          <w:highlight w:val="none"/>
        </w:rPr>
        <w:t>重庆高速巫云开建设有限公司</w:t>
      </w:r>
      <w:r>
        <w:rPr>
          <w:rFonts w:ascii="宋体" w:hAnsi="宋体"/>
          <w:snapToGrid w:val="0"/>
          <w:color w:val="auto"/>
          <w:kern w:val="0"/>
          <w:position w:val="-2"/>
          <w:szCs w:val="21"/>
          <w:highlight w:val="none"/>
        </w:rPr>
        <w:t>。</w:t>
      </w:r>
      <w:r>
        <w:rPr>
          <w:rFonts w:hint="eastAsia" w:ascii="宋体" w:hAnsi="宋体"/>
          <w:color w:val="auto"/>
          <w:szCs w:val="21"/>
          <w:highlight w:val="none"/>
        </w:rPr>
        <w:t>项目已具备招标条件，现对以上科研项目进行公开招标。</w:t>
      </w:r>
    </w:p>
    <w:bookmarkEnd w:id="10"/>
    <w:p>
      <w:pPr>
        <w:pStyle w:val="3"/>
        <w:spacing w:before="100" w:after="100" w:line="460" w:lineRule="exact"/>
        <w:outlineLvl w:val="2"/>
        <w:rPr>
          <w:rFonts w:ascii="宋体"/>
          <w:snapToGrid w:val="0"/>
          <w:color w:val="auto"/>
          <w:sz w:val="28"/>
          <w:szCs w:val="28"/>
          <w:highlight w:val="none"/>
        </w:rPr>
      </w:pPr>
      <w:bookmarkStart w:id="11" w:name="_Toc277082537"/>
      <w:bookmarkStart w:id="12" w:name="_Toc509218693"/>
      <w:bookmarkStart w:id="13" w:name="_Toc287620668"/>
      <w:bookmarkStart w:id="14" w:name="_Toc287607729"/>
      <w:bookmarkStart w:id="15" w:name="_Toc200359428"/>
      <w:bookmarkStart w:id="16" w:name="_Toc224103300"/>
      <w:bookmarkStart w:id="17" w:name="_Toc200359239"/>
      <w:bookmarkStart w:id="18" w:name="_Toc430530417"/>
      <w:r>
        <w:rPr>
          <w:rFonts w:ascii="宋体"/>
          <w:snapToGrid w:val="0"/>
          <w:color w:val="auto"/>
          <w:sz w:val="28"/>
          <w:szCs w:val="28"/>
          <w:highlight w:val="none"/>
        </w:rPr>
        <w:t>2. 项目概况与招标范围</w:t>
      </w:r>
      <w:bookmarkEnd w:id="11"/>
      <w:bookmarkEnd w:id="12"/>
      <w:bookmarkEnd w:id="13"/>
      <w:bookmarkEnd w:id="14"/>
      <w:bookmarkEnd w:id="15"/>
      <w:bookmarkEnd w:id="16"/>
      <w:bookmarkEnd w:id="17"/>
      <w:bookmarkEnd w:id="18"/>
    </w:p>
    <w:p>
      <w:pPr>
        <w:tabs>
          <w:tab w:val="left" w:pos="480"/>
        </w:tabs>
        <w:adjustRightInd w:val="0"/>
        <w:spacing w:line="360" w:lineRule="auto"/>
        <w:ind w:firstLine="352" w:firstLineChars="168"/>
        <w:jc w:val="left"/>
        <w:rPr>
          <w:rFonts w:ascii="宋体"/>
          <w:color w:val="auto"/>
          <w:szCs w:val="21"/>
          <w:highlight w:val="none"/>
        </w:rPr>
      </w:pPr>
      <w:bookmarkStart w:id="19" w:name="OLE_LINK2"/>
      <w:r>
        <w:rPr>
          <w:rFonts w:hint="eastAsia" w:ascii="宋体"/>
          <w:color w:val="auto"/>
          <w:szCs w:val="21"/>
          <w:highlight w:val="none"/>
        </w:rPr>
        <w:t>2.1建设地点：巫溪</w:t>
      </w:r>
      <w:r>
        <w:rPr>
          <w:rFonts w:ascii="宋体"/>
          <w:color w:val="auto"/>
          <w:szCs w:val="21"/>
          <w:highlight w:val="none"/>
        </w:rPr>
        <w:t>、云阳、</w:t>
      </w:r>
      <w:r>
        <w:rPr>
          <w:rFonts w:hint="eastAsia" w:ascii="宋体"/>
          <w:color w:val="auto"/>
          <w:szCs w:val="21"/>
          <w:highlight w:val="none"/>
        </w:rPr>
        <w:t>开州。</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2.2项目概况：</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巫溪至开州高速公路属重庆市高速公路网规划（2019-2035）“三环十八射多联线”中的第三十三联，项目总里程约118公里。为攻克巫溪至开州高速公路建设的一系列难题，项目以科技引领，助力工程建设的顺利开展，大力推动重点项目攻关。</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高危地质走廊带高速公路重点路段抗灾能力提升技术》拟通过攻克高危地质走廊带高速公路危岩、桥梁、隧道等的施工与营运安全保障这一核心问题，突破安全风险监管技术、抗灾韧性提升技术、灾后路段保通技术等关键技术，构建“评估准确、预警及时、抗灾有力、恢复高效”的公路交通基础设施韧性提升全链条技术体系，实现高危地质走廊带高速公路“出事少、承得住、恢复快”的目的，支撑高危地质走廊带高速公路建设与运营安全。</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巴东组高速公路软岩隧道围岩变形控制与结构全寿命期监测预警技术》拟通过研究攻克巴东组地层隧道地质灾害及其灾害链致灾机理、公路隧道施工及运营相互影响机制等核心科学问题，突破巴东组软岩隧道地质灾害风险评估、综合防治及长效支挡加固、健康监测预警等关键技术，实现巴东组软岩高速公路隧道全过程风险评估、韧性提升及长效监测、有效预警及防治，解决巴东组软岩高速公路隧道长期安全防控与智能监管技术，保障渝东北交通基础设施建设与运营安全，为公路建设与运营安全提供科技支撑，促进高速公路安全综合防控能力的提升与行业进步。</w:t>
      </w:r>
    </w:p>
    <w:p>
      <w:pPr>
        <w:tabs>
          <w:tab w:val="left" w:pos="305"/>
          <w:tab w:val="left" w:pos="480"/>
        </w:tabs>
        <w:adjustRightInd w:val="0"/>
        <w:spacing w:line="360" w:lineRule="auto"/>
        <w:ind w:firstLine="420" w:firstLineChars="200"/>
        <w:jc w:val="left"/>
        <w:rPr>
          <w:rFonts w:ascii="宋体"/>
          <w:snapToGrid w:val="0"/>
          <w:color w:val="auto"/>
          <w:kern w:val="0"/>
          <w:szCs w:val="21"/>
          <w:highlight w:val="none"/>
        </w:rPr>
      </w:pPr>
      <w:r>
        <w:rPr>
          <w:rFonts w:hint="eastAsia"/>
          <w:color w:val="auto"/>
          <w:kern w:val="0"/>
          <w:highlight w:val="none"/>
        </w:rPr>
        <w:t xml:space="preserve">2.3 </w:t>
      </w:r>
      <w:r>
        <w:rPr>
          <w:rFonts w:hint="eastAsia" w:ascii="宋体"/>
          <w:snapToGrid w:val="0"/>
          <w:color w:val="auto"/>
          <w:kern w:val="0"/>
          <w:szCs w:val="21"/>
          <w:highlight w:val="none"/>
        </w:rPr>
        <w:t>本次招标共划分为</w:t>
      </w:r>
      <w:r>
        <w:rPr>
          <w:rFonts w:ascii="宋体"/>
          <w:snapToGrid w:val="0"/>
          <w:color w:val="auto"/>
          <w:kern w:val="0"/>
          <w:szCs w:val="21"/>
          <w:highlight w:val="none"/>
        </w:rPr>
        <w:t>2</w:t>
      </w:r>
      <w:r>
        <w:rPr>
          <w:rFonts w:hint="eastAsia" w:ascii="宋体"/>
          <w:snapToGrid w:val="0"/>
          <w:color w:val="auto"/>
          <w:kern w:val="0"/>
          <w:szCs w:val="21"/>
          <w:highlight w:val="none"/>
        </w:rPr>
        <w:t>个标段</w:t>
      </w:r>
      <w:r>
        <w:rPr>
          <w:rFonts w:hint="eastAsia" w:ascii="宋体"/>
          <w:snapToGrid w:val="0"/>
          <w:color w:val="auto"/>
          <w:kern w:val="0"/>
          <w:szCs w:val="21"/>
          <w:highlight w:val="none"/>
          <w:lang w:eastAsia="zh-CN"/>
        </w:rPr>
        <w:t>，</w:t>
      </w:r>
      <w:r>
        <w:rPr>
          <w:rFonts w:hint="eastAsia" w:ascii="宋体"/>
          <w:snapToGrid w:val="0"/>
          <w:color w:val="auto"/>
          <w:kern w:val="0"/>
          <w:szCs w:val="21"/>
          <w:highlight w:val="none"/>
        </w:rPr>
        <w:t>具体如下：</w:t>
      </w:r>
    </w:p>
    <w:tbl>
      <w:tblPr>
        <w:tblStyle w:val="5"/>
        <w:tblW w:w="834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exact"/>
        </w:trPr>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color w:val="auto"/>
                <w:highlight w:val="none"/>
              </w:rPr>
              <w:t>标段</w:t>
            </w:r>
          </w:p>
        </w:tc>
        <w:tc>
          <w:tcPr>
            <w:tcW w:w="6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ascii="宋体" w:cs="方正仿宋_GBK"/>
                <w:color w:val="auto"/>
                <w:kern w:val="0"/>
                <w:szCs w:val="21"/>
                <w:highlight w:val="none"/>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exact"/>
        </w:trPr>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ascii="宋体" w:cs="方正仿宋_GBK"/>
                <w:color w:val="auto"/>
                <w:kern w:val="0"/>
                <w:szCs w:val="21"/>
                <w:highlight w:val="none"/>
              </w:rPr>
              <w:t>WYKKY1</w:t>
            </w:r>
          </w:p>
        </w:tc>
        <w:tc>
          <w:tcPr>
            <w:tcW w:w="68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cs="方正仿宋_GBK"/>
                <w:color w:val="auto"/>
                <w:kern w:val="0"/>
                <w:szCs w:val="21"/>
                <w:highlight w:val="none"/>
              </w:rPr>
            </w:pPr>
            <w:r>
              <w:rPr>
                <w:rFonts w:hint="eastAsia" w:ascii="宋体" w:cs="方正仿宋_GBK"/>
                <w:color w:val="auto"/>
                <w:kern w:val="0"/>
                <w:szCs w:val="21"/>
                <w:highlight w:val="none"/>
              </w:rPr>
              <w:t>高危地质走廊带高速公路重点路段抗灾能力提升技术研究及应用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exact"/>
        </w:trPr>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ascii="宋体" w:cs="方正仿宋_GBK"/>
                <w:color w:val="auto"/>
                <w:kern w:val="0"/>
                <w:szCs w:val="21"/>
                <w:highlight w:val="none"/>
              </w:rPr>
              <w:t>WYKKY2</w:t>
            </w:r>
          </w:p>
        </w:tc>
        <w:tc>
          <w:tcPr>
            <w:tcW w:w="68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cs="方正仿宋_GBK"/>
                <w:color w:val="auto"/>
                <w:kern w:val="0"/>
                <w:szCs w:val="21"/>
                <w:highlight w:val="none"/>
              </w:rPr>
            </w:pPr>
            <w:r>
              <w:rPr>
                <w:rFonts w:hint="eastAsia" w:ascii="宋体" w:cs="方正仿宋_GBK"/>
                <w:color w:val="auto"/>
                <w:kern w:val="0"/>
                <w:szCs w:val="21"/>
                <w:highlight w:val="none"/>
              </w:rPr>
              <w:t>巴东组高速公路软岩隧道围岩变形控制与结构全寿命期监测预警技术研究</w:t>
            </w:r>
          </w:p>
        </w:tc>
      </w:tr>
    </w:tbl>
    <w:p>
      <w:pPr>
        <w:tabs>
          <w:tab w:val="left" w:pos="480"/>
        </w:tabs>
        <w:adjustRightInd w:val="0"/>
        <w:spacing w:line="360" w:lineRule="auto"/>
        <w:ind w:firstLine="352" w:firstLineChars="168"/>
        <w:jc w:val="left"/>
        <w:rPr>
          <w:color w:val="auto"/>
          <w:highlight w:val="none"/>
        </w:rPr>
      </w:pPr>
      <w:r>
        <w:rPr>
          <w:rFonts w:ascii="宋体"/>
          <w:snapToGrid w:val="0"/>
          <w:color w:val="auto"/>
          <w:kern w:val="0"/>
          <w:szCs w:val="21"/>
          <w:highlight w:val="none"/>
        </w:rPr>
        <w:t xml:space="preserve">2.4 </w:t>
      </w:r>
      <w:r>
        <w:rPr>
          <w:rFonts w:hint="eastAsia" w:ascii="宋体"/>
          <w:snapToGrid w:val="0"/>
          <w:color w:val="auto"/>
          <w:kern w:val="0"/>
          <w:szCs w:val="21"/>
          <w:highlight w:val="none"/>
        </w:rPr>
        <w:t>招标范围：完成本次招标对应科研课题研究工作内容，并达到考核指标要求。各标段</w:t>
      </w:r>
      <w:r>
        <w:rPr>
          <w:rFonts w:hint="eastAsia"/>
          <w:color w:val="auto"/>
          <w:highlight w:val="none"/>
        </w:rPr>
        <w:t>课题及主要研究内容如下：</w:t>
      </w:r>
    </w:p>
    <w:tbl>
      <w:tblPr>
        <w:tblStyle w:val="5"/>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15"/>
        <w:gridCol w:w="42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标段</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课题名称</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方正仿宋_GBK"/>
                <w:bCs/>
                <w:color w:val="auto"/>
                <w:szCs w:val="21"/>
                <w:highlight w:val="none"/>
              </w:rPr>
            </w:pPr>
            <w:r>
              <w:rPr>
                <w:rFonts w:hint="eastAsia" w:ascii="宋体" w:cs="方正仿宋_GBK"/>
                <w:bCs/>
                <w:color w:val="auto"/>
                <w:szCs w:val="21"/>
                <w:highlight w:val="none"/>
              </w:rPr>
              <w:t>主要研究内容</w:t>
            </w:r>
          </w:p>
        </w:tc>
        <w:tc>
          <w:tcPr>
            <w:tcW w:w="3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方正仿宋_GBK"/>
                <w:bCs/>
                <w:color w:val="auto"/>
                <w:szCs w:val="21"/>
                <w:highlight w:val="none"/>
              </w:rPr>
            </w:pPr>
            <w:r>
              <w:rPr>
                <w:rFonts w:hint="eastAsia" w:ascii="宋体" w:cs="方正仿宋_GBK"/>
                <w:bCs/>
                <w:color w:val="auto"/>
                <w:szCs w:val="21"/>
                <w:highlight w:val="none"/>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WYKKY1</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cs="方正仿宋_GBK"/>
                <w:bCs/>
                <w:color w:val="auto"/>
                <w:sz w:val="18"/>
                <w:szCs w:val="18"/>
                <w:highlight w:val="none"/>
              </w:rPr>
            </w:pPr>
            <w:r>
              <w:rPr>
                <w:rFonts w:hint="eastAsia" w:ascii="宋体" w:cs="方正仿宋_GBK"/>
                <w:color w:val="auto"/>
                <w:kern w:val="0"/>
                <w:sz w:val="18"/>
                <w:szCs w:val="18"/>
                <w:highlight w:val="none"/>
              </w:rPr>
              <w:t>高危地质走廊带高速公路重点路段抗灾能力提升技术研究及应用</w:t>
            </w:r>
          </w:p>
        </w:tc>
        <w:tc>
          <w:tcPr>
            <w:tcW w:w="4280"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一、高危地质走廊带公路危岩风险智能监测及防治技术</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（1）</w:t>
            </w:r>
            <w:r>
              <w:rPr>
                <w:rFonts w:ascii="宋体" w:cs="方正仿宋_GBK"/>
                <w:bCs/>
                <w:color w:val="auto"/>
                <w:sz w:val="18"/>
                <w:szCs w:val="18"/>
                <w:highlight w:val="none"/>
              </w:rPr>
              <w:t xml:space="preserve"> 基于区域位移雷达的高位危岩监测装备研发</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（2）</w:t>
            </w:r>
            <w:r>
              <w:rPr>
                <w:rFonts w:ascii="宋体" w:cs="方正仿宋_GBK"/>
                <w:bCs/>
                <w:color w:val="auto"/>
                <w:sz w:val="18"/>
                <w:szCs w:val="18"/>
                <w:highlight w:val="none"/>
              </w:rPr>
              <w:t>多径环境下MIMO阵列雷达超分辨算法与软件开发</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（3）</w:t>
            </w:r>
            <w:r>
              <w:rPr>
                <w:rFonts w:ascii="宋体" w:cs="方正仿宋_GBK"/>
                <w:bCs/>
                <w:color w:val="auto"/>
                <w:sz w:val="18"/>
                <w:szCs w:val="18"/>
                <w:highlight w:val="none"/>
              </w:rPr>
              <w:t>基于雷达稀疏成像及视觉融合的多目标高精度监测技术</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（4）</w:t>
            </w:r>
            <w:r>
              <w:rPr>
                <w:rFonts w:ascii="宋体" w:cs="方正仿宋_GBK"/>
                <w:bCs/>
                <w:color w:val="auto"/>
                <w:sz w:val="18"/>
                <w:szCs w:val="18"/>
                <w:highlight w:val="none"/>
              </w:rPr>
              <w:t>高位危岩灾害预警系统</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（5）</w:t>
            </w:r>
            <w:r>
              <w:rPr>
                <w:rFonts w:ascii="宋体" w:cs="方正仿宋_GBK"/>
                <w:bCs/>
                <w:color w:val="auto"/>
                <w:sz w:val="18"/>
                <w:szCs w:val="18"/>
                <w:highlight w:val="none"/>
              </w:rPr>
              <w:t>基于“引导-固定”方法的高位危岩防治技术</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二、高危地质走廊带桥梁墩柱抗冲击能力及预防技术</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（1）桥梁危岩冲击数值模拟技术及损坏机理</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（2）滚石冲击桥梁墩柱缩尺试验</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（3）桥梁抗危岩高耗能防冲击技术及装备研发</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三、高危地质走廊带软弱围岩隧道变形控制及安全进出洞技术</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（1）软弱围岩隧道洞口边仰坡稳定性影响分析</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（2）软弱围岩隧道结构安全预警标准及灾变控制关键技术</w:t>
            </w:r>
          </w:p>
          <w:p>
            <w:pPr>
              <w:widowControl/>
              <w:spacing w:line="240" w:lineRule="exact"/>
              <w:textAlignment w:val="center"/>
              <w:rPr>
                <w:rFonts w:ascii="宋体" w:cs="方正仿宋_GBK"/>
                <w:bCs/>
                <w:color w:val="auto"/>
                <w:sz w:val="18"/>
                <w:szCs w:val="18"/>
                <w:highlight w:val="none"/>
              </w:rPr>
            </w:pPr>
            <w:r>
              <w:rPr>
                <w:rFonts w:hint="eastAsia" w:ascii="宋体" w:cs="方正仿宋_GBK"/>
                <w:bCs/>
                <w:color w:val="auto"/>
                <w:sz w:val="18"/>
                <w:szCs w:val="18"/>
                <w:highlight w:val="none"/>
              </w:rPr>
              <w:t>（3）软弱围岩隧道安全进洞关键技术</w:t>
            </w:r>
          </w:p>
        </w:tc>
        <w:tc>
          <w:tcPr>
            <w:tcW w:w="3914"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textAlignment w:val="center"/>
              <w:rPr>
                <w:rFonts w:ascii="宋体" w:cs="方正仿宋_GBK"/>
                <w:bCs/>
                <w:color w:val="auto"/>
                <w:sz w:val="18"/>
                <w:szCs w:val="18"/>
                <w:highlight w:val="none"/>
              </w:rPr>
            </w:pPr>
            <w:r>
              <w:rPr>
                <w:rFonts w:ascii="宋体" w:cs="方正仿宋_GBK"/>
                <w:bCs/>
                <w:color w:val="auto"/>
                <w:sz w:val="18"/>
                <w:szCs w:val="18"/>
                <w:highlight w:val="none"/>
              </w:rPr>
              <w:t>（1）技术指南1项：《高危地质走廊带高速公路建设与运营安全技术指南》；</w:t>
            </w:r>
          </w:p>
          <w:p>
            <w:pPr>
              <w:widowControl/>
              <w:spacing w:line="240" w:lineRule="exact"/>
              <w:textAlignment w:val="center"/>
              <w:rPr>
                <w:rFonts w:ascii="宋体" w:cs="方正仿宋_GBK"/>
                <w:bCs/>
                <w:color w:val="auto"/>
                <w:sz w:val="18"/>
                <w:szCs w:val="18"/>
                <w:highlight w:val="none"/>
              </w:rPr>
            </w:pPr>
            <w:r>
              <w:rPr>
                <w:rFonts w:ascii="宋体" w:cs="方正仿宋_GBK"/>
                <w:bCs/>
                <w:color w:val="auto"/>
                <w:sz w:val="18"/>
                <w:szCs w:val="18"/>
                <w:highlight w:val="none"/>
              </w:rPr>
              <w:t>（2）装备2套：区域位移MIMO阵列雷达危岩监测装备样机</w:t>
            </w:r>
            <w:r>
              <w:rPr>
                <w:rFonts w:hint="eastAsia" w:ascii="宋体" w:cs="方正仿宋_GBK"/>
                <w:bCs/>
                <w:color w:val="auto"/>
                <w:sz w:val="18"/>
                <w:szCs w:val="18"/>
                <w:highlight w:val="none"/>
                <w:lang w:val="en-US" w:eastAsia="zh-CN"/>
              </w:rPr>
              <w:t>1套</w:t>
            </w:r>
            <w:r>
              <w:rPr>
                <w:rFonts w:ascii="宋体" w:cs="方正仿宋_GBK"/>
                <w:bCs/>
                <w:color w:val="auto"/>
                <w:sz w:val="18"/>
                <w:szCs w:val="18"/>
                <w:highlight w:val="none"/>
              </w:rPr>
              <w:t>，巴东组高危地质走廊带桥梁抗危岩高耗能防冲击装备</w:t>
            </w:r>
            <w:r>
              <w:rPr>
                <w:rFonts w:hint="eastAsia" w:ascii="宋体" w:cs="方正仿宋_GBK"/>
                <w:bCs/>
                <w:color w:val="auto"/>
                <w:sz w:val="18"/>
                <w:szCs w:val="18"/>
                <w:highlight w:val="none"/>
                <w:lang w:val="en-US" w:eastAsia="zh-CN"/>
              </w:rPr>
              <w:t>1套</w:t>
            </w:r>
            <w:r>
              <w:rPr>
                <w:rFonts w:ascii="宋体" w:cs="方正仿宋_GBK"/>
                <w:bCs/>
                <w:color w:val="auto"/>
                <w:sz w:val="18"/>
                <w:szCs w:val="18"/>
                <w:highlight w:val="none"/>
              </w:rPr>
              <w:t>；</w:t>
            </w:r>
          </w:p>
          <w:p>
            <w:pPr>
              <w:widowControl/>
              <w:spacing w:line="240" w:lineRule="exact"/>
              <w:textAlignment w:val="center"/>
              <w:rPr>
                <w:rFonts w:ascii="宋体" w:cs="方正仿宋_GBK"/>
                <w:bCs/>
                <w:color w:val="auto"/>
                <w:sz w:val="18"/>
                <w:szCs w:val="18"/>
                <w:highlight w:val="none"/>
              </w:rPr>
            </w:pPr>
            <w:r>
              <w:rPr>
                <w:rFonts w:ascii="宋体" w:cs="方正仿宋_GBK"/>
                <w:bCs/>
                <w:color w:val="auto"/>
                <w:sz w:val="18"/>
                <w:szCs w:val="18"/>
                <w:highlight w:val="none"/>
              </w:rPr>
              <w:t>（3）软件1项：基于雷达稀疏点云与视觉融合的多目标高精度位移监测软件，并获得软件著作权1~2项；</w:t>
            </w:r>
          </w:p>
          <w:p>
            <w:pPr>
              <w:widowControl/>
              <w:spacing w:line="240" w:lineRule="exact"/>
              <w:textAlignment w:val="center"/>
              <w:rPr>
                <w:rFonts w:ascii="宋体" w:cs="方正仿宋_GBK"/>
                <w:bCs/>
                <w:color w:val="auto"/>
                <w:sz w:val="18"/>
                <w:szCs w:val="18"/>
                <w:highlight w:val="none"/>
              </w:rPr>
            </w:pPr>
            <w:r>
              <w:rPr>
                <w:rFonts w:ascii="宋体" w:cs="方正仿宋_GBK"/>
                <w:bCs/>
                <w:color w:val="auto"/>
                <w:sz w:val="18"/>
                <w:szCs w:val="18"/>
                <w:highlight w:val="none"/>
              </w:rPr>
              <w:t>（4）示范工程</w:t>
            </w:r>
            <w:r>
              <w:rPr>
                <w:rFonts w:hint="eastAsia" w:ascii="宋体" w:cs="方正仿宋_GBK"/>
                <w:bCs/>
                <w:color w:val="auto"/>
                <w:sz w:val="18"/>
                <w:szCs w:val="18"/>
                <w:highlight w:val="none"/>
                <w:lang w:val="en-US" w:eastAsia="zh-CN"/>
              </w:rPr>
              <w:t>至少</w:t>
            </w:r>
            <w:r>
              <w:rPr>
                <w:rFonts w:ascii="宋体" w:cs="方正仿宋_GBK"/>
                <w:bCs/>
                <w:color w:val="auto"/>
                <w:sz w:val="18"/>
                <w:szCs w:val="18"/>
                <w:highlight w:val="none"/>
              </w:rPr>
              <w:t>3处：危岩、桥梁、隧道3种类型风险监测或防治示范工程各</w:t>
            </w:r>
            <w:r>
              <w:rPr>
                <w:rFonts w:hint="eastAsia" w:ascii="宋体" w:cs="方正仿宋_GBK"/>
                <w:bCs/>
                <w:color w:val="auto"/>
                <w:sz w:val="18"/>
                <w:szCs w:val="18"/>
                <w:highlight w:val="none"/>
                <w:lang w:val="en-US" w:eastAsia="zh-CN"/>
              </w:rPr>
              <w:t>至少</w:t>
            </w:r>
            <w:r>
              <w:rPr>
                <w:rFonts w:ascii="宋体" w:cs="方正仿宋_GBK"/>
                <w:bCs/>
                <w:color w:val="auto"/>
                <w:sz w:val="18"/>
                <w:szCs w:val="18"/>
                <w:highlight w:val="none"/>
              </w:rPr>
              <w:t>1处，应用总长度不少于10km；</w:t>
            </w:r>
          </w:p>
          <w:p>
            <w:pPr>
              <w:widowControl/>
              <w:spacing w:line="240" w:lineRule="exact"/>
              <w:textAlignment w:val="center"/>
              <w:rPr>
                <w:rFonts w:ascii="宋体" w:cs="方正仿宋_GBK"/>
                <w:bCs/>
                <w:color w:val="auto"/>
                <w:sz w:val="18"/>
                <w:szCs w:val="18"/>
                <w:highlight w:val="none"/>
              </w:rPr>
            </w:pPr>
            <w:r>
              <w:rPr>
                <w:rFonts w:ascii="宋体" w:cs="方正仿宋_GBK"/>
                <w:bCs/>
                <w:color w:val="auto"/>
                <w:sz w:val="18"/>
                <w:szCs w:val="18"/>
                <w:highlight w:val="none"/>
              </w:rPr>
              <w:t>（5）知识产权1批：受理发明专利1项，授权实用新型专利2项，发表核心论文2篇；</w:t>
            </w:r>
          </w:p>
          <w:p>
            <w:pPr>
              <w:widowControl/>
              <w:spacing w:line="240" w:lineRule="exact"/>
              <w:textAlignment w:val="center"/>
              <w:rPr>
                <w:rFonts w:hint="eastAsia" w:ascii="宋体" w:eastAsia="宋体" w:cs="方正仿宋_GBK"/>
                <w:bCs/>
                <w:color w:val="auto"/>
                <w:sz w:val="18"/>
                <w:szCs w:val="18"/>
                <w:highlight w:val="none"/>
                <w:lang w:eastAsia="zh-CN"/>
              </w:rPr>
            </w:pPr>
            <w:r>
              <w:rPr>
                <w:rFonts w:ascii="宋体" w:cs="方正仿宋_GBK"/>
                <w:bCs/>
                <w:color w:val="auto"/>
                <w:sz w:val="18"/>
                <w:szCs w:val="18"/>
                <w:highlight w:val="none"/>
              </w:rPr>
              <w:t>（6）宣传推广：在官方及主流媒体上宣传</w:t>
            </w:r>
            <w:r>
              <w:rPr>
                <w:rFonts w:hint="eastAsia" w:ascii="宋体" w:cs="方正仿宋_GBK"/>
                <w:bCs/>
                <w:color w:val="auto"/>
                <w:sz w:val="18"/>
                <w:szCs w:val="18"/>
                <w:highlight w:val="none"/>
                <w:lang w:val="en-US" w:eastAsia="zh-CN"/>
              </w:rPr>
              <w:t>至少</w:t>
            </w:r>
            <w:r>
              <w:rPr>
                <w:rFonts w:ascii="宋体" w:cs="方正仿宋_GBK"/>
                <w:bCs/>
                <w:color w:val="auto"/>
                <w:sz w:val="18"/>
                <w:szCs w:val="18"/>
                <w:highlight w:val="none"/>
              </w:rPr>
              <w:t>2次，含至少1次短视频宣传，举办技术交流活动不少于1次</w:t>
            </w:r>
            <w:r>
              <w:rPr>
                <w:rFonts w:hint="eastAsia" w:ascii="宋体" w:cs="方正仿宋_GBK"/>
                <w:bCs/>
                <w:color w:val="auto"/>
                <w:sz w:val="18"/>
                <w:szCs w:val="18"/>
                <w:highlight w:val="none"/>
                <w:lang w:eastAsia="zh-CN"/>
              </w:rPr>
              <w:t>；</w:t>
            </w:r>
          </w:p>
          <w:p>
            <w:pPr>
              <w:widowControl/>
              <w:spacing w:line="240" w:lineRule="exact"/>
              <w:textAlignment w:val="center"/>
              <w:rPr>
                <w:rFonts w:ascii="宋体" w:cs="方正仿宋_GBK"/>
                <w:bCs/>
                <w:color w:val="auto"/>
                <w:sz w:val="18"/>
                <w:szCs w:val="18"/>
                <w:highlight w:val="none"/>
              </w:rPr>
            </w:pPr>
            <w:r>
              <w:rPr>
                <w:rFonts w:ascii="宋体" w:cs="方正仿宋_GBK"/>
                <w:bCs/>
                <w:color w:val="auto"/>
                <w:sz w:val="18"/>
                <w:szCs w:val="18"/>
                <w:highlight w:val="none"/>
              </w:rPr>
              <w:t>（7）获得奖项：获得省部级（含</w:t>
            </w:r>
            <w:r>
              <w:rPr>
                <w:rFonts w:hint="eastAsia" w:ascii="宋体" w:cs="方正仿宋_GBK"/>
                <w:bCs/>
                <w:color w:val="auto"/>
                <w:sz w:val="18"/>
                <w:szCs w:val="18"/>
                <w:highlight w:val="none"/>
              </w:rPr>
              <w:t>国家</w:t>
            </w:r>
            <w:r>
              <w:rPr>
                <w:rFonts w:ascii="宋体" w:cs="方正仿宋_GBK"/>
                <w:bCs/>
                <w:color w:val="auto"/>
                <w:sz w:val="18"/>
                <w:szCs w:val="18"/>
                <w:highlight w:val="none"/>
              </w:rPr>
              <w:t>一级协会/学会）奖项。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WYKKY2</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巴东组高速公路软岩隧道围岩变形控制与结构全寿命期监测预警技术研究</w:t>
            </w:r>
          </w:p>
        </w:tc>
        <w:tc>
          <w:tcPr>
            <w:tcW w:w="4280"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一、巴东组软弱围岩大变形机理研究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（1）巴东组软弱围岩水理性质和力学特性试验研究；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（2）巴东组软弱围岩损伤及流变本构模型；</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（3）巴东组软弱围岩大变形损伤演化特征；</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（4）巴东组软岩隧道衬砌结构支护参数优化。</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二、隧道软岩高压水射流辅助切割技术</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（1）软弱围岩高压水射流割缝辅助爆破裂缝定向断裂的力学机制；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（2）高压水射流割缝导向作用下爆生裂缝分布及定向扩展规律；</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（3）开发隧道软岩高压水射流割缝辅助爆破预裂控制爆破技术；</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（4）优化高压水射流导向割缝工艺及爆破参数；</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（5）研发高压水射流导向割缝装备。</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三、巴东组软岩隧道围岩大变形主动支护技术研究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（1）巴东组软岩地层隧道预应力锚索支护理论研究；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（2）巴东组软岩地层隧道预应力锚索支护设计研究；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（3）巴东组软岩地层支护自适应锚索结构开发；</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（4）隧道预应力锚索快速施工与快速承载技术研究；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（5）隧道预应力锚索施工质量控制技术研究。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四、腐蚀地层隧道耐久性提升技术研究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（1)巴东组地层水对隧道衬砌腐蚀机理研究；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（2）腐蚀地层隧道混凝土材料优化研究；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（3）腐蚀地层隧道防排水技术研究。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五、巴东组软岩隧道结构全寿命期监测预警系统研发</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（1）巴东组软岩隧道施工运营期结构健康易损关键部位特征分析与测点优化；</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（2）巴东组软岩隧道分阶段典型损伤致灾机理与分级诊断评价方法研究；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（3）隧道结构安全可视化远程实时监测装备研发；</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（4）隧道施工运营期结构健康大数据管理平台研发与应用。</w:t>
            </w:r>
          </w:p>
        </w:tc>
        <w:tc>
          <w:tcPr>
            <w:tcW w:w="3914"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cs="宋体"/>
                <w:color w:val="auto"/>
                <w:kern w:val="0"/>
                <w:sz w:val="18"/>
                <w:szCs w:val="18"/>
                <w:highlight w:val="none"/>
              </w:rPr>
            </w:pPr>
            <w:r>
              <w:rPr>
                <w:rFonts w:hint="eastAsia" w:ascii="宋体" w:cs="宋体"/>
                <w:color w:val="auto"/>
                <w:kern w:val="0"/>
                <w:sz w:val="18"/>
                <w:szCs w:val="18"/>
                <w:highlight w:val="none"/>
              </w:rPr>
              <w:t>（1）实体性成果：</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①理论1套：巴东组软弱围岩隧道流变大变形机理；</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②技术4项：隧道软弱围岩高水射流割缝辅助预裂控制爆破、软岩隧道预应力锚索主动支护、软弱腐蚀性地层结构耐久性提升、软岩隧道结构损伤评价预警等4项技术，形成对应技术手册；</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③装备2</w:t>
            </w:r>
            <w:r>
              <w:rPr>
                <w:rFonts w:hint="eastAsia" w:ascii="宋体" w:cs="宋体"/>
                <w:color w:val="auto"/>
                <w:kern w:val="0"/>
                <w:sz w:val="18"/>
                <w:szCs w:val="18"/>
                <w:highlight w:val="none"/>
                <w:lang w:val="en-US" w:eastAsia="zh-CN"/>
              </w:rPr>
              <w:t>套</w:t>
            </w:r>
            <w:r>
              <w:rPr>
                <w:rFonts w:hint="eastAsia" w:ascii="宋体" w:cs="宋体"/>
                <w:color w:val="auto"/>
                <w:kern w:val="0"/>
                <w:sz w:val="18"/>
                <w:szCs w:val="18"/>
                <w:highlight w:val="none"/>
              </w:rPr>
              <w:t>：隧道软岩高水射流导向割缝装备</w:t>
            </w:r>
            <w:r>
              <w:rPr>
                <w:rFonts w:hint="eastAsia" w:ascii="宋体" w:cs="宋体"/>
                <w:color w:val="auto"/>
                <w:kern w:val="0"/>
                <w:sz w:val="18"/>
                <w:szCs w:val="18"/>
                <w:highlight w:val="none"/>
                <w:lang w:val="en-US" w:eastAsia="zh-CN"/>
              </w:rPr>
              <w:t>1套</w:t>
            </w:r>
            <w:r>
              <w:rPr>
                <w:rFonts w:hint="eastAsia" w:ascii="宋体" w:cs="宋体"/>
                <w:color w:val="auto"/>
                <w:kern w:val="0"/>
                <w:sz w:val="18"/>
                <w:szCs w:val="18"/>
                <w:highlight w:val="none"/>
                <w:lang w:eastAsia="zh-CN"/>
              </w:rPr>
              <w:t>，</w:t>
            </w:r>
            <w:r>
              <w:rPr>
                <w:rFonts w:hint="eastAsia" w:ascii="宋体" w:cs="宋体"/>
                <w:color w:val="auto"/>
                <w:kern w:val="0"/>
                <w:sz w:val="18"/>
                <w:szCs w:val="18"/>
                <w:highlight w:val="none"/>
              </w:rPr>
              <w:t>软弱围岩大变形隧道衬砌结构高精度监测装备</w:t>
            </w:r>
            <w:r>
              <w:rPr>
                <w:rFonts w:hint="eastAsia" w:ascii="宋体" w:cs="宋体"/>
                <w:color w:val="auto"/>
                <w:kern w:val="0"/>
                <w:sz w:val="18"/>
                <w:szCs w:val="18"/>
                <w:highlight w:val="none"/>
                <w:lang w:val="en-US" w:eastAsia="zh-CN"/>
              </w:rPr>
              <w:t>1套</w:t>
            </w:r>
            <w:r>
              <w:rPr>
                <w:rFonts w:hint="eastAsia" w:ascii="宋体" w:cs="宋体"/>
                <w:color w:val="auto"/>
                <w:kern w:val="0"/>
                <w:sz w:val="18"/>
                <w:szCs w:val="18"/>
                <w:highlight w:val="none"/>
              </w:rPr>
              <w:t>；</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④软件平台1个：隧道施工运营期结构健康大数据管理系统，并获得软件著作权；</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⑤技术指南2项：《重庆市巴东组软岩大变形隧道标准化设计指南》《大变形隧道预应力锚索支护技术指南》；</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⑥知识产权1批：申请发明专利3项，发表SCI/EI论文2篇。</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（2）其他成果：</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①培养人才1批：培养博士或硕士研究生4人；</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②示范工程1处：巴东组软岩隧道大变形控制应用示范工程；</w:t>
            </w:r>
          </w:p>
          <w:p>
            <w:pPr>
              <w:widowControl/>
              <w:spacing w:line="240" w:lineRule="exact"/>
              <w:textAlignment w:val="center"/>
              <w:rPr>
                <w:rFonts w:ascii="宋体" w:cs="宋体"/>
                <w:color w:val="auto"/>
                <w:kern w:val="0"/>
                <w:sz w:val="18"/>
                <w:szCs w:val="18"/>
                <w:highlight w:val="none"/>
              </w:rPr>
            </w:pPr>
            <w:r>
              <w:rPr>
                <w:rFonts w:hint="eastAsia" w:ascii="宋体" w:cs="宋体"/>
                <w:color w:val="auto"/>
                <w:kern w:val="0"/>
                <w:sz w:val="18"/>
                <w:szCs w:val="18"/>
                <w:highlight w:val="none"/>
              </w:rPr>
              <w:t>③开展省级技术交流或培训活动至少2期，培训至少200人次。</w:t>
            </w:r>
          </w:p>
          <w:p>
            <w:pPr>
              <w:pStyle w:val="2"/>
              <w:widowControl/>
              <w:spacing w:line="240" w:lineRule="exact"/>
              <w:textAlignment w:val="center"/>
              <w:rPr>
                <w:rFonts w:ascii="宋体" w:cs="方正仿宋_GBK"/>
                <w:bCs/>
                <w:color w:val="auto"/>
                <w:sz w:val="18"/>
                <w:szCs w:val="18"/>
                <w:highlight w:val="none"/>
              </w:rPr>
            </w:pPr>
            <w:r>
              <w:rPr>
                <w:rFonts w:hint="eastAsia" w:ascii="宋体" w:cs="宋体"/>
                <w:color w:val="auto"/>
                <w:kern w:val="0"/>
                <w:sz w:val="18"/>
                <w:szCs w:val="18"/>
                <w:highlight w:val="none"/>
              </w:rPr>
              <w:t>（3）获得奖项：获得省部级（含</w:t>
            </w:r>
            <w:r>
              <w:rPr>
                <w:rFonts w:hint="eastAsia" w:ascii="宋体" w:cs="方正仿宋_GBK"/>
                <w:bCs/>
                <w:color w:val="auto"/>
                <w:sz w:val="18"/>
                <w:szCs w:val="18"/>
                <w:highlight w:val="none"/>
              </w:rPr>
              <w:t>国家</w:t>
            </w:r>
            <w:r>
              <w:rPr>
                <w:rFonts w:hint="eastAsia" w:ascii="宋体" w:cs="宋体"/>
                <w:color w:val="auto"/>
                <w:kern w:val="0"/>
                <w:sz w:val="18"/>
                <w:szCs w:val="18"/>
                <w:highlight w:val="none"/>
              </w:rPr>
              <w:t>一级协会/学会）奖项。</w:t>
            </w:r>
          </w:p>
        </w:tc>
      </w:tr>
    </w:tbl>
    <w:p>
      <w:pPr>
        <w:tabs>
          <w:tab w:val="left" w:pos="480"/>
        </w:tabs>
        <w:adjustRightInd w:val="0"/>
        <w:spacing w:line="360" w:lineRule="auto"/>
        <w:ind w:firstLine="352" w:firstLineChars="168"/>
        <w:jc w:val="left"/>
        <w:rPr>
          <w:rFonts w:ascii="宋体"/>
          <w:snapToGrid w:val="0"/>
          <w:color w:val="auto"/>
          <w:kern w:val="0"/>
          <w:szCs w:val="21"/>
          <w:highlight w:val="none"/>
        </w:rPr>
      </w:pPr>
      <w:r>
        <w:rPr>
          <w:rFonts w:hint="eastAsia" w:ascii="宋体"/>
          <w:snapToGrid w:val="0"/>
          <w:color w:val="auto"/>
          <w:kern w:val="0"/>
          <w:szCs w:val="21"/>
          <w:highlight w:val="none"/>
        </w:rPr>
        <w:t>2.5 服务期限：</w:t>
      </w:r>
    </w:p>
    <w:p>
      <w:pPr>
        <w:tabs>
          <w:tab w:val="left" w:pos="480"/>
        </w:tabs>
        <w:adjustRightInd w:val="0"/>
        <w:spacing w:line="360" w:lineRule="auto"/>
        <w:ind w:firstLine="420" w:firstLineChars="200"/>
        <w:jc w:val="left"/>
        <w:rPr>
          <w:rFonts w:ascii="宋体"/>
          <w:snapToGrid w:val="0"/>
          <w:color w:val="auto"/>
          <w:kern w:val="0"/>
          <w:szCs w:val="21"/>
          <w:highlight w:val="none"/>
        </w:rPr>
      </w:pPr>
      <w:r>
        <w:rPr>
          <w:rFonts w:hint="eastAsia" w:ascii="宋体"/>
          <w:snapToGrid w:val="0"/>
          <w:color w:val="auto"/>
          <w:kern w:val="0"/>
          <w:szCs w:val="21"/>
          <w:highlight w:val="none"/>
        </w:rPr>
        <w:t>WYKKY1标段服务期限：</w:t>
      </w:r>
      <w:r>
        <w:rPr>
          <w:rFonts w:hint="eastAsia" w:ascii="宋体"/>
          <w:snapToGrid w:val="0"/>
          <w:color w:val="auto"/>
          <w:kern w:val="0"/>
          <w:szCs w:val="21"/>
          <w:highlight w:val="none"/>
          <w:lang w:val="en-US" w:eastAsia="zh-CN"/>
        </w:rPr>
        <w:t>截止2025年3月</w:t>
      </w:r>
      <w:r>
        <w:rPr>
          <w:rFonts w:hint="eastAsia" w:ascii="宋体"/>
          <w:snapToGrid w:val="0"/>
          <w:color w:val="auto"/>
          <w:kern w:val="0"/>
          <w:szCs w:val="21"/>
          <w:highlight w:val="none"/>
        </w:rPr>
        <w:t>，乙方须按甲方要求完成项目研究内容以及考核指标（除获奖及延长服务期工作外），达到结题验收条件。</w:t>
      </w:r>
    </w:p>
    <w:p>
      <w:pPr>
        <w:pStyle w:val="2"/>
        <w:ind w:firstLine="420" w:firstLineChars="200"/>
        <w:rPr>
          <w:color w:val="auto"/>
          <w:highlight w:val="none"/>
        </w:rPr>
      </w:pPr>
      <w:r>
        <w:rPr>
          <w:rFonts w:hint="eastAsia" w:ascii="宋体"/>
          <w:snapToGrid w:val="0"/>
          <w:color w:val="auto"/>
          <w:kern w:val="0"/>
          <w:szCs w:val="21"/>
          <w:highlight w:val="none"/>
        </w:rPr>
        <w:t>WYKKY2标段服务期限：</w:t>
      </w:r>
      <w:r>
        <w:rPr>
          <w:rFonts w:hint="eastAsia" w:ascii="宋体"/>
          <w:color w:val="auto"/>
          <w:szCs w:val="21"/>
          <w:highlight w:val="none"/>
          <w:lang w:val="en-US" w:eastAsia="zh-CN"/>
        </w:rPr>
        <w:t>截止2024年6月</w:t>
      </w:r>
      <w:r>
        <w:rPr>
          <w:rFonts w:ascii="宋体"/>
          <w:color w:val="auto"/>
          <w:szCs w:val="21"/>
          <w:highlight w:val="none"/>
        </w:rPr>
        <w:t>，乙方须按甲方要求完成项目研究内容以及考核指标（除获奖及延长服务期工作外），达到结题验收条件。</w:t>
      </w:r>
    </w:p>
    <w:bookmarkEnd w:id="19"/>
    <w:p>
      <w:pPr>
        <w:pStyle w:val="3"/>
        <w:spacing w:before="100" w:after="100" w:line="460" w:lineRule="exact"/>
        <w:outlineLvl w:val="2"/>
        <w:rPr>
          <w:rFonts w:ascii="宋体"/>
          <w:snapToGrid w:val="0"/>
          <w:color w:val="auto"/>
          <w:sz w:val="28"/>
          <w:szCs w:val="28"/>
          <w:highlight w:val="none"/>
        </w:rPr>
      </w:pPr>
      <w:bookmarkStart w:id="20" w:name="_Toc287620669"/>
      <w:bookmarkStart w:id="21" w:name="_Toc509218694"/>
      <w:bookmarkStart w:id="22" w:name="_Toc200359240"/>
      <w:bookmarkStart w:id="23" w:name="_Toc277082538"/>
      <w:bookmarkStart w:id="24" w:name="_Toc287607730"/>
      <w:bookmarkStart w:id="25" w:name="_Toc200359429"/>
      <w:bookmarkStart w:id="26" w:name="_Toc224103301"/>
      <w:bookmarkStart w:id="27" w:name="_Toc430530418"/>
      <w:r>
        <w:rPr>
          <w:rFonts w:ascii="宋体"/>
          <w:snapToGrid w:val="0"/>
          <w:color w:val="auto"/>
          <w:sz w:val="28"/>
          <w:szCs w:val="28"/>
          <w:highlight w:val="none"/>
        </w:rPr>
        <w:t>3. 投标人资格要求</w:t>
      </w:r>
      <w:bookmarkEnd w:id="20"/>
      <w:bookmarkEnd w:id="21"/>
      <w:bookmarkEnd w:id="22"/>
      <w:bookmarkEnd w:id="23"/>
      <w:bookmarkEnd w:id="24"/>
      <w:bookmarkEnd w:id="25"/>
      <w:bookmarkEnd w:id="26"/>
      <w:bookmarkEnd w:id="27"/>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bookmarkStart w:id="28" w:name="OLE_LINK3"/>
      <w:r>
        <w:rPr>
          <w:rFonts w:ascii="宋体"/>
          <w:snapToGrid w:val="0"/>
          <w:color w:val="auto"/>
          <w:kern w:val="0"/>
          <w:szCs w:val="21"/>
          <w:highlight w:val="none"/>
        </w:rPr>
        <w:t>3.1  本次招标要求投标人须具备</w:t>
      </w:r>
      <w:r>
        <w:rPr>
          <w:rFonts w:hint="eastAsia" w:ascii="宋体"/>
          <w:snapToGrid w:val="0"/>
          <w:color w:val="auto"/>
          <w:kern w:val="0"/>
          <w:szCs w:val="21"/>
          <w:highlight w:val="none"/>
        </w:rPr>
        <w:t>以下条件：</w:t>
      </w:r>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r>
        <w:rPr>
          <w:rFonts w:hint="eastAsia" w:ascii="宋体"/>
          <w:snapToGrid w:val="0"/>
          <w:color w:val="auto"/>
          <w:kern w:val="0"/>
          <w:szCs w:val="21"/>
          <w:highlight w:val="none"/>
        </w:rPr>
        <w:t>3.1.1 投标人应具有以下资质条件：</w:t>
      </w:r>
    </w:p>
    <w:p>
      <w:pPr>
        <w:autoSpaceDE w:val="0"/>
        <w:autoSpaceDN w:val="0"/>
        <w:adjustRightInd w:val="0"/>
        <w:snapToGrid w:val="0"/>
        <w:spacing w:line="400" w:lineRule="exact"/>
        <w:ind w:firstLine="420" w:firstLineChars="200"/>
        <w:rPr>
          <w:rFonts w:ascii="宋体"/>
          <w:snapToGrid w:val="0"/>
          <w:color w:val="auto"/>
          <w:kern w:val="0"/>
          <w:szCs w:val="21"/>
          <w:highlight w:val="none"/>
        </w:rPr>
      </w:pPr>
      <w:r>
        <w:rPr>
          <w:rFonts w:hint="eastAsia"/>
          <w:color w:val="auto"/>
          <w:highlight w:val="none"/>
        </w:rPr>
        <w:t>投标人须具有独立法人资格。</w:t>
      </w:r>
    </w:p>
    <w:p>
      <w:pPr>
        <w:autoSpaceDE w:val="0"/>
        <w:autoSpaceDN w:val="0"/>
        <w:adjustRightInd w:val="0"/>
        <w:snapToGrid w:val="0"/>
        <w:spacing w:line="400" w:lineRule="exact"/>
        <w:ind w:firstLine="420" w:firstLineChars="200"/>
        <w:rPr>
          <w:rFonts w:ascii="宋体"/>
          <w:snapToGrid w:val="0"/>
          <w:color w:val="auto"/>
          <w:kern w:val="0"/>
          <w:szCs w:val="21"/>
          <w:highlight w:val="none"/>
        </w:rPr>
      </w:pPr>
      <w:r>
        <w:rPr>
          <w:rFonts w:ascii="宋体"/>
          <w:snapToGrid w:val="0"/>
          <w:color w:val="auto"/>
          <w:kern w:val="0"/>
          <w:szCs w:val="21"/>
          <w:highlight w:val="none"/>
        </w:rPr>
        <w:t xml:space="preserve">3.1.2 </w:t>
      </w:r>
      <w:r>
        <w:rPr>
          <w:rFonts w:hint="eastAsia" w:ascii="宋体"/>
          <w:snapToGrid w:val="0"/>
          <w:color w:val="auto"/>
          <w:kern w:val="0"/>
          <w:szCs w:val="21"/>
          <w:highlight w:val="none"/>
        </w:rPr>
        <w:t>本次招标要求投标人应具备下列条件：</w:t>
      </w:r>
    </w:p>
    <w:p>
      <w:pPr>
        <w:tabs>
          <w:tab w:val="left" w:pos="2420"/>
          <w:tab w:val="left" w:pos="5445"/>
        </w:tabs>
        <w:autoSpaceDE w:val="0"/>
        <w:autoSpaceDN w:val="0"/>
        <w:adjustRightInd w:val="0"/>
        <w:snapToGrid w:val="0"/>
        <w:spacing w:line="450" w:lineRule="exact"/>
        <w:ind w:firstLine="420"/>
        <w:rPr>
          <w:rFonts w:hint="eastAsia" w:eastAsia="宋体"/>
          <w:color w:val="auto"/>
          <w:highlight w:val="none"/>
          <w:lang w:eastAsia="zh-CN"/>
        </w:rPr>
      </w:pPr>
      <w:r>
        <w:rPr>
          <w:rFonts w:hint="eastAsia"/>
          <w:color w:val="auto"/>
          <w:highlight w:val="none"/>
        </w:rPr>
        <w:t>（1）投标人</w:t>
      </w:r>
      <w:r>
        <w:rPr>
          <w:color w:val="auto"/>
          <w:highlight w:val="none"/>
        </w:rPr>
        <w:t>2018</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日至投标截止日</w:t>
      </w:r>
      <w:r>
        <w:rPr>
          <w:color w:val="auto"/>
          <w:highlight w:val="none"/>
        </w:rPr>
        <w:t>(</w:t>
      </w:r>
      <w:r>
        <w:rPr>
          <w:rFonts w:hint="eastAsia"/>
          <w:color w:val="auto"/>
          <w:highlight w:val="none"/>
        </w:rPr>
        <w:t>以课题结题时间或课题验收时间为准)</w:t>
      </w:r>
      <w:r>
        <w:rPr>
          <w:color w:val="auto"/>
          <w:highlight w:val="none"/>
        </w:rPr>
        <w:t>完成</w:t>
      </w:r>
      <w:r>
        <w:rPr>
          <w:rFonts w:hint="eastAsia"/>
          <w:color w:val="auto"/>
          <w:highlight w:val="none"/>
        </w:rPr>
        <w:t>1项公路工程方向的省部级及以上科研项目</w:t>
      </w:r>
      <w:r>
        <w:rPr>
          <w:rFonts w:hint="eastAsia"/>
          <w:color w:val="auto"/>
          <w:highlight w:val="none"/>
          <w:lang w:eastAsia="zh-CN"/>
        </w:rPr>
        <w:t>。</w:t>
      </w:r>
    </w:p>
    <w:p>
      <w:pPr>
        <w:tabs>
          <w:tab w:val="left" w:pos="2420"/>
          <w:tab w:val="left" w:pos="5445"/>
        </w:tabs>
        <w:autoSpaceDE w:val="0"/>
        <w:autoSpaceDN w:val="0"/>
        <w:adjustRightInd w:val="0"/>
        <w:snapToGrid w:val="0"/>
        <w:spacing w:line="450" w:lineRule="exact"/>
        <w:ind w:firstLine="420"/>
        <w:rPr>
          <w:color w:val="auto"/>
          <w:highlight w:val="none"/>
        </w:rPr>
      </w:pPr>
      <w:r>
        <w:rPr>
          <w:rFonts w:hint="eastAsia"/>
          <w:color w:val="auto"/>
          <w:highlight w:val="none"/>
          <w:lang w:val="en-US" w:eastAsia="zh-CN"/>
        </w:rPr>
        <w:t>注：</w:t>
      </w:r>
      <w:r>
        <w:rPr>
          <w:rFonts w:hint="eastAsia"/>
          <w:color w:val="auto"/>
          <w:highlight w:val="none"/>
        </w:rPr>
        <w:t>联合体</w:t>
      </w:r>
      <w:r>
        <w:rPr>
          <w:rFonts w:hint="eastAsia"/>
          <w:color w:val="auto"/>
          <w:highlight w:val="none"/>
          <w:lang w:val="en-US" w:eastAsia="zh-CN"/>
        </w:rPr>
        <w:t>投标的</w:t>
      </w:r>
      <w:r>
        <w:rPr>
          <w:rFonts w:hint="eastAsia"/>
          <w:color w:val="auto"/>
          <w:highlight w:val="none"/>
        </w:rPr>
        <w:t>，该业绩由联合体牵头人提供。</w:t>
      </w:r>
    </w:p>
    <w:p>
      <w:pPr>
        <w:tabs>
          <w:tab w:val="left" w:pos="3840"/>
          <w:tab w:val="left" w:pos="5300"/>
        </w:tabs>
        <w:autoSpaceDE w:val="0"/>
        <w:autoSpaceDN w:val="0"/>
        <w:adjustRightInd w:val="0"/>
        <w:snapToGrid w:val="0"/>
        <w:spacing w:line="460" w:lineRule="exact"/>
        <w:ind w:firstLine="420" w:firstLineChars="200"/>
        <w:jc w:val="left"/>
        <w:rPr>
          <w:rFonts w:ascii="宋体"/>
          <w:color w:val="auto"/>
          <w:szCs w:val="21"/>
          <w:highlight w:val="none"/>
        </w:rPr>
      </w:pPr>
      <w:r>
        <w:rPr>
          <w:rFonts w:hint="eastAsia" w:ascii="宋体"/>
          <w:snapToGrid w:val="0"/>
          <w:color w:val="auto"/>
          <w:kern w:val="0"/>
          <w:szCs w:val="21"/>
          <w:highlight w:val="none"/>
        </w:rPr>
        <w:t>3.1.3 投标人还应在人员、设备、资金等方面具有相应的服务能力，详见招标文件第二章投标人须知前附表第1.4.1项内容。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ascii="宋体"/>
          <w:snapToGrid w:val="0"/>
          <w:color w:val="auto"/>
          <w:kern w:val="0"/>
          <w:szCs w:val="21"/>
          <w:highlight w:val="none"/>
        </w:rPr>
        <w:t>3.2 本次招标接受联合体投标，</w:t>
      </w:r>
      <w:r>
        <w:rPr>
          <w:rFonts w:hint="eastAsia"/>
          <w:color w:val="auto"/>
          <w:highlight w:val="none"/>
        </w:rPr>
        <w:t>联合体投标应满足下列要求：</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color w:val="auto"/>
          <w:highlight w:val="none"/>
        </w:rPr>
        <w:t>（1）若为联合体投标，须签署联合体协议书</w:t>
      </w:r>
      <w:r>
        <w:rPr>
          <w:rFonts w:hint="eastAsia" w:ascii="宋体"/>
          <w:color w:val="auto"/>
          <w:szCs w:val="21"/>
          <w:highlight w:val="none"/>
        </w:rPr>
        <w:t>（联合体格式见第六章投标文件格式）</w:t>
      </w:r>
      <w:r>
        <w:rPr>
          <w:rFonts w:hint="eastAsia"/>
          <w:color w:val="auto"/>
          <w:highlight w:val="none"/>
        </w:rPr>
        <w:t>，明确联合体牵头人，联合体中各成员单位及其分别承担工作范围（工作内容及考核指标）、以及联合体各成员单位报价中各自分配的金额等相关权益和责任义务；</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color w:val="auto"/>
          <w:highlight w:val="none"/>
        </w:rPr>
        <w:t>（2）联合体成员单位均为独立法人；</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color w:val="auto"/>
          <w:highlight w:val="none"/>
        </w:rPr>
        <w:t>（3）联合体成员的数量（含牵头单位）WYKKY1</w:t>
      </w:r>
      <w:r>
        <w:rPr>
          <w:rFonts w:hint="eastAsia"/>
          <w:color w:val="auto"/>
          <w:highlight w:val="none"/>
          <w:lang w:eastAsia="zh-CN"/>
        </w:rPr>
        <w:t>不得超过</w:t>
      </w:r>
      <w:r>
        <w:rPr>
          <w:rFonts w:hint="eastAsia"/>
          <w:color w:val="auto"/>
          <w:highlight w:val="none"/>
          <w:lang w:val="en-US" w:eastAsia="zh-CN"/>
        </w:rPr>
        <w:t>3家，WYKKY2</w:t>
      </w:r>
      <w:r>
        <w:rPr>
          <w:rFonts w:hint="eastAsia"/>
          <w:color w:val="auto"/>
          <w:highlight w:val="none"/>
        </w:rPr>
        <w:t>不得超过</w:t>
      </w:r>
      <w:r>
        <w:rPr>
          <w:color w:val="auto"/>
          <w:highlight w:val="none"/>
        </w:rPr>
        <w:t>3</w:t>
      </w:r>
      <w:r>
        <w:rPr>
          <w:rFonts w:hint="eastAsia"/>
          <w:color w:val="auto"/>
          <w:highlight w:val="none"/>
        </w:rPr>
        <w:t>家。</w:t>
      </w:r>
    </w:p>
    <w:p>
      <w:pPr>
        <w:tabs>
          <w:tab w:val="left" w:pos="2420"/>
          <w:tab w:val="left" w:pos="5445"/>
        </w:tabs>
        <w:autoSpaceDE w:val="0"/>
        <w:autoSpaceDN w:val="0"/>
        <w:adjustRightInd w:val="0"/>
        <w:snapToGrid w:val="0"/>
        <w:spacing w:line="450" w:lineRule="exact"/>
        <w:ind w:firstLine="420" w:firstLineChars="0"/>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3</w:t>
      </w:r>
      <w:r>
        <w:rPr>
          <w:rFonts w:hint="default" w:ascii="宋体" w:hAnsi="宋体"/>
          <w:snapToGrid w:val="0"/>
          <w:color w:val="auto"/>
          <w:kern w:val="0"/>
          <w:szCs w:val="21"/>
          <w:highlight w:val="none"/>
          <w:lang w:val="en-US" w:eastAsia="zh-CN"/>
        </w:rPr>
        <w:t>投标人可以同时参加本项目WYKKY1</w:t>
      </w:r>
      <w:r>
        <w:rPr>
          <w:rFonts w:hint="eastAsia" w:ascii="宋体" w:hAnsi="宋体"/>
          <w:snapToGrid w:val="0"/>
          <w:color w:val="auto"/>
          <w:kern w:val="0"/>
          <w:szCs w:val="21"/>
          <w:highlight w:val="none"/>
          <w:lang w:val="en-US" w:eastAsia="zh-CN"/>
        </w:rPr>
        <w:t>标段、</w:t>
      </w:r>
      <w:r>
        <w:rPr>
          <w:rFonts w:hint="default" w:ascii="宋体" w:hAnsi="宋体"/>
          <w:snapToGrid w:val="0"/>
          <w:color w:val="auto"/>
          <w:kern w:val="0"/>
          <w:szCs w:val="21"/>
          <w:highlight w:val="none"/>
          <w:lang w:val="en-US" w:eastAsia="zh-CN"/>
        </w:rPr>
        <w:t>WYKKY2标段的投标，</w:t>
      </w:r>
      <w:r>
        <w:rPr>
          <w:rFonts w:hint="eastAsia" w:ascii="宋体" w:hAnsi="宋体"/>
          <w:snapToGrid w:val="0"/>
          <w:color w:val="auto"/>
          <w:kern w:val="0"/>
          <w:szCs w:val="21"/>
          <w:highlight w:val="none"/>
          <w:lang w:val="en-US" w:eastAsia="zh-CN"/>
        </w:rPr>
        <w:t>并可中标1-2个标段</w:t>
      </w:r>
      <w:r>
        <w:rPr>
          <w:rFonts w:hint="default" w:ascii="宋体" w:hAnsi="宋体"/>
          <w:snapToGrid w:val="0"/>
          <w:color w:val="auto"/>
          <w:kern w:val="0"/>
          <w:szCs w:val="21"/>
          <w:highlight w:val="none"/>
          <w:lang w:val="en-US" w:eastAsia="zh-CN"/>
        </w:rPr>
        <w:t>。</w:t>
      </w:r>
      <w:r>
        <w:rPr>
          <w:rFonts w:hint="eastAsia" w:ascii="宋体" w:hAnsi="宋体"/>
          <w:snapToGrid w:val="0"/>
          <w:color w:val="auto"/>
          <w:kern w:val="0"/>
          <w:szCs w:val="21"/>
          <w:highlight w:val="none"/>
          <w:lang w:val="en-US" w:eastAsia="zh-CN"/>
        </w:rPr>
        <w:t>投标人以联合体形式参与某一标段投标的，不能再以独立形式或组建新的联合体参与该标段投标。</w:t>
      </w:r>
    </w:p>
    <w:bookmarkEnd w:id="28"/>
    <w:p>
      <w:pPr>
        <w:pStyle w:val="3"/>
        <w:spacing w:before="100" w:after="100" w:line="460" w:lineRule="exact"/>
        <w:outlineLvl w:val="2"/>
        <w:rPr>
          <w:rFonts w:ascii="宋体"/>
          <w:snapToGrid w:val="0"/>
          <w:color w:val="auto"/>
          <w:sz w:val="28"/>
          <w:szCs w:val="28"/>
          <w:highlight w:val="none"/>
        </w:rPr>
      </w:pPr>
      <w:bookmarkStart w:id="29" w:name="_Toc287607731"/>
      <w:bookmarkStart w:id="30" w:name="_Toc430530419"/>
      <w:bookmarkStart w:id="31" w:name="_Toc509218695"/>
      <w:bookmarkStart w:id="32" w:name="_Toc287620670"/>
      <w:bookmarkStart w:id="33" w:name="_Toc200359430"/>
      <w:bookmarkStart w:id="34" w:name="_Toc200359241"/>
      <w:bookmarkStart w:id="35" w:name="_Toc224103302"/>
      <w:bookmarkStart w:id="36" w:name="_Toc277082539"/>
      <w:r>
        <w:rPr>
          <w:rFonts w:ascii="宋体"/>
          <w:snapToGrid w:val="0"/>
          <w:color w:val="auto"/>
          <w:sz w:val="28"/>
          <w:szCs w:val="28"/>
          <w:highlight w:val="none"/>
        </w:rPr>
        <w:t>4. 招标文件的获取</w:t>
      </w:r>
      <w:bookmarkEnd w:id="29"/>
      <w:bookmarkEnd w:id="30"/>
      <w:bookmarkEnd w:id="31"/>
      <w:bookmarkEnd w:id="32"/>
      <w:bookmarkEnd w:id="33"/>
      <w:bookmarkEnd w:id="34"/>
      <w:bookmarkEnd w:id="35"/>
      <w:bookmarkEnd w:id="36"/>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bookmarkStart w:id="37" w:name="_Toc509218696"/>
      <w:bookmarkStart w:id="38" w:name="_Toc200359431"/>
      <w:bookmarkStart w:id="39" w:name="_Toc200359242"/>
      <w:bookmarkStart w:id="40" w:name="_Toc287607732"/>
      <w:bookmarkStart w:id="41" w:name="_Toc287620671"/>
      <w:bookmarkStart w:id="42" w:name="_Toc277082540"/>
      <w:bookmarkStart w:id="43" w:name="_Toc430530420"/>
      <w:bookmarkStart w:id="44" w:name="_Toc224103303"/>
      <w:r>
        <w:rPr>
          <w:rFonts w:hint="eastAsia" w:ascii="宋体"/>
          <w:snapToGrid w:val="0"/>
          <w:color w:val="auto"/>
          <w:kern w:val="0"/>
          <w:szCs w:val="21"/>
          <w:highlight w:val="none"/>
        </w:rPr>
        <w:t xml:space="preserve">4.1  </w:t>
      </w:r>
      <w:r>
        <w:rPr>
          <w:rFonts w:ascii="宋体"/>
          <w:snapToGrid w:val="0"/>
          <w:color w:val="auto"/>
          <w:kern w:val="0"/>
          <w:szCs w:val="21"/>
          <w:highlight w:val="none"/>
        </w:rPr>
        <w:t>本招标项目采用</w:t>
      </w:r>
      <w:r>
        <w:rPr>
          <w:rFonts w:hint="eastAsia" w:ascii="宋体"/>
          <w:snapToGrid w:val="0"/>
          <w:color w:val="auto"/>
          <w:kern w:val="0"/>
          <w:szCs w:val="21"/>
          <w:highlight w:val="none"/>
        </w:rPr>
        <w:t>全流程电子</w:t>
      </w:r>
      <w:r>
        <w:rPr>
          <w:rFonts w:ascii="宋体"/>
          <w:snapToGrid w:val="0"/>
          <w:color w:val="auto"/>
          <w:kern w:val="0"/>
          <w:szCs w:val="21"/>
          <w:highlight w:val="none"/>
        </w:rPr>
        <w:t>招投标，投标人在投标前可在</w:t>
      </w:r>
      <w:r>
        <w:rPr>
          <w:rFonts w:hint="eastAsia" w:ascii="宋体"/>
          <w:snapToGrid w:val="0"/>
          <w:color w:val="auto"/>
          <w:kern w:val="0"/>
          <w:szCs w:val="21"/>
          <w:highlight w:val="none"/>
          <w:u w:val="single"/>
        </w:rPr>
        <w:t>重庆市公共资源交易网（www.cqggzy.com）</w:t>
      </w:r>
      <w:r>
        <w:rPr>
          <w:rFonts w:ascii="宋体"/>
          <w:snapToGrid w:val="0"/>
          <w:color w:val="auto"/>
          <w:kern w:val="0"/>
          <w:szCs w:val="21"/>
          <w:highlight w:val="none"/>
        </w:rPr>
        <w:t>下载招标文件</w:t>
      </w:r>
      <w:r>
        <w:rPr>
          <w:rFonts w:hint="eastAsia" w:ascii="宋体"/>
          <w:snapToGrid w:val="0"/>
          <w:color w:val="auto"/>
          <w:kern w:val="0"/>
          <w:szCs w:val="21"/>
          <w:highlight w:val="none"/>
        </w:rPr>
        <w:t>及其</w:t>
      </w:r>
      <w:r>
        <w:rPr>
          <w:rFonts w:ascii="宋体"/>
          <w:snapToGrid w:val="0"/>
          <w:color w:val="auto"/>
          <w:kern w:val="0"/>
          <w:szCs w:val="21"/>
          <w:highlight w:val="none"/>
        </w:rPr>
        <w:t>附件、澄清、修改、补充通知、最高限价通知等资料。参与投标的投标人</w:t>
      </w:r>
      <w:r>
        <w:rPr>
          <w:rFonts w:hint="eastAsia" w:ascii="宋体"/>
          <w:snapToGrid w:val="0"/>
          <w:color w:val="auto"/>
          <w:kern w:val="0"/>
          <w:szCs w:val="21"/>
          <w:highlight w:val="none"/>
        </w:rPr>
        <w:t>需在</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完成市场主体信息登记以及 CA 数字证书办理，办理方式请参见</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snapToGrid w:val="0"/>
          <w:color w:val="auto"/>
          <w:kern w:val="0"/>
          <w:szCs w:val="21"/>
          <w:highlight w:val="none"/>
        </w:rPr>
        <w:t>。</w:t>
      </w:r>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r>
        <w:rPr>
          <w:rFonts w:hint="eastAsia" w:ascii="宋体"/>
          <w:snapToGrid w:val="0"/>
          <w:color w:val="auto"/>
          <w:kern w:val="0"/>
          <w:szCs w:val="21"/>
          <w:highlight w:val="none"/>
        </w:rPr>
        <w:t>4.2  投标人可在</w:t>
      </w:r>
      <w:r>
        <w:rPr>
          <w:rFonts w:hint="eastAsia" w:ascii="宋体" w:cs="宋体"/>
          <w:snapToGrid w:val="0"/>
          <w:color w:val="auto"/>
          <w:kern w:val="0"/>
          <w:szCs w:val="21"/>
          <w:highlight w:val="none"/>
        </w:rPr>
        <w:t>附件招标公告规定的时限内在</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snapToGrid w:val="0"/>
          <w:color w:val="auto"/>
          <w:kern w:val="0"/>
          <w:szCs w:val="21"/>
          <w:highlight w:val="none"/>
        </w:rPr>
      </w:pPr>
      <w:r>
        <w:rPr>
          <w:rFonts w:hint="eastAsia" w:ascii="宋体"/>
          <w:snapToGrid w:val="0"/>
          <w:color w:val="auto"/>
          <w:kern w:val="0"/>
          <w:szCs w:val="21"/>
          <w:highlight w:val="none"/>
        </w:rPr>
        <w:t>4.3  招标人应</w:t>
      </w:r>
      <w:r>
        <w:rPr>
          <w:rFonts w:hint="eastAsia" w:ascii="宋体" w:cs="宋体"/>
          <w:snapToGrid w:val="0"/>
          <w:color w:val="auto"/>
          <w:kern w:val="0"/>
          <w:szCs w:val="21"/>
          <w:highlight w:val="none"/>
        </w:rPr>
        <w:t>在附件招标公告规定的时限内</w:t>
      </w:r>
      <w:r>
        <w:rPr>
          <w:rFonts w:hint="eastAsia" w:ascii="宋体"/>
          <w:snapToGrid w:val="0"/>
          <w:color w:val="auto"/>
          <w:kern w:val="0"/>
          <w:szCs w:val="21"/>
          <w:highlight w:val="none"/>
        </w:rPr>
        <w:t>在</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发布澄清或修改。</w:t>
      </w:r>
    </w:p>
    <w:p>
      <w:pPr>
        <w:pStyle w:val="3"/>
        <w:spacing w:before="100" w:after="100" w:line="460" w:lineRule="exact"/>
        <w:outlineLvl w:val="2"/>
        <w:rPr>
          <w:rFonts w:ascii="宋体"/>
          <w:snapToGrid w:val="0"/>
          <w:color w:val="auto"/>
          <w:sz w:val="28"/>
          <w:szCs w:val="28"/>
          <w:highlight w:val="none"/>
        </w:rPr>
      </w:pPr>
      <w:r>
        <w:rPr>
          <w:rFonts w:ascii="宋体"/>
          <w:snapToGrid w:val="0"/>
          <w:color w:val="auto"/>
          <w:sz w:val="28"/>
          <w:szCs w:val="28"/>
          <w:highlight w:val="none"/>
        </w:rPr>
        <w:t>5. 投标文件的递交</w:t>
      </w:r>
      <w:bookmarkEnd w:id="37"/>
      <w:bookmarkEnd w:id="38"/>
      <w:bookmarkEnd w:id="39"/>
      <w:bookmarkEnd w:id="40"/>
      <w:bookmarkEnd w:id="41"/>
      <w:bookmarkEnd w:id="42"/>
      <w:bookmarkEnd w:id="43"/>
      <w:bookmarkEnd w:id="4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snapToGrid w:val="0"/>
          <w:color w:val="auto"/>
          <w:kern w:val="0"/>
          <w:szCs w:val="21"/>
          <w:highlight w:val="none"/>
        </w:rPr>
      </w:pPr>
      <w:bookmarkStart w:id="45" w:name="_Hlk101516861"/>
      <w:r>
        <w:rPr>
          <w:rFonts w:hint="eastAsia" w:ascii="宋体"/>
          <w:snapToGrid w:val="0"/>
          <w:color w:val="auto"/>
          <w:kern w:val="0"/>
          <w:szCs w:val="21"/>
          <w:highlight w:val="none"/>
        </w:rPr>
        <w:t>5.1  投标文件递交的截止时间（投标截止时间，下同）</w:t>
      </w:r>
      <w:r>
        <w:rPr>
          <w:rFonts w:hint="eastAsia" w:ascii="宋体" w:cs="宋体"/>
          <w:snapToGrid w:val="0"/>
          <w:color w:val="auto"/>
          <w:kern w:val="0"/>
          <w:szCs w:val="21"/>
          <w:highlight w:val="none"/>
        </w:rPr>
        <w:t>详见附件招标公告规定的投标截止时间</w:t>
      </w:r>
      <w:r>
        <w:rPr>
          <w:rFonts w:hint="eastAsia" w:ascii="宋体"/>
          <w:snapToGrid w:val="0"/>
          <w:color w:val="auto"/>
          <w:kern w:val="0"/>
          <w:szCs w:val="21"/>
          <w:highlight w:val="none"/>
        </w:rPr>
        <w:t>，投标人应当在投标截止时间前，通过互联网使用CA数字证书登录重庆市电子招投标系统，将加密的电子投标文件上传。</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snapToGrid w:val="0"/>
          <w:color w:val="auto"/>
          <w:kern w:val="0"/>
          <w:szCs w:val="21"/>
          <w:highlight w:val="none"/>
        </w:rPr>
      </w:pPr>
      <w:r>
        <w:rPr>
          <w:rFonts w:hint="eastAsia" w:ascii="宋体"/>
          <w:snapToGrid w:val="0"/>
          <w:color w:val="auto"/>
          <w:kern w:val="0"/>
          <w:szCs w:val="21"/>
          <w:highlight w:val="none"/>
        </w:rPr>
        <w:t>5.2  未按要求加密的电子投标文件，将无法上传至重庆市电子招投标系统，逾期未完成上传投标文件的，视为撤回投标文件。</w:t>
      </w:r>
      <w:bookmarkStart w:id="60" w:name="_GoBack"/>
      <w:bookmarkEnd w:id="60"/>
    </w:p>
    <w:bookmarkEnd w:id="45"/>
    <w:p>
      <w:pPr>
        <w:pStyle w:val="3"/>
        <w:spacing w:before="100" w:after="100" w:line="460" w:lineRule="exact"/>
        <w:outlineLvl w:val="2"/>
        <w:rPr>
          <w:rFonts w:ascii="宋体"/>
          <w:snapToGrid w:val="0"/>
          <w:color w:val="auto"/>
          <w:sz w:val="28"/>
          <w:szCs w:val="28"/>
          <w:highlight w:val="none"/>
        </w:rPr>
      </w:pPr>
      <w:bookmarkStart w:id="46" w:name="_Toc277082541"/>
      <w:bookmarkStart w:id="47" w:name="_Toc287620672"/>
      <w:bookmarkStart w:id="48" w:name="_Toc200359243"/>
      <w:bookmarkStart w:id="49" w:name="_Toc224103304"/>
      <w:bookmarkStart w:id="50" w:name="_Toc430530421"/>
      <w:bookmarkStart w:id="51" w:name="_Toc509218697"/>
      <w:bookmarkStart w:id="52" w:name="_Toc200359432"/>
      <w:bookmarkStart w:id="53" w:name="_Toc287607733"/>
      <w:r>
        <w:rPr>
          <w:rFonts w:ascii="宋体"/>
          <w:snapToGrid w:val="0"/>
          <w:color w:val="auto"/>
          <w:sz w:val="28"/>
          <w:szCs w:val="28"/>
          <w:highlight w:val="none"/>
        </w:rPr>
        <w:t>6. 发布公告的媒介</w:t>
      </w:r>
      <w:bookmarkEnd w:id="46"/>
      <w:bookmarkEnd w:id="47"/>
      <w:bookmarkEnd w:id="48"/>
      <w:bookmarkEnd w:id="49"/>
      <w:bookmarkEnd w:id="50"/>
      <w:bookmarkEnd w:id="51"/>
      <w:bookmarkEnd w:id="52"/>
      <w:bookmarkEnd w:id="53"/>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snapToGrid w:val="0"/>
          <w:color w:val="auto"/>
          <w:kern w:val="0"/>
          <w:szCs w:val="21"/>
          <w:highlight w:val="none"/>
        </w:rPr>
      </w:pPr>
      <w:r>
        <w:rPr>
          <w:rFonts w:ascii="宋体"/>
          <w:snapToGrid w:val="0"/>
          <w:color w:val="auto"/>
          <w:kern w:val="0"/>
          <w:szCs w:val="21"/>
          <w:highlight w:val="none"/>
        </w:rPr>
        <w:t>本次招标公告同时在</w:t>
      </w:r>
      <w:r>
        <w:rPr>
          <w:rFonts w:hint="eastAsia" w:ascii="宋体"/>
          <w:snapToGrid w:val="0"/>
          <w:color w:val="auto"/>
          <w:kern w:val="0"/>
          <w:szCs w:val="21"/>
          <w:highlight w:val="none"/>
        </w:rPr>
        <w:t>重庆市公共资源交易网（https://www.cqggzy.com/）、重庆高速公路集团有限公司官网（http://www.cegc.com.cn/gw）和重庆高速公路集团有限公司招投标管理平台（http://219.152.86.11:8088/pms/jsp/business/cccc/login.jsp）上发布。</w:t>
      </w:r>
    </w:p>
    <w:p>
      <w:pPr>
        <w:pStyle w:val="3"/>
        <w:spacing w:before="100" w:after="100" w:line="460" w:lineRule="exact"/>
        <w:outlineLvl w:val="2"/>
        <w:rPr>
          <w:rFonts w:ascii="宋体"/>
          <w:snapToGrid w:val="0"/>
          <w:color w:val="auto"/>
          <w:sz w:val="28"/>
          <w:szCs w:val="28"/>
          <w:highlight w:val="none"/>
        </w:rPr>
      </w:pPr>
      <w:bookmarkStart w:id="54" w:name="_Toc430530422"/>
      <w:bookmarkStart w:id="55" w:name="_Toc224103305"/>
      <w:bookmarkStart w:id="56" w:name="_Toc277082542"/>
      <w:bookmarkStart w:id="57" w:name="_Toc287607734"/>
      <w:bookmarkStart w:id="58" w:name="_Toc509218698"/>
      <w:bookmarkStart w:id="59" w:name="_Toc287620673"/>
      <w:r>
        <w:rPr>
          <w:rFonts w:ascii="宋体"/>
          <w:snapToGrid w:val="0"/>
          <w:color w:val="auto"/>
          <w:sz w:val="28"/>
          <w:szCs w:val="28"/>
          <w:highlight w:val="none"/>
        </w:rPr>
        <w:t>7. 联系方式</w:t>
      </w:r>
      <w:bookmarkEnd w:id="54"/>
      <w:bookmarkEnd w:id="55"/>
      <w:bookmarkEnd w:id="56"/>
      <w:bookmarkEnd w:id="57"/>
      <w:bookmarkEnd w:id="58"/>
      <w:bookmarkEnd w:id="59"/>
    </w:p>
    <w:p>
      <w:pPr>
        <w:spacing w:line="440" w:lineRule="atLeast"/>
        <w:ind w:firstLine="420" w:firstLineChars="200"/>
        <w:rPr>
          <w:color w:val="auto"/>
          <w:szCs w:val="21"/>
          <w:highlight w:val="none"/>
        </w:rPr>
      </w:pPr>
      <w:r>
        <w:rPr>
          <w:rFonts w:hint="eastAsia"/>
          <w:color w:val="auto"/>
          <w:szCs w:val="21"/>
          <w:highlight w:val="none"/>
        </w:rPr>
        <w:t xml:space="preserve">招标人：重庆高速巫云开建设有限公司  </w:t>
      </w:r>
    </w:p>
    <w:p>
      <w:pPr>
        <w:spacing w:line="440" w:lineRule="atLeast"/>
        <w:ind w:firstLine="420" w:firstLineChars="200"/>
        <w:rPr>
          <w:color w:val="auto"/>
          <w:szCs w:val="21"/>
          <w:highlight w:val="none"/>
        </w:rPr>
      </w:pPr>
      <w:r>
        <w:rPr>
          <w:rFonts w:hint="eastAsia"/>
          <w:color w:val="auto"/>
          <w:szCs w:val="21"/>
          <w:highlight w:val="none"/>
        </w:rPr>
        <w:t>地  址：重庆市渝北区银杉路66号</w:t>
      </w:r>
    </w:p>
    <w:p>
      <w:pPr>
        <w:spacing w:line="440" w:lineRule="atLeast"/>
        <w:ind w:firstLine="420" w:firstLineChars="200"/>
        <w:rPr>
          <w:color w:val="auto"/>
          <w:szCs w:val="21"/>
          <w:highlight w:val="none"/>
        </w:rPr>
      </w:pPr>
      <w:r>
        <w:rPr>
          <w:rFonts w:hint="eastAsia"/>
          <w:color w:val="auto"/>
          <w:szCs w:val="21"/>
          <w:highlight w:val="none"/>
        </w:rPr>
        <w:t>联系人：郝老师</w:t>
      </w:r>
    </w:p>
    <w:p>
      <w:pPr>
        <w:spacing w:line="440" w:lineRule="atLeast"/>
        <w:ind w:firstLine="420" w:firstLineChars="200"/>
        <w:rPr>
          <w:color w:val="auto"/>
          <w:szCs w:val="21"/>
          <w:highlight w:val="none"/>
        </w:rPr>
      </w:pPr>
      <w:r>
        <w:rPr>
          <w:rFonts w:hint="eastAsia"/>
          <w:color w:val="auto"/>
          <w:szCs w:val="21"/>
          <w:highlight w:val="none"/>
        </w:rPr>
        <w:t>电  话：023-89136374</w:t>
      </w:r>
    </w:p>
    <w:p>
      <w:pPr>
        <w:spacing w:line="440" w:lineRule="atLeast"/>
        <w:ind w:firstLine="420" w:firstLineChars="200"/>
        <w:rPr>
          <w:color w:val="auto"/>
          <w:szCs w:val="21"/>
          <w:highlight w:val="none"/>
        </w:rPr>
      </w:pPr>
      <w:r>
        <w:rPr>
          <w:rFonts w:hint="eastAsia"/>
          <w:color w:val="auto"/>
          <w:szCs w:val="21"/>
          <w:highlight w:val="none"/>
        </w:rPr>
        <w:t>招标代理机构：重庆国际投资咨询集团有限公司</w:t>
      </w:r>
    </w:p>
    <w:p>
      <w:pPr>
        <w:spacing w:line="440" w:lineRule="atLeast"/>
        <w:ind w:firstLine="420" w:firstLineChars="200"/>
        <w:rPr>
          <w:color w:val="auto"/>
          <w:szCs w:val="21"/>
          <w:highlight w:val="none"/>
        </w:rPr>
      </w:pPr>
      <w:r>
        <w:rPr>
          <w:rFonts w:hint="eastAsia"/>
          <w:color w:val="auto"/>
          <w:szCs w:val="21"/>
          <w:highlight w:val="none"/>
        </w:rPr>
        <w:t>地址：重庆市江北区五简路2号重庆咨询大厦A座</w:t>
      </w:r>
    </w:p>
    <w:p>
      <w:pPr>
        <w:spacing w:line="440" w:lineRule="atLeast"/>
        <w:ind w:firstLine="420" w:firstLineChars="200"/>
        <w:rPr>
          <w:color w:val="auto"/>
          <w:szCs w:val="21"/>
          <w:highlight w:val="none"/>
        </w:rPr>
      </w:pPr>
      <w:r>
        <w:rPr>
          <w:rFonts w:hint="eastAsia"/>
          <w:color w:val="auto"/>
          <w:szCs w:val="21"/>
          <w:highlight w:val="none"/>
        </w:rPr>
        <w:t>联系人：刘老师</w:t>
      </w:r>
    </w:p>
    <w:p>
      <w:pPr>
        <w:snapToGrid w:val="0"/>
        <w:spacing w:line="440" w:lineRule="atLeast"/>
        <w:ind w:firstLine="420" w:firstLineChars="200"/>
        <w:jc w:val="left"/>
        <w:rPr>
          <w:color w:val="auto"/>
          <w:highlight w:val="none"/>
        </w:rPr>
      </w:pPr>
      <w:r>
        <w:rPr>
          <w:rFonts w:hint="eastAsia"/>
          <w:color w:val="auto"/>
          <w:szCs w:val="21"/>
          <w:highlight w:val="none"/>
        </w:rPr>
        <w:t>电话：023-67107374</w:t>
      </w:r>
    </w:p>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13EAA"/>
    <w:rsid w:val="6A4F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2023-04-17T09:04:00Z</dcterms:created>
  <dc:creator>Administrator</dc:creator>
  <cp:lastModifiedBy>李庚</cp:lastModifiedBy>
  <dcterms:modified xsi:type="dcterms:W3CDTF">2023-08-31T02:32:03Z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