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渝湘高速重庆段分布式光伏项目（黔江段、酉阳段、南川段、武隆段、秀山段）</w:t>
      </w:r>
    </w:p>
    <w:p>
      <w:pPr>
        <w:spacing w:line="51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EPC总承包</w:t>
      </w:r>
      <w:r>
        <w:rPr>
          <w:rFonts w:ascii="Times New Roman" w:hAnsi="Times New Roman" w:eastAsia="方正小标宋_GBK" w:cs="Times New Roman"/>
          <w:color w:val="000000" w:themeColor="text1"/>
          <w:sz w:val="44"/>
          <w:szCs w:val="44"/>
          <w:lang w:eastAsia="zh-CN"/>
          <w14:textFill>
            <w14:solidFill>
              <w14:schemeClr w14:val="tx1"/>
            </w14:solidFill>
          </w14:textFill>
        </w:rPr>
        <w:t>询价公告</w:t>
      </w:r>
    </w:p>
    <w:p>
      <w:pPr>
        <w:autoSpaceDE w:val="0"/>
        <w:autoSpaceDN w:val="0"/>
        <w:adjustRightInd w:val="0"/>
        <w:spacing w:line="510" w:lineRule="exact"/>
        <w:ind w:right="117"/>
        <w:jc w:val="center"/>
        <w:outlineLvl w:val="0"/>
        <w:rPr>
          <w:rFonts w:ascii="Times New Roman" w:hAnsi="Times New Roman" w:eastAsia="方正小标宋_GBK" w:cs="Times New Roman"/>
          <w:bCs/>
          <w:color w:val="000000" w:themeColor="text1"/>
          <w:sz w:val="44"/>
          <w:szCs w:val="44"/>
          <w:lang w:val="zh-CN" w:eastAsia="zh-CN"/>
          <w14:textFill>
            <w14:solidFill>
              <w14:schemeClr w14:val="tx1"/>
            </w14:solidFill>
          </w14:textFill>
        </w:rPr>
      </w:pPr>
    </w:p>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pStyle w:val="4"/>
        <w:spacing w:line="510" w:lineRule="exact"/>
        <w:rPr>
          <w:rFonts w:hint="eastAsia" w:ascii="方正仿宋_GBK" w:hAnsi="方正仿宋_GBK" w:eastAsia="方正仿宋_GBK" w:cs="方正仿宋_GBK"/>
          <w:b w:val="0"/>
          <w:lang w:eastAsia="zh-CN"/>
        </w:rPr>
      </w:pPr>
      <w:bookmarkStart w:id="0" w:name="_Toc375641571"/>
      <w:bookmarkEnd w:id="0"/>
      <w:bookmarkStart w:id="1" w:name="_Toc6230450"/>
      <w:bookmarkEnd w:id="1"/>
      <w:bookmarkStart w:id="2" w:name="_Toc52097500"/>
      <w:bookmarkEnd w:id="2"/>
      <w:bookmarkStart w:id="3" w:name="_Toc370126361"/>
      <w:bookmarkEnd w:id="3"/>
      <w:bookmarkStart w:id="4" w:name="_Toc29194681"/>
      <w:bookmarkEnd w:id="4"/>
      <w:r>
        <w:rPr>
          <w:rFonts w:hint="eastAsia" w:ascii="方正仿宋_GBK" w:hAnsi="方正仿宋_GBK" w:eastAsia="方正仿宋_GBK" w:cs="方正仿宋_GBK"/>
          <w:b w:val="0"/>
          <w:lang w:eastAsia="zh-CN"/>
        </w:rPr>
        <w:t>1.询价条件</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u w:val="single"/>
          <w:lang w:eastAsia="zh-CN"/>
        </w:rPr>
        <w:t>渝湘高速重庆段分布式光伏项目（黔江段、酉阳段、南川段、武隆段、秀山段）EPC总承包</w:t>
      </w:r>
      <w:r>
        <w:rPr>
          <w:rFonts w:hint="eastAsia" w:ascii="方正仿宋_GBK" w:hAnsi="方正仿宋_GBK" w:eastAsia="方正仿宋_GBK" w:cs="方正仿宋_GBK"/>
          <w:bCs/>
          <w:sz w:val="32"/>
          <w:szCs w:val="32"/>
          <w:lang w:eastAsia="zh-CN"/>
        </w:rPr>
        <w:t>项目已具备询价条件，询价人为</w:t>
      </w:r>
      <w:r>
        <w:rPr>
          <w:rFonts w:hint="eastAsia" w:ascii="方正仿宋_GBK" w:hAnsi="方正仿宋_GBK" w:eastAsia="方正仿宋_GBK" w:cs="方正仿宋_GBK"/>
          <w:bCs/>
          <w:sz w:val="32"/>
          <w:szCs w:val="32"/>
          <w:u w:val="single"/>
          <w:lang w:val="en-US" w:eastAsia="zh-CN"/>
        </w:rPr>
        <w:t>重庆航发电力销售有限公司</w:t>
      </w:r>
      <w:r>
        <w:rPr>
          <w:rFonts w:hint="eastAsia" w:ascii="方正仿宋_GBK" w:hAnsi="方正仿宋_GBK" w:eastAsia="方正仿宋_GBK" w:cs="方正仿宋_GBK"/>
          <w:bCs/>
          <w:sz w:val="32"/>
          <w:szCs w:val="32"/>
          <w:lang w:eastAsia="zh-CN"/>
        </w:rPr>
        <w:t>。根据实际工作需要，现计划对该项目</w:t>
      </w:r>
      <w:r>
        <w:rPr>
          <w:rFonts w:hint="eastAsia" w:ascii="方正仿宋_GBK" w:hAnsi="方正仿宋_GBK" w:eastAsia="方正仿宋_GBK" w:cs="方正仿宋_GBK"/>
          <w:sz w:val="32"/>
          <w:szCs w:val="32"/>
          <w:lang w:eastAsia="zh-CN"/>
        </w:rPr>
        <w:t>采取公开询价方式确定服务单位</w:t>
      </w:r>
      <w:r>
        <w:rPr>
          <w:rFonts w:hint="eastAsia" w:ascii="方正仿宋_GBK" w:hAnsi="方正仿宋_GBK" w:eastAsia="方正仿宋_GBK" w:cs="方正仿宋_GBK"/>
          <w:bCs/>
          <w:sz w:val="32"/>
          <w:szCs w:val="32"/>
          <w:lang w:eastAsia="zh-CN"/>
        </w:rPr>
        <w:t>。</w:t>
      </w:r>
    </w:p>
    <w:p>
      <w:pPr>
        <w:pStyle w:val="4"/>
        <w:numPr>
          <w:ilvl w:val="0"/>
          <w:numId w:val="1"/>
        </w:numPr>
        <w:spacing w:line="510" w:lineRule="exact"/>
        <w:rPr>
          <w:rFonts w:hint="eastAsia" w:ascii="方正仿宋_GBK" w:hAnsi="方正仿宋_GBK" w:eastAsia="方正仿宋_GBK" w:cs="方正仿宋_GBK"/>
          <w:b w:val="0"/>
          <w:lang w:eastAsia="zh-CN"/>
        </w:rPr>
      </w:pPr>
      <w:bookmarkStart w:id="5" w:name="_Toc29194682"/>
      <w:bookmarkEnd w:id="5"/>
      <w:bookmarkStart w:id="6" w:name="_Toc52097501"/>
      <w:bookmarkEnd w:id="6"/>
      <w:bookmarkStart w:id="7" w:name="_Toc6230451"/>
      <w:bookmarkEnd w:id="7"/>
      <w:bookmarkStart w:id="8" w:name="_Toc21092"/>
      <w:bookmarkStart w:id="9" w:name="_Toc324429695"/>
      <w:bookmarkStart w:id="10" w:name="_Toc323734100"/>
      <w:r>
        <w:rPr>
          <w:rFonts w:hint="eastAsia" w:ascii="方正仿宋_GBK" w:hAnsi="方正仿宋_GBK" w:eastAsia="方正仿宋_GBK" w:cs="方正仿宋_GBK"/>
          <w:b w:val="0"/>
          <w:lang w:eastAsia="zh-CN"/>
        </w:rPr>
        <w:t>项目概况与</w:t>
      </w:r>
      <w:r>
        <w:rPr>
          <w:rFonts w:hint="eastAsia" w:ascii="方正仿宋_GBK" w:hAnsi="方正仿宋_GBK" w:eastAsia="方正仿宋_GBK" w:cs="方正仿宋_GBK"/>
          <w:b w:val="0"/>
          <w:lang w:val="en-US" w:eastAsia="zh-CN"/>
        </w:rPr>
        <w:t>询价</w:t>
      </w:r>
      <w:r>
        <w:rPr>
          <w:rFonts w:hint="eastAsia" w:ascii="方正仿宋_GBK" w:hAnsi="方正仿宋_GBK" w:eastAsia="方正仿宋_GBK" w:cs="方正仿宋_GBK"/>
          <w:b w:val="0"/>
          <w:lang w:eastAsia="zh-CN"/>
        </w:rPr>
        <w:t>范围</w:t>
      </w:r>
    </w:p>
    <w:p>
      <w:pPr>
        <w:pStyle w:val="4"/>
        <w:numPr>
          <w:ilvl w:val="0"/>
          <w:numId w:val="0"/>
        </w:numPr>
        <w:spacing w:line="510" w:lineRule="exact"/>
        <w:ind w:right="113" w:rightChars="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b w:val="0"/>
          <w:bCs/>
          <w:sz w:val="32"/>
          <w:szCs w:val="32"/>
          <w:lang w:val="en-US" w:eastAsia="zh-CN" w:bidi="ar-SA"/>
        </w:rPr>
        <w:t>2.1 建设地点：渝湘高速公路重庆段黔江区、酉阳区、南川区、武隆区、秀山区。</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2.2 项目概况与建设规模：</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本工程位于渝湘高速公路重庆段，渝湘高速重庆段全长总计约413.6km，起于巴南，经南川、武隆、彭水、黔江、酉阳，至秀山等7个区县，其中包含界石、大观、水江等12个服务区，南湖、太平等70个隧道以及巴南、南川等7个管理中心，东南运营公司和南方运营公司本部。</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本次工程建设区域在黔江段、酉阳段、南川段、武隆段以及秀山段，选址共计24处，其中包括14个隧道，6个服务区和4个管理中心。安装总容量为2.1437 MWp。</w:t>
      </w:r>
    </w:p>
    <w:p>
      <w:pPr>
        <w:spacing w:line="510" w:lineRule="exact"/>
        <w:ind w:firstLine="640" w:firstLineChars="200"/>
        <w:jc w:val="both"/>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2.3 本项目总限价金额：</w:t>
      </w:r>
      <w:r>
        <w:rPr>
          <w:rFonts w:hint="eastAsia" w:ascii="方正仿宋_GBK" w:hAnsi="方正仿宋_GBK" w:eastAsia="方正仿宋_GBK" w:cs="方正仿宋_GBK"/>
          <w:b w:val="0"/>
          <w:bCs/>
          <w:sz w:val="32"/>
          <w:szCs w:val="32"/>
          <w:u w:val="single"/>
          <w:lang w:val="en-US" w:eastAsia="zh-CN" w:bidi="ar-SA"/>
        </w:rPr>
        <w:t>3880006.5</w:t>
      </w:r>
      <w:r>
        <w:rPr>
          <w:rFonts w:hint="eastAsia" w:ascii="方正仿宋_GBK" w:hAnsi="方正仿宋_GBK" w:eastAsia="方正仿宋_GBK" w:cs="方正仿宋_GBK"/>
          <w:b w:val="0"/>
          <w:bCs/>
          <w:sz w:val="32"/>
          <w:szCs w:val="32"/>
          <w:lang w:val="en-US" w:eastAsia="zh-CN" w:bidi="ar-SA"/>
        </w:rPr>
        <w:t xml:space="preserve">元。 </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2.4 招标范围：</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本次招标采用EPC总承包交钥匙工程，包括本项目施工图设计（含预算编制）、材料设备采购（其中光伏组件和逆变器为甲供设备）、施工、安装、调试以及办理各类手续、并网发电、验收、直至交付甲方，配合工程审计等工作。</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2.5 工期要求：</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总工期90日历天，并确保在2023年12月30日前完工，缺陷责任期24个月。其中：</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设计周期：施工图设计10日历天；</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b w:val="0"/>
          <w:bCs/>
          <w:sz w:val="32"/>
          <w:szCs w:val="32"/>
          <w:lang w:val="en-US" w:eastAsia="zh-CN" w:bidi="ar-SA"/>
        </w:rPr>
        <w:t xml:space="preserve">施工工期：80日历天。 </w:t>
      </w:r>
      <w:r>
        <w:rPr>
          <w:rFonts w:hint="eastAsia" w:ascii="方正仿宋_GBK" w:hAnsi="方正仿宋_GBK" w:eastAsia="方正仿宋_GBK" w:cs="方正仿宋_GBK"/>
          <w:lang w:eastAsia="zh-CN"/>
        </w:rPr>
        <w:t xml:space="preserve">                              </w:t>
      </w:r>
    </w:p>
    <w:bookmarkEnd w:id="8"/>
    <w:bookmarkEnd w:id="9"/>
    <w:bookmarkEnd w:id="10"/>
    <w:p>
      <w:pPr>
        <w:pStyle w:val="4"/>
        <w:numPr>
          <w:ilvl w:val="0"/>
          <w:numId w:val="1"/>
        </w:numPr>
        <w:spacing w:line="510" w:lineRule="exact"/>
        <w:ind w:left="100" w:leftChars="0" w:firstLine="0" w:firstLineChars="0"/>
        <w:rPr>
          <w:rFonts w:hint="eastAsia" w:ascii="方正仿宋_GBK" w:hAnsi="方正仿宋_GBK" w:eastAsia="方正仿宋_GBK" w:cs="方正仿宋_GBK"/>
          <w:b w:val="0"/>
          <w:lang w:eastAsia="zh-CN"/>
        </w:rPr>
      </w:pPr>
      <w:bookmarkStart w:id="11" w:name="_Toc29194683"/>
      <w:bookmarkEnd w:id="11"/>
      <w:bookmarkStart w:id="12" w:name="_Toc52097502"/>
      <w:bookmarkEnd w:id="12"/>
      <w:bookmarkStart w:id="13" w:name="_Toc6230452"/>
      <w:bookmarkEnd w:id="13"/>
      <w:r>
        <w:rPr>
          <w:rFonts w:hint="eastAsia" w:ascii="方正仿宋_GBK" w:hAnsi="方正仿宋_GBK" w:eastAsia="方正仿宋_GBK" w:cs="方正仿宋_GBK"/>
          <w:b w:val="0"/>
          <w:lang w:eastAsia="zh-CN"/>
        </w:rPr>
        <w:t>报价人资格要求</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3.1本次招标要求报价人须具备以下条件：</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 xml:space="preserve">3.1.1 </w:t>
      </w:r>
      <w:r>
        <w:rPr>
          <w:rFonts w:hint="eastAsia" w:ascii="方正仿宋_GBK" w:hAnsi="方正仿宋_GBK" w:eastAsia="方正仿宋_GBK" w:cs="方正仿宋_GBK"/>
          <w:bCs/>
          <w:sz w:val="32"/>
          <w:szCs w:val="32"/>
          <w:lang w:eastAsia="zh-CN"/>
        </w:rPr>
        <w:t>报价人应同时满足下列资格条件</w:t>
      </w:r>
      <w:r>
        <w:rPr>
          <w:rFonts w:hint="eastAsia" w:ascii="方正仿宋_GBK" w:hAnsi="方正仿宋_GBK" w:eastAsia="方正仿宋_GBK" w:cs="方正仿宋_GBK"/>
          <w:b w:val="0"/>
          <w:bCs/>
          <w:sz w:val="32"/>
          <w:szCs w:val="32"/>
          <w:lang w:val="en-US" w:eastAsia="zh-CN" w:bidi="ar-SA"/>
        </w:rPr>
        <w:t>：</w:t>
      </w:r>
    </w:p>
    <w:p>
      <w:pPr>
        <w:numPr>
          <w:ilvl w:val="0"/>
          <w:numId w:val="0"/>
        </w:numPr>
        <w:ind w:left="100" w:lef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（1）设计资质：报价人应具备建设行政主管部门颁发的以下设计资质之一：</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A.具有工程设计综合甲级资质；</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B.具有工程设计电力行业乙级及以上资质；</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C.具有工程设计电力行业（新能源发电）专业乙级及以上资质。</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施工资质：具备建设行政主管部门颁发的电力工程施工总承包三级及以上资质，同时具备国家能源局（原电监会）或其派出机构颁发的承装（修、试）电力设施许可证等级为承装类四级及以上、承修类四级及以上、承试类四级及以上资质。</w:t>
      </w:r>
    </w:p>
    <w:p>
      <w:pPr>
        <w:numPr>
          <w:ilvl w:val="0"/>
          <w:numId w:val="0"/>
        </w:numPr>
        <w:ind w:left="100" w:lef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3.1.2 本次询价要求报价人具备的业绩条件：</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报价人提供的类似业绩应同时满足以下要求：</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（1）业绩时间要求：2018年1月1日起至报价截止日止（工程总承包业绩或施工业绩以工程竣工时间为准，设计业绩以施工图审查合格时间为准）。</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（2）业绩类型要求：只须符合下列A、B情形之一</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A.1个工程总承包业绩；</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B.具有1个设计业绩、1个施工业绩。</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报价人提供的业绩为联合体业绩的，其在该业绩中的工作分工应与本项目承担的分工一致。</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联合体报价的，按联合体协议约定的分工分别提供相应的设计、施工业绩。</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3.1.3业绩规模要求：</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工程类别：光伏成套设备采购与安装工程。</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工程造价（设计业绩对应为工程投资额）：单项合同金额不少于290万元。</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报价人在2018年1月1日起至询价截止日止（以并网运行或竣工验收为准）完成1个单项合同金额不少于2</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0万元的光伏工程施工业绩。</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项目经理资格要求：</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须提供</w:t>
      </w:r>
      <w:r>
        <w:rPr>
          <w:rFonts w:hint="eastAsia" w:ascii="方正仿宋_GBK" w:hAnsi="方正仿宋_GBK" w:eastAsia="方正仿宋_GBK" w:cs="方正仿宋_GBK"/>
          <w:bCs/>
          <w:color w:val="auto"/>
          <w:sz w:val="32"/>
          <w:szCs w:val="32"/>
          <w:lang w:eastAsia="zh-CN"/>
        </w:rPr>
        <w:t>拟</w:t>
      </w:r>
      <w:r>
        <w:rPr>
          <w:rFonts w:hint="eastAsia" w:ascii="方正仿宋_GBK" w:hAnsi="方正仿宋_GBK" w:eastAsia="方正仿宋_GBK" w:cs="方正仿宋_GBK"/>
          <w:bCs/>
          <w:color w:val="auto"/>
          <w:sz w:val="32"/>
          <w:szCs w:val="32"/>
          <w:lang w:val="en-US" w:eastAsia="zh-CN"/>
        </w:rPr>
        <w:t>任</w:t>
      </w:r>
      <w:r>
        <w:rPr>
          <w:rFonts w:hint="eastAsia" w:ascii="方正仿宋_GBK" w:hAnsi="方正仿宋_GBK" w:eastAsia="方正仿宋_GBK" w:cs="方正仿宋_GBK"/>
          <w:bCs/>
          <w:color w:val="auto"/>
          <w:sz w:val="32"/>
          <w:szCs w:val="32"/>
          <w:lang w:eastAsia="zh-CN"/>
        </w:rPr>
        <w:t>项目经理</w:t>
      </w:r>
      <w:r>
        <w:rPr>
          <w:rFonts w:hint="eastAsia" w:ascii="方正仿宋_GBK" w:hAnsi="方正仿宋_GBK" w:eastAsia="方正仿宋_GBK" w:cs="方正仿宋_GBK"/>
          <w:bCs/>
          <w:color w:val="auto"/>
          <w:sz w:val="32"/>
          <w:szCs w:val="32"/>
          <w:lang w:val="en-US" w:eastAsia="zh-CN"/>
        </w:rPr>
        <w:t>的有效的工程建设类</w:t>
      </w:r>
      <w:r>
        <w:rPr>
          <w:rFonts w:hint="eastAsia" w:ascii="方正仿宋_GBK" w:hAnsi="方正仿宋_GBK" w:eastAsia="方正仿宋_GBK" w:cs="方正仿宋_GBK"/>
          <w:bCs/>
          <w:color w:val="auto"/>
          <w:sz w:val="32"/>
          <w:szCs w:val="32"/>
          <w:lang w:eastAsia="zh-CN"/>
        </w:rPr>
        <w:t>注册执业资格</w:t>
      </w:r>
      <w:r>
        <w:rPr>
          <w:rFonts w:hint="eastAsia" w:ascii="方正仿宋_GBK" w:hAnsi="方正仿宋_GBK" w:eastAsia="方正仿宋_GBK" w:cs="方正仿宋_GBK"/>
          <w:bCs/>
          <w:color w:val="auto"/>
          <w:sz w:val="32"/>
          <w:szCs w:val="32"/>
          <w:lang w:val="en-US" w:eastAsia="zh-CN"/>
        </w:rPr>
        <w:t>证以及</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建设行政主管部门颁发的有效的安全生产考核合格证书。</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项目经理业绩要求：</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至少具有</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1个</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290万元及以上</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光伏</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工程</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或副经理业绩，</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报价人</w:t>
      </w:r>
      <w:r>
        <w:rPr>
          <w:rFonts w:hint="eastAsia" w:ascii="方正仿宋_GBK" w:hAnsi="方正仿宋_GBK" w:eastAsia="方正仿宋_GBK" w:cs="方正仿宋_GBK"/>
          <w:i w:val="0"/>
          <w:iCs w:val="0"/>
          <w:caps w:val="0"/>
          <w:color w:val="auto"/>
          <w:spacing w:val="0"/>
          <w:sz w:val="32"/>
          <w:szCs w:val="32"/>
          <w:shd w:val="clear" w:color="auto" w:fill="auto"/>
        </w:rPr>
        <w:t>须提供能证明项目经理</w:t>
      </w:r>
      <w:r>
        <w:rPr>
          <w:rFonts w:hint="eastAsia" w:ascii="方正仿宋_GBK" w:hAnsi="方正仿宋_GBK" w:eastAsia="方正仿宋_GBK" w:cs="方正仿宋_GBK"/>
          <w:i w:val="0"/>
          <w:iCs w:val="0"/>
          <w:caps w:val="0"/>
          <w:spacing w:val="0"/>
          <w:sz w:val="32"/>
          <w:szCs w:val="32"/>
          <w:shd w:val="clear"/>
          <w:lang w:val="en-US" w:eastAsia="zh-CN"/>
        </w:rPr>
        <w:t>或副经理</w:t>
      </w:r>
      <w:r>
        <w:rPr>
          <w:rFonts w:hint="eastAsia" w:ascii="方正仿宋_GBK" w:hAnsi="方正仿宋_GBK" w:eastAsia="方正仿宋_GBK" w:cs="方正仿宋_GBK"/>
          <w:i w:val="0"/>
          <w:iCs w:val="0"/>
          <w:caps w:val="0"/>
          <w:color w:val="auto"/>
          <w:spacing w:val="0"/>
          <w:sz w:val="32"/>
          <w:szCs w:val="32"/>
          <w:shd w:val="clear" w:color="auto" w:fill="auto"/>
        </w:rPr>
        <w:t>业绩的证明文件，可以是合同或验收证明或用户证明等有盖章的材料（以上材料需能体现工程名称、项目经理、竣工/投运时间及单位名称）</w:t>
      </w:r>
      <w:r>
        <w:rPr>
          <w:rFonts w:hint="eastAsia" w:ascii="方正仿宋_GBK" w:hAnsi="方正仿宋_GBK" w:eastAsia="方正仿宋_GBK" w:cs="方正仿宋_GBK"/>
          <w:bCs w:val="0"/>
          <w:color w:val="auto"/>
          <w:sz w:val="32"/>
          <w:szCs w:val="32"/>
          <w:lang w:eastAsia="zh-CN"/>
        </w:rPr>
        <w:t>。</w:t>
      </w:r>
    </w:p>
    <w:p>
      <w:pPr>
        <w:pStyle w:val="2"/>
        <w:numPr>
          <w:ilvl w:val="-1"/>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报价人还应在人员、设备、安全生产等方面具有相应的施工能力。</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3.2 本次询价接受联合体报价。联合体报价的，应满足下列要求：</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（1）联合体所有成员（含联合体牵头人）数量不超过2家。</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联合体各成员单位应为独立法人，联合体各成员间须签订联合体协议书，并明确联合体牵头人和联合体成员职责分工、主要权利和义务。联合体各方均应当具备承担招标项目的相应能力；联合体协议约定同一专业分工由两个及以上单位共同承担的，按照就低不就高的原则确定联合体资质。</w:t>
      </w:r>
    </w:p>
    <w:p>
      <w:pPr>
        <w:numPr>
          <w:ilvl w:val="0"/>
          <w:numId w:val="0"/>
        </w:numPr>
        <w:ind w:firstLine="640" w:firstLineChars="200"/>
        <w:rPr>
          <w:rFonts w:hint="default"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（3）联合体各方共同签订联合体协议后，不得再以自己名义单独报价或参加其他联合体在本项目中报价。母公司已参与报价的，其子公司不得另外组建参加到联合体报价。</w:t>
      </w:r>
    </w:p>
    <w:p>
      <w:pPr>
        <w:numPr>
          <w:ilvl w:val="0"/>
          <w:numId w:val="0"/>
        </w:numPr>
        <w:spacing w:line="510" w:lineRule="exact"/>
        <w:ind w:left="0"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3.</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lang w:eastAsia="zh-CN"/>
        </w:rPr>
        <w:t>报价人没有被列入重庆高速公路集团有限公司黑名单。</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4.报价文件的递交</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4.1报价文件递交地点：重庆市渝北区高新园星光大道68号C1-9-1。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4.2报价文件递交截止时间：挂网公示后第4日（</w:t>
      </w:r>
      <w:r>
        <w:rPr>
          <w:rFonts w:hint="eastAsia" w:ascii="方正仿宋_GBK" w:hAnsi="方正仿宋_GBK" w:eastAsia="方正仿宋_GBK" w:cs="方正仿宋_GBK"/>
          <w:bCs/>
          <w:sz w:val="32"/>
          <w:szCs w:val="32"/>
          <w:lang w:val="en-US" w:eastAsia="zh-CN"/>
        </w:rPr>
        <w:t>含挂网当天</w:t>
      </w:r>
      <w:r>
        <w:rPr>
          <w:rFonts w:hint="eastAsia" w:ascii="方正仿宋_GBK" w:hAnsi="方正仿宋_GBK" w:eastAsia="方正仿宋_GBK" w:cs="方正仿宋_GBK"/>
          <w:bCs/>
          <w:sz w:val="32"/>
          <w:szCs w:val="32"/>
          <w:lang w:eastAsia="zh-CN"/>
        </w:rPr>
        <w:t>）10时00 分为止（北京时间）。</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4.3逾期送达的、未送达指定地点的或者不按照询价文件要求密封的报价文件，将予以拒收。</w:t>
      </w:r>
      <w:bookmarkStart w:id="31" w:name="_GoBack"/>
      <w:bookmarkEnd w:id="31"/>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4.4采用邮寄等其他方式递交报价文件的，所有风险由报价人自行承担。</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5.发布公告的媒介</w:t>
      </w:r>
    </w:p>
    <w:p>
      <w:pPr>
        <w:wordWrap w:val="0"/>
        <w:spacing w:line="510" w:lineRule="exact"/>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5.1本次询价公告及结果公示将在重庆高速公路集团官方网站（http://www.cegc.com.cn/gw/newsInfoMenu.html?id=42&amp;key=2</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5.2凡愿意参加的单位，从公告发布之日起至报价递交截止时间前，在本项目公开询价公告中的获取方式（链接）自行</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下载询价文件</w:t>
      </w:r>
      <w:r>
        <w:rPr>
          <w:rFonts w:hint="eastAsia" w:ascii="方正仿宋_GBK" w:hAnsi="方正仿宋_GBK" w:eastAsia="方正仿宋_GBK" w:cs="方正仿宋_GBK"/>
          <w:bCs/>
          <w:sz w:val="32"/>
          <w:szCs w:val="32"/>
          <w:lang w:eastAsia="zh-CN"/>
        </w:rPr>
        <w:t>。本项目不需要报名，直接提交报价文件。</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6.联系方式</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询价人：重庆航发电力销售有限公司</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地  址：重庆市渝北区高新园星光大道68号C1-9-1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联系人：魏老师</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电  话：13140288842</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7.监督部门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监督部门：重庆航发电力销售有限公司财务资产部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联系电话：023-63207168</w:t>
      </w:r>
    </w:p>
    <w:p>
      <w:pPr>
        <w:jc w:val="right"/>
        <w:rPr>
          <w:rFonts w:hint="eastAsia" w:ascii="方正仿宋_GBK" w:hAnsi="方正仿宋_GBK" w:eastAsia="方正仿宋_GBK" w:cs="方正仿宋_GBK"/>
          <w:bCs/>
          <w:sz w:val="32"/>
          <w:szCs w:val="32"/>
          <w:lang w:eastAsia="zh-CN"/>
        </w:rPr>
      </w:pPr>
    </w:p>
    <w:p>
      <w:pPr>
        <w:jc w:val="right"/>
        <w:rPr>
          <w:lang w:eastAsia="zh-CN"/>
        </w:rPr>
      </w:pPr>
      <w:r>
        <w:rPr>
          <w:rFonts w:hint="eastAsia" w:ascii="方正仿宋_GBK" w:hAnsi="方正仿宋_GBK" w:eastAsia="方正仿宋_GBK" w:cs="方正仿宋_GBK"/>
          <w:bCs/>
          <w:sz w:val="32"/>
          <w:szCs w:val="32"/>
          <w:lang w:eastAsia="zh-CN"/>
        </w:rPr>
        <w:t>2023年</w:t>
      </w:r>
      <w:r>
        <w:rPr>
          <w:rFonts w:hint="eastAsia" w:ascii="方正仿宋_GBK" w:hAnsi="方正仿宋_GBK" w:eastAsia="方正仿宋_GBK" w:cs="方正仿宋_GBK"/>
          <w:bCs/>
          <w:sz w:val="32"/>
          <w:szCs w:val="32"/>
          <w:lang w:val="en-US" w:eastAsia="zh-CN"/>
        </w:rPr>
        <w:t>9</w:t>
      </w:r>
      <w:r>
        <w:rPr>
          <w:rFonts w:hint="eastAsia" w:ascii="方正仿宋_GBK" w:hAnsi="方正仿宋_GBK" w:eastAsia="方正仿宋_GBK" w:cs="方正仿宋_GBK"/>
          <w:bCs/>
          <w:sz w:val="32"/>
          <w:szCs w:val="32"/>
          <w:lang w:eastAsia="zh-CN"/>
        </w:rPr>
        <w:t>月</w:t>
      </w: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日</w:t>
      </w: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方正仿宋_GBK" w:hAnsi="方正仿宋_GBK" w:eastAsia="方正仿宋_GBK" w:cs="方正仿宋_GBK"/>
          <w:b w:val="0"/>
          <w:bCs/>
          <w:sz w:val="32"/>
          <w:szCs w:val="32"/>
          <w:u w:val="single"/>
          <w:lang w:val="en-US" w:eastAsia="zh-CN" w:bidi="ar-SA"/>
        </w:rPr>
        <w:t>3880006.5</w:t>
      </w:r>
      <w:r>
        <w:rPr>
          <w:rFonts w:ascii="Times New Roman" w:hAnsi="Times New Roman" w:eastAsia="方正仿宋_GBK" w:cs="Times New Roman"/>
          <w:bCs/>
          <w:sz w:val="32"/>
          <w:szCs w:val="32"/>
          <w:lang w:eastAsia="zh-CN"/>
        </w:rPr>
        <w:t>元（￥</w:t>
      </w:r>
      <w:r>
        <w:rPr>
          <w:rFonts w:hint="eastAsia" w:ascii="Times New Roman" w:hAnsi="Times New Roman" w:eastAsia="方正仿宋_GBK" w:cs="Times New Roman"/>
          <w:bCs/>
          <w:sz w:val="32"/>
          <w:szCs w:val="32"/>
          <w:u w:val="single"/>
          <w:lang w:val="en-US" w:eastAsia="zh-CN"/>
        </w:rPr>
        <w:t>叁佰捌拾捌万零陆元伍角</w:t>
      </w:r>
      <w:r>
        <w:rPr>
          <w:rFonts w:ascii="Times New Roman" w:hAnsi="Times New Roman" w:eastAsia="方正仿宋_GBK" w:cs="Times New Roman"/>
          <w:bCs/>
          <w:sz w:val="32"/>
          <w:szCs w:val="32"/>
          <w:lang w:eastAsia="zh-CN"/>
        </w:rPr>
        <w:t>）。报价人的</w:t>
      </w:r>
      <w:r>
        <w:rPr>
          <w:rFonts w:hint="eastAsia" w:ascii="Times New Roman" w:hAnsi="Times New Roman" w:eastAsia="方正仿宋_GBK" w:cs="Times New Roman"/>
          <w:bCs/>
          <w:sz w:val="32"/>
          <w:szCs w:val="32"/>
          <w:lang w:val="en-US" w:eastAsia="zh-CN"/>
        </w:rPr>
        <w:t>总</w:t>
      </w:r>
      <w:r>
        <w:rPr>
          <w:rFonts w:ascii="Times New Roman" w:hAnsi="Times New Roman" w:eastAsia="方正仿宋_GBK" w:cs="Times New Roman"/>
          <w:bCs/>
          <w:sz w:val="32"/>
          <w:szCs w:val="32"/>
          <w:lang w:eastAsia="zh-CN"/>
        </w:rPr>
        <w:t>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方正仿宋_GBK" w:hAnsi="方正仿宋_GBK" w:eastAsia="方正仿宋_GBK" w:cs="方正仿宋_GBK"/>
          <w:bCs/>
          <w:sz w:val="32"/>
          <w:szCs w:val="32"/>
          <w:u w:val="single"/>
          <w:lang w:eastAsia="zh-CN"/>
        </w:rPr>
        <w:t>渝湘高速重庆段分布式光伏项目（黔江段、酉阳段、南川段、武隆段、秀山段）EPC总承包</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spacing w:line="240" w:lineRule="auto"/>
        <w:ind w:firstLine="0" w:firstLineChars="0"/>
        <w:jc w:val="left"/>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br w:type="page"/>
      </w:r>
    </w:p>
    <w:p>
      <w:pPr>
        <w:numPr>
          <w:ilvl w:val="0"/>
          <w:numId w:val="2"/>
        </w:numPr>
        <w:autoSpaceDE w:val="0"/>
        <w:autoSpaceDN w:val="0"/>
        <w:adjustRightInd w:val="0"/>
        <w:spacing w:line="510" w:lineRule="exact"/>
        <w:ind w:right="117"/>
        <w:jc w:val="center"/>
        <w:outlineLvl w:val="0"/>
        <w:rPr>
          <w:rFonts w:hint="eastAsia"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pStyle w:val="2"/>
        <w:numPr>
          <w:ilvl w:val="-1"/>
          <w:numId w:val="0"/>
        </w:numPr>
        <w:rPr>
          <w:lang w:val="zh-CN" w:eastAsia="zh-CN"/>
        </w:rPr>
      </w:pPr>
    </w:p>
    <w:p>
      <w:pPr>
        <w:numPr>
          <w:ilvl w:val="-1"/>
          <w:numId w:val="0"/>
        </w:numPr>
        <w:spacing w:line="510" w:lineRule="exact"/>
        <w:ind w:left="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eastAsia="zh-CN"/>
        </w:rPr>
        <w:t>合同范围</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渝湘高速重庆段分布式光伏项目（黔江段、酉阳段、南川段、武隆段、秀山段）EPC总承包项目施工图设计（含预算编制）、材料设备采购（其中光伏组件和逆变器为甲供设备）、施工、安装、调试以及办理各类手续、并网发电、验收、直至交付甲方，配合工程审计等工作。</w:t>
      </w:r>
    </w:p>
    <w:p>
      <w:pPr>
        <w:pStyle w:val="2"/>
        <w:rPr>
          <w:rFonts w:hint="default"/>
          <w:lang w:val="en-US" w:eastAsia="zh-CN"/>
        </w:rPr>
      </w:pPr>
      <w:r>
        <w:rPr>
          <w:rFonts w:hint="eastAsia" w:ascii="Times New Roman" w:hAnsi="Times New Roman" w:eastAsia="方正仿宋_GBK" w:cs="Times New Roman"/>
          <w:bCs/>
          <w:sz w:val="32"/>
          <w:szCs w:val="32"/>
          <w:lang w:val="en-US" w:eastAsia="zh-CN"/>
        </w:rPr>
        <w:t xml:space="preserve">    本项目要求2023年12月30日前完成竣工并网发电，缺陷责任期为项目竣工验收后24个月。</w:t>
      </w:r>
    </w:p>
    <w:p>
      <w:pPr>
        <w:spacing w:line="510" w:lineRule="exact"/>
        <w:ind w:left="0" w:firstLine="0" w:firstLineChars="0"/>
        <w:rPr>
          <w:rFonts w:hint="eastAsia" w:ascii="Times New Roman" w:hAnsi="Times New Roman" w:eastAsia="黑体" w:cs="Times New Roman"/>
          <w:sz w:val="32"/>
          <w:szCs w:val="32"/>
          <w:lang w:eastAsia="zh-CN"/>
        </w:rPr>
      </w:pPr>
    </w:p>
    <w:p>
      <w:pPr>
        <w:spacing w:line="510" w:lineRule="exact"/>
        <w:ind w:left="0" w:firstLine="0" w:firstLineChars="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2.1</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合同。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承包人</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所报</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不因国家和地方政策调整、物价变动、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工程量的增减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等</w:t>
      </w:r>
      <w:r>
        <w:rPr>
          <w:rFonts w:hint="eastAsia" w:ascii="Times New Roman" w:hAnsi="Times New Roman" w:eastAsia="方正仿宋_GBK" w:cs="Times New Roman"/>
          <w:sz w:val="32"/>
          <w:szCs w:val="32"/>
          <w:highlight w:val="none"/>
          <w:lang w:eastAsia="zh-CN"/>
        </w:rPr>
        <w:t>因数的影响而调整。</w:t>
      </w:r>
    </w:p>
    <w:p>
      <w:pPr>
        <w:spacing w:line="51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lang w:val="zh-CN" w:eastAsia="zh-CN"/>
        </w:rPr>
        <w:t>支付方式：</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①本合同采取月进度方式支付工程价款，具体按当月经监理及业主方签字确认价款的80%支付给承包人。</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②工程完工并网发电后，发包人向承包人支付至累计进度审定金额的80%。</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③工程竣工验收合格移交完竣工资料后，发包人向承包人支付至累计进度审定金额的95%。</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④完成结算审核后，发包人向承包人支付至结算审定金额的97%；缺陷责任期满后发包人向承包人付清剩余工程款。</w:t>
      </w:r>
    </w:p>
    <w:p>
      <w:pPr>
        <w:spacing w:line="510" w:lineRule="exact"/>
        <w:ind w:left="0" w:firstLine="0" w:firstLineChars="0"/>
        <w:rPr>
          <w:rFonts w:hint="eastAsia" w:ascii="方正仿宋_GBK" w:hAnsi="方正仿宋_GBK" w:eastAsia="方正仿宋_GBK" w:cs="方正仿宋_GBK"/>
          <w:sz w:val="32"/>
          <w:szCs w:val="32"/>
          <w:lang w:val="en-US" w:eastAsia="zh-CN"/>
        </w:rPr>
      </w:pPr>
    </w:p>
    <w:p>
      <w:pPr>
        <w:spacing w:line="510" w:lineRule="exact"/>
        <w:ind w:left="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（1）承包人必须认真贯彻执行国家安全生产法律、法规、规章和强制性安全标准，按照重庆市现行的质量、安全文明施工有关规定和发包人安全管理的有关规定，建立完善的质量、安全、文明施工管理制度。</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（2）承包人的原因造成事故，由此产生的法律责任和事故责任及费用由承包人全部承担。</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（3）承包人向发包人做出安全承诺，并签订《安全生产目标责任书》和《安全承诺书》。</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（4）承包人在施工过程中，必须严格执行安全生产法的相关规定，制定切实可靠的安全技术措施。</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（5）接受发包人安全监督和管理，在施工中违反安全管理规定和操作规程、违章作业的，承担违约责任。</w:t>
      </w:r>
    </w:p>
    <w:p>
      <w:pPr>
        <w:spacing w:line="510" w:lineRule="exact"/>
        <w:ind w:firstLine="0" w:firstLineChars="0"/>
        <w:rPr>
          <w:rFonts w:hint="eastAsia" w:ascii="方正仿宋_GBK" w:hAnsi="方正仿宋_GBK" w:eastAsia="方正仿宋_GBK" w:cs="方正仿宋_GBK"/>
          <w:sz w:val="32"/>
          <w:szCs w:val="32"/>
          <w:lang w:val="en-US" w:eastAsia="zh-CN"/>
        </w:rPr>
      </w:pPr>
    </w:p>
    <w:p>
      <w:pPr>
        <w:spacing w:line="510" w:lineRule="exact"/>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.违约责任与处理</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（1）承包人违反合同约定进行转包或违法分包的违约责任：按照违反合同约定进行转包和（或）违法分包相应转包和（或）分包合同的合同金额的5%支付违约金，违法转/分包商应在7天内撤离出场。</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（2）承包人违反合同约定采购和使用不合格的材料和工程设备的违约责任：按照违反合同约定采购和使用不合格的材料和（或）工程设备相应合同金额的5%支付违约金。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（3）因承包人原因导致工程质量不符合规定或合同要求的违约责任：承包人退还已支付工程质量不符合合同要求工程的工程款，并按照工程质量不符合合同要求工程相应合同金额的5%支付违约金。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（4）承包人违反材料与设备的约定，未经批准，擅自将已按照合同约定进入施工现场的材料或设备撤离施工现场的违约责任：按照承包人擅自撤离施工现场材料和（或）设备相应合同金额的1%支付违约金。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因承包人原因造成工期延误的违约承担方式和计算方法：由承包人承担由此增加的费用，由此导致工期延误的，工期不予顺延；逾期竣工违约金的计算方法：每延误1天，承包人按1000元/天计算逾期竣工违约金，累计违约金上限不超过签约合同价的3%；承包人支付逾期竣工违约金后，不免除承包人继续完成工程及修补缺陷的义务。</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（6）承包人在缺陷责任期及保修期内，未能在合理期限对工程缺陷进行修复，或拒绝按发包人要求进行修复的违约责任：按照发包人修复缺陷费用的  0.5  %支付违约金。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（7）承包人明确表示或者以其行为表明不履行合同主要义务的违约责任：按签约合同价的5%支付违约金。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（8）承包人未能按照合同约定履行其他义务的违约责任：按500元/次支付违约金。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（9）承包人未按经审定的施工组织设计配备或更换关键施工设备的违约责任：按2000元/台·次支付违约金。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（10）承包人有安全问题或有违反安全管理规章制度情况的违约责任：根据具体情节，按签约合同价的0.5‰ /次支付违约金（累计不超过签约合同价的1%）。</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（11）承包人拖欠其工人或所雇人员工资或报酬，导致其工人或所雇人员向有关部门投诉、控告、检举或以聚集等方式讨要工资或报酬的违约责任：根据具体情节，按违约金额5000元/次支付违约金。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（12）承包人不配合发包人、监理人及发包人委托的工程造价咨询服务单位结算审核的违约责任：根据具体情节，按2000元/次支付违约金。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（13）承包人未按合同约定移交全部和部分工程的违约责任：由承包人承担工程照管、成品保护、保管等与工程有关的各种费用，并按结算金额或违约部分结算金额的0.5 ‰支付违约金。</w:t>
      </w:r>
    </w:p>
    <w:p>
      <w:pPr>
        <w:spacing w:line="510" w:lineRule="exact"/>
        <w:ind w:firstLine="0" w:firstLineChars="0"/>
        <w:rPr>
          <w:rFonts w:hint="eastAsia" w:ascii="方正仿宋_GBK" w:hAnsi="方正仿宋_GBK" w:eastAsia="方正仿宋_GBK" w:cs="方正仿宋_GBK"/>
          <w:sz w:val="32"/>
          <w:szCs w:val="32"/>
          <w:lang w:val="zh-CN" w:eastAsia="zh-CN"/>
        </w:rPr>
      </w:pPr>
    </w:p>
    <w:p>
      <w:pPr>
        <w:spacing w:line="510" w:lineRule="exact"/>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.争议处理</w:t>
      </w:r>
    </w:p>
    <w:p>
      <w:pPr>
        <w:spacing w:line="51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因合同及合同有关事项发生的争议，按下列第（2）种方式解决：</w:t>
      </w:r>
    </w:p>
    <w:p>
      <w:pPr>
        <w:spacing w:line="51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（1）向重庆仲裁委员会申请仲裁；</w:t>
      </w:r>
    </w:p>
    <w:p>
      <w:pPr>
        <w:spacing w:line="51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（2）向重庆市人民法院起诉。</w:t>
      </w:r>
    </w:p>
    <w:p>
      <w:pPr>
        <w:spacing w:line="510" w:lineRule="exact"/>
        <w:ind w:left="0"/>
        <w:rPr>
          <w:rFonts w:hint="eastAsia" w:ascii="方正仿宋_GBK" w:hAnsi="方正仿宋_GBK" w:eastAsia="方正仿宋_GBK" w:cs="方正仿宋_GBK"/>
          <w:sz w:val="32"/>
          <w:szCs w:val="32"/>
          <w:lang w:val="en-US" w:eastAsia="zh-CN"/>
        </w:rPr>
      </w:pPr>
    </w:p>
    <w:p>
      <w:pPr>
        <w:spacing w:line="510" w:lineRule="exact"/>
        <w:ind w:left="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.附件</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附件1.安全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附件2.廉政合同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.诚信合规协议</w:t>
      </w:r>
    </w:p>
    <w:p>
      <w:pPr>
        <w:pStyle w:val="2"/>
        <w:rPr>
          <w:rFonts w:hint="eastAsia"/>
          <w:lang w:eastAsia="zh-CN"/>
        </w:rPr>
      </w:pPr>
    </w:p>
    <w:p>
      <w:pPr>
        <w:spacing w:line="240" w:lineRule="auto"/>
        <w:ind w:firstLine="0" w:firstLineChars="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br w:type="page"/>
      </w: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4" w:name="_Toc52097543"/>
      <w:bookmarkEnd w:id="14"/>
      <w:bookmarkStart w:id="15" w:name="_Toc29194793"/>
      <w:bookmarkStart w:id="16" w:name="bookmark292"/>
      <w:bookmarkStart w:id="17" w:name="_Toc10710824"/>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5"/>
    <w:bookmarkEnd w:id="16"/>
    <w:bookmarkEnd w:id="17"/>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18" w:name="_Toc52097544"/>
      <w:bookmarkEnd w:id="18"/>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9" w:name="bookmark293"/>
      <w:bookmarkEnd w:id="19"/>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3"/>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0" w:name="_Toc52097545"/>
      <w:bookmarkEnd w:id="20"/>
      <w:bookmarkStart w:id="21" w:name="_Toc29194794"/>
      <w:bookmarkEnd w:id="21"/>
      <w:bookmarkStart w:id="22" w:name="_Toc10710825"/>
      <w:bookmarkEnd w:id="22"/>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1"/>
        <w:gridCol w:w="1421"/>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序号</w:t>
            </w: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项目名称</w:t>
            </w: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工程量（kpw）</w:t>
            </w: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单价（元/kpw）</w:t>
            </w: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合价（元）</w:t>
            </w: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szCs w:val="21"/>
                <w:vertAlign w:val="baseline"/>
                <w:lang w:val="en-US"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2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szCs w:val="21"/>
                <w:vertAlign w:val="baseline"/>
                <w:lang w:val="en-US" w:eastAsia="zh-CN"/>
              </w:rPr>
            </w:pPr>
          </w:p>
        </w:tc>
      </w:tr>
    </w:tbl>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3" w:name="_Toc52097546"/>
      <w:bookmarkEnd w:id="23"/>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w:t>
      </w:r>
      <w:r>
        <w:rPr>
          <w:rFonts w:hint="eastAsia" w:ascii="Times New Roman" w:hAnsi="Times New Roman" w:eastAsia="方正仿宋_GBK" w:cs="Times New Roman"/>
          <w:sz w:val="32"/>
          <w:szCs w:val="32"/>
          <w:lang w:val="en-US" w:eastAsia="zh-CN"/>
        </w:rPr>
        <w:t>发电力销售</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4"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4"/>
    </w:p>
    <w:p>
      <w:pPr>
        <w:adjustRightInd w:val="0"/>
        <w:snapToGrid w:val="0"/>
        <w:spacing w:line="360" w:lineRule="auto"/>
        <w:jc w:val="center"/>
        <w:rPr>
          <w:rFonts w:ascii="Times New Roman" w:hAnsi="Times New Roman" w:eastAsia="宋体" w:cs="Times New Roman"/>
          <w:b/>
          <w:color w:val="auto"/>
          <w:szCs w:val="21"/>
          <w:highlight w:val="none"/>
        </w:rPr>
      </w:pPr>
      <w:bookmarkStart w:id="25" w:name="_Toc421798219"/>
      <w:bookmarkStart w:id="26" w:name="_Toc420995074"/>
      <w:bookmarkStart w:id="27" w:name="_Toc420995178"/>
      <w:bookmarkStart w:id="28" w:name="_Toc418517429"/>
      <w:bookmarkStart w:id="29" w:name="_Toc24117"/>
      <w:bookmarkStart w:id="30" w:name="_Toc416788188"/>
      <w:r>
        <w:rPr>
          <w:rFonts w:hint="default" w:ascii="Times New Roman" w:hAnsi="Times New Roman" w:eastAsia="宋体" w:cs="Times New Roman"/>
          <w:b/>
          <w:color w:val="auto"/>
          <w:szCs w:val="21"/>
          <w:highlight w:val="none"/>
        </w:rPr>
        <w:t>廉政合同</w:t>
      </w:r>
      <w:bookmarkEnd w:id="25"/>
      <w:bookmarkEnd w:id="26"/>
      <w:bookmarkEnd w:id="27"/>
      <w:bookmarkEnd w:id="28"/>
      <w:bookmarkEnd w:id="29"/>
      <w:bookmarkEnd w:id="30"/>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p>
      <w:pPr>
        <w:pStyle w:val="2"/>
        <w:rPr>
          <w:rFonts w:hint="eastAsia"/>
          <w:lang w:eastAsia="zh-CN"/>
        </w:rPr>
      </w:pPr>
    </w:p>
    <w:p>
      <w:pPr>
        <w:rPr>
          <w:rFonts w:hint="eastAsia"/>
          <w:lang w:val="en-US" w:eastAsia="zh-CN"/>
        </w:rPr>
      </w:pPr>
      <w:r>
        <w:rPr>
          <w:rFonts w:hint="eastAsia"/>
          <w:lang w:val="en-US" w:eastAsia="zh-CN"/>
        </w:rPr>
        <w:br w:type="page"/>
      </w:r>
    </w:p>
    <w:p>
      <w:pPr>
        <w:ind w:firstLine="480"/>
        <w:rPr>
          <w:rFonts w:ascii="宋体" w:hAnsi="宋体" w:eastAsia="宋体" w:cs="宋体"/>
          <w:sz w:val="24"/>
        </w:rPr>
      </w:pPr>
      <w:r>
        <w:rPr>
          <w:rFonts w:ascii="宋体" w:hAnsi="宋体" w:eastAsia="宋体" w:cs="宋体"/>
          <w:sz w:val="24"/>
        </w:rPr>
        <w:t>附件</w:t>
      </w:r>
      <w:r>
        <w:rPr>
          <w:rFonts w:hint="eastAsia" w:ascii="宋体" w:hAnsi="宋体" w:eastAsia="宋体" w:cs="宋体"/>
          <w:sz w:val="24"/>
          <w:lang w:val="en-US" w:eastAsia="zh-CN"/>
        </w:rPr>
        <w:t>3</w:t>
      </w:r>
      <w:r>
        <w:rPr>
          <w:rFonts w:ascii="宋体" w:hAnsi="宋体" w:eastAsia="宋体" w:cs="宋体"/>
          <w:sz w:val="24"/>
        </w:rPr>
        <w:t xml:space="preserve"> 诚信合规协议 </w:t>
      </w:r>
    </w:p>
    <w:p>
      <w:pPr>
        <w:ind w:firstLine="480"/>
        <w:rPr>
          <w:rFonts w:ascii="宋体" w:hAnsi="宋体" w:eastAsia="宋体" w:cs="宋体"/>
          <w:sz w:val="24"/>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甲方：</w:t>
      </w:r>
      <w:r>
        <w:rPr>
          <w:rFonts w:hint="eastAsia" w:asciiTheme="minorEastAsia" w:hAnsiTheme="minorEastAsia" w:eastAsiaTheme="minorEastAsia" w:cstheme="minorEastAsia"/>
          <w:sz w:val="21"/>
          <w:szCs w:val="21"/>
        </w:rPr>
        <w:t>重庆航发电力销售有限公司</w:t>
      </w:r>
      <w:r>
        <w:rPr>
          <w:rFonts w:hint="eastAsia" w:asciiTheme="minorEastAsia" w:hAnsiTheme="minorEastAsia" w:eastAsiaTheme="minorEastAsia" w:cstheme="minorEastAsia"/>
          <w:sz w:val="21"/>
          <w:szCs w:val="21"/>
          <w:lang w:val="zh-CN"/>
        </w:rPr>
        <w:t xml:space="preserve">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 xml:space="preserve">乙方：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本协议为各方签订的 （以下简称“合同”）的重要组成部分，经各方协商一致， 同意共同遵守。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遵守</w:t>
      </w:r>
      <w:r>
        <w:rPr>
          <w:rFonts w:hint="eastAsia" w:asciiTheme="minorEastAsia" w:hAnsiTheme="minorEastAsia" w:eastAsiaTheme="minorEastAsia" w:cstheme="minorEastAsia"/>
          <w:color w:val="auto"/>
          <w:sz w:val="21"/>
          <w:szCs w:val="21"/>
          <w:lang w:val="zh-CN"/>
        </w:rPr>
        <w:t>反腐败法律 各方保证和承诺，与合同约定的活动或交易相关的各方或各方的关联公司、子公司、董事、 高级管理人员、员工、顾问和股东及所有直接或间接代表各方开展活动或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高级管理人员、员工、顾问和股东及</w:t>
      </w:r>
      <w:r>
        <w:rPr>
          <w:rFonts w:hint="eastAsia" w:asciiTheme="minorEastAsia" w:hAnsiTheme="minorEastAsia" w:eastAsiaTheme="minorEastAsia" w:cstheme="minorEastAsia"/>
          <w:sz w:val="21"/>
          <w:szCs w:val="21"/>
          <w:lang w:val="zh-CN"/>
        </w:rPr>
        <w:t>所有直接或间接代表各方开展活动或 交易的个人及相关方，在过去或将来也不会发生以下行为：</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（一）为以下目的给予或承诺给予公务人员、个人或法人任何利益：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不当影响公务人员的行为或决定；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诱使公务人员违反其法定职责从而作为或不作为；</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诱使公务人员直接通过其个人影响力，或通过其对国内外政府或政府部门的影响力，影响 该政府或政府部门的行为或决定；</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协助各方不当获得或保持商业机会或使其获得不当优势。 </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val="zh-CN"/>
        </w:rPr>
        <w:t xml:space="preserve">）为以下目的给予或承诺给予个人任何利益，无论其是否为公务人员：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意图使该个人不当履行其应尽的职责或义务；</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知</w:t>
      </w:r>
      <w:r>
        <w:rPr>
          <w:rFonts w:hint="eastAsia" w:asciiTheme="minorEastAsia" w:hAnsiTheme="minorEastAsia" w:eastAsiaTheme="minorEastAsia" w:cstheme="minorEastAsia"/>
          <w:color w:val="auto"/>
          <w:sz w:val="21"/>
          <w:szCs w:val="21"/>
          <w:lang w:val="zh-CN"/>
        </w:rPr>
        <w:t xml:space="preserve">晓该个人接受利益即构成不当履行其应尽的职责或义务。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持续义务 各方保证和承诺，与合同约定的活动或交易相关的各方或各方的关联公司、子公司、董事、 高级管理人员、员工、顾问和股东及所有直接或间接代表各方开展活动或 交易的个人及相关方，在本协议有效期内均会遵守反腐败法律的相关规定。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color w:val="auto"/>
          <w:sz w:val="21"/>
          <w:szCs w:val="21"/>
          <w:lang w:val="zh-CN"/>
        </w:rPr>
        <w:t>无私设资金 在</w:t>
      </w:r>
      <w:r>
        <w:rPr>
          <w:rFonts w:hint="eastAsia" w:asciiTheme="minorEastAsia" w:hAnsiTheme="minorEastAsia" w:eastAsiaTheme="minorEastAsia" w:cstheme="minorEastAsia"/>
          <w:sz w:val="21"/>
          <w:szCs w:val="21"/>
          <w:lang w:val="zh-CN"/>
        </w:rPr>
        <w:t>本协议有效期内，各方不会因为受到反腐败法律禁止的支付、或者为便利反腐败法律所禁 止的其他行为，而设立秘密或账外资金、账户或资产，且无论其是否与合同拟进行的活动或交易相关。</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审核权 各方应保留所有必要记录以证明其遵守本协议的约定。各方同意，经事先通知，各方或各方 指派的审计事务所可查阅或审核其他方与合同履行相关的会计账簿和记录。各方及其指派的审计 事务</w:t>
      </w:r>
      <w:r>
        <w:rPr>
          <w:rFonts w:hint="eastAsia" w:asciiTheme="minorEastAsia" w:hAnsiTheme="minorEastAsia" w:eastAsiaTheme="minorEastAsia" w:cstheme="minorEastAsia"/>
          <w:color w:val="auto"/>
          <w:sz w:val="21"/>
          <w:szCs w:val="21"/>
          <w:lang w:val="zh-CN"/>
        </w:rPr>
        <w:t xml:space="preserve">所对前述会计账簿和记录的查阅或审核应严格限于本协议所述工作范围，且应仅为合规审核 目的，不得对外泄露，否则若给被泄露方造成损失的，应据实进行赔偿。本条所列审核产生的费用应由申请方自行承担。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color w:val="auto"/>
          <w:sz w:val="21"/>
          <w:szCs w:val="21"/>
          <w:lang w:val="zh-CN"/>
        </w:rPr>
        <w:t>调查通知 各方同意，如</w:t>
      </w:r>
      <w:r>
        <w:rPr>
          <w:rFonts w:hint="eastAsia" w:asciiTheme="minorEastAsia" w:hAnsiTheme="minorEastAsia" w:eastAsiaTheme="minorEastAsia" w:cstheme="minorEastAsia"/>
          <w:sz w:val="21"/>
          <w:szCs w:val="21"/>
          <w:lang w:val="zh-CN"/>
        </w:rPr>
        <w:t>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本协议有效期 本协议有效期与合同的有效期一致。</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本协议生效 本协议一式 份，经各方盖章后生效，具有同等法律效力。 附：公务人员的定义 本协议中的“公务人员”应包括但不限于其他单位的下列人员： </w:t>
      </w:r>
    </w:p>
    <w:p>
      <w:pPr>
        <w:numPr>
          <w:ilvl w:val="0"/>
          <w:numId w:val="8"/>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政府部门的官员、雇员、代表以及代表政府或者经公共权力机构授权的人员； </w:t>
      </w:r>
    </w:p>
    <w:p>
      <w:pPr>
        <w:numPr>
          <w:ilvl w:val="0"/>
          <w:numId w:val="8"/>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国际组织的官员、雇员和代表; </w:t>
      </w:r>
    </w:p>
    <w:p>
      <w:pPr>
        <w:numPr>
          <w:ilvl w:val="0"/>
          <w:numId w:val="8"/>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行使公共权力的政治组织的官员、雇员、代表，或皇室成员; </w:t>
      </w:r>
    </w:p>
    <w:p>
      <w:pPr>
        <w:numPr>
          <w:ilvl w:val="0"/>
          <w:numId w:val="8"/>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政府直接或间接控制或施加决定性影响力的国有企业的人员。</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（以下无正文）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甲方（盖章）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乙方（盖章）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年 月 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 年 月 日</w:t>
      </w:r>
    </w:p>
    <w:p>
      <w:pPr>
        <w:rPr>
          <w:rFonts w:hint="eastAsia"/>
          <w:lang w:val="en-US" w:eastAsia="zh-CN"/>
        </w:rPr>
      </w:pPr>
    </w:p>
    <w:p>
      <w:pPr>
        <w:pStyle w:val="2"/>
        <w:ind w:firstLine="640" w:firstLineChars="200"/>
        <w:rPr>
          <w:rFonts w:hint="eastAsia" w:ascii="Times New Roman" w:hAnsi="Times New Roman" w:eastAsia="黑体" w:cs="Times New Roman"/>
          <w:sz w:val="32"/>
          <w:szCs w:val="32"/>
          <w:lang w:val="en-US" w:eastAsia="zh-CN"/>
        </w:rPr>
      </w:pPr>
    </w:p>
    <w:p>
      <w:pPr>
        <w:pStyle w:val="2"/>
        <w:ind w:firstLine="420" w:firstLineChars="200"/>
        <w:rPr>
          <w:rFonts w:hint="default"/>
          <w:lang w:val="en-US" w:eastAsia="zh-CN"/>
        </w:rPr>
      </w:pPr>
    </w:p>
    <w:p>
      <w:pPr>
        <w:pStyle w:val="2"/>
        <w:rPr>
          <w:rFonts w:hint="eastAsia"/>
          <w:lang w:eastAsia="zh-CN"/>
        </w:rPr>
      </w:pPr>
    </w:p>
    <w:p>
      <w:pPr>
        <w:pStyle w:val="2"/>
        <w:rPr>
          <w:lang w:eastAsia="zh-CN"/>
        </w:rPr>
      </w:pPr>
    </w:p>
    <w:p>
      <w:pPr>
        <w:widowControl/>
        <w:rPr>
          <w:rFonts w:ascii="Times New Roman" w:hAnsi="Times New Roman" w:eastAsia="方正小标宋_GBK" w:cs="Times New Roman"/>
          <w:bCs/>
          <w:sz w:val="44"/>
          <w:szCs w:val="44"/>
          <w:lang w:eastAsia="zh-CN"/>
        </w:rPr>
      </w:pPr>
    </w:p>
    <w:p>
      <w:pPr>
        <w:tabs>
          <w:tab w:val="left" w:pos="1213"/>
        </w:tabs>
        <w:adjustRightInd w:val="0"/>
        <w:snapToGrid w:val="0"/>
        <w:spacing w:line="360" w:lineRule="auto"/>
        <w:ind w:firstLine="420"/>
        <w:rPr>
          <w:rFonts w:hint="eastAsia"/>
          <w:lang w:eastAsia="zh-CN"/>
        </w:rPr>
      </w:pPr>
    </w:p>
    <w:sectPr>
      <w:headerReference r:id="rId3" w:type="default"/>
      <w:footerReference r:id="rId4"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FDF21"/>
    <w:multiLevelType w:val="multilevel"/>
    <w:tmpl w:val="B84FDF21"/>
    <w:lvl w:ilvl="0" w:tentative="0">
      <w:start w:val="2"/>
      <w:numFmt w:val="decimal"/>
      <w:lvlText w:val="%1."/>
      <w:lvlJc w:val="left"/>
      <w:pPr>
        <w:tabs>
          <w:tab w:val="left" w:pos="312"/>
        </w:tabs>
      </w:pPr>
    </w:lvl>
    <w:lvl w:ilvl="1" w:tentative="0">
      <w:start w:val="1"/>
      <w:numFmt w:val="decimal"/>
      <w:suff w:val="space"/>
      <w:lvlText w:val="%1.%2"/>
      <w:lvlJc w:val="left"/>
      <w:pPr>
        <w:ind w:left="540" w:leftChars="0" w:firstLine="0" w:firstLineChars="0"/>
      </w:pPr>
      <w:rPr>
        <w:rFonts w:hint="default"/>
      </w:rPr>
    </w:lvl>
    <w:lvl w:ilvl="2" w:tentative="0">
      <w:start w:val="1"/>
      <w:numFmt w:val="decimal"/>
      <w:suff w:val="space"/>
      <w:lvlText w:val="%1.%2.%3"/>
      <w:lvlJc w:val="left"/>
      <w:pPr>
        <w:ind w:left="540" w:leftChars="0" w:firstLine="0" w:firstLineChars="0"/>
      </w:pPr>
      <w:rPr>
        <w:rFonts w:hint="default"/>
      </w:rPr>
    </w:lvl>
    <w:lvl w:ilvl="3" w:tentative="0">
      <w:start w:val="1"/>
      <w:numFmt w:val="decimal"/>
      <w:suff w:val="space"/>
      <w:lvlText w:val="%1.%2.%3.%4"/>
      <w:lvlJc w:val="left"/>
      <w:pPr>
        <w:ind w:left="540" w:leftChars="0" w:firstLine="0" w:firstLineChars="0"/>
      </w:pPr>
      <w:rPr>
        <w:rFonts w:hint="default"/>
      </w:rPr>
    </w:lvl>
    <w:lvl w:ilvl="4" w:tentative="0">
      <w:start w:val="1"/>
      <w:numFmt w:val="decimal"/>
      <w:suff w:val="space"/>
      <w:lvlText w:val="%1.%2.%3.%4.%5"/>
      <w:lvlJc w:val="left"/>
      <w:pPr>
        <w:ind w:left="540" w:leftChars="0" w:firstLine="0" w:firstLineChars="0"/>
      </w:pPr>
      <w:rPr>
        <w:rFonts w:hint="default"/>
      </w:rPr>
    </w:lvl>
    <w:lvl w:ilvl="5" w:tentative="0">
      <w:start w:val="1"/>
      <w:numFmt w:val="decimal"/>
      <w:suff w:val="space"/>
      <w:lvlText w:val="%1.%2.%3.%4.%5.%6"/>
      <w:lvlJc w:val="left"/>
      <w:pPr>
        <w:ind w:left="540" w:leftChars="0" w:firstLine="0" w:firstLineChars="0"/>
      </w:pPr>
      <w:rPr>
        <w:rFonts w:hint="default"/>
      </w:rPr>
    </w:lvl>
    <w:lvl w:ilvl="6" w:tentative="0">
      <w:start w:val="1"/>
      <w:numFmt w:val="decimal"/>
      <w:suff w:val="space"/>
      <w:lvlText w:val="%1.%2.%3.%4.%5.%6.%7"/>
      <w:lvlJc w:val="left"/>
      <w:pPr>
        <w:ind w:left="540" w:leftChars="0" w:firstLine="0" w:firstLineChars="0"/>
      </w:pPr>
      <w:rPr>
        <w:rFonts w:hint="default"/>
      </w:rPr>
    </w:lvl>
    <w:lvl w:ilvl="7" w:tentative="0">
      <w:start w:val="1"/>
      <w:numFmt w:val="decimal"/>
      <w:suff w:val="space"/>
      <w:lvlText w:val="%1.%2.%3.%4.%5.%6.%7.%8"/>
      <w:lvlJc w:val="left"/>
      <w:pPr>
        <w:ind w:left="540" w:leftChars="0" w:firstLine="0" w:firstLineChars="0"/>
      </w:pPr>
      <w:rPr>
        <w:rFonts w:hint="default"/>
      </w:rPr>
    </w:lvl>
    <w:lvl w:ilvl="8" w:tentative="0">
      <w:start w:val="1"/>
      <w:numFmt w:val="decimal"/>
      <w:suff w:val="space"/>
      <w:lvlText w:val="%1.%2.%3.%4.%5.%6.%7.%8.%9"/>
      <w:lvlJc w:val="left"/>
      <w:pPr>
        <w:ind w:left="540" w:leftChars="0" w:firstLine="0" w:firstLineChars="0"/>
      </w:pPr>
      <w:rPr>
        <w:rFonts w:hint="default"/>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2CA02FBA"/>
    <w:multiLevelType w:val="singleLevel"/>
    <w:tmpl w:val="2CA02FBA"/>
    <w:lvl w:ilvl="0" w:tentative="0">
      <w:start w:val="3"/>
      <w:numFmt w:val="chineseCounting"/>
      <w:suff w:val="space"/>
      <w:lvlText w:val="第%1章"/>
      <w:lvlJc w:val="left"/>
      <w:rPr>
        <w:rFonts w:hint="eastAsia"/>
      </w:rPr>
    </w:lvl>
  </w:abstractNum>
  <w:abstractNum w:abstractNumId="3">
    <w:nsid w:val="6141B84E"/>
    <w:multiLevelType w:val="singleLevel"/>
    <w:tmpl w:val="6141B84E"/>
    <w:lvl w:ilvl="0" w:tentative="0">
      <w:start w:val="2"/>
      <w:numFmt w:val="decimal"/>
      <w:suff w:val="nothing"/>
      <w:lvlText w:val="%1."/>
      <w:lvlJc w:val="left"/>
    </w:lvl>
  </w:abstractNum>
  <w:abstractNum w:abstractNumId="4">
    <w:nsid w:val="61DF7CD9"/>
    <w:multiLevelType w:val="singleLevel"/>
    <w:tmpl w:val="61DF7CD9"/>
    <w:lvl w:ilvl="0" w:tentative="0">
      <w:start w:val="1"/>
      <w:numFmt w:val="chineseCounting"/>
      <w:suff w:val="nothing"/>
      <w:lvlText w:val="%1、"/>
      <w:lvlJc w:val="left"/>
    </w:lvl>
  </w:abstractNum>
  <w:abstractNum w:abstractNumId="5">
    <w:nsid w:val="61DF7CEC"/>
    <w:multiLevelType w:val="singleLevel"/>
    <w:tmpl w:val="61DF7CEC"/>
    <w:lvl w:ilvl="0" w:tentative="0">
      <w:start w:val="1"/>
      <w:numFmt w:val="decimal"/>
      <w:suff w:val="space"/>
      <w:lvlText w:val="%1."/>
      <w:lvlJc w:val="left"/>
    </w:lvl>
  </w:abstractNum>
  <w:abstractNum w:abstractNumId="6">
    <w:nsid w:val="61DF7D5C"/>
    <w:multiLevelType w:val="singleLevel"/>
    <w:tmpl w:val="61DF7D5C"/>
    <w:lvl w:ilvl="0" w:tentative="0">
      <w:start w:val="1"/>
      <w:numFmt w:val="decimal"/>
      <w:suff w:val="space"/>
      <w:lvlText w:val="%1."/>
      <w:lvlJc w:val="left"/>
    </w:lvl>
  </w:abstractNum>
  <w:abstractNum w:abstractNumId="7">
    <w:nsid w:val="61DF7E07"/>
    <w:multiLevelType w:val="singleLevel"/>
    <w:tmpl w:val="61DF7E07"/>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TAyMDcwY2YwZTgyNjU3YzkxYmQ3YTU2NzhiOW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5776B69"/>
    <w:rsid w:val="0636605F"/>
    <w:rsid w:val="067A2C61"/>
    <w:rsid w:val="06ED263D"/>
    <w:rsid w:val="07501833"/>
    <w:rsid w:val="082C3C8D"/>
    <w:rsid w:val="08651193"/>
    <w:rsid w:val="086C2243"/>
    <w:rsid w:val="08F93D5B"/>
    <w:rsid w:val="09CD7F8F"/>
    <w:rsid w:val="0A95138C"/>
    <w:rsid w:val="0BB95CD2"/>
    <w:rsid w:val="0BFE4292"/>
    <w:rsid w:val="0C292867"/>
    <w:rsid w:val="0CD07E15"/>
    <w:rsid w:val="0CFA4A65"/>
    <w:rsid w:val="0EDE74A0"/>
    <w:rsid w:val="0F805784"/>
    <w:rsid w:val="0FB66909"/>
    <w:rsid w:val="10034986"/>
    <w:rsid w:val="109B01D5"/>
    <w:rsid w:val="10A81391"/>
    <w:rsid w:val="10D95F27"/>
    <w:rsid w:val="117A6EEF"/>
    <w:rsid w:val="12B33874"/>
    <w:rsid w:val="13B86C2F"/>
    <w:rsid w:val="14295DAF"/>
    <w:rsid w:val="142A7E51"/>
    <w:rsid w:val="14BD32C0"/>
    <w:rsid w:val="159E24E8"/>
    <w:rsid w:val="15EE6124"/>
    <w:rsid w:val="162417DF"/>
    <w:rsid w:val="16A76DEE"/>
    <w:rsid w:val="17AC5B95"/>
    <w:rsid w:val="19421CE6"/>
    <w:rsid w:val="198130EF"/>
    <w:rsid w:val="19AE416C"/>
    <w:rsid w:val="19DD43BA"/>
    <w:rsid w:val="1A4B45F5"/>
    <w:rsid w:val="1AEB3291"/>
    <w:rsid w:val="1CEB3111"/>
    <w:rsid w:val="1D1E25DF"/>
    <w:rsid w:val="1D652848"/>
    <w:rsid w:val="1DD736C3"/>
    <w:rsid w:val="1E5C3BAD"/>
    <w:rsid w:val="1F96421A"/>
    <w:rsid w:val="21CC3BA7"/>
    <w:rsid w:val="21E3769E"/>
    <w:rsid w:val="22102401"/>
    <w:rsid w:val="228765EB"/>
    <w:rsid w:val="23D846D8"/>
    <w:rsid w:val="241174C5"/>
    <w:rsid w:val="24304B96"/>
    <w:rsid w:val="24430E72"/>
    <w:rsid w:val="24B738C2"/>
    <w:rsid w:val="24CA5E5B"/>
    <w:rsid w:val="255178E6"/>
    <w:rsid w:val="255E1927"/>
    <w:rsid w:val="25F14B98"/>
    <w:rsid w:val="26710645"/>
    <w:rsid w:val="26A91696"/>
    <w:rsid w:val="272F2851"/>
    <w:rsid w:val="274F3DB2"/>
    <w:rsid w:val="279C6923"/>
    <w:rsid w:val="27BD1AEB"/>
    <w:rsid w:val="28071805"/>
    <w:rsid w:val="28FC289D"/>
    <w:rsid w:val="2914405B"/>
    <w:rsid w:val="29156EF2"/>
    <w:rsid w:val="2B004385"/>
    <w:rsid w:val="2B052B73"/>
    <w:rsid w:val="2B6948BD"/>
    <w:rsid w:val="2BF539B5"/>
    <w:rsid w:val="2C61237F"/>
    <w:rsid w:val="2CAF59DF"/>
    <w:rsid w:val="2D280A7E"/>
    <w:rsid w:val="31346AD4"/>
    <w:rsid w:val="319A23E2"/>
    <w:rsid w:val="328937F3"/>
    <w:rsid w:val="32F017EB"/>
    <w:rsid w:val="33C83BC3"/>
    <w:rsid w:val="35153592"/>
    <w:rsid w:val="35276BCD"/>
    <w:rsid w:val="35996867"/>
    <w:rsid w:val="38114A85"/>
    <w:rsid w:val="387B5356"/>
    <w:rsid w:val="389F0583"/>
    <w:rsid w:val="3B3B1938"/>
    <w:rsid w:val="3B536115"/>
    <w:rsid w:val="3B896557"/>
    <w:rsid w:val="3D12686E"/>
    <w:rsid w:val="3D18578A"/>
    <w:rsid w:val="3D985E85"/>
    <w:rsid w:val="3DA55E6C"/>
    <w:rsid w:val="3DC654EF"/>
    <w:rsid w:val="3E0A4684"/>
    <w:rsid w:val="3E415AC4"/>
    <w:rsid w:val="3EC066EC"/>
    <w:rsid w:val="3ED20001"/>
    <w:rsid w:val="3EE322BE"/>
    <w:rsid w:val="3EED6A2E"/>
    <w:rsid w:val="3EF25A32"/>
    <w:rsid w:val="3F794D8F"/>
    <w:rsid w:val="3FB174DE"/>
    <w:rsid w:val="408814E1"/>
    <w:rsid w:val="418D49B0"/>
    <w:rsid w:val="41DA2B4C"/>
    <w:rsid w:val="41DC2462"/>
    <w:rsid w:val="42615AA3"/>
    <w:rsid w:val="426A5D19"/>
    <w:rsid w:val="42A713D5"/>
    <w:rsid w:val="42EE0B57"/>
    <w:rsid w:val="42FC2B26"/>
    <w:rsid w:val="43C953D6"/>
    <w:rsid w:val="43EF3495"/>
    <w:rsid w:val="440C4C65"/>
    <w:rsid w:val="453756CC"/>
    <w:rsid w:val="455255E8"/>
    <w:rsid w:val="46E4318C"/>
    <w:rsid w:val="46F11329"/>
    <w:rsid w:val="471F4D88"/>
    <w:rsid w:val="4766336A"/>
    <w:rsid w:val="479E3A47"/>
    <w:rsid w:val="47D87266"/>
    <w:rsid w:val="48136289"/>
    <w:rsid w:val="48324764"/>
    <w:rsid w:val="49222A1C"/>
    <w:rsid w:val="49A2577D"/>
    <w:rsid w:val="4A321E22"/>
    <w:rsid w:val="4A3546F1"/>
    <w:rsid w:val="4A4756D4"/>
    <w:rsid w:val="4AF40C8C"/>
    <w:rsid w:val="4B106456"/>
    <w:rsid w:val="4B617091"/>
    <w:rsid w:val="4B8C6CE8"/>
    <w:rsid w:val="4C6F2EDA"/>
    <w:rsid w:val="4E03626B"/>
    <w:rsid w:val="4F7B2533"/>
    <w:rsid w:val="508711A9"/>
    <w:rsid w:val="510E35CE"/>
    <w:rsid w:val="517B4EC0"/>
    <w:rsid w:val="51B322DA"/>
    <w:rsid w:val="51CC3CA7"/>
    <w:rsid w:val="51DD42FB"/>
    <w:rsid w:val="51F850A8"/>
    <w:rsid w:val="526D2EBF"/>
    <w:rsid w:val="53366EE7"/>
    <w:rsid w:val="53B621BB"/>
    <w:rsid w:val="54271112"/>
    <w:rsid w:val="54523A5C"/>
    <w:rsid w:val="555C3065"/>
    <w:rsid w:val="55816D64"/>
    <w:rsid w:val="55987088"/>
    <w:rsid w:val="56A32E66"/>
    <w:rsid w:val="56DE74D6"/>
    <w:rsid w:val="56EF6751"/>
    <w:rsid w:val="577747A6"/>
    <w:rsid w:val="577A27D6"/>
    <w:rsid w:val="59374B66"/>
    <w:rsid w:val="593C56D0"/>
    <w:rsid w:val="593F171A"/>
    <w:rsid w:val="59E454CF"/>
    <w:rsid w:val="59F726F3"/>
    <w:rsid w:val="5B052582"/>
    <w:rsid w:val="5B297B8D"/>
    <w:rsid w:val="5B57543C"/>
    <w:rsid w:val="5BE066C1"/>
    <w:rsid w:val="5C1726A7"/>
    <w:rsid w:val="5C1B578B"/>
    <w:rsid w:val="5CA00DF1"/>
    <w:rsid w:val="5CE40B6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2725CE"/>
    <w:rsid w:val="612F1CC5"/>
    <w:rsid w:val="61681DAA"/>
    <w:rsid w:val="62137647"/>
    <w:rsid w:val="625A39B9"/>
    <w:rsid w:val="62AF740C"/>
    <w:rsid w:val="635E4CE4"/>
    <w:rsid w:val="63B06A7F"/>
    <w:rsid w:val="64761A1E"/>
    <w:rsid w:val="65153F75"/>
    <w:rsid w:val="65585085"/>
    <w:rsid w:val="65E9656B"/>
    <w:rsid w:val="67015D83"/>
    <w:rsid w:val="676C3643"/>
    <w:rsid w:val="67B30A70"/>
    <w:rsid w:val="68466749"/>
    <w:rsid w:val="68562C5D"/>
    <w:rsid w:val="689313CC"/>
    <w:rsid w:val="69E81028"/>
    <w:rsid w:val="69E945B2"/>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90590D"/>
    <w:rsid w:val="77AD20AE"/>
    <w:rsid w:val="77D055DD"/>
    <w:rsid w:val="78286988"/>
    <w:rsid w:val="7861167A"/>
    <w:rsid w:val="78E04108"/>
    <w:rsid w:val="796E0C91"/>
    <w:rsid w:val="7A3E4002"/>
    <w:rsid w:val="7AAF6562"/>
    <w:rsid w:val="7C4D729D"/>
    <w:rsid w:val="7D100213"/>
    <w:rsid w:val="7DCC7838"/>
    <w:rsid w:val="7EBD184F"/>
    <w:rsid w:val="7EC71D40"/>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8189</Words>
  <Characters>8543</Characters>
  <Lines>39</Lines>
  <Paragraphs>11</Paragraphs>
  <TotalTime>3</TotalTime>
  <ScaleCrop>false</ScaleCrop>
  <LinksUpToDate>false</LinksUpToDate>
  <CharactersWithSpaces>8949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admin</cp:lastModifiedBy>
  <cp:lastPrinted>2023-04-11T06:19:00Z</cp:lastPrinted>
  <dcterms:modified xsi:type="dcterms:W3CDTF">2023-09-12T03:39:07Z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63DA98FBC9344765A037A9CEAC5C377C</vt:lpwstr>
  </property>
</Properties>
</file>