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line="360" w:lineRule="auto"/>
        <w:jc w:val="center"/>
        <w:textAlignment w:val="bottom"/>
        <w:rPr>
          <w:rFonts w:ascii="宋体" w:hAnsi="宋体"/>
          <w:spacing w:val="10"/>
          <w:sz w:val="48"/>
        </w:rPr>
      </w:pPr>
      <w:bookmarkStart w:id="0" w:name="_Toc17538196"/>
      <w:r>
        <w:rPr>
          <w:rFonts w:hint="eastAsia" w:ascii="宋体" w:hAnsi="宋体"/>
          <w:spacing w:val="10"/>
          <w:sz w:val="48"/>
        </w:rPr>
        <w:t xml:space="preserve"> </w:t>
      </w:r>
    </w:p>
    <w:p>
      <w:pPr>
        <w:snapToGrid w:val="0"/>
        <w:spacing w:line="360" w:lineRule="auto"/>
        <w:jc w:val="center"/>
        <w:rPr>
          <w:rFonts w:ascii="宋体" w:hAnsi="宋体"/>
          <w:sz w:val="48"/>
        </w:rPr>
      </w:pPr>
      <w:r>
        <w:rPr>
          <w:rFonts w:hint="eastAsia" w:ascii="宋体" w:hAnsi="宋体"/>
          <w:sz w:val="48"/>
        </w:rPr>
        <w:t>涪江干流梯级渠化双江航电枢纽工程</w:t>
      </w:r>
    </w:p>
    <w:p>
      <w:pPr>
        <w:snapToGrid w:val="0"/>
        <w:spacing w:line="360" w:lineRule="auto"/>
        <w:rPr>
          <w:rFonts w:ascii="宋体" w:hAnsi="宋体"/>
          <w:b/>
          <w:sz w:val="44"/>
          <w:szCs w:val="44"/>
        </w:rPr>
      </w:pPr>
    </w:p>
    <w:p>
      <w:pPr>
        <w:snapToGrid w:val="0"/>
        <w:spacing w:line="360" w:lineRule="auto"/>
        <w:jc w:val="center"/>
        <w:rPr>
          <w:rFonts w:ascii="宋体" w:hAnsi="宋体"/>
          <w:b/>
          <w:szCs w:val="21"/>
        </w:rPr>
      </w:pPr>
      <w:bookmarkStart w:id="1" w:name="_Hlk111641625"/>
      <w:r>
        <w:rPr>
          <w:rFonts w:hint="eastAsia" w:ascii="宋体" w:hAnsi="宋体"/>
          <w:sz w:val="48"/>
        </w:rPr>
        <w:t>接入系统设备采购</w:t>
      </w:r>
    </w:p>
    <w:bookmarkEnd w:id="1"/>
    <w:p>
      <w:pPr>
        <w:snapToGrid w:val="0"/>
        <w:spacing w:line="360" w:lineRule="auto"/>
        <w:rPr>
          <w:rFonts w:ascii="宋体" w:hAnsi="宋体"/>
          <w:b/>
          <w:szCs w:val="21"/>
        </w:rPr>
      </w:pPr>
    </w:p>
    <w:p>
      <w:pPr>
        <w:adjustRightInd w:val="0"/>
        <w:snapToGrid w:val="0"/>
        <w:spacing w:line="360" w:lineRule="auto"/>
        <w:jc w:val="center"/>
        <w:textAlignment w:val="baseline"/>
        <w:rPr>
          <w:rFonts w:ascii="宋体" w:hAnsi="宋体"/>
          <w:b/>
          <w:sz w:val="72"/>
          <w:szCs w:val="72"/>
        </w:rPr>
      </w:pPr>
      <w:r>
        <w:rPr>
          <w:rFonts w:hint="eastAsia" w:ascii="宋体" w:hAnsi="宋体"/>
          <w:b/>
          <w:sz w:val="72"/>
          <w:szCs w:val="72"/>
        </w:rPr>
        <w:t>技术文件</w:t>
      </w:r>
    </w:p>
    <w:p>
      <w:pPr>
        <w:snapToGrid w:val="0"/>
        <w:spacing w:line="360" w:lineRule="auto"/>
        <w:jc w:val="center"/>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snapToGrid w:val="0"/>
        <w:spacing w:line="360" w:lineRule="auto"/>
        <w:rPr>
          <w:rFonts w:ascii="宋体" w:hAnsi="宋体"/>
          <w:b/>
          <w:szCs w:val="21"/>
        </w:rPr>
      </w:pPr>
    </w:p>
    <w:p>
      <w:pPr>
        <w:tabs>
          <w:tab w:val="left" w:pos="2800"/>
        </w:tabs>
        <w:snapToGrid w:val="0"/>
        <w:spacing w:before="156" w:beforeLines="50" w:line="360" w:lineRule="auto"/>
        <w:jc w:val="distribute"/>
        <w:rPr>
          <w:rFonts w:ascii="宋体" w:hAnsi="宋体"/>
          <w:b/>
          <w:bCs/>
          <w:spacing w:val="26"/>
          <w:kern w:val="0"/>
          <w:sz w:val="30"/>
          <w:szCs w:val="30"/>
        </w:rPr>
      </w:pPr>
      <w:r>
        <w:rPr>
          <w:rFonts w:hint="eastAsia" w:ascii="宋体" w:hAnsi="宋体"/>
          <w:b/>
          <w:bCs/>
          <w:spacing w:val="26"/>
          <w:kern w:val="0"/>
          <w:sz w:val="30"/>
          <w:szCs w:val="30"/>
        </w:rPr>
        <w:t>招标人</w:t>
      </w:r>
      <w:r>
        <w:rPr>
          <w:rFonts w:ascii="宋体" w:hAnsi="宋体"/>
          <w:b/>
          <w:bCs/>
          <w:spacing w:val="26"/>
          <w:kern w:val="0"/>
          <w:sz w:val="30"/>
          <w:szCs w:val="30"/>
        </w:rPr>
        <w:t>:</w:t>
      </w:r>
      <w:r>
        <w:rPr>
          <w:rFonts w:hint="eastAsia" w:ascii="宋体" w:hAnsi="宋体"/>
          <w:b/>
          <w:bCs/>
          <w:spacing w:val="26"/>
          <w:kern w:val="0"/>
          <w:sz w:val="30"/>
          <w:szCs w:val="30"/>
        </w:rPr>
        <w:t>重庆双江航运发展有限公司</w:t>
      </w:r>
    </w:p>
    <w:p>
      <w:pPr>
        <w:adjustRightInd w:val="0"/>
        <w:spacing w:before="50" w:after="50" w:line="360" w:lineRule="auto"/>
        <w:jc w:val="distribute"/>
        <w:rPr>
          <w:rFonts w:ascii="宋体" w:hAnsi="宋体"/>
          <w:b/>
          <w:bCs/>
          <w:spacing w:val="26"/>
          <w:kern w:val="0"/>
          <w:sz w:val="30"/>
          <w:szCs w:val="30"/>
        </w:rPr>
      </w:pPr>
      <w:r>
        <w:rPr>
          <w:rFonts w:hint="eastAsia" w:ascii="宋体" w:hAnsi="宋体"/>
          <w:b/>
          <w:bCs/>
          <w:spacing w:val="26"/>
          <w:kern w:val="0"/>
          <w:sz w:val="30"/>
          <w:szCs w:val="30"/>
        </w:rPr>
        <w:t>工程设计单位：中国电建集团成都勘测设计研究院有限公司</w:t>
      </w:r>
    </w:p>
    <w:p>
      <w:pPr>
        <w:snapToGrid w:val="0"/>
        <w:spacing w:before="156" w:beforeLines="50" w:line="360" w:lineRule="auto"/>
        <w:jc w:val="center"/>
        <w:rPr>
          <w:rFonts w:ascii="宋体" w:hAnsi="宋体"/>
          <w:sz w:val="24"/>
          <w:szCs w:val="24"/>
        </w:rPr>
      </w:pPr>
      <w:r>
        <w:rPr>
          <w:rFonts w:ascii="宋体" w:hAnsi="宋体"/>
          <w:sz w:val="24"/>
          <w:szCs w:val="24"/>
        </w:rPr>
        <w:t>2023</w:t>
      </w:r>
      <w:r>
        <w:rPr>
          <w:rFonts w:hint="eastAsia" w:ascii="宋体" w:hAnsi="宋体"/>
          <w:sz w:val="24"/>
          <w:szCs w:val="24"/>
        </w:rPr>
        <w:t>年</w:t>
      </w:r>
      <w:r>
        <w:rPr>
          <w:rFonts w:ascii="宋体" w:hAnsi="宋体"/>
          <w:sz w:val="24"/>
          <w:szCs w:val="24"/>
        </w:rPr>
        <w:t>3</w:t>
      </w:r>
      <w:r>
        <w:rPr>
          <w:rFonts w:hint="eastAsia" w:ascii="宋体" w:hAnsi="宋体"/>
          <w:sz w:val="24"/>
          <w:szCs w:val="24"/>
        </w:rPr>
        <w:t>月</w:t>
      </w:r>
    </w:p>
    <w:p>
      <w:pPr>
        <w:tabs>
          <w:tab w:val="left" w:pos="3701"/>
          <w:tab w:val="left" w:pos="3881"/>
          <w:tab w:val="left" w:pos="4093"/>
          <w:tab w:val="center" w:pos="4621"/>
        </w:tabs>
        <w:snapToGrid w:val="0"/>
        <w:spacing w:line="360" w:lineRule="auto"/>
        <w:jc w:val="center"/>
      </w:pPr>
      <w:bookmarkStart w:id="2" w:name="_Toc24861032"/>
      <w:bookmarkStart w:id="3" w:name="_Toc475788877"/>
      <w:r>
        <w:rPr>
          <w:rFonts w:hint="eastAsia" w:ascii="宋体" w:hAnsi="宋体"/>
          <w:b/>
          <w:bCs/>
          <w:sz w:val="28"/>
          <w:szCs w:val="28"/>
        </w:rPr>
        <w:t>目录</w:t>
      </w:r>
      <w:bookmarkStart w:id="4" w:name="_Toc167181385"/>
      <w:bookmarkStart w:id="5" w:name="_Toc20017551"/>
      <w:bookmarkStart w:id="6" w:name="_Toc15226036"/>
      <w:bookmarkStart w:id="7" w:name="_Toc41297906"/>
      <w:bookmarkStart w:id="8" w:name="_Toc128364746"/>
      <w:bookmarkStart w:id="9" w:name="_Toc41298403"/>
      <w:r>
        <w:rPr>
          <w:rFonts w:ascii="宋体" w:hAnsi="宋体"/>
        </w:rPr>
        <w:fldChar w:fldCharType="begin"/>
      </w:r>
      <w:r>
        <w:rPr>
          <w:rFonts w:ascii="宋体" w:hAnsi="宋体"/>
        </w:rPr>
        <w:instrText xml:space="preserve"> TOC \o "1-2" \h \z \u </w:instrText>
      </w:r>
      <w:r>
        <w:rPr>
          <w:rFonts w:ascii="宋体" w:hAnsi="宋体"/>
        </w:rPr>
        <w:fldChar w:fldCharType="separate"/>
      </w:r>
    </w:p>
    <w:p>
      <w:pPr>
        <w:pStyle w:val="49"/>
        <w:rPr>
          <w:rFonts w:asciiTheme="minorHAnsi" w:hAnsiTheme="minorHAnsi" w:eastAsiaTheme="minorEastAsia" w:cstheme="minorBidi"/>
          <w:caps w:val="0"/>
          <w:kern w:val="2"/>
          <w:szCs w:val="22"/>
        </w:rPr>
      </w:pPr>
      <w:r>
        <w:fldChar w:fldCharType="begin"/>
      </w:r>
      <w:r>
        <w:instrText xml:space="preserve"> HYPERLINK \l "_Toc143589461" </w:instrText>
      </w:r>
      <w:r>
        <w:fldChar w:fldCharType="separate"/>
      </w:r>
      <w:r>
        <w:rPr>
          <w:rStyle w:val="77"/>
          <w:rFonts w:ascii="宋体" w:hAnsi="宋体"/>
        </w:rPr>
        <w:t>第1章</w:t>
      </w:r>
      <w:r>
        <w:rPr>
          <w:rFonts w:asciiTheme="minorHAnsi" w:hAnsiTheme="minorHAnsi" w:eastAsiaTheme="minorEastAsia" w:cstheme="minorBidi"/>
          <w:caps w:val="0"/>
          <w:kern w:val="2"/>
          <w:szCs w:val="22"/>
        </w:rPr>
        <w:tab/>
      </w:r>
      <w:r>
        <w:rPr>
          <w:rStyle w:val="77"/>
          <w:rFonts w:ascii="宋体" w:hAnsi="宋体"/>
        </w:rPr>
        <w:t>一般技术条款</w:t>
      </w:r>
      <w:r>
        <w:tab/>
      </w:r>
      <w:r>
        <w:fldChar w:fldCharType="begin"/>
      </w:r>
      <w:r>
        <w:instrText xml:space="preserve"> PAGEREF _Toc143589461 \h </w:instrText>
      </w:r>
      <w:r>
        <w:fldChar w:fldCharType="separate"/>
      </w:r>
      <w:r>
        <w:t>1</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"_Toc143589462" </w:instrText>
      </w:r>
      <w:r>
        <w:fldChar w:fldCharType="separate"/>
      </w:r>
      <w:r>
        <w:rPr>
          <w:rStyle w:val="77"/>
          <w:rFonts w:ascii="宋体" w:hAnsi="宋体"/>
        </w:rPr>
        <w:t>1.1</w:t>
      </w:r>
      <w:r>
        <w:rPr>
          <w:rFonts w:asciiTheme="minorHAnsi" w:hAnsiTheme="minorHAnsi" w:eastAsiaTheme="minorEastAsia" w:cstheme="minorBidi"/>
          <w:bCs w:val="0"/>
          <w:smallCaps w:val="0"/>
          <w:kern w:val="2"/>
          <w:szCs w:val="22"/>
        </w:rPr>
        <w:tab/>
      </w:r>
      <w:r>
        <w:rPr>
          <w:rStyle w:val="77"/>
          <w:rFonts w:ascii="宋体" w:hAnsi="宋体"/>
        </w:rPr>
        <w:t>一般要求</w:t>
      </w:r>
      <w:r>
        <w:tab/>
      </w:r>
      <w:r>
        <w:fldChar w:fldCharType="begin"/>
      </w:r>
      <w:r>
        <w:instrText xml:space="preserve"> PAGEREF _Toc143589462 \h </w:instrText>
      </w:r>
      <w:r>
        <w:fldChar w:fldCharType="separate"/>
      </w:r>
      <w:r>
        <w:t>1</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"_Toc143589463" </w:instrText>
      </w:r>
      <w:r>
        <w:fldChar w:fldCharType="separate"/>
      </w:r>
      <w:r>
        <w:rPr>
          <w:rStyle w:val="77"/>
          <w:rFonts w:ascii="宋体" w:hAnsi="宋体"/>
        </w:rPr>
        <w:t>1.2</w:t>
      </w:r>
      <w:r>
        <w:rPr>
          <w:rFonts w:asciiTheme="minorHAnsi" w:hAnsiTheme="minorHAnsi" w:eastAsiaTheme="minorEastAsia" w:cstheme="minorBidi"/>
          <w:bCs w:val="0"/>
          <w:smallCaps w:val="0"/>
          <w:kern w:val="2"/>
          <w:szCs w:val="22"/>
        </w:rPr>
        <w:tab/>
      </w:r>
      <w:r>
        <w:rPr>
          <w:rStyle w:val="77"/>
          <w:rFonts w:ascii="宋体" w:hAnsi="宋体"/>
        </w:rPr>
        <w:t>合同范围</w:t>
      </w:r>
      <w:r>
        <w:tab/>
      </w:r>
      <w:r>
        <w:fldChar w:fldCharType="begin"/>
      </w:r>
      <w:r>
        <w:instrText xml:space="preserve"> PAGEREF _Toc143589463 \h </w:instrText>
      </w:r>
      <w:r>
        <w:fldChar w:fldCharType="separate"/>
      </w:r>
      <w:r>
        <w:t>1</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"_Toc143589464" </w:instrText>
      </w:r>
      <w:r>
        <w:fldChar w:fldCharType="separate"/>
      </w:r>
      <w:r>
        <w:rPr>
          <w:rStyle w:val="77"/>
          <w:rFonts w:ascii="宋体" w:hAnsi="宋体"/>
        </w:rPr>
        <w:t>1.3</w:t>
      </w:r>
      <w:r>
        <w:rPr>
          <w:rFonts w:asciiTheme="minorHAnsi" w:hAnsiTheme="minorHAnsi" w:eastAsiaTheme="minorEastAsia" w:cstheme="minorBidi"/>
          <w:bCs w:val="0"/>
          <w:smallCaps w:val="0"/>
          <w:kern w:val="2"/>
          <w:szCs w:val="22"/>
        </w:rPr>
        <w:tab/>
      </w:r>
      <w:r>
        <w:rPr>
          <w:rStyle w:val="77"/>
          <w:rFonts w:ascii="宋体" w:hAnsi="宋体"/>
        </w:rPr>
        <w:t>工程概况</w:t>
      </w:r>
      <w:r>
        <w:tab/>
      </w:r>
      <w:r>
        <w:fldChar w:fldCharType="begin"/>
      </w:r>
      <w:r>
        <w:instrText xml:space="preserve"> PAGEREF _Toc143589464 \h </w:instrText>
      </w:r>
      <w:r>
        <w:fldChar w:fldCharType="separate"/>
      </w:r>
      <w:r>
        <w:t>4</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"_Toc143589465" </w:instrText>
      </w:r>
      <w:r>
        <w:fldChar w:fldCharType="separate"/>
      </w:r>
      <w:r>
        <w:rPr>
          <w:rStyle w:val="77"/>
          <w:rFonts w:ascii="宋体" w:hAnsi="宋体"/>
        </w:rPr>
        <w:t>1.4</w:t>
      </w:r>
      <w:r>
        <w:rPr>
          <w:rFonts w:asciiTheme="minorHAnsi" w:hAnsiTheme="minorHAnsi" w:eastAsiaTheme="minorEastAsia" w:cstheme="minorBidi"/>
          <w:bCs w:val="0"/>
          <w:smallCaps w:val="0"/>
          <w:kern w:val="2"/>
          <w:szCs w:val="22"/>
        </w:rPr>
        <w:tab/>
      </w:r>
      <w:r>
        <w:rPr>
          <w:rStyle w:val="77"/>
          <w:rFonts w:ascii="宋体" w:hAnsi="宋体"/>
        </w:rPr>
        <w:t>标准和规程</w:t>
      </w:r>
      <w:r>
        <w:tab/>
      </w:r>
      <w:r>
        <w:fldChar w:fldCharType="begin"/>
      </w:r>
      <w:r>
        <w:instrText xml:space="preserve"> PAGEREF _Toc143589465 \h </w:instrText>
      </w:r>
      <w:r>
        <w:fldChar w:fldCharType="separate"/>
      </w:r>
      <w:r>
        <w:t>5</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"_Toc143589466" </w:instrText>
      </w:r>
      <w:r>
        <w:fldChar w:fldCharType="separate"/>
      </w:r>
      <w:r>
        <w:rPr>
          <w:rStyle w:val="77"/>
          <w:rFonts w:ascii="宋体" w:hAnsi="宋体"/>
        </w:rPr>
        <w:t>1.5</w:t>
      </w:r>
      <w:r>
        <w:rPr>
          <w:rFonts w:asciiTheme="minorHAnsi" w:hAnsiTheme="minorHAnsi" w:eastAsiaTheme="minorEastAsia" w:cstheme="minorBidi"/>
          <w:bCs w:val="0"/>
          <w:smallCaps w:val="0"/>
          <w:kern w:val="2"/>
          <w:szCs w:val="22"/>
        </w:rPr>
        <w:tab/>
      </w:r>
      <w:r>
        <w:rPr>
          <w:rStyle w:val="77"/>
          <w:rFonts w:ascii="宋体" w:hAnsi="宋体"/>
        </w:rPr>
        <w:t>卖方提供的技术文件</w:t>
      </w:r>
      <w:r>
        <w:tab/>
      </w:r>
      <w:r>
        <w:fldChar w:fldCharType="begin"/>
      </w:r>
      <w:r>
        <w:instrText xml:space="preserve"> PAGEREF _Toc143589466 \h </w:instrText>
      </w:r>
      <w:r>
        <w:fldChar w:fldCharType="separate"/>
      </w:r>
      <w:r>
        <w:t>7</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"_Toc143589467" </w:instrText>
      </w:r>
      <w:r>
        <w:fldChar w:fldCharType="separate"/>
      </w:r>
      <w:r>
        <w:rPr>
          <w:rStyle w:val="77"/>
          <w:rFonts w:ascii="宋体" w:hAnsi="宋体"/>
        </w:rPr>
        <w:t>1.6</w:t>
      </w:r>
      <w:r>
        <w:rPr>
          <w:rFonts w:asciiTheme="minorHAnsi" w:hAnsiTheme="minorHAnsi" w:eastAsiaTheme="minorEastAsia" w:cstheme="minorBidi"/>
          <w:bCs w:val="0"/>
          <w:smallCaps w:val="0"/>
          <w:kern w:val="2"/>
          <w:szCs w:val="22"/>
        </w:rPr>
        <w:tab/>
      </w:r>
      <w:r>
        <w:rPr>
          <w:rStyle w:val="77"/>
          <w:rFonts w:ascii="宋体" w:hAnsi="宋体"/>
        </w:rPr>
        <w:t>材料和制造工艺</w:t>
      </w:r>
      <w:r>
        <w:tab/>
      </w:r>
      <w:r>
        <w:fldChar w:fldCharType="begin"/>
      </w:r>
      <w:r>
        <w:instrText xml:space="preserve"> PAGEREF _Toc143589467 \h </w:instrText>
      </w:r>
      <w:r>
        <w:fldChar w:fldCharType="separate"/>
      </w:r>
      <w:r>
        <w:t>18</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"_Toc143589468" </w:instrText>
      </w:r>
      <w:r>
        <w:fldChar w:fldCharType="separate"/>
      </w:r>
      <w:r>
        <w:rPr>
          <w:rStyle w:val="77"/>
          <w:rFonts w:ascii="宋体" w:hAnsi="宋体"/>
        </w:rPr>
        <w:t>1.7</w:t>
      </w:r>
      <w:r>
        <w:rPr>
          <w:rFonts w:asciiTheme="minorHAnsi" w:hAnsiTheme="minorHAnsi" w:eastAsiaTheme="minorEastAsia" w:cstheme="minorBidi"/>
          <w:bCs w:val="0"/>
          <w:smallCaps w:val="0"/>
          <w:kern w:val="2"/>
          <w:szCs w:val="22"/>
        </w:rPr>
        <w:tab/>
      </w:r>
      <w:r>
        <w:rPr>
          <w:rStyle w:val="77"/>
          <w:rFonts w:ascii="宋体" w:hAnsi="宋体"/>
        </w:rPr>
        <w:t>辅助电气设备</w:t>
      </w:r>
      <w:r>
        <w:tab/>
      </w:r>
      <w:r>
        <w:fldChar w:fldCharType="begin"/>
      </w:r>
      <w:r>
        <w:instrText xml:space="preserve"> PAGEREF _Toc143589468 \h </w:instrText>
      </w:r>
      <w:r>
        <w:fldChar w:fldCharType="separate"/>
      </w:r>
      <w:r>
        <w:t>18</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"_Toc143589469" </w:instrText>
      </w:r>
      <w:r>
        <w:fldChar w:fldCharType="separate"/>
      </w:r>
      <w:r>
        <w:rPr>
          <w:rStyle w:val="77"/>
          <w:rFonts w:ascii="宋体" w:hAnsi="宋体"/>
        </w:rPr>
        <w:t>1.8</w:t>
      </w:r>
      <w:r>
        <w:rPr>
          <w:rFonts w:asciiTheme="minorHAnsi" w:hAnsiTheme="minorHAnsi" w:eastAsiaTheme="minorEastAsia" w:cstheme="minorBidi"/>
          <w:bCs w:val="0"/>
          <w:smallCaps w:val="0"/>
          <w:kern w:val="2"/>
          <w:szCs w:val="22"/>
        </w:rPr>
        <w:tab/>
      </w:r>
      <w:r>
        <w:rPr>
          <w:rStyle w:val="77"/>
          <w:rFonts w:ascii="宋体" w:hAnsi="宋体"/>
        </w:rPr>
        <w:t>铭牌与标牌</w:t>
      </w:r>
      <w:r>
        <w:tab/>
      </w:r>
      <w:r>
        <w:fldChar w:fldCharType="begin"/>
      </w:r>
      <w:r>
        <w:instrText xml:space="preserve"> PAGEREF _Toc143589469 \h </w:instrText>
      </w:r>
      <w:r>
        <w:fldChar w:fldCharType="separate"/>
      </w:r>
      <w:r>
        <w:t>25</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"_Toc143589470" </w:instrText>
      </w:r>
      <w:r>
        <w:fldChar w:fldCharType="separate"/>
      </w:r>
      <w:r>
        <w:rPr>
          <w:rStyle w:val="77"/>
          <w:rFonts w:ascii="宋体" w:hAnsi="宋体"/>
        </w:rPr>
        <w:t>1.9</w:t>
      </w:r>
      <w:r>
        <w:rPr>
          <w:rFonts w:asciiTheme="minorHAnsi" w:hAnsiTheme="minorHAnsi" w:eastAsiaTheme="minorEastAsia" w:cstheme="minorBidi"/>
          <w:bCs w:val="0"/>
          <w:smallCaps w:val="0"/>
          <w:kern w:val="2"/>
          <w:szCs w:val="22"/>
        </w:rPr>
        <w:tab/>
      </w:r>
      <w:r>
        <w:rPr>
          <w:rStyle w:val="77"/>
          <w:rFonts w:ascii="宋体" w:hAnsi="宋体"/>
        </w:rPr>
        <w:t>吊具</w:t>
      </w:r>
      <w:r>
        <w:tab/>
      </w:r>
      <w:r>
        <w:fldChar w:fldCharType="begin"/>
      </w:r>
      <w:r>
        <w:instrText xml:space="preserve"> PAGEREF _Toc143589470 \h </w:instrText>
      </w:r>
      <w:r>
        <w:fldChar w:fldCharType="separate"/>
      </w:r>
      <w:r>
        <w:t>26</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"_Toc143589471" </w:instrText>
      </w:r>
      <w:r>
        <w:fldChar w:fldCharType="separate"/>
      </w:r>
      <w:r>
        <w:rPr>
          <w:rStyle w:val="77"/>
          <w:rFonts w:ascii="宋体" w:hAnsi="宋体"/>
        </w:rPr>
        <w:t>1.10</w:t>
      </w:r>
      <w:r>
        <w:rPr>
          <w:rFonts w:asciiTheme="minorHAnsi" w:hAnsiTheme="minorHAnsi" w:eastAsiaTheme="minorEastAsia" w:cstheme="minorBidi"/>
          <w:bCs w:val="0"/>
          <w:smallCaps w:val="0"/>
          <w:kern w:val="2"/>
          <w:szCs w:val="22"/>
        </w:rPr>
        <w:tab/>
      </w:r>
      <w:r>
        <w:rPr>
          <w:rStyle w:val="77"/>
          <w:rFonts w:ascii="宋体" w:hAnsi="宋体"/>
        </w:rPr>
        <w:t>备品备件</w:t>
      </w:r>
      <w:r>
        <w:tab/>
      </w:r>
      <w:r>
        <w:fldChar w:fldCharType="begin"/>
      </w:r>
      <w:r>
        <w:instrText xml:space="preserve"> PAGEREF _Toc143589471 \h </w:instrText>
      </w:r>
      <w:r>
        <w:fldChar w:fldCharType="separate"/>
      </w:r>
      <w:r>
        <w:t>26</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"_Toc143589472" </w:instrText>
      </w:r>
      <w:r>
        <w:fldChar w:fldCharType="separate"/>
      </w:r>
      <w:r>
        <w:rPr>
          <w:rStyle w:val="77"/>
          <w:rFonts w:ascii="宋体" w:hAnsi="宋体"/>
        </w:rPr>
        <w:t>1.11</w:t>
      </w:r>
      <w:r>
        <w:rPr>
          <w:rFonts w:asciiTheme="minorHAnsi" w:hAnsiTheme="minorHAnsi" w:eastAsiaTheme="minorEastAsia" w:cstheme="minorBidi"/>
          <w:bCs w:val="0"/>
          <w:smallCaps w:val="0"/>
          <w:kern w:val="2"/>
          <w:szCs w:val="22"/>
        </w:rPr>
        <w:tab/>
      </w:r>
      <w:r>
        <w:rPr>
          <w:rStyle w:val="77"/>
          <w:rFonts w:ascii="宋体" w:hAnsi="宋体"/>
        </w:rPr>
        <w:t>专用工具</w:t>
      </w:r>
      <w:r>
        <w:tab/>
      </w:r>
      <w:r>
        <w:fldChar w:fldCharType="begin"/>
      </w:r>
      <w:r>
        <w:instrText xml:space="preserve"> PAGEREF _Toc143589472 \h </w:instrText>
      </w:r>
      <w:r>
        <w:fldChar w:fldCharType="separate"/>
      </w:r>
      <w:r>
        <w:t>26</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"_Toc143589473" </w:instrText>
      </w:r>
      <w:r>
        <w:fldChar w:fldCharType="separate"/>
      </w:r>
      <w:r>
        <w:rPr>
          <w:rStyle w:val="77"/>
          <w:rFonts w:ascii="宋体" w:hAnsi="宋体"/>
        </w:rPr>
        <w:t>1.12</w:t>
      </w:r>
      <w:r>
        <w:rPr>
          <w:rFonts w:asciiTheme="minorHAnsi" w:hAnsiTheme="minorHAnsi" w:eastAsiaTheme="minorEastAsia" w:cstheme="minorBidi"/>
          <w:bCs w:val="0"/>
          <w:smallCaps w:val="0"/>
          <w:kern w:val="2"/>
          <w:szCs w:val="22"/>
        </w:rPr>
        <w:tab/>
      </w:r>
      <w:r>
        <w:rPr>
          <w:rStyle w:val="77"/>
          <w:rFonts w:ascii="宋体" w:hAnsi="宋体"/>
        </w:rPr>
        <w:t>互换性</w:t>
      </w:r>
      <w:r>
        <w:tab/>
      </w:r>
      <w:r>
        <w:fldChar w:fldCharType="begin"/>
      </w:r>
      <w:r>
        <w:instrText xml:space="preserve"> PAGEREF _Toc143589473 \h </w:instrText>
      </w:r>
      <w:r>
        <w:fldChar w:fldCharType="separate"/>
      </w:r>
      <w:r>
        <w:t>27</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"_Toc143589474" </w:instrText>
      </w:r>
      <w:r>
        <w:fldChar w:fldCharType="separate"/>
      </w:r>
      <w:r>
        <w:rPr>
          <w:rStyle w:val="77"/>
          <w:rFonts w:ascii="宋体" w:hAnsi="宋体"/>
        </w:rPr>
        <w:t>1.13</w:t>
      </w:r>
      <w:r>
        <w:rPr>
          <w:rFonts w:asciiTheme="minorHAnsi" w:hAnsiTheme="minorHAnsi" w:eastAsiaTheme="minorEastAsia" w:cstheme="minorBidi"/>
          <w:bCs w:val="0"/>
          <w:smallCaps w:val="0"/>
          <w:kern w:val="2"/>
          <w:szCs w:val="22"/>
        </w:rPr>
        <w:tab/>
      </w:r>
      <w:r>
        <w:rPr>
          <w:rStyle w:val="77"/>
          <w:rFonts w:ascii="宋体" w:hAnsi="宋体"/>
        </w:rPr>
        <w:t>设计联络会</w:t>
      </w:r>
      <w:r>
        <w:tab/>
      </w:r>
      <w:r>
        <w:fldChar w:fldCharType="begin"/>
      </w:r>
      <w:r>
        <w:instrText xml:space="preserve"> PAGEREF _Toc143589474 \h </w:instrText>
      </w:r>
      <w:r>
        <w:fldChar w:fldCharType="separate"/>
      </w:r>
      <w:r>
        <w:t>27</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"_Toc143589475" </w:instrText>
      </w:r>
      <w:r>
        <w:fldChar w:fldCharType="separate"/>
      </w:r>
      <w:r>
        <w:rPr>
          <w:rStyle w:val="77"/>
          <w:rFonts w:ascii="宋体" w:hAnsi="宋体"/>
        </w:rPr>
        <w:t>1.14</w:t>
      </w:r>
      <w:r>
        <w:rPr>
          <w:rFonts w:asciiTheme="minorHAnsi" w:hAnsiTheme="minorHAnsi" w:eastAsiaTheme="minorEastAsia" w:cstheme="minorBidi"/>
          <w:bCs w:val="0"/>
          <w:smallCaps w:val="0"/>
          <w:kern w:val="2"/>
          <w:szCs w:val="22"/>
        </w:rPr>
        <w:tab/>
      </w:r>
      <w:r>
        <w:rPr>
          <w:rStyle w:val="77"/>
          <w:rFonts w:ascii="宋体" w:hAnsi="宋体"/>
        </w:rPr>
        <w:t>技术培训</w:t>
      </w:r>
      <w:r>
        <w:tab/>
      </w:r>
      <w:r>
        <w:fldChar w:fldCharType="begin"/>
      </w:r>
      <w:r>
        <w:instrText xml:space="preserve"> PAGEREF _Toc143589475 \h </w:instrText>
      </w:r>
      <w:r>
        <w:fldChar w:fldCharType="separate"/>
      </w:r>
      <w:r>
        <w:t>29</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"_Toc143589476" </w:instrText>
      </w:r>
      <w:r>
        <w:fldChar w:fldCharType="separate"/>
      </w:r>
      <w:r>
        <w:rPr>
          <w:rStyle w:val="77"/>
          <w:rFonts w:ascii="宋体" w:hAnsi="宋体"/>
        </w:rPr>
        <w:t>1.15</w:t>
      </w:r>
      <w:r>
        <w:rPr>
          <w:rFonts w:asciiTheme="minorHAnsi" w:hAnsiTheme="minorHAnsi" w:eastAsiaTheme="minorEastAsia" w:cstheme="minorBidi"/>
          <w:bCs w:val="0"/>
          <w:smallCaps w:val="0"/>
          <w:kern w:val="2"/>
          <w:szCs w:val="22"/>
        </w:rPr>
        <w:tab/>
      </w:r>
      <w:r>
        <w:rPr>
          <w:rStyle w:val="77"/>
          <w:rFonts w:ascii="宋体" w:hAnsi="宋体"/>
        </w:rPr>
        <w:t>工厂试验</w:t>
      </w:r>
      <w:r>
        <w:tab/>
      </w:r>
      <w:r>
        <w:fldChar w:fldCharType="begin"/>
      </w:r>
      <w:r>
        <w:instrText xml:space="preserve"> PAGEREF _Toc143589476 \h </w:instrText>
      </w:r>
      <w:r>
        <w:fldChar w:fldCharType="separate"/>
      </w:r>
      <w:r>
        <w:t>29</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"_Toc143589477" </w:instrText>
      </w:r>
      <w:r>
        <w:fldChar w:fldCharType="separate"/>
      </w:r>
      <w:r>
        <w:rPr>
          <w:rStyle w:val="77"/>
          <w:rFonts w:ascii="宋体" w:hAnsi="宋体"/>
        </w:rPr>
        <w:t>1.16</w:t>
      </w:r>
      <w:r>
        <w:rPr>
          <w:rFonts w:asciiTheme="minorHAnsi" w:hAnsiTheme="minorHAnsi" w:eastAsiaTheme="minorEastAsia" w:cstheme="minorBidi"/>
          <w:bCs w:val="0"/>
          <w:smallCaps w:val="0"/>
          <w:kern w:val="2"/>
          <w:szCs w:val="22"/>
        </w:rPr>
        <w:tab/>
      </w:r>
      <w:r>
        <w:rPr>
          <w:rStyle w:val="77"/>
          <w:rFonts w:ascii="宋体" w:hAnsi="宋体"/>
        </w:rPr>
        <w:t>安装、调试及现场试验的技术服务</w:t>
      </w:r>
      <w:r>
        <w:tab/>
      </w:r>
      <w:r>
        <w:fldChar w:fldCharType="begin"/>
      </w:r>
      <w:r>
        <w:instrText xml:space="preserve"> PAGEREF _Toc143589477 \h </w:instrText>
      </w:r>
      <w:r>
        <w:fldChar w:fldCharType="separate"/>
      </w:r>
      <w:r>
        <w:t>29</w:t>
      </w:r>
      <w:r>
        <w:fldChar w:fldCharType="end"/>
      </w:r>
      <w:r>
        <w:fldChar w:fldCharType="end"/>
      </w:r>
    </w:p>
    <w:p>
      <w:pPr>
        <w:pStyle w:val="49"/>
        <w:rPr>
          <w:rFonts w:asciiTheme="minorHAnsi" w:hAnsiTheme="minorHAnsi" w:eastAsiaTheme="minorEastAsia" w:cstheme="minorBidi"/>
          <w:caps w:val="0"/>
          <w:kern w:val="2"/>
          <w:szCs w:val="22"/>
        </w:rPr>
      </w:pPr>
      <w:r>
        <w:fldChar w:fldCharType="begin"/>
      </w:r>
      <w:r>
        <w:instrText xml:space="preserve"> HYPERLINK \l "_Toc143589478" </w:instrText>
      </w:r>
      <w:r>
        <w:fldChar w:fldCharType="separate"/>
      </w:r>
      <w:r>
        <w:rPr>
          <w:rStyle w:val="77"/>
          <w:rFonts w:ascii="宋体" w:hAnsi="宋体" w:cs="Arial"/>
        </w:rPr>
        <w:t>第2章</w:t>
      </w:r>
      <w:r>
        <w:rPr>
          <w:rFonts w:asciiTheme="minorHAnsi" w:hAnsiTheme="minorHAnsi" w:eastAsiaTheme="minorEastAsia" w:cstheme="minorBidi"/>
          <w:caps w:val="0"/>
          <w:kern w:val="2"/>
          <w:szCs w:val="22"/>
        </w:rPr>
        <w:tab/>
      </w:r>
      <w:r>
        <w:rPr>
          <w:rStyle w:val="77"/>
          <w:rFonts w:ascii="宋体" w:hAnsi="宋体"/>
        </w:rPr>
        <w:t>专用技术条款</w:t>
      </w:r>
      <w:r>
        <w:tab/>
      </w:r>
      <w:r>
        <w:fldChar w:fldCharType="begin"/>
      </w:r>
      <w:r>
        <w:instrText xml:space="preserve"> PAGEREF _Toc143589478 \h </w:instrText>
      </w:r>
      <w:r>
        <w:fldChar w:fldCharType="separate"/>
      </w:r>
      <w:r>
        <w:t>32</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"_Toc143589479" </w:instrText>
      </w:r>
      <w:r>
        <w:fldChar w:fldCharType="separate"/>
      </w:r>
      <w:r>
        <w:rPr>
          <w:rStyle w:val="77"/>
          <w:rFonts w:ascii="宋体" w:hAnsi="宋体" w:cs="Arial"/>
        </w:rPr>
        <w:t>2.1</w:t>
      </w:r>
      <w:r>
        <w:rPr>
          <w:rFonts w:asciiTheme="minorHAnsi" w:hAnsiTheme="minorHAnsi" w:eastAsiaTheme="minorEastAsia" w:cstheme="minorBidi"/>
          <w:bCs w:val="0"/>
          <w:smallCaps w:val="0"/>
          <w:kern w:val="2"/>
          <w:szCs w:val="22"/>
        </w:rPr>
        <w:tab/>
      </w:r>
      <w:r>
        <w:rPr>
          <w:rStyle w:val="77"/>
          <w:rFonts w:ascii="宋体" w:hAnsi="宋体" w:cs="Arial"/>
        </w:rPr>
        <w:t>概述</w:t>
      </w:r>
      <w:r>
        <w:tab/>
      </w:r>
      <w:r>
        <w:fldChar w:fldCharType="begin"/>
      </w:r>
      <w:r>
        <w:instrText xml:space="preserve"> PAGEREF _Toc143589479 \h </w:instrText>
      </w:r>
      <w:r>
        <w:fldChar w:fldCharType="separate"/>
      </w:r>
      <w:r>
        <w:t>32</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"_Toc143589480" </w:instrText>
      </w:r>
      <w:r>
        <w:fldChar w:fldCharType="separate"/>
      </w:r>
      <w:r>
        <w:rPr>
          <w:rStyle w:val="77"/>
          <w:rFonts w:ascii="宋体" w:hAnsi="宋体" w:cs="Arial"/>
        </w:rPr>
        <w:t>2.2</w:t>
      </w:r>
      <w:r>
        <w:rPr>
          <w:rFonts w:asciiTheme="minorHAnsi" w:hAnsiTheme="minorHAnsi" w:eastAsiaTheme="minorEastAsia" w:cstheme="minorBidi"/>
          <w:bCs w:val="0"/>
          <w:smallCaps w:val="0"/>
          <w:kern w:val="2"/>
          <w:szCs w:val="22"/>
        </w:rPr>
        <w:tab/>
      </w:r>
      <w:r>
        <w:rPr>
          <w:rStyle w:val="77"/>
          <w:rFonts w:ascii="宋体" w:hAnsi="宋体" w:cs="Arial"/>
        </w:rPr>
        <w:t>调度自动化系统技术要求</w:t>
      </w:r>
      <w:r>
        <w:tab/>
      </w:r>
      <w:r>
        <w:fldChar w:fldCharType="begin"/>
      </w:r>
      <w:r>
        <w:instrText xml:space="preserve"> PAGEREF _Toc143589480 \h </w:instrText>
      </w:r>
      <w:r>
        <w:fldChar w:fldCharType="separate"/>
      </w:r>
      <w:r>
        <w:t>32</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"_Toc143589481" </w:instrText>
      </w:r>
      <w:r>
        <w:fldChar w:fldCharType="separate"/>
      </w:r>
      <w:r>
        <w:rPr>
          <w:rStyle w:val="77"/>
          <w:rFonts w:ascii="宋体" w:hAnsi="宋体" w:cs="Arial"/>
        </w:rPr>
        <w:t>2.3</w:t>
      </w:r>
      <w:r>
        <w:rPr>
          <w:rFonts w:asciiTheme="minorHAnsi" w:hAnsiTheme="minorHAnsi" w:eastAsiaTheme="minorEastAsia" w:cstheme="minorBidi"/>
          <w:bCs w:val="0"/>
          <w:smallCaps w:val="0"/>
          <w:kern w:val="2"/>
          <w:szCs w:val="22"/>
        </w:rPr>
        <w:tab/>
      </w:r>
      <w:r>
        <w:rPr>
          <w:rStyle w:val="77"/>
          <w:rFonts w:ascii="宋体" w:hAnsi="宋体" w:cs="Arial"/>
        </w:rPr>
        <w:t>调度数据专网建设</w:t>
      </w:r>
      <w:r>
        <w:tab/>
      </w:r>
      <w:r>
        <w:fldChar w:fldCharType="begin"/>
      </w:r>
      <w:r>
        <w:instrText xml:space="preserve"> PAGEREF _Toc143589481 \h </w:instrText>
      </w:r>
      <w:r>
        <w:fldChar w:fldCharType="separate"/>
      </w:r>
      <w:r>
        <w:t>33</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"_Toc143589482" </w:instrText>
      </w:r>
      <w:r>
        <w:fldChar w:fldCharType="separate"/>
      </w:r>
      <w:r>
        <w:rPr>
          <w:rStyle w:val="77"/>
          <w:rFonts w:ascii="宋体" w:hAnsi="宋体" w:cs="Arial"/>
        </w:rPr>
        <w:t>2.4</w:t>
      </w:r>
      <w:r>
        <w:rPr>
          <w:rFonts w:asciiTheme="minorHAnsi" w:hAnsiTheme="minorHAnsi" w:eastAsiaTheme="minorEastAsia" w:cstheme="minorBidi"/>
          <w:bCs w:val="0"/>
          <w:smallCaps w:val="0"/>
          <w:kern w:val="2"/>
          <w:szCs w:val="22"/>
        </w:rPr>
        <w:tab/>
      </w:r>
      <w:r>
        <w:rPr>
          <w:rStyle w:val="77"/>
          <w:rFonts w:ascii="宋体" w:hAnsi="宋体" w:cs="Arial"/>
        </w:rPr>
        <w:t>集控数据网建设</w:t>
      </w:r>
      <w:r>
        <w:tab/>
      </w:r>
      <w:r>
        <w:fldChar w:fldCharType="begin"/>
      </w:r>
      <w:r>
        <w:instrText xml:space="preserve"> PAGEREF _Toc143589482 \h </w:instrText>
      </w:r>
      <w:r>
        <w:fldChar w:fldCharType="separate"/>
      </w:r>
      <w:r>
        <w:t>39</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"_Toc143589483" </w:instrText>
      </w:r>
      <w:r>
        <w:fldChar w:fldCharType="separate"/>
      </w:r>
      <w:r>
        <w:rPr>
          <w:rStyle w:val="77"/>
          <w:rFonts w:ascii="宋体" w:hAnsi="宋体" w:cs="Arial"/>
        </w:rPr>
        <w:t>2.5</w:t>
      </w:r>
      <w:r>
        <w:rPr>
          <w:rFonts w:asciiTheme="minorHAnsi" w:hAnsiTheme="minorHAnsi" w:eastAsiaTheme="minorEastAsia" w:cstheme="minorBidi"/>
          <w:bCs w:val="0"/>
          <w:smallCaps w:val="0"/>
          <w:kern w:val="2"/>
          <w:szCs w:val="22"/>
        </w:rPr>
        <w:tab/>
      </w:r>
      <w:r>
        <w:rPr>
          <w:rStyle w:val="77"/>
          <w:rFonts w:ascii="宋体" w:hAnsi="宋体" w:cs="Arial"/>
        </w:rPr>
        <w:t>电能量采集系统技术要求</w:t>
      </w:r>
      <w:r>
        <w:tab/>
      </w:r>
      <w:r>
        <w:fldChar w:fldCharType="begin"/>
      </w:r>
      <w:r>
        <w:instrText xml:space="preserve"> PAGEREF _Toc143589483 \h </w:instrText>
      </w:r>
      <w:r>
        <w:fldChar w:fldCharType="separate"/>
      </w:r>
      <w:r>
        <w:t>39</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"_Toc143589484" </w:instrText>
      </w:r>
      <w:r>
        <w:fldChar w:fldCharType="separate"/>
      </w:r>
      <w:r>
        <w:rPr>
          <w:rStyle w:val="77"/>
          <w:rFonts w:ascii="宋体" w:hAnsi="宋体" w:cs="Arial"/>
        </w:rPr>
        <w:t>2.6</w:t>
      </w:r>
      <w:r>
        <w:rPr>
          <w:rFonts w:asciiTheme="minorHAnsi" w:hAnsiTheme="minorHAnsi" w:eastAsiaTheme="minorEastAsia" w:cstheme="minorBidi"/>
          <w:bCs w:val="0"/>
          <w:smallCaps w:val="0"/>
          <w:kern w:val="2"/>
          <w:szCs w:val="22"/>
        </w:rPr>
        <w:tab/>
      </w:r>
      <w:r>
        <w:rPr>
          <w:rStyle w:val="77"/>
          <w:rFonts w:ascii="宋体" w:hAnsi="宋体" w:cs="Arial"/>
        </w:rPr>
        <w:t>同步相量测量装置（PMU）</w:t>
      </w:r>
      <w:r>
        <w:tab/>
      </w:r>
      <w:r>
        <w:fldChar w:fldCharType="begin"/>
      </w:r>
      <w:r>
        <w:instrText xml:space="preserve"> PAGEREF _Toc143589484 \h </w:instrText>
      </w:r>
      <w:r>
        <w:fldChar w:fldCharType="separate"/>
      </w:r>
      <w:r>
        <w:t>46</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"_Toc143589485" </w:instrText>
      </w:r>
      <w:r>
        <w:fldChar w:fldCharType="separate"/>
      </w:r>
      <w:r>
        <w:rPr>
          <w:rStyle w:val="77"/>
          <w:rFonts w:ascii="宋体" w:hAnsi="宋体" w:cs="Arial"/>
        </w:rPr>
        <w:t>2.7</w:t>
      </w:r>
      <w:r>
        <w:rPr>
          <w:rFonts w:asciiTheme="minorHAnsi" w:hAnsiTheme="minorHAnsi" w:eastAsiaTheme="minorEastAsia" w:cstheme="minorBidi"/>
          <w:bCs w:val="0"/>
          <w:smallCaps w:val="0"/>
          <w:kern w:val="2"/>
          <w:szCs w:val="22"/>
        </w:rPr>
        <w:tab/>
      </w:r>
      <w:r>
        <w:rPr>
          <w:rStyle w:val="77"/>
          <w:rFonts w:ascii="宋体" w:hAnsi="宋体" w:cs="Arial"/>
        </w:rPr>
        <w:t>继电保护和故障录波子站</w:t>
      </w:r>
      <w:r>
        <w:tab/>
      </w:r>
      <w:r>
        <w:fldChar w:fldCharType="begin"/>
      </w:r>
      <w:r>
        <w:instrText xml:space="preserve"> PAGEREF _Toc143589485 \h </w:instrText>
      </w:r>
      <w:r>
        <w:fldChar w:fldCharType="separate"/>
      </w:r>
      <w:r>
        <w:t>53</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"_Toc143589486" </w:instrText>
      </w:r>
      <w:r>
        <w:fldChar w:fldCharType="separate"/>
      </w:r>
      <w:r>
        <w:rPr>
          <w:rStyle w:val="77"/>
          <w:rFonts w:ascii="宋体" w:hAnsi="宋体" w:cs="Arial"/>
        </w:rPr>
        <w:t>2.8</w:t>
      </w:r>
      <w:r>
        <w:rPr>
          <w:rFonts w:asciiTheme="minorHAnsi" w:hAnsiTheme="minorHAnsi" w:eastAsiaTheme="minorEastAsia" w:cstheme="minorBidi"/>
          <w:bCs w:val="0"/>
          <w:smallCaps w:val="0"/>
          <w:kern w:val="2"/>
          <w:szCs w:val="22"/>
        </w:rPr>
        <w:tab/>
      </w:r>
      <w:r>
        <w:rPr>
          <w:rStyle w:val="77"/>
          <w:rFonts w:ascii="宋体" w:hAnsi="宋体" w:cs="Arial"/>
        </w:rPr>
        <w:t>故障解列装置</w:t>
      </w:r>
      <w:r>
        <w:tab/>
      </w:r>
      <w:r>
        <w:fldChar w:fldCharType="begin"/>
      </w:r>
      <w:r>
        <w:instrText xml:space="preserve"> PAGEREF _Toc143589486 \h </w:instrText>
      </w:r>
      <w:r>
        <w:fldChar w:fldCharType="separate"/>
      </w:r>
      <w:r>
        <w:t>58</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"_Toc143589487" </w:instrText>
      </w:r>
      <w:r>
        <w:fldChar w:fldCharType="separate"/>
      </w:r>
      <w:r>
        <w:rPr>
          <w:rStyle w:val="77"/>
          <w:rFonts w:ascii="宋体" w:hAnsi="宋体" w:cs="Arial"/>
        </w:rPr>
        <w:t>2.9</w:t>
      </w:r>
      <w:r>
        <w:rPr>
          <w:rFonts w:asciiTheme="minorHAnsi" w:hAnsiTheme="minorHAnsi" w:eastAsiaTheme="minorEastAsia" w:cstheme="minorBidi"/>
          <w:bCs w:val="0"/>
          <w:smallCaps w:val="0"/>
          <w:kern w:val="2"/>
          <w:szCs w:val="22"/>
        </w:rPr>
        <w:tab/>
      </w:r>
      <w:r>
        <w:rPr>
          <w:rStyle w:val="77"/>
          <w:rFonts w:ascii="宋体" w:hAnsi="宋体" w:cs="Arial"/>
        </w:rPr>
        <w:t>110kV线路保护装置</w:t>
      </w:r>
      <w:r>
        <w:tab/>
      </w:r>
      <w:r>
        <w:fldChar w:fldCharType="begin"/>
      </w:r>
      <w:r>
        <w:instrText xml:space="preserve"> PAGEREF _Toc143589487 \h </w:instrText>
      </w:r>
      <w:r>
        <w:fldChar w:fldCharType="separate"/>
      </w:r>
      <w:r>
        <w:t>59</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"_Toc143589488" </w:instrText>
      </w:r>
      <w:r>
        <w:fldChar w:fldCharType="separate"/>
      </w:r>
      <w:r>
        <w:rPr>
          <w:rStyle w:val="77"/>
          <w:rFonts w:ascii="宋体" w:hAnsi="宋体" w:cs="Arial"/>
        </w:rPr>
        <w:t>2.10</w:t>
      </w:r>
      <w:r>
        <w:rPr>
          <w:rFonts w:asciiTheme="minorHAnsi" w:hAnsiTheme="minorHAnsi" w:eastAsiaTheme="minorEastAsia" w:cstheme="minorBidi"/>
          <w:bCs w:val="0"/>
          <w:smallCaps w:val="0"/>
          <w:kern w:val="2"/>
          <w:szCs w:val="22"/>
        </w:rPr>
        <w:tab/>
      </w:r>
      <w:r>
        <w:rPr>
          <w:rStyle w:val="77"/>
          <w:rFonts w:ascii="宋体" w:hAnsi="宋体" w:cs="Arial"/>
        </w:rPr>
        <w:t>UPS电源</w:t>
      </w:r>
      <w:r>
        <w:tab/>
      </w:r>
      <w:r>
        <w:fldChar w:fldCharType="begin"/>
      </w:r>
      <w:r>
        <w:instrText xml:space="preserve"> PAGEREF _Toc143589488 \h </w:instrText>
      </w:r>
      <w:r>
        <w:fldChar w:fldCharType="separate"/>
      </w:r>
      <w:r>
        <w:t>59</w:t>
      </w:r>
      <w:r>
        <w:fldChar w:fldCharType="end"/>
      </w:r>
      <w:r>
        <w:fldChar w:fldCharType="end"/>
      </w:r>
    </w:p>
    <w:p>
      <w:pPr>
        <w:pStyle w:val="49"/>
        <w:rPr>
          <w:rFonts w:asciiTheme="minorHAnsi" w:hAnsiTheme="minorHAnsi" w:eastAsiaTheme="minorEastAsia" w:cstheme="minorBidi"/>
          <w:caps w:val="0"/>
          <w:kern w:val="2"/>
          <w:szCs w:val="22"/>
        </w:rPr>
      </w:pPr>
      <w:r>
        <w:fldChar w:fldCharType="begin"/>
      </w:r>
      <w:r>
        <w:instrText xml:space="preserve"> HYPERLINK \l "_Toc143589489" </w:instrText>
      </w:r>
      <w:r>
        <w:fldChar w:fldCharType="separate"/>
      </w:r>
      <w:r>
        <w:rPr>
          <w:rStyle w:val="77"/>
          <w:rFonts w:ascii="宋体" w:hAnsi="宋体"/>
        </w:rPr>
        <w:t>第3章</w:t>
      </w:r>
      <w:r>
        <w:rPr>
          <w:rFonts w:asciiTheme="minorHAnsi" w:hAnsiTheme="minorHAnsi" w:eastAsiaTheme="minorEastAsia" w:cstheme="minorBidi"/>
          <w:caps w:val="0"/>
          <w:kern w:val="2"/>
          <w:szCs w:val="22"/>
        </w:rPr>
        <w:tab/>
      </w:r>
      <w:r>
        <w:rPr>
          <w:rStyle w:val="77"/>
          <w:rFonts w:ascii="宋体" w:hAnsi="宋体"/>
        </w:rPr>
        <w:t>招标图纸</w:t>
      </w:r>
      <w:r>
        <w:tab/>
      </w:r>
      <w:r>
        <w:fldChar w:fldCharType="begin"/>
      </w:r>
      <w:r>
        <w:instrText xml:space="preserve"> PAGEREF _Toc143589489 \h </w:instrText>
      </w:r>
      <w:r>
        <w:fldChar w:fldCharType="separate"/>
      </w:r>
      <w:r>
        <w:t>62</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"_Toc143589490" </w:instrText>
      </w:r>
      <w:r>
        <w:fldChar w:fldCharType="separate"/>
      </w:r>
      <w:r>
        <w:rPr>
          <w:rStyle w:val="77"/>
          <w:rFonts w:ascii="宋体" w:hAnsi="宋体"/>
        </w:rPr>
        <w:t>3.1</w:t>
      </w:r>
      <w:r>
        <w:rPr>
          <w:rFonts w:asciiTheme="minorHAnsi" w:hAnsiTheme="minorHAnsi" w:eastAsiaTheme="minorEastAsia" w:cstheme="minorBidi"/>
          <w:bCs w:val="0"/>
          <w:smallCaps w:val="0"/>
          <w:kern w:val="2"/>
          <w:szCs w:val="22"/>
        </w:rPr>
        <w:tab/>
      </w:r>
      <w:r>
        <w:rPr>
          <w:rStyle w:val="77"/>
          <w:rFonts w:ascii="宋体" w:hAnsi="宋体"/>
        </w:rPr>
        <w:t>概述</w:t>
      </w:r>
      <w:r>
        <w:tab/>
      </w:r>
      <w:r>
        <w:fldChar w:fldCharType="begin"/>
      </w:r>
      <w:r>
        <w:instrText xml:space="preserve"> PAGEREF _Toc143589490 \h </w:instrText>
      </w:r>
      <w:r>
        <w:fldChar w:fldCharType="separate"/>
      </w:r>
      <w:r>
        <w:t>62</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"_Toc143589491" </w:instrText>
      </w:r>
      <w:r>
        <w:fldChar w:fldCharType="separate"/>
      </w:r>
      <w:r>
        <w:rPr>
          <w:rStyle w:val="77"/>
          <w:rFonts w:ascii="宋体" w:hAnsi="宋体"/>
        </w:rPr>
        <w:t>3.2</w:t>
      </w:r>
      <w:r>
        <w:rPr>
          <w:rFonts w:asciiTheme="minorHAnsi" w:hAnsiTheme="minorHAnsi" w:eastAsiaTheme="minorEastAsia" w:cstheme="minorBidi"/>
          <w:bCs w:val="0"/>
          <w:smallCaps w:val="0"/>
          <w:kern w:val="2"/>
          <w:szCs w:val="22"/>
        </w:rPr>
        <w:tab/>
      </w:r>
      <w:r>
        <w:rPr>
          <w:rStyle w:val="77"/>
          <w:rFonts w:ascii="宋体" w:hAnsi="宋体"/>
        </w:rPr>
        <w:t>招标人图纸目录</w:t>
      </w:r>
      <w:r>
        <w:tab/>
      </w:r>
      <w:r>
        <w:fldChar w:fldCharType="begin"/>
      </w:r>
      <w:r>
        <w:instrText xml:space="preserve"> PAGEREF _Toc143589491 \h </w:instrText>
      </w:r>
      <w:r>
        <w:fldChar w:fldCharType="separate"/>
      </w:r>
      <w:r>
        <w:t>62</w:t>
      </w:r>
      <w:r>
        <w:fldChar w:fldCharType="end"/>
      </w:r>
      <w:r>
        <w:fldChar w:fldCharType="end"/>
      </w:r>
    </w:p>
    <w:p>
      <w:pPr>
        <w:pStyle w:val="61"/>
        <w:rPr>
          <w:rFonts w:asciiTheme="minorHAnsi" w:hAnsiTheme="minorHAnsi" w:eastAsiaTheme="minorEastAsia" w:cstheme="minorBidi"/>
          <w:bCs w:val="0"/>
          <w:smallCaps w:val="0"/>
          <w:kern w:val="2"/>
          <w:szCs w:val="22"/>
        </w:rPr>
      </w:pPr>
      <w:r>
        <w:fldChar w:fldCharType="begin"/>
      </w:r>
      <w:r>
        <w:instrText xml:space="preserve"> HYPERLINK \l "_Toc143589492" </w:instrText>
      </w:r>
      <w:r>
        <w:fldChar w:fldCharType="separate"/>
      </w:r>
      <w:r>
        <w:rPr>
          <w:rStyle w:val="77"/>
          <w:rFonts w:ascii="宋体" w:hAnsi="宋体"/>
        </w:rPr>
        <w:t>商务部分内容</w:t>
      </w:r>
      <w:r>
        <w:tab/>
      </w:r>
      <w:r>
        <w:fldChar w:fldCharType="begin"/>
      </w:r>
      <w:r>
        <w:instrText xml:space="preserve"> PAGEREF _Toc143589492 \h </w:instrText>
      </w:r>
      <w:r>
        <w:fldChar w:fldCharType="separate"/>
      </w:r>
      <w:r>
        <w:t>62</w:t>
      </w:r>
      <w:r>
        <w:fldChar w:fldCharType="end"/>
      </w:r>
      <w:r>
        <w:fldChar w:fldCharType="end"/>
      </w:r>
    </w:p>
    <w:p>
      <w:pPr>
        <w:pStyle w:val="49"/>
        <w:spacing w:line="288" w:lineRule="auto"/>
        <w:ind w:left="0" w:firstLine="0"/>
        <w:rPr>
          <w:rFonts w:ascii="宋体" w:hAnsi="宋体"/>
        </w:rPr>
      </w:pPr>
      <w:r>
        <w:rPr>
          <w:rFonts w:ascii="宋体" w:hAnsi="宋体"/>
        </w:rPr>
        <w:fldChar w:fldCharType="end"/>
      </w:r>
      <w:bookmarkEnd w:id="4"/>
      <w:bookmarkStart w:id="10" w:name="_Toc320434404"/>
      <w:bookmarkStart w:id="11" w:name="_Toc280627557"/>
      <w:bookmarkStart w:id="12" w:name="_Toc280782220"/>
    </w:p>
    <w:p>
      <w:pPr>
        <w:rPr>
          <w:rFonts w:ascii="宋体" w:hAnsi="宋体"/>
        </w:rPr>
        <w:sectPr>
          <w:headerReference r:id="rId3" w:type="default"/>
          <w:pgSz w:w="11906" w:h="16838"/>
          <w:pgMar w:top="1440" w:right="926" w:bottom="1440" w:left="1800" w:header="851" w:footer="992" w:gutter="0"/>
          <w:cols w:space="720" w:num="1"/>
          <w:titlePg/>
          <w:docGrid w:type="lines" w:linePitch="312" w:charSpace="0"/>
        </w:sectPr>
      </w:pPr>
      <w:r>
        <w:rPr>
          <w:rFonts w:ascii="宋体" w:hAnsi="宋体"/>
        </w:rPr>
        <w:br w:type="page"/>
      </w:r>
    </w:p>
    <w:p>
      <w:pPr>
        <w:rPr>
          <w:rFonts w:ascii="宋体" w:hAnsi="宋体" w:cs="Arial"/>
          <w:kern w:val="0"/>
          <w:szCs w:val="21"/>
        </w:rPr>
      </w:pPr>
    </w:p>
    <w:bookmarkEnd w:id="0"/>
    <w:bookmarkEnd w:id="2"/>
    <w:bookmarkEnd w:id="3"/>
    <w:bookmarkEnd w:id="5"/>
    <w:bookmarkEnd w:id="6"/>
    <w:bookmarkEnd w:id="7"/>
    <w:bookmarkEnd w:id="8"/>
    <w:bookmarkEnd w:id="9"/>
    <w:bookmarkEnd w:id="10"/>
    <w:bookmarkEnd w:id="11"/>
    <w:bookmarkEnd w:id="12"/>
    <w:p>
      <w:pPr>
        <w:snapToGrid w:val="0"/>
        <w:spacing w:line="360" w:lineRule="auto"/>
        <w:rPr>
          <w:rFonts w:ascii="宋体" w:hAnsi="宋体"/>
          <w:sz w:val="24"/>
        </w:rPr>
      </w:pPr>
    </w:p>
    <w:p>
      <w:pPr>
        <w:pStyle w:val="5"/>
        <w:widowControl w:val="0"/>
        <w:numPr>
          <w:ilvl w:val="0"/>
          <w:numId w:val="15"/>
        </w:numPr>
        <w:snapToGrid/>
        <w:spacing w:before="93" w:beforeLines="30" w:after="93" w:afterLines="30" w:line="300" w:lineRule="auto"/>
        <w:jc w:val="center"/>
        <w:rPr>
          <w:rFonts w:ascii="宋体" w:hAnsi="宋体" w:eastAsia="宋体"/>
          <w:sz w:val="28"/>
          <w:szCs w:val="28"/>
        </w:rPr>
      </w:pPr>
      <w:bookmarkStart w:id="13" w:name="_Toc143589461"/>
      <w:bookmarkStart w:id="14" w:name="_Toc1380449"/>
      <w:r>
        <w:rPr>
          <w:rFonts w:hint="eastAsia" w:ascii="宋体" w:hAnsi="宋体" w:eastAsia="宋体"/>
          <w:sz w:val="28"/>
          <w:szCs w:val="28"/>
        </w:rPr>
        <w:t>一般技术条款</w:t>
      </w:r>
      <w:bookmarkEnd w:id="13"/>
    </w:p>
    <w:p>
      <w:pPr>
        <w:pStyle w:val="6"/>
        <w:widowControl w:val="0"/>
        <w:numPr>
          <w:ilvl w:val="1"/>
          <w:numId w:val="16"/>
        </w:numPr>
        <w:tabs>
          <w:tab w:val="left" w:pos="709"/>
          <w:tab w:val="clear" w:pos="964"/>
        </w:tabs>
        <w:snapToGrid/>
        <w:spacing w:before="93" w:beforeLines="30" w:after="93" w:afterLines="30" w:line="300" w:lineRule="auto"/>
        <w:jc w:val="both"/>
        <w:rPr>
          <w:rFonts w:ascii="宋体" w:hAnsi="宋体"/>
          <w:sz w:val="24"/>
          <w:szCs w:val="24"/>
        </w:rPr>
      </w:pPr>
      <w:bookmarkStart w:id="15" w:name="_Toc143589462"/>
      <w:bookmarkStart w:id="16" w:name="_Toc457019805"/>
      <w:bookmarkStart w:id="17" w:name="_Toc72415690"/>
      <w:r>
        <w:rPr>
          <w:rFonts w:hint="eastAsia" w:ascii="宋体" w:hAnsi="宋体"/>
          <w:sz w:val="24"/>
          <w:szCs w:val="24"/>
        </w:rPr>
        <w:t>一般要求</w:t>
      </w:r>
      <w:bookmarkEnd w:id="15"/>
      <w:bookmarkEnd w:id="16"/>
      <w:bookmarkEnd w:id="17"/>
    </w:p>
    <w:p>
      <w:pPr>
        <w:pStyle w:val="7"/>
        <w:widowControl w:val="0"/>
        <w:numPr>
          <w:ilvl w:val="2"/>
          <w:numId w:val="16"/>
        </w:numPr>
        <w:overflowPunct w:val="0"/>
        <w:snapToGrid/>
        <w:spacing w:before="93" w:beforeLines="30" w:after="93" w:afterLines="30" w:line="300" w:lineRule="auto"/>
        <w:jc w:val="both"/>
        <w:rPr>
          <w:rFonts w:ascii="宋体" w:hAnsi="宋体"/>
          <w:bCs/>
          <w:color w:val="000000"/>
          <w:sz w:val="21"/>
          <w:szCs w:val="21"/>
        </w:rPr>
      </w:pPr>
      <w:r>
        <w:rPr>
          <w:rFonts w:hint="eastAsia" w:ascii="宋体" w:hAnsi="宋体"/>
          <w:bCs/>
          <w:color w:val="000000"/>
          <w:sz w:val="21"/>
          <w:szCs w:val="21"/>
        </w:rPr>
        <w:t>本技术条款正文提出了对接入系统设备的技术参数、性能、试验等方面的技术要求。有关合同的包装、标志、运输和保管的要求见《商务部分》相关规定。</w:t>
      </w:r>
    </w:p>
    <w:p>
      <w:pPr>
        <w:pStyle w:val="7"/>
        <w:widowControl w:val="0"/>
        <w:numPr>
          <w:ilvl w:val="2"/>
          <w:numId w:val="16"/>
        </w:numPr>
        <w:overflowPunct w:val="0"/>
        <w:snapToGrid/>
        <w:spacing w:before="93" w:beforeLines="30" w:after="93" w:afterLines="30" w:line="300" w:lineRule="auto"/>
        <w:jc w:val="both"/>
        <w:rPr>
          <w:rFonts w:ascii="宋体" w:hAnsi="宋体"/>
          <w:bCs/>
          <w:color w:val="000000"/>
          <w:sz w:val="21"/>
          <w:szCs w:val="21"/>
        </w:rPr>
      </w:pPr>
      <w:r>
        <w:rPr>
          <w:rFonts w:hint="eastAsia" w:ascii="宋体" w:hAnsi="宋体"/>
          <w:bCs/>
          <w:color w:val="000000"/>
          <w:sz w:val="21"/>
          <w:szCs w:val="21"/>
        </w:rPr>
        <w:t>本技术条款提出的是最低限度的技术要求，并未对一切技术细节作出规定，也未充分引述有关标准和规范的条文，卖方应提供符合GB和IEC最新版本标准及本规范书的优质产品。</w:t>
      </w:r>
    </w:p>
    <w:p>
      <w:pPr>
        <w:pStyle w:val="7"/>
        <w:widowControl w:val="0"/>
        <w:numPr>
          <w:ilvl w:val="2"/>
          <w:numId w:val="16"/>
        </w:numPr>
        <w:overflowPunct w:val="0"/>
        <w:snapToGrid/>
        <w:spacing w:before="93" w:beforeLines="30" w:after="93" w:afterLines="30" w:line="300" w:lineRule="auto"/>
        <w:jc w:val="both"/>
        <w:rPr>
          <w:rFonts w:ascii="宋体" w:hAnsi="宋体"/>
          <w:bCs/>
          <w:color w:val="000000"/>
          <w:sz w:val="21"/>
          <w:szCs w:val="21"/>
        </w:rPr>
      </w:pPr>
      <w:r>
        <w:rPr>
          <w:rFonts w:hint="eastAsia" w:ascii="宋体" w:hAnsi="宋体"/>
          <w:bCs/>
          <w:color w:val="000000"/>
          <w:sz w:val="21"/>
          <w:szCs w:val="21"/>
        </w:rPr>
        <w:t>本技术条款所使用的标准如与卖方所执行的标准不一致时，按较高标准执行。</w:t>
      </w:r>
    </w:p>
    <w:p>
      <w:pPr>
        <w:pStyle w:val="7"/>
        <w:widowControl w:val="0"/>
        <w:numPr>
          <w:ilvl w:val="2"/>
          <w:numId w:val="16"/>
        </w:numPr>
        <w:overflowPunct w:val="0"/>
        <w:snapToGrid/>
        <w:spacing w:before="93" w:beforeLines="30" w:after="93" w:afterLines="30" w:line="300" w:lineRule="auto"/>
        <w:jc w:val="both"/>
        <w:rPr>
          <w:rFonts w:ascii="宋体" w:hAnsi="宋体"/>
          <w:bCs/>
          <w:color w:val="000000"/>
          <w:sz w:val="21"/>
          <w:szCs w:val="21"/>
        </w:rPr>
      </w:pPr>
      <w:r>
        <w:rPr>
          <w:rFonts w:hint="eastAsia" w:ascii="宋体" w:hAnsi="宋体"/>
          <w:bCs/>
          <w:color w:val="000000"/>
          <w:sz w:val="21"/>
          <w:szCs w:val="21"/>
        </w:rPr>
        <w:t>本技术条款经买卖双方确认后，作为合同的不可分割的一部分。</w:t>
      </w:r>
    </w:p>
    <w:p>
      <w:pPr>
        <w:pStyle w:val="7"/>
        <w:widowControl w:val="0"/>
        <w:numPr>
          <w:ilvl w:val="2"/>
          <w:numId w:val="16"/>
        </w:numPr>
        <w:overflowPunct w:val="0"/>
        <w:snapToGrid/>
        <w:spacing w:before="93" w:beforeLines="30" w:after="93" w:afterLines="30" w:line="300" w:lineRule="auto"/>
        <w:jc w:val="both"/>
        <w:rPr>
          <w:rFonts w:ascii="宋体" w:hAnsi="宋体"/>
          <w:bCs/>
          <w:color w:val="000000"/>
          <w:sz w:val="21"/>
          <w:szCs w:val="21"/>
        </w:rPr>
      </w:pPr>
      <w:r>
        <w:rPr>
          <w:rFonts w:hint="eastAsia" w:ascii="宋体" w:hAnsi="宋体"/>
          <w:bCs/>
          <w:color w:val="000000"/>
          <w:sz w:val="21"/>
          <w:szCs w:val="21"/>
        </w:rPr>
        <w:t>本技术条款中涉及有关商务方面的内容，如与合同文件的第一卷《商务部分》有矛盾时，以《商务部分》为准。</w:t>
      </w:r>
    </w:p>
    <w:p>
      <w:pPr>
        <w:pStyle w:val="6"/>
        <w:widowControl w:val="0"/>
        <w:numPr>
          <w:ilvl w:val="1"/>
          <w:numId w:val="16"/>
        </w:numPr>
        <w:tabs>
          <w:tab w:val="left" w:pos="709"/>
          <w:tab w:val="clear" w:pos="964"/>
        </w:tabs>
        <w:snapToGrid/>
        <w:spacing w:before="93" w:beforeLines="30" w:after="93" w:afterLines="30" w:line="300" w:lineRule="auto"/>
        <w:jc w:val="both"/>
        <w:rPr>
          <w:rFonts w:ascii="宋体" w:hAnsi="宋体"/>
          <w:sz w:val="24"/>
          <w:szCs w:val="24"/>
        </w:rPr>
      </w:pPr>
      <w:bookmarkStart w:id="18" w:name="_Toc143406356"/>
      <w:bookmarkEnd w:id="18"/>
      <w:bookmarkStart w:id="19" w:name="_Toc73415961"/>
      <w:bookmarkEnd w:id="19"/>
      <w:bookmarkStart w:id="20" w:name="_Toc70996971"/>
      <w:bookmarkEnd w:id="20"/>
      <w:bookmarkStart w:id="21" w:name="_Toc70996665"/>
      <w:bookmarkEnd w:id="21"/>
      <w:bookmarkStart w:id="22" w:name="_Toc73416759"/>
      <w:bookmarkEnd w:id="22"/>
      <w:bookmarkStart w:id="23" w:name="_Toc75871206"/>
      <w:bookmarkEnd w:id="23"/>
      <w:bookmarkStart w:id="24" w:name="_Toc73416606"/>
      <w:bookmarkEnd w:id="24"/>
      <w:bookmarkStart w:id="25" w:name="_Toc413679728"/>
      <w:bookmarkStart w:id="26" w:name="_Toc72415691"/>
      <w:bookmarkStart w:id="27" w:name="_Toc143589463"/>
      <w:r>
        <w:rPr>
          <w:rFonts w:hint="eastAsia" w:ascii="宋体" w:hAnsi="宋体"/>
          <w:sz w:val="24"/>
          <w:szCs w:val="24"/>
        </w:rPr>
        <w:t>合同</w:t>
      </w:r>
      <w:bookmarkEnd w:id="25"/>
      <w:r>
        <w:rPr>
          <w:rFonts w:hint="eastAsia" w:ascii="宋体" w:hAnsi="宋体"/>
          <w:sz w:val="24"/>
          <w:szCs w:val="24"/>
        </w:rPr>
        <w:t>范围</w:t>
      </w:r>
      <w:bookmarkEnd w:id="26"/>
      <w:bookmarkEnd w:id="27"/>
    </w:p>
    <w:p>
      <w:pPr>
        <w:pStyle w:val="7"/>
        <w:widowControl w:val="0"/>
        <w:overflowPunct w:val="0"/>
        <w:spacing w:line="360" w:lineRule="auto"/>
        <w:jc w:val="both"/>
        <w:rPr>
          <w:rFonts w:ascii="宋体" w:hAnsi="宋体"/>
          <w:b/>
          <w:bCs/>
          <w:sz w:val="21"/>
          <w:szCs w:val="21"/>
        </w:rPr>
      </w:pPr>
      <w:bookmarkStart w:id="28" w:name="_Toc12378785"/>
      <w:bookmarkEnd w:id="28"/>
      <w:bookmarkStart w:id="29" w:name="_Toc57986274"/>
      <w:bookmarkEnd w:id="29"/>
      <w:bookmarkStart w:id="30" w:name="_Toc31720421"/>
      <w:bookmarkEnd w:id="30"/>
      <w:bookmarkStart w:id="31" w:name="_Toc204766998"/>
      <w:r>
        <w:rPr>
          <w:rFonts w:hint="eastAsia" w:ascii="宋体" w:hAnsi="宋体"/>
          <w:b/>
          <w:bCs/>
          <w:sz w:val="21"/>
          <w:szCs w:val="21"/>
        </w:rPr>
        <w:t>1.2.1工作范围</w:t>
      </w:r>
      <w:bookmarkEnd w:id="31"/>
    </w:p>
    <w:p>
      <w:pPr>
        <w:spacing w:line="360" w:lineRule="auto"/>
        <w:ind w:left="840" w:leftChars="400"/>
        <w:rPr>
          <w:rFonts w:ascii="宋体" w:hAnsi="宋体"/>
          <w:szCs w:val="21"/>
        </w:rPr>
      </w:pPr>
      <w:r>
        <w:rPr>
          <w:rFonts w:hint="eastAsia" w:ascii="宋体" w:hAnsi="宋体"/>
          <w:szCs w:val="21"/>
        </w:rPr>
        <w:t>卖方工作范围如下：</w:t>
      </w:r>
    </w:p>
    <w:p>
      <w:pPr>
        <w:numPr>
          <w:ilvl w:val="0"/>
          <w:numId w:val="17"/>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全面负责合同设备的设计、制造，</w:t>
      </w:r>
      <w:r>
        <w:rPr>
          <w:rStyle w:val="780"/>
          <w:rFonts w:ascii="宋体" w:hAnsi="宋体"/>
          <w:kern w:val="0"/>
          <w:szCs w:val="21"/>
        </w:rPr>
        <w:t>所需材料和部件的采购、成套、</w:t>
      </w:r>
      <w:r>
        <w:rPr>
          <w:rStyle w:val="780"/>
          <w:rFonts w:hint="eastAsia" w:ascii="宋体" w:hAnsi="宋体"/>
          <w:kern w:val="0"/>
          <w:szCs w:val="21"/>
        </w:rPr>
        <w:t>出厂前组装检查、型式试验、例行试验、包装、保管、运输及保险、交货、</w:t>
      </w:r>
      <w:r>
        <w:rPr>
          <w:rStyle w:val="780"/>
          <w:rFonts w:ascii="宋体" w:hAnsi="宋体"/>
          <w:kern w:val="0"/>
          <w:szCs w:val="21"/>
        </w:rPr>
        <w:t>现场开箱检验全面负责</w:t>
      </w:r>
      <w:r>
        <w:rPr>
          <w:rStyle w:val="780"/>
          <w:rFonts w:hint="eastAsia" w:ascii="宋体" w:hAnsi="宋体"/>
          <w:kern w:val="0"/>
          <w:szCs w:val="21"/>
        </w:rPr>
        <w:t>；</w:t>
      </w:r>
    </w:p>
    <w:p>
      <w:pPr>
        <w:numPr>
          <w:ilvl w:val="0"/>
          <w:numId w:val="17"/>
        </w:numPr>
        <w:adjustRightInd w:val="0"/>
        <w:spacing w:line="360" w:lineRule="auto"/>
        <w:textAlignment w:val="baseline"/>
        <w:rPr>
          <w:rFonts w:ascii="宋体" w:hAnsi="宋体" w:cs="Calibri"/>
          <w:kern w:val="0"/>
          <w:szCs w:val="21"/>
        </w:rPr>
      </w:pPr>
      <w:r>
        <w:rPr>
          <w:rStyle w:val="780"/>
          <w:rFonts w:ascii="宋体" w:hAnsi="宋体"/>
          <w:kern w:val="0"/>
          <w:szCs w:val="21"/>
        </w:rPr>
        <w:t>提供必要的安装、检查、维修设备；提交全套技术文件</w:t>
      </w:r>
      <w:r>
        <w:rPr>
          <w:rStyle w:val="780"/>
          <w:rFonts w:hint="eastAsia" w:ascii="宋体" w:hAnsi="宋体"/>
          <w:kern w:val="0"/>
          <w:szCs w:val="21"/>
        </w:rPr>
        <w:t>（包括图纸、资料、说明书、标准和规范）；三维设计模型；负责合同竣工档案资料的整理和归档；</w:t>
      </w:r>
      <w:r>
        <w:rPr>
          <w:rStyle w:val="780"/>
          <w:rFonts w:ascii="宋体" w:hAnsi="宋体"/>
          <w:kern w:val="0"/>
          <w:szCs w:val="21"/>
        </w:rPr>
        <w:t>对</w:t>
      </w:r>
      <w:r>
        <w:rPr>
          <w:rStyle w:val="780"/>
          <w:rFonts w:hint="eastAsia" w:ascii="宋体" w:hAnsi="宋体"/>
          <w:kern w:val="0"/>
          <w:szCs w:val="21"/>
        </w:rPr>
        <w:t>合同</w:t>
      </w:r>
      <w:r>
        <w:rPr>
          <w:rStyle w:val="780"/>
          <w:rFonts w:ascii="宋体" w:hAnsi="宋体"/>
          <w:kern w:val="0"/>
          <w:szCs w:val="21"/>
        </w:rPr>
        <w:t>设备的</w:t>
      </w:r>
      <w:r>
        <w:rPr>
          <w:rStyle w:val="780"/>
          <w:rFonts w:hint="eastAsia" w:ascii="宋体" w:hAnsi="宋体"/>
          <w:kern w:val="0"/>
          <w:szCs w:val="21"/>
        </w:rPr>
        <w:t>现场安装、系统调试、现场试验和交接验收等</w:t>
      </w:r>
      <w:r>
        <w:rPr>
          <w:rStyle w:val="780"/>
          <w:rFonts w:ascii="宋体" w:hAnsi="宋体"/>
          <w:kern w:val="0"/>
          <w:szCs w:val="21"/>
        </w:rPr>
        <w:t>提供技术指导和监督服务；</w:t>
      </w:r>
    </w:p>
    <w:p>
      <w:pPr>
        <w:numPr>
          <w:ilvl w:val="0"/>
          <w:numId w:val="17"/>
        </w:numPr>
        <w:adjustRightInd w:val="0"/>
        <w:spacing w:line="360" w:lineRule="auto"/>
        <w:textAlignment w:val="baseline"/>
        <w:rPr>
          <w:rStyle w:val="780"/>
          <w:rFonts w:ascii="宋体" w:hAnsi="宋体"/>
          <w:b/>
          <w:bCs/>
          <w:kern w:val="0"/>
          <w:szCs w:val="21"/>
        </w:rPr>
      </w:pPr>
      <w:r>
        <w:rPr>
          <w:rStyle w:val="780"/>
          <w:rFonts w:hint="eastAsia" w:ascii="宋体" w:hAnsi="宋体"/>
          <w:b/>
          <w:bCs/>
          <w:kern w:val="0"/>
          <w:szCs w:val="21"/>
        </w:rPr>
        <w:t>全面负责</w:t>
      </w:r>
      <w:bookmarkStart w:id="32" w:name="_Hlk143591059"/>
      <w:r>
        <w:rPr>
          <w:rStyle w:val="780"/>
          <w:rFonts w:hint="eastAsia" w:ascii="宋体" w:hAnsi="宋体"/>
          <w:b/>
          <w:bCs/>
          <w:kern w:val="0"/>
          <w:szCs w:val="21"/>
        </w:rPr>
        <w:t>国家电网重庆分公司调度、自动化、二次安防等专业对本合同设备的专项验收及承办相应会务等技术服务工作</w:t>
      </w:r>
      <w:bookmarkEnd w:id="32"/>
      <w:r>
        <w:rPr>
          <w:rStyle w:val="780"/>
          <w:rFonts w:hint="eastAsia" w:ascii="宋体" w:hAnsi="宋体"/>
          <w:b/>
          <w:bCs/>
          <w:kern w:val="0"/>
          <w:szCs w:val="21"/>
        </w:rPr>
        <w:t>；</w:t>
      </w:r>
    </w:p>
    <w:p>
      <w:pPr>
        <w:numPr>
          <w:ilvl w:val="0"/>
          <w:numId w:val="17"/>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承担</w:t>
      </w:r>
      <w:r>
        <w:rPr>
          <w:rStyle w:val="780"/>
          <w:rFonts w:ascii="宋体" w:hAnsi="宋体"/>
          <w:kern w:val="0"/>
          <w:szCs w:val="21"/>
        </w:rPr>
        <w:t>合同设备与</w:t>
      </w:r>
      <w:r>
        <w:rPr>
          <w:rStyle w:val="780"/>
          <w:rFonts w:hint="eastAsia" w:ascii="宋体" w:hAnsi="宋体"/>
          <w:kern w:val="0"/>
          <w:szCs w:val="21"/>
        </w:rPr>
        <w:t>其它与之相连设备的配合、</w:t>
      </w:r>
      <w:r>
        <w:rPr>
          <w:rStyle w:val="780"/>
          <w:rFonts w:ascii="宋体" w:hAnsi="宋体"/>
          <w:kern w:val="0"/>
          <w:szCs w:val="21"/>
        </w:rPr>
        <w:t>协调</w:t>
      </w:r>
      <w:r>
        <w:rPr>
          <w:rStyle w:val="780"/>
          <w:rFonts w:hint="eastAsia" w:ascii="宋体" w:hAnsi="宋体"/>
          <w:kern w:val="0"/>
          <w:szCs w:val="21"/>
        </w:rPr>
        <w:t>等服务；参加这些设备</w:t>
      </w:r>
      <w:r>
        <w:rPr>
          <w:rStyle w:val="780"/>
          <w:rFonts w:ascii="宋体" w:hAnsi="宋体"/>
          <w:kern w:val="0"/>
          <w:szCs w:val="21"/>
        </w:rPr>
        <w:t>之间</w:t>
      </w:r>
      <w:r>
        <w:rPr>
          <w:rStyle w:val="780"/>
          <w:rFonts w:hint="eastAsia" w:ascii="宋体" w:hAnsi="宋体"/>
          <w:kern w:val="0"/>
          <w:szCs w:val="21"/>
        </w:rPr>
        <w:t>的调试配合</w:t>
      </w:r>
      <w:r>
        <w:rPr>
          <w:rStyle w:val="780"/>
          <w:rFonts w:ascii="宋体" w:hAnsi="宋体"/>
          <w:kern w:val="0"/>
          <w:szCs w:val="21"/>
        </w:rPr>
        <w:t>工作</w:t>
      </w:r>
      <w:r>
        <w:rPr>
          <w:rStyle w:val="780"/>
          <w:rFonts w:hint="eastAsia" w:ascii="宋体" w:hAnsi="宋体"/>
          <w:kern w:val="0"/>
          <w:szCs w:val="21"/>
        </w:rPr>
        <w:t>；参加需协调配合的其他卖方召开的设计联络会；承担与机电安装卖方、厂房土建施工卖方的配合工作；</w:t>
      </w:r>
    </w:p>
    <w:p>
      <w:pPr>
        <w:numPr>
          <w:ilvl w:val="0"/>
          <w:numId w:val="17"/>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提供设计联络会等服务；</w:t>
      </w:r>
    </w:p>
    <w:p>
      <w:pPr>
        <w:numPr>
          <w:ilvl w:val="0"/>
          <w:numId w:val="17"/>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在设备制造厂家的工厂内和在工地现场对买方人员进行合同设备性能、组装、现场安装、试验、运行和维护等方面的技术培训；</w:t>
      </w:r>
    </w:p>
    <w:p>
      <w:pPr>
        <w:numPr>
          <w:ilvl w:val="0"/>
          <w:numId w:val="17"/>
        </w:numPr>
        <w:adjustRightInd w:val="0"/>
        <w:spacing w:line="360" w:lineRule="auto"/>
        <w:textAlignment w:val="baseline"/>
        <w:rPr>
          <w:rStyle w:val="780"/>
          <w:rFonts w:ascii="宋体" w:hAnsi="宋体"/>
          <w:kern w:val="0"/>
          <w:szCs w:val="21"/>
        </w:rPr>
      </w:pPr>
      <w:r>
        <w:rPr>
          <w:rStyle w:val="780"/>
          <w:rFonts w:ascii="宋体" w:hAnsi="宋体"/>
          <w:kern w:val="0"/>
          <w:szCs w:val="21"/>
        </w:rPr>
        <w:t>负责合同设备与</w:t>
      </w:r>
      <w:r>
        <w:rPr>
          <w:rStyle w:val="780"/>
          <w:rFonts w:hint="eastAsia" w:ascii="宋体" w:hAnsi="宋体"/>
          <w:kern w:val="0"/>
          <w:szCs w:val="21"/>
        </w:rPr>
        <w:t>计算机监控、全厂继电保护、其他自动化系统卖方等</w:t>
      </w:r>
      <w:r>
        <w:rPr>
          <w:rStyle w:val="780"/>
          <w:rFonts w:ascii="宋体" w:hAnsi="宋体"/>
          <w:kern w:val="0"/>
          <w:szCs w:val="21"/>
        </w:rPr>
        <w:t>的</w:t>
      </w:r>
      <w:r>
        <w:rPr>
          <w:rStyle w:val="780"/>
          <w:rFonts w:hint="eastAsia" w:ascii="宋体" w:hAnsi="宋体"/>
          <w:kern w:val="0"/>
          <w:szCs w:val="21"/>
        </w:rPr>
        <w:t>配合、</w:t>
      </w:r>
      <w:r>
        <w:rPr>
          <w:rStyle w:val="780"/>
          <w:rFonts w:ascii="宋体" w:hAnsi="宋体"/>
          <w:kern w:val="0"/>
          <w:szCs w:val="21"/>
        </w:rPr>
        <w:t>协调</w:t>
      </w:r>
      <w:r>
        <w:rPr>
          <w:rStyle w:val="780"/>
          <w:rFonts w:hint="eastAsia" w:ascii="宋体" w:hAnsi="宋体"/>
          <w:kern w:val="0"/>
          <w:szCs w:val="21"/>
        </w:rPr>
        <w:t>等服务；参加这些设备</w:t>
      </w:r>
      <w:r>
        <w:rPr>
          <w:rStyle w:val="780"/>
          <w:rFonts w:ascii="宋体" w:hAnsi="宋体"/>
          <w:kern w:val="0"/>
          <w:szCs w:val="21"/>
        </w:rPr>
        <w:t>之间</w:t>
      </w:r>
      <w:r>
        <w:rPr>
          <w:rStyle w:val="780"/>
          <w:rFonts w:hint="eastAsia" w:ascii="宋体" w:hAnsi="宋体"/>
          <w:kern w:val="0"/>
          <w:szCs w:val="21"/>
        </w:rPr>
        <w:t>的调试配合</w:t>
      </w:r>
      <w:r>
        <w:rPr>
          <w:rStyle w:val="780"/>
          <w:rFonts w:ascii="宋体" w:hAnsi="宋体"/>
          <w:kern w:val="0"/>
          <w:szCs w:val="21"/>
        </w:rPr>
        <w:t>工作</w:t>
      </w:r>
      <w:r>
        <w:rPr>
          <w:rStyle w:val="780"/>
          <w:rFonts w:hint="eastAsia" w:ascii="宋体" w:hAnsi="宋体"/>
          <w:kern w:val="0"/>
          <w:szCs w:val="21"/>
        </w:rPr>
        <w:t>；参加需协调配合的其他卖方召开的设计联络会；</w:t>
      </w:r>
    </w:p>
    <w:p>
      <w:pPr>
        <w:numPr>
          <w:ilvl w:val="0"/>
          <w:numId w:val="17"/>
        </w:numPr>
        <w:adjustRightInd w:val="0"/>
        <w:spacing w:line="360" w:lineRule="auto"/>
        <w:textAlignment w:val="baseline"/>
        <w:rPr>
          <w:rStyle w:val="780"/>
          <w:rFonts w:ascii="宋体" w:hAnsi="宋体"/>
          <w:kern w:val="0"/>
          <w:szCs w:val="21"/>
        </w:rPr>
      </w:pPr>
      <w:r>
        <w:rPr>
          <w:rStyle w:val="780"/>
          <w:rFonts w:ascii="宋体" w:hAnsi="宋体"/>
          <w:kern w:val="0"/>
          <w:szCs w:val="21"/>
        </w:rPr>
        <w:t>对</w:t>
      </w:r>
      <w:r>
        <w:rPr>
          <w:rStyle w:val="780"/>
          <w:rFonts w:hint="eastAsia" w:ascii="宋体" w:hAnsi="宋体"/>
          <w:kern w:val="0"/>
          <w:szCs w:val="21"/>
        </w:rPr>
        <w:t>合同</w:t>
      </w:r>
      <w:r>
        <w:rPr>
          <w:rStyle w:val="780"/>
          <w:rFonts w:ascii="宋体" w:hAnsi="宋体"/>
          <w:kern w:val="0"/>
          <w:szCs w:val="21"/>
        </w:rPr>
        <w:t>设备</w:t>
      </w:r>
      <w:r>
        <w:rPr>
          <w:rStyle w:val="780"/>
          <w:rFonts w:hint="eastAsia" w:ascii="宋体" w:hAnsi="宋体"/>
          <w:kern w:val="0"/>
          <w:szCs w:val="21"/>
        </w:rPr>
        <w:t>的安装卖方的</w:t>
      </w:r>
      <w:r>
        <w:rPr>
          <w:rStyle w:val="780"/>
          <w:rFonts w:ascii="宋体" w:hAnsi="宋体"/>
          <w:kern w:val="0"/>
          <w:szCs w:val="21"/>
        </w:rPr>
        <w:t>现场安装、调试、试验、试运行</w:t>
      </w:r>
      <w:r>
        <w:rPr>
          <w:rStyle w:val="780"/>
          <w:rFonts w:hint="eastAsia" w:ascii="宋体" w:hAnsi="宋体"/>
          <w:kern w:val="0"/>
          <w:szCs w:val="21"/>
        </w:rPr>
        <w:t>、</w:t>
      </w:r>
      <w:r>
        <w:rPr>
          <w:rStyle w:val="780"/>
          <w:rFonts w:ascii="宋体" w:hAnsi="宋体"/>
          <w:kern w:val="0"/>
          <w:szCs w:val="21"/>
        </w:rPr>
        <w:t>提供技术指导</w:t>
      </w:r>
      <w:r>
        <w:rPr>
          <w:rStyle w:val="780"/>
          <w:rFonts w:hint="eastAsia" w:ascii="宋体" w:hAnsi="宋体"/>
          <w:kern w:val="0"/>
          <w:szCs w:val="21"/>
        </w:rPr>
        <w:t>、</w:t>
      </w:r>
      <w:r>
        <w:rPr>
          <w:rStyle w:val="780"/>
          <w:rFonts w:ascii="宋体" w:hAnsi="宋体"/>
          <w:kern w:val="0"/>
          <w:szCs w:val="21"/>
        </w:rPr>
        <w:t>监督服务</w:t>
      </w:r>
      <w:r>
        <w:rPr>
          <w:rStyle w:val="780"/>
          <w:rFonts w:hint="eastAsia" w:ascii="宋体" w:hAnsi="宋体"/>
          <w:kern w:val="0"/>
          <w:szCs w:val="21"/>
        </w:rPr>
        <w:t>和相关配合工作。负责对本合同设备进行现场调试与试验，完成系统的模拟和在线调试工作，实现全部的软、硬件功能。参加水轮发电机组的试运行、</w:t>
      </w:r>
      <w:r>
        <w:rPr>
          <w:rStyle w:val="780"/>
          <w:rFonts w:ascii="宋体" w:hAnsi="宋体"/>
          <w:kern w:val="0"/>
          <w:szCs w:val="21"/>
        </w:rPr>
        <w:t>72h连续试运行和考核试运行。参加合同设备初步验收和最终验收</w:t>
      </w:r>
      <w:r>
        <w:rPr>
          <w:rStyle w:val="780"/>
          <w:rFonts w:hint="eastAsia" w:ascii="宋体" w:hAnsi="宋体"/>
          <w:kern w:val="0"/>
          <w:szCs w:val="21"/>
        </w:rPr>
        <w:t>；</w:t>
      </w:r>
    </w:p>
    <w:p>
      <w:pPr>
        <w:numPr>
          <w:ilvl w:val="0"/>
          <w:numId w:val="17"/>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负责完成本电站调度自动化、保护、电能量等系统接入重庆市调及集控中心的全部协调、调试、试运行和验收等所有工作，相关费用已包含在合同报价中；</w:t>
      </w:r>
    </w:p>
    <w:p>
      <w:pPr>
        <w:numPr>
          <w:ilvl w:val="0"/>
          <w:numId w:val="17"/>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严格执行国家、电力行业、国家电网公司、重庆电力公司相关规程规范及技术要求，确保电站满足电网接入要求；</w:t>
      </w:r>
    </w:p>
    <w:p>
      <w:pPr>
        <w:numPr>
          <w:ilvl w:val="0"/>
          <w:numId w:val="17"/>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除本条所列接入系统设备供货范围外，对于本技术规范供货范围中未列出的设备和零部件，卖方也必须提供满足本技术规范要求和电厂安全可靠运行的相关设备</w:t>
      </w:r>
      <w:r>
        <w:rPr>
          <w:rStyle w:val="780"/>
          <w:rFonts w:ascii="宋体" w:hAnsi="宋体"/>
          <w:kern w:val="0"/>
          <w:szCs w:val="21"/>
        </w:rPr>
        <w:t xml:space="preserve">, </w:t>
      </w:r>
      <w:r>
        <w:rPr>
          <w:rStyle w:val="780"/>
          <w:rFonts w:hint="eastAsia" w:ascii="宋体" w:hAnsi="宋体"/>
          <w:kern w:val="0"/>
          <w:szCs w:val="21"/>
        </w:rPr>
        <w:t>其费用包括在总价中；</w:t>
      </w:r>
    </w:p>
    <w:p>
      <w:pPr>
        <w:numPr>
          <w:ilvl w:val="0"/>
          <w:numId w:val="17"/>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本技术规范中未说明的但与设计、制造、工厂试验、包装、运输、保管、安装、现场试验、系统调试和运行维护等相关的工作，均按相关标准执行。</w:t>
      </w:r>
    </w:p>
    <w:p>
      <w:pPr>
        <w:pStyle w:val="7"/>
        <w:widowControl w:val="0"/>
        <w:overflowPunct w:val="0"/>
        <w:spacing w:line="360" w:lineRule="auto"/>
        <w:jc w:val="both"/>
        <w:rPr>
          <w:rFonts w:ascii="宋体" w:hAnsi="宋体"/>
        </w:rPr>
      </w:pPr>
      <w:bookmarkStart w:id="33" w:name="_Toc31720422"/>
      <w:bookmarkEnd w:id="33"/>
      <w:bookmarkStart w:id="34" w:name="_Toc57986275"/>
      <w:bookmarkEnd w:id="34"/>
      <w:bookmarkStart w:id="35" w:name="_Toc12378786"/>
      <w:r>
        <w:rPr>
          <w:rFonts w:hint="eastAsia" w:ascii="宋体" w:hAnsi="宋体"/>
          <w:b/>
          <w:bCs/>
          <w:sz w:val="21"/>
          <w:szCs w:val="21"/>
        </w:rPr>
        <w:t>1.2.2供货范围</w:t>
      </w:r>
      <w:bookmarkEnd w:id="35"/>
    </w:p>
    <w:p>
      <w:pPr>
        <w:numPr>
          <w:ilvl w:val="0"/>
          <w:numId w:val="18"/>
        </w:numPr>
        <w:adjustRightInd w:val="0"/>
        <w:spacing w:line="360" w:lineRule="auto"/>
        <w:textAlignment w:val="baseline"/>
        <w:rPr>
          <w:rStyle w:val="780"/>
          <w:rFonts w:ascii="宋体" w:hAnsi="宋体"/>
          <w:kern w:val="0"/>
          <w:szCs w:val="21"/>
        </w:rPr>
      </w:pPr>
      <w:bookmarkStart w:id="36" w:name="_Hlk138673676"/>
      <w:r>
        <w:rPr>
          <w:rStyle w:val="780"/>
          <w:rFonts w:hint="eastAsia" w:ascii="宋体" w:hAnsi="宋体"/>
          <w:kern w:val="0"/>
          <w:szCs w:val="21"/>
        </w:rPr>
        <w:t>国家电网重庆分公司调度、自动化、二次安防等专业对本合同设备的专项验收及承办相应会务等技术服务工作。</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调度自动化系统电站端远动信息组织与协调。</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调度自动化接入重庆市调所需的全部软硬件设备及材料的供货。</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调度自动化接入集控中心所需的全部软硬件设备及材料的供货。</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 xml:space="preserve">调度数据专网的建设。 </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集控数据网的建设。</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电能量采集系统所需的全部软硬件设备及材料的供货。</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电能量采集系统接入重庆市调所需的全部软硬件设备及材料的供货。</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电力监控系统纵向安全防护设备及材料的供货。</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同步相量测量装置（PMU</w:t>
      </w:r>
      <w:r>
        <w:rPr>
          <w:rStyle w:val="780"/>
          <w:rFonts w:ascii="宋体" w:hAnsi="宋体"/>
          <w:kern w:val="0"/>
          <w:szCs w:val="21"/>
        </w:rPr>
        <w:t>）</w:t>
      </w:r>
      <w:r>
        <w:rPr>
          <w:rStyle w:val="780"/>
          <w:rFonts w:hint="eastAsia" w:ascii="宋体" w:hAnsi="宋体"/>
          <w:kern w:val="0"/>
          <w:szCs w:val="21"/>
        </w:rPr>
        <w:t>设备。</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同步相量测量装置（PMU</w:t>
      </w:r>
      <w:r>
        <w:rPr>
          <w:rStyle w:val="780"/>
          <w:rFonts w:ascii="宋体" w:hAnsi="宋体"/>
          <w:kern w:val="0"/>
          <w:szCs w:val="21"/>
        </w:rPr>
        <w:t>）</w:t>
      </w:r>
      <w:r>
        <w:rPr>
          <w:rStyle w:val="780"/>
          <w:rFonts w:hint="eastAsia" w:ascii="宋体" w:hAnsi="宋体"/>
          <w:kern w:val="0"/>
          <w:szCs w:val="21"/>
        </w:rPr>
        <w:t>接入重庆市调所需的全部软硬件设备及材料的供货。</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继电保护的子站设备，故障录波的子站设备。</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继电保护子站和故障录波子站接入重庆市调所需的全部软硬件设备及材料的供货。</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继电保护子站和故障录波子站接入集控中心所需的全部软硬件设备及材料的供货。</w:t>
      </w:r>
    </w:p>
    <w:p>
      <w:pPr>
        <w:numPr>
          <w:ilvl w:val="0"/>
          <w:numId w:val="18"/>
        </w:numPr>
        <w:adjustRightInd w:val="0"/>
        <w:spacing w:line="360" w:lineRule="auto"/>
        <w:textAlignment w:val="baseline"/>
        <w:rPr>
          <w:rStyle w:val="780"/>
          <w:rFonts w:ascii="宋体" w:hAnsi="宋体"/>
          <w:kern w:val="0"/>
          <w:szCs w:val="21"/>
        </w:rPr>
      </w:pPr>
      <w:r>
        <w:rPr>
          <w:rStyle w:val="780"/>
          <w:rFonts w:ascii="宋体" w:hAnsi="宋体"/>
          <w:kern w:val="0"/>
          <w:szCs w:val="21"/>
        </w:rPr>
        <w:t>故障解列装置。</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1</w:t>
      </w:r>
      <w:r>
        <w:rPr>
          <w:rStyle w:val="780"/>
          <w:rFonts w:ascii="宋体" w:hAnsi="宋体"/>
          <w:kern w:val="0"/>
          <w:szCs w:val="21"/>
        </w:rPr>
        <w:t>10kV</w:t>
      </w:r>
      <w:r>
        <w:rPr>
          <w:rStyle w:val="780"/>
          <w:rFonts w:hint="eastAsia" w:ascii="宋体" w:hAnsi="宋体"/>
          <w:kern w:val="0"/>
          <w:szCs w:val="21"/>
        </w:rPr>
        <w:t>线路保护装置。</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U</w:t>
      </w:r>
      <w:r>
        <w:rPr>
          <w:rStyle w:val="780"/>
          <w:rFonts w:ascii="宋体" w:hAnsi="宋体"/>
          <w:kern w:val="0"/>
          <w:szCs w:val="21"/>
        </w:rPr>
        <w:t>PS电源设备</w:t>
      </w:r>
      <w:r>
        <w:rPr>
          <w:rStyle w:val="780"/>
          <w:rFonts w:hint="eastAsia" w:ascii="宋体" w:hAnsi="宋体"/>
          <w:kern w:val="0"/>
          <w:szCs w:val="21"/>
        </w:rPr>
        <w:t>。</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提供在技术规范中规定的备品备件、专用工具。凡是合同设备及其系统安装运行、维护所必须的零部件和材料、工器具及易损件等均属供货范围。卖方推荐的备品备件、专用工具应按买方的选择供货。</w:t>
      </w:r>
    </w:p>
    <w:p>
      <w:pPr>
        <w:numPr>
          <w:ilvl w:val="0"/>
          <w:numId w:val="18"/>
        </w:numPr>
        <w:adjustRightInd w:val="0"/>
        <w:spacing w:line="360" w:lineRule="auto"/>
        <w:textAlignment w:val="baseline"/>
        <w:rPr>
          <w:rStyle w:val="780"/>
          <w:rFonts w:ascii="宋体" w:hAnsi="宋体"/>
          <w:kern w:val="0"/>
          <w:szCs w:val="21"/>
        </w:rPr>
      </w:pPr>
      <w:r>
        <w:rPr>
          <w:rStyle w:val="780"/>
          <w:rFonts w:hint="eastAsia" w:ascii="宋体" w:hAnsi="宋体"/>
          <w:kern w:val="0"/>
          <w:szCs w:val="21"/>
        </w:rPr>
        <w:t>在本招标文件中未专门提到的，但属于一个完整的和性能良好的接入系统必不可少的或对改善接入系统运行性能所必需的元件或装置，</w:t>
      </w:r>
      <w:r>
        <w:rPr>
          <w:rStyle w:val="780"/>
          <w:rFonts w:ascii="宋体" w:hAnsi="宋体"/>
          <w:kern w:val="0"/>
          <w:szCs w:val="21"/>
        </w:rPr>
        <w:t>卖方仍将提供</w:t>
      </w:r>
      <w:r>
        <w:rPr>
          <w:rStyle w:val="780"/>
          <w:rFonts w:hint="eastAsia" w:ascii="宋体" w:hAnsi="宋体"/>
          <w:kern w:val="0"/>
          <w:szCs w:val="21"/>
        </w:rPr>
        <w:t>。全套系统应包括本招标文件所阐述的全部软、硬件设备以及构成本完整系统所必须的辅助设备。</w:t>
      </w:r>
    </w:p>
    <w:bookmarkEnd w:id="36"/>
    <w:p>
      <w:pPr>
        <w:pStyle w:val="7"/>
        <w:widowControl w:val="0"/>
        <w:overflowPunct w:val="0"/>
        <w:spacing w:line="360" w:lineRule="auto"/>
        <w:jc w:val="both"/>
        <w:rPr>
          <w:rFonts w:ascii="宋体" w:hAnsi="宋体"/>
          <w:b/>
          <w:bCs/>
          <w:sz w:val="21"/>
          <w:szCs w:val="21"/>
        </w:rPr>
      </w:pPr>
      <w:bookmarkStart w:id="37" w:name="_Toc12378787"/>
      <w:bookmarkEnd w:id="37"/>
      <w:bookmarkStart w:id="38" w:name="_Toc57986276"/>
      <w:bookmarkEnd w:id="38"/>
      <w:bookmarkStart w:id="39" w:name="_Toc31720423"/>
      <w:r>
        <w:rPr>
          <w:rFonts w:hint="eastAsia" w:ascii="宋体" w:hAnsi="宋体"/>
          <w:b/>
          <w:bCs/>
          <w:sz w:val="21"/>
          <w:szCs w:val="21"/>
        </w:rPr>
        <w:t>1.2.3试验</w:t>
      </w:r>
      <w:bookmarkEnd w:id="39"/>
    </w:p>
    <w:p>
      <w:pPr>
        <w:spacing w:line="360" w:lineRule="auto"/>
        <w:ind w:left="283" w:leftChars="135"/>
        <w:rPr>
          <w:rFonts w:ascii="宋体" w:hAnsi="宋体"/>
          <w:szCs w:val="21"/>
        </w:rPr>
      </w:pPr>
      <w:r>
        <w:rPr>
          <w:rFonts w:hint="eastAsia" w:ascii="宋体" w:hAnsi="宋体"/>
          <w:szCs w:val="21"/>
        </w:rPr>
        <w:t>1.2.3.1完成设备的工厂组装及试验；</w:t>
      </w:r>
    </w:p>
    <w:p>
      <w:pPr>
        <w:spacing w:line="360" w:lineRule="auto"/>
        <w:ind w:left="283" w:leftChars="135"/>
        <w:rPr>
          <w:rFonts w:ascii="宋体" w:hAnsi="宋体"/>
          <w:szCs w:val="21"/>
        </w:rPr>
      </w:pPr>
      <w:r>
        <w:rPr>
          <w:rFonts w:hint="eastAsia" w:ascii="宋体" w:hAnsi="宋体"/>
          <w:szCs w:val="21"/>
        </w:rPr>
        <w:t>1.2.3.2提供现场试验必需的试验仪表和设备，并为合同设备的现场试验提供监督和指导。</w:t>
      </w:r>
    </w:p>
    <w:p>
      <w:pPr>
        <w:pStyle w:val="7"/>
        <w:widowControl w:val="0"/>
        <w:overflowPunct w:val="0"/>
        <w:spacing w:line="360" w:lineRule="auto"/>
        <w:jc w:val="both"/>
        <w:rPr>
          <w:rFonts w:ascii="宋体" w:hAnsi="宋体"/>
          <w:b/>
          <w:bCs/>
          <w:sz w:val="21"/>
          <w:szCs w:val="21"/>
        </w:rPr>
      </w:pPr>
      <w:bookmarkStart w:id="40" w:name="_Toc57986277"/>
      <w:bookmarkEnd w:id="40"/>
      <w:bookmarkStart w:id="41" w:name="_Toc12378788"/>
      <w:bookmarkEnd w:id="41"/>
      <w:bookmarkStart w:id="42" w:name="_Toc31720424"/>
      <w:r>
        <w:rPr>
          <w:rFonts w:hint="eastAsia" w:ascii="宋体" w:hAnsi="宋体"/>
          <w:b/>
          <w:bCs/>
          <w:sz w:val="21"/>
          <w:szCs w:val="21"/>
        </w:rPr>
        <w:t>1.2.4进度表及资料</w:t>
      </w:r>
      <w:bookmarkEnd w:id="42"/>
    </w:p>
    <w:p>
      <w:pPr>
        <w:spacing w:line="360" w:lineRule="auto"/>
        <w:ind w:left="840" w:leftChars="400"/>
        <w:rPr>
          <w:rFonts w:ascii="宋体" w:hAnsi="宋体"/>
          <w:szCs w:val="21"/>
        </w:rPr>
      </w:pPr>
      <w:r>
        <w:rPr>
          <w:rFonts w:hint="eastAsia" w:ascii="宋体" w:hAnsi="宋体"/>
          <w:szCs w:val="21"/>
        </w:rPr>
        <w:t>计划和报告，设备制造、安装和电站设计用的工厂图纸、标准、技术分析报告、计算书、数据和文献、设备的工厂试验报告、合同设备的安装、运行和维修说明书，应用软件的程序及流程逻辑图与说明书，设备现场试验报告。</w:t>
      </w:r>
    </w:p>
    <w:p>
      <w:pPr>
        <w:pStyle w:val="7"/>
        <w:widowControl w:val="0"/>
        <w:overflowPunct w:val="0"/>
        <w:spacing w:line="360" w:lineRule="auto"/>
        <w:jc w:val="both"/>
        <w:rPr>
          <w:rFonts w:ascii="宋体" w:hAnsi="宋体"/>
          <w:b/>
          <w:bCs/>
          <w:sz w:val="21"/>
          <w:szCs w:val="21"/>
        </w:rPr>
      </w:pPr>
      <w:bookmarkStart w:id="43" w:name="_Toc31720425"/>
      <w:bookmarkEnd w:id="43"/>
      <w:bookmarkStart w:id="44" w:name="_Toc57986278"/>
      <w:bookmarkEnd w:id="44"/>
      <w:bookmarkStart w:id="45" w:name="_Toc12378789"/>
      <w:r>
        <w:rPr>
          <w:rFonts w:hint="eastAsia" w:ascii="宋体" w:hAnsi="宋体"/>
          <w:b/>
          <w:bCs/>
          <w:sz w:val="21"/>
          <w:szCs w:val="21"/>
        </w:rPr>
        <w:t>1.2.5服务</w:t>
      </w:r>
      <w:bookmarkEnd w:id="45"/>
    </w:p>
    <w:p>
      <w:pPr>
        <w:adjustRightInd w:val="0"/>
        <w:snapToGrid w:val="0"/>
        <w:spacing w:line="360" w:lineRule="auto"/>
        <w:ind w:left="840" w:leftChars="400"/>
        <w:rPr>
          <w:rFonts w:ascii="宋体" w:hAnsi="宋体"/>
          <w:szCs w:val="21"/>
        </w:rPr>
      </w:pPr>
      <w:r>
        <w:rPr>
          <w:rFonts w:hint="eastAsia" w:ascii="宋体" w:hAnsi="宋体"/>
          <w:szCs w:val="21"/>
        </w:rPr>
        <w:t>卖方应提供下列服务（不限于）：</w:t>
      </w:r>
    </w:p>
    <w:p>
      <w:pPr>
        <w:pStyle w:val="8"/>
        <w:numPr>
          <w:ilvl w:val="3"/>
          <w:numId w:val="16"/>
        </w:numPr>
        <w:overflowPunct w:val="0"/>
        <w:snapToGrid w:val="0"/>
        <w:spacing w:before="0" w:after="0" w:line="360" w:lineRule="auto"/>
        <w:rPr>
          <w:rFonts w:ascii="宋体" w:hAnsi="宋体"/>
          <w:szCs w:val="21"/>
        </w:rPr>
      </w:pPr>
      <w:r>
        <w:rPr>
          <w:rFonts w:hint="eastAsia" w:ascii="宋体" w:hAnsi="宋体"/>
          <w:szCs w:val="21"/>
        </w:rPr>
        <w:t>按照合同规定，在工地为合同设备的安装、现场调试、现场试验和交接验收提供技术服务。</w:t>
      </w:r>
    </w:p>
    <w:p>
      <w:pPr>
        <w:pStyle w:val="8"/>
        <w:numPr>
          <w:ilvl w:val="3"/>
          <w:numId w:val="16"/>
        </w:numPr>
        <w:overflowPunct w:val="0"/>
        <w:snapToGrid w:val="0"/>
        <w:spacing w:before="0" w:after="0" w:line="360" w:lineRule="auto"/>
        <w:ind w:left="960" w:hanging="960"/>
        <w:rPr>
          <w:rFonts w:ascii="宋体" w:hAnsi="宋体"/>
          <w:b/>
          <w:szCs w:val="21"/>
        </w:rPr>
      </w:pPr>
      <w:r>
        <w:rPr>
          <w:rFonts w:hint="eastAsia" w:ascii="宋体" w:hAnsi="宋体"/>
          <w:szCs w:val="21"/>
        </w:rPr>
        <w:t>按照合同规定，为参加在卖方所在地召开的设计联络会的买方参会人员提供服务。</w:t>
      </w:r>
    </w:p>
    <w:p>
      <w:pPr>
        <w:pStyle w:val="8"/>
        <w:numPr>
          <w:ilvl w:val="3"/>
          <w:numId w:val="16"/>
        </w:numPr>
        <w:overflowPunct w:val="0"/>
        <w:snapToGrid w:val="0"/>
        <w:spacing w:before="0" w:after="0" w:line="360" w:lineRule="auto"/>
        <w:ind w:left="960" w:hanging="960"/>
        <w:rPr>
          <w:rFonts w:ascii="宋体" w:hAnsi="宋体"/>
          <w:b/>
          <w:szCs w:val="21"/>
        </w:rPr>
      </w:pPr>
      <w:r>
        <w:rPr>
          <w:rFonts w:hint="eastAsia" w:ascii="宋体" w:hAnsi="宋体"/>
          <w:szCs w:val="21"/>
        </w:rPr>
        <w:t>按照合同规定，为买方人员的技术培训提供服务。</w:t>
      </w:r>
    </w:p>
    <w:p>
      <w:pPr>
        <w:pStyle w:val="8"/>
        <w:numPr>
          <w:ilvl w:val="3"/>
          <w:numId w:val="16"/>
        </w:numPr>
        <w:overflowPunct w:val="0"/>
        <w:snapToGrid w:val="0"/>
        <w:spacing w:before="0" w:after="0" w:line="360" w:lineRule="auto"/>
        <w:ind w:left="960" w:hanging="960"/>
        <w:rPr>
          <w:rFonts w:ascii="宋体" w:hAnsi="宋体"/>
          <w:b/>
          <w:szCs w:val="21"/>
        </w:rPr>
      </w:pPr>
      <w:r>
        <w:rPr>
          <w:rFonts w:hint="eastAsia" w:ascii="宋体" w:hAnsi="宋体"/>
          <w:szCs w:val="21"/>
        </w:rPr>
        <w:t>按照合同规定，为完成本合同规定的全部协调工作和责任提供服务。</w:t>
      </w:r>
    </w:p>
    <w:p>
      <w:pPr>
        <w:pStyle w:val="8"/>
        <w:numPr>
          <w:ilvl w:val="3"/>
          <w:numId w:val="16"/>
        </w:numPr>
        <w:overflowPunct w:val="0"/>
        <w:snapToGrid w:val="0"/>
        <w:spacing w:before="0" w:after="0" w:line="360" w:lineRule="auto"/>
        <w:ind w:left="1134" w:hanging="1134"/>
        <w:rPr>
          <w:rFonts w:ascii="宋体" w:hAnsi="宋体"/>
          <w:b/>
          <w:szCs w:val="21"/>
        </w:rPr>
      </w:pPr>
      <w:r>
        <w:rPr>
          <w:rFonts w:hint="eastAsia" w:ascii="宋体" w:hAnsi="宋体"/>
          <w:szCs w:val="21"/>
        </w:rPr>
        <w:t>即使要提供的设备和服务在本规范中没有提到，但对于接入系统的满意运行是必需的，卖方仍有责任提供完整的成套货物和服务，费用含在合同总价中。</w:t>
      </w:r>
    </w:p>
    <w:p>
      <w:pPr>
        <w:pStyle w:val="7"/>
        <w:widowControl w:val="0"/>
        <w:overflowPunct w:val="0"/>
        <w:spacing w:line="360" w:lineRule="auto"/>
        <w:jc w:val="both"/>
        <w:rPr>
          <w:rFonts w:ascii="宋体" w:hAnsi="宋体"/>
          <w:b/>
          <w:bCs/>
          <w:sz w:val="21"/>
          <w:szCs w:val="21"/>
        </w:rPr>
      </w:pPr>
      <w:bookmarkStart w:id="46" w:name="_Toc31720426"/>
      <w:bookmarkEnd w:id="46"/>
      <w:bookmarkStart w:id="47" w:name="_Toc515872319"/>
      <w:bookmarkEnd w:id="47"/>
      <w:bookmarkStart w:id="48" w:name="_Toc12378790"/>
      <w:bookmarkEnd w:id="48"/>
      <w:bookmarkStart w:id="49" w:name="_Toc57986279"/>
      <w:r>
        <w:rPr>
          <w:rFonts w:hint="eastAsia" w:ascii="宋体" w:hAnsi="宋体"/>
          <w:b/>
          <w:bCs/>
          <w:sz w:val="21"/>
          <w:szCs w:val="21"/>
        </w:rPr>
        <w:t>1.2.6协调</w:t>
      </w:r>
      <w:bookmarkEnd w:id="49"/>
    </w:p>
    <w:p>
      <w:pPr>
        <w:pStyle w:val="8"/>
        <w:numPr>
          <w:ilvl w:val="3"/>
          <w:numId w:val="19"/>
        </w:numPr>
        <w:overflowPunct w:val="0"/>
        <w:snapToGrid w:val="0"/>
        <w:spacing w:before="0" w:after="0" w:line="360" w:lineRule="auto"/>
        <w:rPr>
          <w:rFonts w:ascii="宋体" w:hAnsi="宋体"/>
          <w:szCs w:val="21"/>
        </w:rPr>
      </w:pPr>
      <w:r>
        <w:rPr>
          <w:rFonts w:hint="eastAsia" w:ascii="宋体" w:hAnsi="宋体"/>
          <w:szCs w:val="21"/>
        </w:rPr>
        <w:t>范围</w:t>
      </w:r>
    </w:p>
    <w:p>
      <w:pPr>
        <w:adjustRightInd w:val="0"/>
        <w:snapToGrid w:val="0"/>
        <w:spacing w:line="360" w:lineRule="auto"/>
        <w:ind w:left="840" w:leftChars="400"/>
        <w:rPr>
          <w:rFonts w:ascii="宋体" w:hAnsi="宋体"/>
          <w:szCs w:val="21"/>
        </w:rPr>
      </w:pPr>
      <w:r>
        <w:rPr>
          <w:rFonts w:hint="eastAsia" w:ascii="宋体" w:hAnsi="宋体"/>
          <w:szCs w:val="21"/>
        </w:rPr>
        <w:t>本条款规定卖方与其他卖方之间的协调工作。</w:t>
      </w:r>
    </w:p>
    <w:p>
      <w:pPr>
        <w:pStyle w:val="8"/>
        <w:numPr>
          <w:ilvl w:val="3"/>
          <w:numId w:val="19"/>
        </w:numPr>
        <w:overflowPunct w:val="0"/>
        <w:snapToGrid w:val="0"/>
        <w:spacing w:before="0" w:after="0" w:line="360" w:lineRule="auto"/>
        <w:ind w:left="1134" w:hanging="1134"/>
        <w:rPr>
          <w:rFonts w:ascii="宋体" w:hAnsi="宋体"/>
          <w:szCs w:val="21"/>
        </w:rPr>
      </w:pPr>
      <w:r>
        <w:rPr>
          <w:rFonts w:hint="eastAsia" w:ascii="宋体" w:hAnsi="宋体"/>
          <w:szCs w:val="21"/>
        </w:rPr>
        <w:t>卖方的责任</w:t>
      </w:r>
    </w:p>
    <w:p>
      <w:pPr>
        <w:adjustRightInd w:val="0"/>
        <w:snapToGrid w:val="0"/>
        <w:spacing w:line="360" w:lineRule="auto"/>
        <w:ind w:left="840" w:leftChars="400"/>
        <w:rPr>
          <w:rFonts w:ascii="宋体" w:hAnsi="宋体"/>
          <w:szCs w:val="21"/>
        </w:rPr>
      </w:pPr>
      <w:r>
        <w:rPr>
          <w:rFonts w:hint="eastAsia" w:ascii="宋体" w:hAnsi="宋体"/>
          <w:szCs w:val="21"/>
        </w:rPr>
        <w:t>卖方应对其供货的全部设备的设计进行相应协调和完善，并承担全部责任。卖方供货的设备在规定的运行工况下，应符合工程实际，并具有最好的性能。应按买方的要求提供全部有关的设计图纸、资料等技术文件以及采用的标准。</w:t>
      </w:r>
    </w:p>
    <w:p>
      <w:pPr>
        <w:pStyle w:val="8"/>
        <w:numPr>
          <w:ilvl w:val="3"/>
          <w:numId w:val="19"/>
        </w:numPr>
        <w:overflowPunct w:val="0"/>
        <w:snapToGrid w:val="0"/>
        <w:spacing w:before="0" w:after="0" w:line="360" w:lineRule="auto"/>
        <w:ind w:left="1134" w:hanging="1134"/>
        <w:rPr>
          <w:rFonts w:ascii="宋体" w:hAnsi="宋体"/>
          <w:szCs w:val="21"/>
        </w:rPr>
      </w:pPr>
      <w:r>
        <w:rPr>
          <w:rFonts w:hint="eastAsia" w:ascii="宋体" w:hAnsi="宋体"/>
          <w:szCs w:val="21"/>
        </w:rPr>
        <w:t>卖方与其他卖方的协调</w:t>
      </w:r>
    </w:p>
    <w:p>
      <w:pPr>
        <w:pStyle w:val="120"/>
        <w:numPr>
          <w:ilvl w:val="0"/>
          <w:numId w:val="20"/>
        </w:numPr>
        <w:spacing w:before="0" w:after="0" w:line="360" w:lineRule="auto"/>
        <w:ind w:left="1470" w:hanging="420"/>
        <w:rPr>
          <w:rFonts w:hAnsi="宋体"/>
          <w:sz w:val="21"/>
          <w:szCs w:val="21"/>
        </w:rPr>
      </w:pPr>
      <w:r>
        <w:rPr>
          <w:rFonts w:hint="eastAsia" w:hAnsi="宋体"/>
          <w:sz w:val="21"/>
          <w:szCs w:val="21"/>
        </w:rPr>
        <w:t>概述</w:t>
      </w:r>
    </w:p>
    <w:p>
      <w:pPr>
        <w:adjustRightInd w:val="0"/>
        <w:snapToGrid w:val="0"/>
        <w:spacing w:line="360" w:lineRule="auto"/>
        <w:ind w:left="840" w:leftChars="400"/>
        <w:rPr>
          <w:rFonts w:ascii="宋体" w:hAnsi="宋体"/>
          <w:szCs w:val="21"/>
        </w:rPr>
      </w:pPr>
      <w:r>
        <w:rPr>
          <w:rFonts w:hint="eastAsia" w:ascii="宋体" w:hAnsi="宋体"/>
          <w:szCs w:val="21"/>
        </w:rPr>
        <w:t>卖方应与其它设备的卖方(包括安装卖方)就图纸、尺寸及必需的资料进行协调，以保证正确地完成所有与接入系统相连或有关的部件的设计、制造、安装、调试与验收试验工作。卖方应承担协调的主要责任。</w:t>
      </w:r>
    </w:p>
    <w:p>
      <w:pPr>
        <w:adjustRightInd w:val="0"/>
        <w:snapToGrid w:val="0"/>
        <w:spacing w:line="360" w:lineRule="auto"/>
        <w:ind w:left="840" w:leftChars="400"/>
        <w:rPr>
          <w:rFonts w:ascii="宋体" w:hAnsi="宋体"/>
          <w:szCs w:val="21"/>
        </w:rPr>
      </w:pPr>
      <w:r>
        <w:rPr>
          <w:rFonts w:hint="eastAsia" w:ascii="宋体" w:hAnsi="宋体"/>
          <w:szCs w:val="21"/>
        </w:rPr>
        <w:t>除非在合同文件中另有规定，对于为了使卖方所提供的设备适应其他卖方所提供的设备而要求的较小修改，不得要求额外的补偿。所有卖方之间的有关上述调整对买方均不增加任何附加费用。这些费用应包括在每个项目的报价中。卖方应向买方提供4份与其他卖方进行交换的所有图纸、规范和资料的副本。</w:t>
      </w:r>
    </w:p>
    <w:p>
      <w:pPr>
        <w:adjustRightInd w:val="0"/>
        <w:snapToGrid w:val="0"/>
        <w:spacing w:line="360" w:lineRule="auto"/>
        <w:ind w:left="840" w:leftChars="400"/>
        <w:rPr>
          <w:rFonts w:ascii="宋体" w:hAnsi="宋体"/>
          <w:szCs w:val="21"/>
        </w:rPr>
      </w:pPr>
      <w:r>
        <w:rPr>
          <w:rFonts w:hint="eastAsia" w:ascii="宋体" w:hAnsi="宋体"/>
          <w:szCs w:val="21"/>
        </w:rPr>
        <w:t>若卖方对其他卖方的设计、技术规范或供货不满意或有疑问时，应立即向买方作书面说明。</w:t>
      </w:r>
    </w:p>
    <w:p>
      <w:pPr>
        <w:pStyle w:val="120"/>
        <w:numPr>
          <w:ilvl w:val="0"/>
          <w:numId w:val="20"/>
        </w:numPr>
        <w:spacing w:before="0" w:after="0" w:line="360" w:lineRule="auto"/>
        <w:ind w:left="1470" w:hanging="420"/>
        <w:rPr>
          <w:rFonts w:hAnsi="宋体"/>
          <w:sz w:val="21"/>
          <w:szCs w:val="21"/>
        </w:rPr>
      </w:pPr>
      <w:r>
        <w:rPr>
          <w:rFonts w:hint="eastAsia" w:hAnsi="宋体"/>
          <w:sz w:val="21"/>
          <w:szCs w:val="21"/>
        </w:rPr>
        <w:t>卖方与土建卖方的协调：接入系统卖方应负责与土建承包商对预埋件等进行协调。</w:t>
      </w:r>
    </w:p>
    <w:p>
      <w:pPr>
        <w:pStyle w:val="120"/>
        <w:numPr>
          <w:ilvl w:val="0"/>
          <w:numId w:val="20"/>
        </w:numPr>
        <w:spacing w:before="0" w:after="0" w:line="360" w:lineRule="auto"/>
        <w:ind w:left="1470" w:hanging="420"/>
        <w:rPr>
          <w:rFonts w:hAnsi="宋体"/>
          <w:sz w:val="21"/>
          <w:szCs w:val="21"/>
        </w:rPr>
      </w:pPr>
      <w:r>
        <w:rPr>
          <w:rFonts w:hint="eastAsia" w:hAnsi="宋体"/>
          <w:sz w:val="21"/>
          <w:szCs w:val="21"/>
        </w:rPr>
        <w:t>卖方与电网调度部门的协调：应完成双江航电枢纽接入重庆市调的全部工作，包括全部涉网设备（调度自动化、继电保护和故障录波子站、电能量采集系统、PMU、故障解列、线路保护等）的接入等工作。</w:t>
      </w:r>
    </w:p>
    <w:p>
      <w:pPr>
        <w:pStyle w:val="120"/>
        <w:numPr>
          <w:ilvl w:val="0"/>
          <w:numId w:val="20"/>
        </w:numPr>
        <w:spacing w:before="0" w:after="0" w:line="360" w:lineRule="auto"/>
        <w:ind w:left="1470" w:hanging="420"/>
        <w:rPr>
          <w:rFonts w:hAnsi="宋体"/>
          <w:sz w:val="21"/>
          <w:szCs w:val="21"/>
        </w:rPr>
      </w:pPr>
      <w:r>
        <w:rPr>
          <w:rFonts w:hint="eastAsia" w:hAnsi="宋体"/>
          <w:sz w:val="21"/>
          <w:szCs w:val="21"/>
        </w:rPr>
        <w:t>卖方与</w:t>
      </w:r>
      <w:r>
        <w:rPr>
          <w:rStyle w:val="780"/>
          <w:rFonts w:hint="eastAsia" w:ascii="宋体" w:hAnsi="宋体"/>
          <w:sz w:val="21"/>
          <w:szCs w:val="21"/>
        </w:rPr>
        <w:t>集控中心</w:t>
      </w:r>
      <w:r>
        <w:rPr>
          <w:rFonts w:hint="eastAsia" w:hAnsi="宋体"/>
          <w:sz w:val="21"/>
          <w:szCs w:val="21"/>
        </w:rPr>
        <w:t>设备厂家协调：应完成至集控电路开通，设备接入集控中心工作。</w:t>
      </w:r>
    </w:p>
    <w:p>
      <w:pPr>
        <w:pStyle w:val="120"/>
        <w:numPr>
          <w:ilvl w:val="0"/>
          <w:numId w:val="20"/>
        </w:numPr>
        <w:spacing w:before="0" w:after="0" w:line="360" w:lineRule="auto"/>
        <w:ind w:left="1470" w:hanging="420"/>
        <w:rPr>
          <w:rFonts w:hAnsi="宋体"/>
          <w:sz w:val="21"/>
          <w:szCs w:val="21"/>
        </w:rPr>
      </w:pPr>
      <w:r>
        <w:rPr>
          <w:rFonts w:hint="eastAsia" w:hAnsi="宋体"/>
          <w:sz w:val="21"/>
          <w:szCs w:val="21"/>
        </w:rPr>
        <w:t>卖方与机电安装卖方的协调：应协助机电安装卖方完成整个系统安装配合、试运行和验收等工作。</w:t>
      </w:r>
    </w:p>
    <w:p>
      <w:pPr>
        <w:pStyle w:val="120"/>
        <w:numPr>
          <w:ilvl w:val="0"/>
          <w:numId w:val="20"/>
        </w:numPr>
        <w:spacing w:before="0" w:after="0" w:line="360" w:lineRule="auto"/>
        <w:ind w:left="1470" w:hanging="420"/>
        <w:rPr>
          <w:rFonts w:hAnsi="宋体"/>
          <w:sz w:val="21"/>
          <w:szCs w:val="21"/>
        </w:rPr>
      </w:pPr>
      <w:r>
        <w:rPr>
          <w:rFonts w:hint="eastAsia" w:hAnsi="宋体"/>
          <w:sz w:val="21"/>
          <w:szCs w:val="21"/>
        </w:rPr>
        <w:t>卖方与计算机监控、全厂继电保护、其他自动化系统承卖方的协调：与计算机监控系统、全厂继电保护、其他自动化系统卖方协调接口配合等工作。</w:t>
      </w:r>
    </w:p>
    <w:p>
      <w:pPr>
        <w:pStyle w:val="6"/>
        <w:widowControl w:val="0"/>
        <w:numPr>
          <w:ilvl w:val="1"/>
          <w:numId w:val="16"/>
        </w:numPr>
        <w:tabs>
          <w:tab w:val="left" w:pos="709"/>
          <w:tab w:val="clear" w:pos="964"/>
        </w:tabs>
        <w:snapToGrid/>
        <w:spacing w:before="93" w:beforeLines="30" w:after="93" w:afterLines="30" w:line="300" w:lineRule="auto"/>
        <w:jc w:val="both"/>
        <w:rPr>
          <w:rFonts w:ascii="宋体" w:hAnsi="宋体"/>
          <w:sz w:val="24"/>
          <w:szCs w:val="24"/>
        </w:rPr>
      </w:pPr>
      <w:bookmarkStart w:id="50" w:name="_Toc234982932"/>
      <w:bookmarkEnd w:id="50"/>
      <w:bookmarkStart w:id="51" w:name="_Toc234982931"/>
      <w:bookmarkEnd w:id="51"/>
      <w:bookmarkStart w:id="52" w:name="_Toc413679730"/>
      <w:bookmarkEnd w:id="52"/>
      <w:bookmarkStart w:id="53" w:name="_Toc116636494"/>
      <w:bookmarkEnd w:id="53"/>
      <w:bookmarkStart w:id="54" w:name="_Toc234985771"/>
      <w:bookmarkEnd w:id="54"/>
      <w:bookmarkStart w:id="55" w:name="_Ref54339664"/>
      <w:bookmarkEnd w:id="55"/>
      <w:bookmarkStart w:id="56" w:name="_Toc234985772"/>
      <w:bookmarkEnd w:id="56"/>
      <w:bookmarkStart w:id="57" w:name="_Toc130370904"/>
      <w:bookmarkEnd w:id="57"/>
      <w:bookmarkStart w:id="58" w:name="_Toc72415692"/>
      <w:bookmarkStart w:id="59" w:name="_Toc143589464"/>
      <w:bookmarkStart w:id="60" w:name="_Toc457019806"/>
      <w:r>
        <w:rPr>
          <w:rFonts w:hint="eastAsia" w:ascii="宋体" w:hAnsi="宋体"/>
          <w:sz w:val="24"/>
          <w:szCs w:val="24"/>
        </w:rPr>
        <w:t>工程概况</w:t>
      </w:r>
      <w:bookmarkEnd w:id="58"/>
      <w:bookmarkEnd w:id="59"/>
      <w:bookmarkEnd w:id="60"/>
    </w:p>
    <w:p>
      <w:pPr>
        <w:pStyle w:val="7"/>
        <w:widowControl w:val="0"/>
        <w:overflowPunct w:val="0"/>
        <w:spacing w:line="360" w:lineRule="auto"/>
        <w:jc w:val="both"/>
        <w:rPr>
          <w:rFonts w:ascii="宋体" w:hAnsi="宋体"/>
          <w:b/>
          <w:bCs/>
          <w:sz w:val="21"/>
          <w:szCs w:val="21"/>
        </w:rPr>
      </w:pPr>
      <w:bookmarkStart w:id="61" w:name="_Toc38020436"/>
      <w:bookmarkEnd w:id="61"/>
      <w:bookmarkStart w:id="62" w:name="_Toc116636495"/>
      <w:bookmarkEnd w:id="62"/>
      <w:r>
        <w:rPr>
          <w:rFonts w:hint="eastAsia" w:ascii="宋体" w:hAnsi="宋体"/>
          <w:b/>
          <w:bCs/>
          <w:sz w:val="21"/>
          <w:szCs w:val="21"/>
        </w:rPr>
        <w:t>1.</w:t>
      </w:r>
      <w:r>
        <w:rPr>
          <w:rFonts w:ascii="宋体" w:hAnsi="宋体"/>
          <w:b/>
          <w:bCs/>
          <w:sz w:val="21"/>
          <w:szCs w:val="21"/>
        </w:rPr>
        <w:t>3</w:t>
      </w:r>
      <w:r>
        <w:rPr>
          <w:rFonts w:hint="eastAsia" w:ascii="宋体" w:hAnsi="宋体"/>
          <w:b/>
          <w:bCs/>
          <w:sz w:val="21"/>
          <w:szCs w:val="21"/>
        </w:rPr>
        <w:t>.1 电站概况</w:t>
      </w:r>
    </w:p>
    <w:p>
      <w:pPr>
        <w:adjustRightInd w:val="0"/>
        <w:snapToGrid w:val="0"/>
        <w:spacing w:line="360" w:lineRule="auto"/>
        <w:ind w:left="840" w:leftChars="400"/>
        <w:rPr>
          <w:rFonts w:ascii="宋体" w:hAnsi="宋体"/>
          <w:szCs w:val="21"/>
        </w:rPr>
      </w:pPr>
      <w:r>
        <w:rPr>
          <w:rFonts w:hint="eastAsia" w:ascii="宋体" w:hAnsi="宋体"/>
          <w:szCs w:val="21"/>
        </w:rPr>
        <w:t>双江航电枢纽工程位于重庆市潼南区城区上游，坝址位于双江镇原三块石坝址下游约</w:t>
      </w:r>
      <w:r>
        <w:rPr>
          <w:rFonts w:ascii="宋体" w:hAnsi="宋体"/>
          <w:szCs w:val="21"/>
        </w:rPr>
        <w:t>500m</w:t>
      </w:r>
      <w:r>
        <w:rPr>
          <w:rFonts w:hint="eastAsia" w:ascii="宋体" w:hAnsi="宋体"/>
          <w:szCs w:val="21"/>
        </w:rPr>
        <w:t>处，是涪江干流重庆段航运自下而上梯级开发（渭沱、安居、富金坝、潼南和双江共</w:t>
      </w:r>
      <w:r>
        <w:rPr>
          <w:rFonts w:ascii="宋体" w:hAnsi="宋体"/>
          <w:szCs w:val="21"/>
        </w:rPr>
        <w:t xml:space="preserve">5 </w:t>
      </w:r>
      <w:r>
        <w:rPr>
          <w:rFonts w:hint="eastAsia" w:ascii="宋体" w:hAnsi="宋体"/>
          <w:szCs w:val="21"/>
        </w:rPr>
        <w:t>个梯级）的第五级，其上游梯级为四川遂宁三星航电工程，下游梯级为潼南航电工程。本工程坝址（厂房）位置距潼南区城区约</w:t>
      </w:r>
      <w:r>
        <w:rPr>
          <w:rFonts w:ascii="宋体" w:hAnsi="宋体"/>
          <w:szCs w:val="21"/>
        </w:rPr>
        <w:t>15km</w:t>
      </w:r>
      <w:r>
        <w:rPr>
          <w:rFonts w:hint="eastAsia" w:ascii="宋体" w:hAnsi="宋体"/>
          <w:szCs w:val="21"/>
        </w:rPr>
        <w:t>，该工程规划开发任务以航运为主，兼顾发电、供水、河道生态修复等综合利用要求。工程正常蓄水位</w:t>
      </w:r>
      <w:r>
        <w:rPr>
          <w:rFonts w:ascii="宋体" w:hAnsi="宋体"/>
          <w:szCs w:val="21"/>
        </w:rPr>
        <w:t>249.00m</w:t>
      </w:r>
      <w:r>
        <w:rPr>
          <w:rFonts w:hint="eastAsia" w:ascii="宋体" w:hAnsi="宋体"/>
          <w:szCs w:val="21"/>
        </w:rPr>
        <w:t>，相应库容</w:t>
      </w:r>
      <w:r>
        <w:rPr>
          <w:rFonts w:ascii="宋体" w:hAnsi="宋体"/>
          <w:szCs w:val="21"/>
        </w:rPr>
        <w:t>4868</w:t>
      </w:r>
      <w:r>
        <w:rPr>
          <w:rFonts w:hint="eastAsia" w:ascii="宋体" w:hAnsi="宋体"/>
          <w:szCs w:val="21"/>
        </w:rPr>
        <w:t>万</w:t>
      </w:r>
      <w:r>
        <w:rPr>
          <w:rFonts w:ascii="宋体" w:hAnsi="宋体"/>
          <w:szCs w:val="21"/>
        </w:rPr>
        <w:t>m</w:t>
      </w:r>
      <w:r>
        <w:rPr>
          <w:rFonts w:ascii="宋体" w:hAnsi="宋体"/>
          <w:szCs w:val="21"/>
          <w:vertAlign w:val="superscript"/>
        </w:rPr>
        <w:t>3</w:t>
      </w:r>
      <w:r>
        <w:rPr>
          <w:rFonts w:hint="eastAsia" w:ascii="宋体" w:hAnsi="宋体"/>
          <w:szCs w:val="21"/>
        </w:rPr>
        <w:t>，校核洪水位</w:t>
      </w:r>
      <w:r>
        <w:rPr>
          <w:rFonts w:ascii="宋体" w:hAnsi="宋体"/>
          <w:szCs w:val="21"/>
        </w:rPr>
        <w:t>251.90m</w:t>
      </w:r>
      <w:r>
        <w:rPr>
          <w:rFonts w:hint="eastAsia" w:ascii="宋体" w:hAnsi="宋体"/>
          <w:szCs w:val="21"/>
        </w:rPr>
        <w:t>（</w:t>
      </w:r>
      <w:r>
        <w:rPr>
          <w:rFonts w:ascii="宋体" w:hAnsi="宋体"/>
          <w:szCs w:val="21"/>
        </w:rPr>
        <w:t>P=0.2%</w:t>
      </w:r>
      <w:r>
        <w:rPr>
          <w:rFonts w:hint="eastAsia" w:ascii="宋体" w:hAnsi="宋体"/>
          <w:szCs w:val="21"/>
        </w:rPr>
        <w:t>），相应流量</w:t>
      </w:r>
      <w:r>
        <w:rPr>
          <w:rFonts w:ascii="宋体" w:hAnsi="宋体"/>
          <w:szCs w:val="21"/>
        </w:rPr>
        <w:t>35200m</w:t>
      </w:r>
      <w:r>
        <w:rPr>
          <w:rFonts w:ascii="宋体" w:hAnsi="宋体"/>
          <w:szCs w:val="21"/>
          <w:vertAlign w:val="superscript"/>
        </w:rPr>
        <w:t>3</w:t>
      </w:r>
      <w:r>
        <w:rPr>
          <w:rFonts w:ascii="宋体" w:hAnsi="宋体"/>
          <w:szCs w:val="21"/>
        </w:rPr>
        <w:t>/s</w:t>
      </w:r>
      <w:r>
        <w:rPr>
          <w:rFonts w:hint="eastAsia" w:ascii="宋体" w:hAnsi="宋体"/>
          <w:szCs w:val="21"/>
        </w:rPr>
        <w:t>，总库容</w:t>
      </w:r>
      <w:r>
        <w:rPr>
          <w:rFonts w:ascii="宋体" w:hAnsi="宋体"/>
          <w:szCs w:val="21"/>
        </w:rPr>
        <w:t>1.61</w:t>
      </w:r>
      <w:r>
        <w:rPr>
          <w:rFonts w:hint="eastAsia" w:ascii="宋体" w:hAnsi="宋体"/>
          <w:szCs w:val="21"/>
        </w:rPr>
        <w:t>亿</w:t>
      </w:r>
      <w:r>
        <w:rPr>
          <w:rFonts w:ascii="宋体" w:hAnsi="宋体"/>
          <w:szCs w:val="21"/>
        </w:rPr>
        <w:t>m</w:t>
      </w:r>
      <w:r>
        <w:rPr>
          <w:rFonts w:ascii="宋体" w:hAnsi="宋体"/>
          <w:szCs w:val="21"/>
          <w:vertAlign w:val="superscript"/>
        </w:rPr>
        <w:t>3</w:t>
      </w:r>
      <w:r>
        <w:rPr>
          <w:rFonts w:hint="eastAsia" w:ascii="宋体" w:hAnsi="宋体"/>
          <w:szCs w:val="21"/>
        </w:rPr>
        <w:t>。通航建筑物建设按内河Ⅳ级（</w:t>
      </w:r>
      <w:r>
        <w:rPr>
          <w:rFonts w:ascii="宋体" w:hAnsi="宋体"/>
          <w:szCs w:val="21"/>
        </w:rPr>
        <w:t>500</w:t>
      </w:r>
      <w:r>
        <w:rPr>
          <w:rFonts w:hint="eastAsia" w:ascii="宋体" w:hAnsi="宋体"/>
          <w:szCs w:val="21"/>
        </w:rPr>
        <w:t>吨级），可通行</w:t>
      </w:r>
      <w:r>
        <w:rPr>
          <w:rFonts w:ascii="宋体" w:hAnsi="宋体"/>
          <w:szCs w:val="21"/>
        </w:rPr>
        <w:t>1000</w:t>
      </w:r>
      <w:r>
        <w:rPr>
          <w:rFonts w:hint="eastAsia" w:ascii="宋体" w:hAnsi="宋体"/>
          <w:szCs w:val="21"/>
        </w:rPr>
        <w:t>吨</w:t>
      </w:r>
    </w:p>
    <w:p>
      <w:pPr>
        <w:adjustRightInd w:val="0"/>
        <w:snapToGrid w:val="0"/>
        <w:spacing w:line="360" w:lineRule="auto"/>
        <w:ind w:left="840" w:leftChars="400"/>
        <w:rPr>
          <w:rFonts w:ascii="宋体" w:hAnsi="宋体"/>
          <w:szCs w:val="21"/>
        </w:rPr>
      </w:pPr>
      <w:r>
        <w:rPr>
          <w:rFonts w:hint="eastAsia" w:ascii="宋体" w:hAnsi="宋体"/>
          <w:szCs w:val="21"/>
        </w:rPr>
        <w:t>船舶标准建设，航道等级为</w:t>
      </w:r>
      <w:r>
        <w:rPr>
          <w:rFonts w:ascii="宋体" w:hAnsi="宋体"/>
          <w:szCs w:val="21"/>
        </w:rPr>
        <w:t>IV</w:t>
      </w:r>
      <w:r>
        <w:rPr>
          <w:rFonts w:hint="eastAsia" w:ascii="宋体" w:hAnsi="宋体"/>
          <w:szCs w:val="21"/>
        </w:rPr>
        <w:t>级；电站装机容量</w:t>
      </w:r>
      <w:r>
        <w:rPr>
          <w:rFonts w:ascii="宋体" w:hAnsi="宋体"/>
          <w:szCs w:val="21"/>
        </w:rPr>
        <w:t>48.00MW</w:t>
      </w:r>
      <w:r>
        <w:rPr>
          <w:rFonts w:hint="eastAsia" w:ascii="宋体" w:hAnsi="宋体"/>
          <w:szCs w:val="21"/>
        </w:rPr>
        <w:t>。本工程等别为Ⅱ等，工程规模为大（</w:t>
      </w:r>
      <w:r>
        <w:rPr>
          <w:rFonts w:ascii="宋体" w:hAnsi="宋体"/>
          <w:szCs w:val="21"/>
        </w:rPr>
        <w:t>2</w:t>
      </w:r>
      <w:r>
        <w:rPr>
          <w:rFonts w:hint="eastAsia" w:ascii="宋体" w:hAnsi="宋体"/>
          <w:szCs w:val="21"/>
        </w:rPr>
        <w:t>）型，枢纽主要建筑物泄水闸、船闸上下闸首和闸室、发电厂房、挡水土坝为</w:t>
      </w:r>
      <w:r>
        <w:rPr>
          <w:rFonts w:ascii="宋体" w:hAnsi="宋体"/>
          <w:szCs w:val="21"/>
        </w:rPr>
        <w:t>3</w:t>
      </w:r>
      <w:r>
        <w:rPr>
          <w:rFonts w:hint="eastAsia" w:ascii="宋体" w:hAnsi="宋体"/>
          <w:szCs w:val="21"/>
        </w:rPr>
        <w:t>级建筑物，引航道建筑物等次要建筑物为</w:t>
      </w:r>
      <w:r>
        <w:rPr>
          <w:rFonts w:ascii="宋体" w:hAnsi="宋体"/>
          <w:szCs w:val="21"/>
        </w:rPr>
        <w:t>4</w:t>
      </w:r>
      <w:r>
        <w:rPr>
          <w:rFonts w:hint="eastAsia" w:ascii="宋体" w:hAnsi="宋体"/>
          <w:szCs w:val="21"/>
        </w:rPr>
        <w:t>级，临时建筑物为</w:t>
      </w:r>
      <w:r>
        <w:rPr>
          <w:rFonts w:ascii="宋体" w:hAnsi="宋体"/>
          <w:szCs w:val="21"/>
        </w:rPr>
        <w:t>5</w:t>
      </w:r>
      <w:r>
        <w:rPr>
          <w:rFonts w:hint="eastAsia" w:ascii="宋体" w:hAnsi="宋体"/>
          <w:szCs w:val="21"/>
        </w:rPr>
        <w:t>级。</w:t>
      </w:r>
    </w:p>
    <w:p>
      <w:pPr>
        <w:adjustRightInd w:val="0"/>
        <w:snapToGrid w:val="0"/>
        <w:spacing w:line="360" w:lineRule="auto"/>
        <w:ind w:left="840" w:leftChars="400"/>
        <w:rPr>
          <w:rFonts w:ascii="宋体" w:hAnsi="宋体"/>
          <w:szCs w:val="21"/>
        </w:rPr>
      </w:pPr>
      <w:r>
        <w:rPr>
          <w:rFonts w:hint="eastAsia" w:ascii="宋体" w:hAnsi="宋体"/>
          <w:szCs w:val="21"/>
        </w:rPr>
        <w:t>枢纽工程沿坝轴线全长</w:t>
      </w:r>
      <w:r>
        <w:rPr>
          <w:rFonts w:ascii="宋体" w:hAnsi="宋体"/>
          <w:szCs w:val="21"/>
        </w:rPr>
        <w:t>514.60m</w:t>
      </w:r>
      <w:r>
        <w:rPr>
          <w:rFonts w:hint="eastAsia" w:ascii="宋体" w:hAnsi="宋体"/>
          <w:szCs w:val="21"/>
        </w:rPr>
        <w:t>、坝顶高程</w:t>
      </w:r>
      <w:r>
        <w:rPr>
          <w:rFonts w:ascii="宋体" w:hAnsi="宋体"/>
          <w:szCs w:val="21"/>
        </w:rPr>
        <w:t>259.90m</w:t>
      </w:r>
      <w:r>
        <w:rPr>
          <w:rFonts w:hint="eastAsia" w:ascii="宋体" w:hAnsi="宋体"/>
          <w:szCs w:val="21"/>
        </w:rPr>
        <w:t>。电站厂房为河床式厂房，布置于船闸左侧，厂房前沿总长</w:t>
      </w:r>
      <w:r>
        <w:rPr>
          <w:rFonts w:ascii="宋体" w:hAnsi="宋体"/>
          <w:szCs w:val="21"/>
        </w:rPr>
        <w:t>81.50m</w:t>
      </w:r>
      <w:r>
        <w:rPr>
          <w:rFonts w:hint="eastAsia" w:ascii="宋体" w:hAnsi="宋体"/>
          <w:szCs w:val="21"/>
        </w:rPr>
        <w:t>，主机间共布置</w:t>
      </w:r>
      <w:r>
        <w:rPr>
          <w:rFonts w:ascii="宋体" w:hAnsi="宋体"/>
          <w:szCs w:val="21"/>
        </w:rPr>
        <w:t>3</w:t>
      </w:r>
      <w:r>
        <w:rPr>
          <w:rFonts w:hint="eastAsia" w:ascii="宋体" w:hAnsi="宋体"/>
          <w:szCs w:val="21"/>
        </w:rPr>
        <w:t>台灯泡式贯流机组，总装机容量</w:t>
      </w:r>
      <w:r>
        <w:rPr>
          <w:rFonts w:ascii="宋体" w:hAnsi="宋体"/>
          <w:szCs w:val="21"/>
        </w:rPr>
        <w:t>48.00MW</w:t>
      </w:r>
      <w:r>
        <w:rPr>
          <w:rFonts w:hint="eastAsia" w:ascii="宋体" w:hAnsi="宋体"/>
          <w:szCs w:val="21"/>
        </w:rPr>
        <w:t>，电站厂房采用垂直进厂方式。鱼道布置于河床右岸，进口位于厂房尾水渠右侧末端，鱼道出口位于电站进水渠上游。坝顶上游侧布置一条宽</w:t>
      </w:r>
      <w:r>
        <w:rPr>
          <w:rFonts w:ascii="宋体" w:hAnsi="宋体"/>
          <w:szCs w:val="21"/>
        </w:rPr>
        <w:t>8.50m</w:t>
      </w:r>
      <w:r>
        <w:rPr>
          <w:rFonts w:hint="eastAsia" w:ascii="宋体" w:hAnsi="宋体"/>
          <w:szCs w:val="21"/>
        </w:rPr>
        <w:t>贯穿整个枢纽的坝顶交通桥，桥顶高程与坝顶高程同高。枢纽右岸与现有公路衔接，左岸通过加高的汉江右岸岸堤与汉江右岸岸堤相连。</w:t>
      </w:r>
    </w:p>
    <w:p>
      <w:pPr>
        <w:adjustRightInd w:val="0"/>
        <w:snapToGrid w:val="0"/>
        <w:spacing w:line="360" w:lineRule="auto"/>
        <w:ind w:left="840" w:leftChars="400"/>
        <w:rPr>
          <w:rFonts w:ascii="宋体" w:hAnsi="宋体"/>
          <w:szCs w:val="21"/>
        </w:rPr>
      </w:pPr>
      <w:r>
        <w:rPr>
          <w:rFonts w:hint="eastAsia" w:ascii="宋体" w:hAnsi="宋体"/>
          <w:szCs w:val="21"/>
        </w:rPr>
        <w:t>本电站的开发任务是</w:t>
      </w:r>
      <w:r>
        <w:rPr>
          <w:rFonts w:ascii="宋体" w:hAnsi="宋体"/>
          <w:szCs w:val="21"/>
        </w:rPr>
        <w:t>以航运为主兼顾发电、河道生态修复等综合利用</w:t>
      </w:r>
      <w:r>
        <w:rPr>
          <w:rFonts w:hint="eastAsia" w:ascii="宋体" w:hAnsi="宋体"/>
          <w:szCs w:val="21"/>
        </w:rPr>
        <w:t>。建成后电能送入</w:t>
      </w:r>
      <w:r>
        <w:rPr>
          <w:rFonts w:ascii="宋体" w:hAnsi="宋体"/>
          <w:szCs w:val="21"/>
        </w:rPr>
        <w:t>重庆市统调电网</w:t>
      </w:r>
      <w:r>
        <w:rPr>
          <w:rFonts w:hint="eastAsia" w:ascii="宋体" w:hAnsi="宋体"/>
          <w:szCs w:val="21"/>
        </w:rPr>
        <w:t>，电站按“无人值班”（少人值守）原则设计，采用全计算机监控系统。</w:t>
      </w:r>
    </w:p>
    <w:p>
      <w:pPr>
        <w:pStyle w:val="7"/>
        <w:widowControl w:val="0"/>
        <w:overflowPunct w:val="0"/>
        <w:spacing w:line="360" w:lineRule="auto"/>
        <w:jc w:val="both"/>
        <w:rPr>
          <w:rFonts w:ascii="宋体" w:hAnsi="宋体"/>
          <w:b/>
          <w:bCs/>
          <w:sz w:val="21"/>
          <w:szCs w:val="21"/>
        </w:rPr>
      </w:pPr>
      <w:r>
        <w:rPr>
          <w:rFonts w:hint="eastAsia" w:ascii="宋体" w:hAnsi="宋体"/>
          <w:b/>
          <w:bCs/>
          <w:sz w:val="21"/>
          <w:szCs w:val="21"/>
        </w:rPr>
        <w:t>1.</w:t>
      </w:r>
      <w:r>
        <w:rPr>
          <w:rFonts w:ascii="宋体" w:hAnsi="宋体"/>
          <w:b/>
          <w:bCs/>
          <w:sz w:val="21"/>
          <w:szCs w:val="21"/>
        </w:rPr>
        <w:t>3</w:t>
      </w:r>
      <w:r>
        <w:rPr>
          <w:rFonts w:hint="eastAsia" w:ascii="宋体" w:hAnsi="宋体"/>
          <w:b/>
          <w:bCs/>
          <w:sz w:val="21"/>
          <w:szCs w:val="21"/>
        </w:rPr>
        <w:t>.2 自然环境条件</w:t>
      </w:r>
    </w:p>
    <w:p>
      <w:pPr>
        <w:adjustRightInd w:val="0"/>
        <w:snapToGrid w:val="0"/>
        <w:spacing w:line="360" w:lineRule="auto"/>
        <w:ind w:left="840" w:leftChars="400"/>
        <w:rPr>
          <w:rFonts w:ascii="宋体" w:hAnsi="宋体"/>
          <w:szCs w:val="21"/>
        </w:rPr>
      </w:pPr>
      <w:r>
        <w:rPr>
          <w:rFonts w:hint="eastAsia" w:ascii="宋体" w:hAnsi="宋体"/>
          <w:szCs w:val="21"/>
        </w:rPr>
        <w:t xml:space="preserve">发电机层高程       </w:t>
      </w:r>
      <w:r>
        <w:rPr>
          <w:rFonts w:ascii="宋体" w:hAnsi="宋体"/>
          <w:szCs w:val="21"/>
        </w:rPr>
        <w:t>240.00</w:t>
      </w:r>
      <w:r>
        <w:rPr>
          <w:rFonts w:hint="eastAsia" w:ascii="宋体" w:hAnsi="宋体"/>
          <w:szCs w:val="21"/>
        </w:rPr>
        <w:t>m</w:t>
      </w:r>
    </w:p>
    <w:p>
      <w:pPr>
        <w:adjustRightInd w:val="0"/>
        <w:snapToGrid w:val="0"/>
        <w:spacing w:line="360" w:lineRule="auto"/>
        <w:ind w:left="840" w:leftChars="400"/>
        <w:rPr>
          <w:rFonts w:ascii="宋体" w:hAnsi="宋体"/>
          <w:szCs w:val="21"/>
        </w:rPr>
      </w:pPr>
      <w:r>
        <w:rPr>
          <w:rFonts w:ascii="宋体" w:hAnsi="宋体"/>
          <w:szCs w:val="21"/>
        </w:rPr>
        <w:t>多年平均气温       17.5℃</w:t>
      </w:r>
    </w:p>
    <w:p>
      <w:pPr>
        <w:adjustRightInd w:val="0"/>
        <w:snapToGrid w:val="0"/>
        <w:spacing w:line="360" w:lineRule="auto"/>
        <w:ind w:left="840" w:leftChars="400"/>
        <w:rPr>
          <w:rFonts w:ascii="宋体" w:hAnsi="宋体"/>
          <w:szCs w:val="21"/>
        </w:rPr>
      </w:pPr>
      <w:r>
        <w:rPr>
          <w:rFonts w:ascii="宋体" w:hAnsi="宋体"/>
          <w:szCs w:val="21"/>
        </w:rPr>
        <w:t>极端最高气温       44.8℃</w:t>
      </w:r>
    </w:p>
    <w:p>
      <w:pPr>
        <w:adjustRightInd w:val="0"/>
        <w:snapToGrid w:val="0"/>
        <w:spacing w:line="360" w:lineRule="auto"/>
        <w:ind w:left="840" w:leftChars="400"/>
        <w:rPr>
          <w:rFonts w:ascii="宋体" w:hAnsi="宋体"/>
          <w:szCs w:val="21"/>
        </w:rPr>
      </w:pPr>
      <w:r>
        <w:rPr>
          <w:rFonts w:ascii="宋体" w:hAnsi="宋体"/>
          <w:szCs w:val="21"/>
        </w:rPr>
        <w:t>极端最低气温       -2.3℃</w:t>
      </w:r>
    </w:p>
    <w:p>
      <w:pPr>
        <w:adjustRightInd w:val="0"/>
        <w:snapToGrid w:val="0"/>
        <w:spacing w:line="360" w:lineRule="auto"/>
        <w:ind w:left="840" w:leftChars="400"/>
        <w:rPr>
          <w:rFonts w:ascii="宋体" w:hAnsi="宋体"/>
          <w:szCs w:val="21"/>
        </w:rPr>
      </w:pPr>
      <w:r>
        <w:rPr>
          <w:rFonts w:ascii="宋体" w:hAnsi="宋体"/>
          <w:szCs w:val="21"/>
        </w:rPr>
        <w:t>多年平均相对湿度   84.0％</w:t>
      </w:r>
    </w:p>
    <w:p>
      <w:pPr>
        <w:adjustRightInd w:val="0"/>
        <w:snapToGrid w:val="0"/>
        <w:spacing w:line="360" w:lineRule="auto"/>
        <w:ind w:left="840" w:leftChars="400"/>
        <w:rPr>
          <w:rFonts w:ascii="宋体" w:hAnsi="宋体"/>
          <w:szCs w:val="21"/>
        </w:rPr>
      </w:pPr>
      <w:r>
        <w:rPr>
          <w:rFonts w:hint="eastAsia" w:ascii="宋体" w:hAnsi="宋体"/>
          <w:szCs w:val="21"/>
        </w:rPr>
        <w:t xml:space="preserve">地震烈度 </w:t>
      </w:r>
      <w:r>
        <w:rPr>
          <w:rFonts w:ascii="宋体" w:hAnsi="宋体"/>
          <w:szCs w:val="21"/>
        </w:rPr>
        <w:t xml:space="preserve">          Ⅵ</w:t>
      </w:r>
      <w:r>
        <w:rPr>
          <w:rFonts w:hint="eastAsia" w:ascii="宋体" w:hAnsi="宋体"/>
          <w:szCs w:val="21"/>
        </w:rPr>
        <w:t>度</w:t>
      </w:r>
    </w:p>
    <w:p>
      <w:pPr>
        <w:adjustRightInd w:val="0"/>
        <w:snapToGrid w:val="0"/>
        <w:spacing w:line="360" w:lineRule="auto"/>
        <w:ind w:left="840" w:leftChars="400"/>
      </w:pPr>
      <w:r>
        <w:rPr>
          <w:rFonts w:hint="eastAsia" w:ascii="宋体" w:hAnsi="宋体"/>
          <w:szCs w:val="21"/>
        </w:rPr>
        <w:t xml:space="preserve">地震动峰值加速度   0.05g           </w:t>
      </w:r>
      <w:r>
        <w:rPr>
          <w:rFonts w:hint="eastAsia"/>
        </w:rPr>
        <w:t xml:space="preserve">             </w:t>
      </w:r>
    </w:p>
    <w:p>
      <w:pPr>
        <w:pStyle w:val="7"/>
        <w:widowControl w:val="0"/>
        <w:overflowPunct w:val="0"/>
        <w:spacing w:line="360" w:lineRule="auto"/>
        <w:jc w:val="both"/>
        <w:rPr>
          <w:rFonts w:ascii="宋体" w:hAnsi="宋体"/>
          <w:b/>
          <w:bCs/>
          <w:sz w:val="21"/>
          <w:szCs w:val="21"/>
        </w:rPr>
      </w:pPr>
      <w:r>
        <w:rPr>
          <w:rFonts w:hint="eastAsia" w:ascii="宋体" w:hAnsi="宋体"/>
          <w:b/>
          <w:bCs/>
          <w:sz w:val="21"/>
          <w:szCs w:val="21"/>
        </w:rPr>
        <w:t>1.</w:t>
      </w:r>
      <w:r>
        <w:rPr>
          <w:rFonts w:ascii="宋体" w:hAnsi="宋体"/>
          <w:b/>
          <w:bCs/>
          <w:sz w:val="21"/>
          <w:szCs w:val="21"/>
        </w:rPr>
        <w:t>3</w:t>
      </w:r>
      <w:r>
        <w:rPr>
          <w:rFonts w:hint="eastAsia" w:ascii="宋体" w:hAnsi="宋体"/>
          <w:b/>
          <w:bCs/>
          <w:sz w:val="21"/>
          <w:szCs w:val="21"/>
        </w:rPr>
        <w:t>.3 交通运输条件</w:t>
      </w:r>
    </w:p>
    <w:p>
      <w:pPr>
        <w:adjustRightInd w:val="0"/>
        <w:snapToGrid w:val="0"/>
        <w:spacing w:line="360" w:lineRule="auto"/>
        <w:ind w:left="840" w:leftChars="400"/>
        <w:rPr>
          <w:rFonts w:ascii="宋体" w:hAnsi="宋体"/>
          <w:szCs w:val="21"/>
        </w:rPr>
      </w:pPr>
      <w:r>
        <w:rPr>
          <w:rFonts w:ascii="宋体" w:hAnsi="宋体"/>
          <w:szCs w:val="21"/>
        </w:rPr>
        <w:t>铁路/公路</w:t>
      </w:r>
      <w:r>
        <w:rPr>
          <w:rFonts w:hint="eastAsia" w:ascii="宋体" w:hAnsi="宋体"/>
          <w:szCs w:val="21"/>
        </w:rPr>
        <w:t>：</w:t>
      </w:r>
      <w:r>
        <w:rPr>
          <w:rFonts w:ascii="宋体" w:hAnsi="宋体"/>
          <w:szCs w:val="21"/>
        </w:rPr>
        <w:t>双江航电枢纽工程距下游潼南区主城区约15km处，东南距重庆市约110km，北西距成都约210km。对外交通方便，主要为G93成渝环线高速、国道319线、省道S205线、渝遂铁路等主、次要通道通达现场。</w:t>
      </w:r>
      <w:r>
        <w:rPr>
          <w:rFonts w:hint="eastAsia" w:ascii="宋体" w:hAnsi="宋体"/>
          <w:szCs w:val="21"/>
        </w:rPr>
        <w:t>电站交通条件仅供参考，最终由卖方调研并负责运输。</w:t>
      </w:r>
    </w:p>
    <w:p>
      <w:pPr>
        <w:adjustRightInd w:val="0"/>
        <w:snapToGrid w:val="0"/>
        <w:spacing w:line="360" w:lineRule="auto"/>
        <w:ind w:left="840" w:leftChars="400"/>
        <w:rPr>
          <w:rFonts w:ascii="宋体" w:hAnsi="宋体"/>
          <w:szCs w:val="21"/>
        </w:rPr>
      </w:pPr>
      <w:r>
        <w:rPr>
          <w:rFonts w:ascii="宋体" w:hAnsi="宋体"/>
          <w:szCs w:val="21"/>
        </w:rPr>
        <w:t>坝区公路</w:t>
      </w:r>
      <w:r>
        <w:rPr>
          <w:rFonts w:hint="eastAsia" w:ascii="宋体" w:hAnsi="宋体"/>
          <w:szCs w:val="21"/>
        </w:rPr>
        <w:t>：</w:t>
      </w:r>
      <w:r>
        <w:rPr>
          <w:rFonts w:ascii="宋体" w:hAnsi="宋体"/>
          <w:szCs w:val="21"/>
        </w:rPr>
        <w:t>坝址右岸距省道S205线有临时公路通过，通往潼南区城区；左岸交通结合工程永久上坝公路。左右岸通过坝址下游10多km涪江大桥联系。</w:t>
      </w:r>
    </w:p>
    <w:p>
      <w:pPr>
        <w:adjustRightInd w:val="0"/>
        <w:snapToGrid w:val="0"/>
        <w:spacing w:line="360" w:lineRule="auto"/>
        <w:ind w:left="840" w:leftChars="400"/>
        <w:rPr>
          <w:rFonts w:ascii="宋体" w:hAnsi="宋体"/>
          <w:szCs w:val="21"/>
        </w:rPr>
      </w:pPr>
      <w:r>
        <w:rPr>
          <w:rFonts w:hint="eastAsia" w:ascii="宋体" w:hAnsi="宋体"/>
          <w:szCs w:val="21"/>
        </w:rPr>
        <w:t>电站内交通：电站进厂交通通过坝顶交通进入安装间，并通过大件吊物孔进入厂房。</w:t>
      </w:r>
    </w:p>
    <w:p>
      <w:pPr>
        <w:pStyle w:val="7"/>
        <w:widowControl w:val="0"/>
        <w:overflowPunct w:val="0"/>
        <w:spacing w:line="360" w:lineRule="auto"/>
        <w:jc w:val="both"/>
        <w:rPr>
          <w:rFonts w:ascii="宋体" w:hAnsi="宋体"/>
          <w:b/>
          <w:bCs/>
          <w:sz w:val="21"/>
          <w:szCs w:val="21"/>
        </w:rPr>
      </w:pPr>
      <w:r>
        <w:rPr>
          <w:rFonts w:hint="eastAsia" w:ascii="宋体" w:hAnsi="宋体"/>
          <w:b/>
          <w:bCs/>
          <w:sz w:val="21"/>
          <w:szCs w:val="21"/>
        </w:rPr>
        <w:t>1.</w:t>
      </w:r>
      <w:r>
        <w:rPr>
          <w:rFonts w:ascii="宋体" w:hAnsi="宋体"/>
          <w:b/>
          <w:bCs/>
          <w:sz w:val="21"/>
          <w:szCs w:val="21"/>
        </w:rPr>
        <w:t>3</w:t>
      </w:r>
      <w:r>
        <w:rPr>
          <w:rFonts w:hint="eastAsia" w:ascii="宋体" w:hAnsi="宋体"/>
          <w:b/>
          <w:bCs/>
          <w:sz w:val="21"/>
          <w:szCs w:val="21"/>
        </w:rPr>
        <w:t>.4 电站建设进度计划</w:t>
      </w:r>
    </w:p>
    <w:p>
      <w:pPr>
        <w:adjustRightInd w:val="0"/>
        <w:snapToGrid w:val="0"/>
        <w:spacing w:line="360" w:lineRule="auto"/>
        <w:ind w:left="840" w:leftChars="400"/>
        <w:rPr>
          <w:rFonts w:ascii="宋体" w:hAnsi="宋体"/>
          <w:szCs w:val="21"/>
        </w:rPr>
      </w:pPr>
      <w:r>
        <w:rPr>
          <w:rFonts w:hint="eastAsia" w:ascii="宋体" w:hAnsi="宋体"/>
          <w:szCs w:val="21"/>
        </w:rPr>
        <w:t>工程建设总工期预计为55个月，2024年</w:t>
      </w:r>
      <w:r>
        <w:rPr>
          <w:rFonts w:ascii="宋体" w:hAnsi="宋体"/>
          <w:szCs w:val="21"/>
        </w:rPr>
        <w:t>4</w:t>
      </w:r>
      <w:r>
        <w:rPr>
          <w:rFonts w:hint="eastAsia" w:ascii="宋体" w:hAnsi="宋体"/>
          <w:szCs w:val="21"/>
        </w:rPr>
        <w:t>月底首台机组具备发电条件，2025年</w:t>
      </w:r>
      <w:r>
        <w:rPr>
          <w:rFonts w:ascii="宋体" w:hAnsi="宋体"/>
          <w:szCs w:val="21"/>
        </w:rPr>
        <w:t>3</w:t>
      </w:r>
      <w:r>
        <w:rPr>
          <w:rFonts w:hint="eastAsia" w:ascii="宋体" w:hAnsi="宋体"/>
          <w:szCs w:val="21"/>
        </w:rPr>
        <w:t>月底2#、3#机组具备发电条件。</w:t>
      </w:r>
    </w:p>
    <w:p>
      <w:pPr>
        <w:pStyle w:val="6"/>
        <w:widowControl w:val="0"/>
        <w:numPr>
          <w:ilvl w:val="1"/>
          <w:numId w:val="16"/>
        </w:numPr>
        <w:tabs>
          <w:tab w:val="left" w:pos="709"/>
          <w:tab w:val="clear" w:pos="964"/>
        </w:tabs>
        <w:snapToGrid/>
        <w:spacing w:before="93" w:beforeLines="30" w:after="93" w:afterLines="30" w:line="300" w:lineRule="auto"/>
        <w:jc w:val="both"/>
        <w:rPr>
          <w:rFonts w:ascii="宋体" w:hAnsi="宋体"/>
          <w:sz w:val="24"/>
          <w:szCs w:val="24"/>
        </w:rPr>
      </w:pPr>
      <w:bookmarkStart w:id="63" w:name="_Toc70996667"/>
      <w:bookmarkEnd w:id="63"/>
      <w:bookmarkStart w:id="64" w:name="_Toc73415963"/>
      <w:bookmarkEnd w:id="64"/>
      <w:bookmarkStart w:id="65" w:name="_Toc73416608"/>
      <w:bookmarkEnd w:id="65"/>
      <w:bookmarkStart w:id="66" w:name="_Toc69733297"/>
      <w:bookmarkEnd w:id="66"/>
      <w:bookmarkStart w:id="67" w:name="_Toc73416761"/>
      <w:bookmarkEnd w:id="67"/>
      <w:bookmarkStart w:id="68" w:name="_Toc143406367"/>
      <w:bookmarkEnd w:id="68"/>
      <w:bookmarkStart w:id="69" w:name="_Toc413679731"/>
      <w:bookmarkEnd w:id="69"/>
      <w:bookmarkStart w:id="70" w:name="_Toc75871208"/>
      <w:bookmarkEnd w:id="70"/>
      <w:bookmarkStart w:id="71" w:name="_Ref143492203"/>
      <w:bookmarkEnd w:id="71"/>
      <w:bookmarkStart w:id="72" w:name="_Ref143525494"/>
      <w:bookmarkEnd w:id="72"/>
      <w:bookmarkStart w:id="73" w:name="_Toc72415693"/>
      <w:bookmarkStart w:id="74" w:name="_Toc143589465"/>
      <w:bookmarkStart w:id="75" w:name="_Toc70996973"/>
      <w:r>
        <w:rPr>
          <w:rFonts w:hint="eastAsia" w:ascii="宋体" w:hAnsi="宋体"/>
          <w:sz w:val="24"/>
          <w:szCs w:val="24"/>
        </w:rPr>
        <w:t>标准和规程</w:t>
      </w:r>
      <w:bookmarkEnd w:id="73"/>
      <w:bookmarkEnd w:id="74"/>
      <w:bookmarkEnd w:id="75"/>
    </w:p>
    <w:p>
      <w:pPr>
        <w:pStyle w:val="7"/>
        <w:widowControl w:val="0"/>
        <w:overflowPunct w:val="0"/>
        <w:snapToGrid/>
        <w:spacing w:before="93" w:beforeLines="30" w:after="93" w:afterLines="30" w:line="300" w:lineRule="auto"/>
        <w:ind w:left="703" w:leftChars="-1" w:hanging="705" w:hangingChars="336"/>
        <w:jc w:val="both"/>
        <w:rPr>
          <w:rFonts w:ascii="宋体" w:hAnsi="宋体"/>
          <w:bCs/>
          <w:color w:val="000000"/>
          <w:sz w:val="21"/>
          <w:szCs w:val="21"/>
        </w:rPr>
      </w:pPr>
      <w:r>
        <w:rPr>
          <w:rFonts w:hint="eastAsia" w:ascii="宋体" w:hAnsi="宋体"/>
          <w:bCs/>
          <w:color w:val="000000"/>
          <w:sz w:val="21"/>
          <w:szCs w:val="21"/>
        </w:rPr>
        <w:t>1.4.1在下列标准中，除另有规定外，优先采用中华人民共和国国家标准、电力行业和水电行业标准。在国内标准缺项或不完善时，可参考国外标准，由卖方建议，经买方批准。同时需满足工程设计要求。</w:t>
      </w:r>
    </w:p>
    <w:p>
      <w:pPr>
        <w:spacing w:line="360" w:lineRule="auto"/>
        <w:ind w:left="840" w:leftChars="400"/>
        <w:rPr>
          <w:color w:val="000000"/>
        </w:rPr>
      </w:pPr>
      <w:r>
        <w:rPr>
          <w:rFonts w:hint="eastAsia" w:ascii="宋体" w:hAnsi="宋体"/>
          <w:bCs/>
          <w:color w:val="000000"/>
          <w:szCs w:val="21"/>
        </w:rPr>
        <w:t>1.4.2本合同设备应按照下面所列出的标准和规程进行合同设备的设计、制造、和试验，下列标准或规程与合同文件的规定有矛盾的地方，以合同文件的规定为准。如果下列标准之间存在矛盾，而在本合同文件中又未明确规定，出现不协调时，应以买方的决定为准。本合同中所使用的标准或规程应是合同签定时最新版，若在设计阶段又出现了标准或规程的最新修改版，卖方应尽量采用，对实施中出现的问题由双方协商解决。卖方应说明并提供设备材料、设计、制造、检验、安装和运行所涉及的标准、规范和规程。中国标准采用中文版，国外标准采用英文版。</w:t>
      </w:r>
    </w:p>
    <w:tbl>
      <w:tblPr>
        <w:tblStyle w:val="71"/>
        <w:tblW w:w="8588" w:type="dxa"/>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423"/>
        <w:gridCol w:w="6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6" w:hRule="atLeast"/>
        </w:trPr>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标 准 代 号</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标  准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GB50171</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电气装置安装工程盘、柜及二次接线施工及验收规范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GB/T 3482</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Style w:val="780"/>
                <w:rFonts w:ascii="宋体" w:hAnsi="宋体"/>
                <w:szCs w:val="21"/>
              </w:rPr>
            </w:pPr>
            <w:r>
              <w:rPr>
                <w:rFonts w:hint="eastAsia" w:ascii="宋体" w:hAnsi="宋体"/>
                <w:szCs w:val="21"/>
              </w:rPr>
              <w:t>电子设备雷击试验方法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GB/T 7261</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Style w:val="780"/>
                <w:rFonts w:ascii="宋体" w:hAnsi="宋体"/>
                <w:szCs w:val="21"/>
              </w:rPr>
            </w:pPr>
            <w:r>
              <w:rPr>
                <w:rFonts w:hint="eastAsia" w:ascii="宋体" w:hAnsi="宋体"/>
                <w:szCs w:val="21"/>
              </w:rPr>
              <w:t>继电保护和安全自动装置基本试验方法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GB7947</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人机界面标志标识的基本和安全规则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GB/T 50063</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电力装置的电测量仪表装置设计规范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 4943.1</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信息技术设备安全 第1部分：通用要求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GB/T5169.5</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电工电子产品着火危险试验第2部分：试验方法第2篇：针焰试验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GB/T7261</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继电器及装置基本试验方法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GB9969.1</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工业产品使用说明书总则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GB/T11287</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量度继电器和保护装置的振动试验（正弦）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GB/T14537</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量度继电器和保护装置的冲击与碰撞试验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GB/T14598.3</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量度继电器和保护装置的绝缘试验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GB/T14598.9</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量度继电器和保护装置的电磁干扰试验第3篇：辐射电磁场干扰试验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GB/T14598.10</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量度继电器和保护装置的电磁干扰试验第4篇：快速瞬变干扰试验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GB/T14598.13</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量度继电器和保护装置的电磁干扰试验第1篇：1MHz脉冲群干扰试验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GB/T14598.14</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量度继电器和保护装置的电磁干扰试验第2篇：静电放电试验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GB/T17626.5</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电磁兼容试验和采集技术浪涌（冲击）抗扰度试验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GB/T17626.6</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电磁兼容试验和采集技术射频场感应的传导骚扰抗扰度试验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DL/T478</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静态继电保护及安全白动装置通用技术条件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DL 510</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全国电网名称代码规定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DL/T448</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电能计量装置技术管理规程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DL/T 5137</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电测量及电能计量装置设计技术规程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DL/T 5202</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电能量计量系统设计技术规程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DL/T 549</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电能计量柜基本试验方法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DL/T 825</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电能计量装置安装接线规则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GB/T 16934</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电能计量柜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DL/T 614</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多功能电度表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DL/T 645</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多功能电度表通信协议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DL/T 713</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电能量远方终端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Q/GDW 347</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电能计量装置通用设计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JB/T7828</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继电器及其装置包装贮运技术条件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IEEEStd1344</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电力系统同步相量标准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DL/T 5003</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电力系统调度自动化设计技术规范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IEC60870-5-103</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远动设备及系统传输规约，保护通信配套标准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IEC60870-5-104</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远动网络传输规约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GB 38755</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电力系统安全稳定导则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DL／T 1870</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电力系统网源协调技术规范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DL/T 280</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电力系统同步相量测量装置通用技术条件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DL/T 1402</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厂站端同步相量应用技术规范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Q/GDW 11538</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同步发电机组源网动态性能在线监测技术规范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 xml:space="preserve">Q/GDW 10131 </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电力系统动态监测系统技术规范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NB/T42088</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继电保护信息系统子站技术规范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DL／T 993</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电力系统失步解列装置通用技术条件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DL／T 2016</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电力系统过频切机和过频解列装置通用技术条件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highlight w:val="yellow"/>
              </w:rPr>
            </w:pPr>
            <w:r>
              <w:rPr>
                <w:rFonts w:hint="eastAsia" w:ascii="宋体" w:hAnsi="宋体"/>
                <w:szCs w:val="21"/>
              </w:rPr>
              <w:t>发改委第14号令</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highlight w:val="yellow"/>
              </w:rPr>
            </w:pPr>
            <w:r>
              <w:rPr>
                <w:rFonts w:hint="eastAsia" w:ascii="宋体" w:hAnsi="宋体"/>
                <w:szCs w:val="21"/>
              </w:rPr>
              <w:t>电力监控系统安全防护规定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国能安全[2015]36号文</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国家能源局关于印发电力监控系统安全防护总体方案等安全防护方案和评估规范的通知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国家电网设备〔2018〕979号</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国家电网有限公司关于印发十八项电网重大反事故措施（修订版）的通知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防止电力生产事故的二十五条重点要求</w:t>
            </w:r>
            <w:r>
              <w:rPr>
                <w:rFonts w:ascii="宋体" w:hAnsi="宋体"/>
                <w:szCs w:val="21"/>
              </w:rPr>
              <w:t>(2023</w:t>
            </w:r>
            <w:r>
              <w:rPr>
                <w:rFonts w:hint="eastAsia" w:ascii="宋体" w:hAnsi="宋体"/>
                <w:szCs w:val="21"/>
              </w:rPr>
              <w:t>版</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国家电网水新[20</w:t>
            </w:r>
            <w:r>
              <w:rPr>
                <w:rFonts w:ascii="宋体" w:hAnsi="宋体"/>
                <w:szCs w:val="21"/>
              </w:rPr>
              <w:t>21</w:t>
            </w:r>
            <w:r>
              <w:rPr>
                <w:rFonts w:hint="eastAsia" w:ascii="宋体" w:hAnsi="宋体"/>
                <w:szCs w:val="21"/>
              </w:rPr>
              <w:t>]</w:t>
            </w:r>
            <w:r>
              <w:rPr>
                <w:rFonts w:ascii="宋体" w:hAnsi="宋体"/>
                <w:szCs w:val="21"/>
              </w:rPr>
              <w:t>280</w:t>
            </w:r>
            <w:r>
              <w:rPr>
                <w:rFonts w:hint="eastAsia" w:ascii="宋体" w:hAnsi="宋体"/>
                <w:szCs w:val="21"/>
              </w:rPr>
              <w:t>号文</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国家电网有限公司关于印发水电厂重大反事故措施的通知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调继〔2014〕80号</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国调中心关于印发继电保护设备在线监视与分析应用提升方案的通知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Q/GDW 10131</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szCs w:val="21"/>
              </w:rPr>
            </w:pPr>
            <w:r>
              <w:rPr>
                <w:rFonts w:hint="eastAsia" w:ascii="宋体" w:hAnsi="宋体"/>
                <w:szCs w:val="21"/>
              </w:rPr>
              <w:t>电力系统实时动态监测系统技术规范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42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tLeast"/>
              <w:textAlignment w:val="baseline"/>
              <w:rPr>
                <w:rFonts w:ascii="宋体" w:hAnsi="宋体"/>
                <w:bCs/>
                <w:szCs w:val="21"/>
              </w:rPr>
            </w:pPr>
            <w:r>
              <w:rPr>
                <w:rFonts w:hint="eastAsia" w:ascii="宋体" w:hAnsi="宋体"/>
                <w:szCs w:val="21"/>
              </w:rPr>
              <w:t>西南调〔</w:t>
            </w:r>
            <w:r>
              <w:rPr>
                <w:rFonts w:ascii="宋体" w:hAnsi="宋体"/>
                <w:szCs w:val="21"/>
              </w:rPr>
              <w:t>2018〕70号</w:t>
            </w:r>
          </w:p>
        </w:tc>
        <w:tc>
          <w:tcPr>
            <w:tcW w:w="6165" w:type="dxa"/>
            <w:tcBorders>
              <w:top w:val="single" w:color="auto" w:sz="4" w:space="0"/>
              <w:left w:val="nil"/>
              <w:bottom w:val="single" w:color="auto" w:sz="4" w:space="0"/>
              <w:right w:val="single" w:color="auto" w:sz="4" w:space="0"/>
            </w:tcBorders>
            <w:vAlign w:val="center"/>
          </w:tcPr>
          <w:p>
            <w:pPr>
              <w:adjustRightInd w:val="0"/>
              <w:spacing w:line="360" w:lineRule="atLeast"/>
              <w:textAlignment w:val="baseline"/>
              <w:rPr>
                <w:rFonts w:ascii="宋体" w:hAnsi="宋体"/>
                <w:bCs/>
                <w:szCs w:val="21"/>
              </w:rPr>
            </w:pPr>
            <w:r>
              <w:rPr>
                <w:rFonts w:hint="eastAsia" w:ascii="宋体" w:hAnsi="宋体"/>
                <w:szCs w:val="21"/>
              </w:rPr>
              <w:t>国网西南分中心关于进一步加强西南电网并网发电机网源协调性能在线实时监测工作的通知</w:t>
            </w:r>
          </w:p>
        </w:tc>
      </w:tr>
    </w:tbl>
    <w:p>
      <w:pPr>
        <w:pStyle w:val="7"/>
        <w:widowControl w:val="0"/>
        <w:overflowPunct w:val="0"/>
        <w:snapToGrid/>
        <w:spacing w:before="93" w:beforeLines="30" w:after="93" w:afterLines="30" w:line="300" w:lineRule="auto"/>
        <w:ind w:left="708" w:hanging="708" w:hangingChars="336"/>
        <w:jc w:val="both"/>
        <w:rPr>
          <w:rFonts w:ascii="宋体" w:hAnsi="宋体"/>
          <w:b/>
          <w:bCs/>
          <w:color w:val="000000"/>
          <w:kern w:val="2"/>
          <w:sz w:val="21"/>
          <w:szCs w:val="21"/>
        </w:rPr>
      </w:pPr>
      <w:bookmarkStart w:id="76" w:name="_Toc143406372"/>
      <w:bookmarkEnd w:id="76"/>
      <w:r>
        <w:rPr>
          <w:rFonts w:hint="eastAsia" w:ascii="宋体" w:hAnsi="宋体"/>
          <w:b/>
          <w:bCs/>
          <w:color w:val="000000"/>
          <w:sz w:val="21"/>
          <w:szCs w:val="21"/>
        </w:rPr>
        <w:t>1.4.3  提供的所有设备及零件应按国际标准化组织ISO 9000标准制造，图纸和文件均应采用国际度量制单位(SI)和IEC规定的图例符号表示。</w:t>
      </w:r>
    </w:p>
    <w:p>
      <w:pPr>
        <w:pStyle w:val="7"/>
        <w:widowControl w:val="0"/>
        <w:overflowPunct w:val="0"/>
        <w:snapToGrid/>
        <w:spacing w:before="93" w:beforeLines="30" w:after="93" w:afterLines="30" w:line="300" w:lineRule="auto"/>
        <w:jc w:val="both"/>
        <w:rPr>
          <w:rFonts w:ascii="宋体" w:hAnsi="宋体"/>
          <w:b/>
          <w:bCs/>
          <w:color w:val="000000"/>
          <w:sz w:val="21"/>
          <w:szCs w:val="21"/>
        </w:rPr>
      </w:pPr>
      <w:bookmarkStart w:id="77" w:name="_Toc130370913"/>
      <w:bookmarkEnd w:id="77"/>
      <w:r>
        <w:rPr>
          <w:rFonts w:hint="eastAsia" w:ascii="宋体" w:hAnsi="宋体"/>
          <w:b/>
          <w:bCs/>
          <w:color w:val="000000"/>
          <w:sz w:val="21"/>
          <w:szCs w:val="21"/>
        </w:rPr>
        <w:t>1.4.4  替代标准</w:t>
      </w:r>
    </w:p>
    <w:p>
      <w:pPr>
        <w:snapToGrid w:val="0"/>
        <w:spacing w:line="360" w:lineRule="auto"/>
        <w:ind w:left="993"/>
        <w:rPr>
          <w:rFonts w:ascii="宋体" w:hAnsi="宋体"/>
          <w:color w:val="000000"/>
          <w:szCs w:val="21"/>
        </w:rPr>
      </w:pPr>
      <w:r>
        <w:rPr>
          <w:rFonts w:hint="eastAsia" w:ascii="宋体" w:hAnsi="宋体"/>
          <w:color w:val="000000"/>
          <w:szCs w:val="21"/>
        </w:rPr>
        <w:t>如果卖方拟采用的设计、制造方法、材料及工艺的标准和规程没有包括在上列标准之中，则这些替代的标准应提交买方审查。只有在卖方已论证了替代的标准相当于或优于上列的标准，并且得到买方的书面同意或认可后方能使用。在设备的说明书或图纸中应注明所采用的标准。</w:t>
      </w:r>
      <w:bookmarkStart w:id="78" w:name="_Toc6712623"/>
      <w:r>
        <w:rPr>
          <w:rFonts w:hint="eastAsia" w:ascii="宋体" w:hAnsi="宋体"/>
          <w:color w:val="000000"/>
          <w:szCs w:val="21"/>
        </w:rPr>
        <w:t>提供审查的标准应采用中文版本。其它文种的版本应译成中文再与原版本一起提交</w:t>
      </w:r>
      <w:bookmarkEnd w:id="78"/>
      <w:r>
        <w:rPr>
          <w:rFonts w:hint="eastAsia" w:ascii="宋体" w:hAnsi="宋体"/>
          <w:color w:val="000000"/>
          <w:szCs w:val="21"/>
        </w:rPr>
        <w:t>买方审查。并且在设备的说明书或图纸中注明所采用的标准。</w:t>
      </w:r>
    </w:p>
    <w:p>
      <w:pPr>
        <w:pStyle w:val="6"/>
        <w:widowControl w:val="0"/>
        <w:numPr>
          <w:ilvl w:val="1"/>
          <w:numId w:val="16"/>
        </w:numPr>
        <w:tabs>
          <w:tab w:val="left" w:pos="709"/>
          <w:tab w:val="clear" w:pos="964"/>
        </w:tabs>
        <w:snapToGrid/>
        <w:spacing w:before="93" w:beforeLines="30" w:after="93" w:afterLines="30" w:line="300" w:lineRule="auto"/>
        <w:jc w:val="both"/>
        <w:rPr>
          <w:rFonts w:ascii="宋体" w:hAnsi="宋体"/>
          <w:sz w:val="24"/>
          <w:szCs w:val="24"/>
        </w:rPr>
      </w:pPr>
      <w:bookmarkStart w:id="79" w:name="_Toc32845425"/>
      <w:bookmarkEnd w:id="79"/>
      <w:bookmarkStart w:id="80" w:name="_Ref260926552"/>
      <w:bookmarkEnd w:id="80"/>
      <w:bookmarkStart w:id="81" w:name="_Ref55101690"/>
      <w:bookmarkEnd w:id="81"/>
      <w:bookmarkStart w:id="82" w:name="_Ref466550207"/>
      <w:bookmarkEnd w:id="82"/>
      <w:bookmarkStart w:id="83" w:name="_Toc30000954"/>
      <w:bookmarkEnd w:id="83"/>
      <w:bookmarkStart w:id="84" w:name="_Ref54086646"/>
      <w:bookmarkEnd w:id="84"/>
      <w:bookmarkStart w:id="85" w:name="_Ref260927014"/>
      <w:bookmarkEnd w:id="85"/>
      <w:bookmarkStart w:id="86" w:name="_Toc499041242"/>
      <w:bookmarkEnd w:id="86"/>
      <w:bookmarkStart w:id="87" w:name="_Ref54088782"/>
      <w:bookmarkEnd w:id="87"/>
      <w:bookmarkStart w:id="88" w:name="_Toc487028381"/>
      <w:bookmarkEnd w:id="88"/>
      <w:bookmarkStart w:id="89" w:name="_Toc57986293"/>
      <w:bookmarkEnd w:id="89"/>
      <w:bookmarkStart w:id="90" w:name="_Ref418064167"/>
      <w:bookmarkEnd w:id="90"/>
      <w:bookmarkStart w:id="91" w:name="_Toc515872322"/>
      <w:bookmarkStart w:id="92" w:name="_Toc143589466"/>
      <w:bookmarkStart w:id="93" w:name="_Toc72415694"/>
      <w:r>
        <w:rPr>
          <w:rFonts w:hint="eastAsia" w:ascii="宋体" w:hAnsi="宋体"/>
          <w:sz w:val="24"/>
          <w:szCs w:val="24"/>
        </w:rPr>
        <w:t>卖方提供的技术文件</w:t>
      </w:r>
      <w:bookmarkEnd w:id="91"/>
      <w:bookmarkEnd w:id="92"/>
      <w:bookmarkEnd w:id="93"/>
    </w:p>
    <w:p>
      <w:pPr>
        <w:pStyle w:val="7"/>
        <w:widowControl w:val="0"/>
        <w:overflowPunct w:val="0"/>
        <w:snapToGrid/>
        <w:spacing w:after="100" w:afterAutospacing="1" w:line="360" w:lineRule="auto"/>
        <w:jc w:val="both"/>
        <w:rPr>
          <w:rFonts w:ascii="宋体" w:hAnsi="宋体"/>
          <w:b/>
          <w:bCs/>
          <w:sz w:val="21"/>
          <w:szCs w:val="21"/>
        </w:rPr>
      </w:pPr>
      <w:bookmarkStart w:id="94" w:name="_Toc57986294"/>
      <w:bookmarkEnd w:id="94"/>
      <w:bookmarkStart w:id="95" w:name="_Toc30000955"/>
      <w:bookmarkEnd w:id="95"/>
      <w:bookmarkStart w:id="96" w:name="_Ref54343729"/>
      <w:bookmarkEnd w:id="96"/>
      <w:bookmarkStart w:id="97" w:name="_Toc12378805"/>
      <w:bookmarkEnd w:id="97"/>
      <w:bookmarkStart w:id="98" w:name="_Toc31720441"/>
      <w:r>
        <w:rPr>
          <w:rFonts w:hint="eastAsia" w:ascii="宋体" w:hAnsi="宋体"/>
          <w:b/>
          <w:bCs/>
          <w:sz w:val="21"/>
          <w:szCs w:val="21"/>
        </w:rPr>
        <w:t>1.5.1概述</w:t>
      </w:r>
      <w:bookmarkEnd w:id="98"/>
    </w:p>
    <w:p>
      <w:pPr>
        <w:pStyle w:val="8"/>
        <w:numPr>
          <w:ilvl w:val="3"/>
          <w:numId w:val="21"/>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 xml:space="preserve">卖方应按规定的要求提供所需图纸和文件资料供买方审批。本节包括本技术文件各章节中规定的全部图纸、资料的编制、提交和审查的一般规定。标注有“☆”号的技术文件要遵守合同《商务文件》 </w:t>
      </w:r>
      <w:r>
        <w:rPr>
          <w:rFonts w:ascii="宋体" w:hAnsi="宋体"/>
          <w:szCs w:val="21"/>
        </w:rPr>
        <w:t>“违约责任”规定。</w:t>
      </w:r>
    </w:p>
    <w:p>
      <w:pPr>
        <w:pStyle w:val="8"/>
        <w:numPr>
          <w:ilvl w:val="3"/>
          <w:numId w:val="21"/>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卖方应对所有主要部件的设计和其它部件或细节提供详细的技术说明。买方有权审查卖方的设计计算，卖方提供的计算书格式应清楚地表明全部假定、方法和结果，便于进行审查。</w:t>
      </w:r>
    </w:p>
    <w:p>
      <w:pPr>
        <w:pStyle w:val="8"/>
        <w:numPr>
          <w:ilvl w:val="3"/>
          <w:numId w:val="21"/>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技术资料和工厂图纸应用中文书写。对于国外标准和设备的型式试验报告等英文版本的资料，卖方应按合同要求提供对应的中文译本，并应对中文译本的准确性负责。</w:t>
      </w:r>
    </w:p>
    <w:p>
      <w:pPr>
        <w:pStyle w:val="8"/>
        <w:numPr>
          <w:ilvl w:val="3"/>
          <w:numId w:val="21"/>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除了供参考的图纸(应明确标明)外，正式提交的图纸和设计数据应由卖方授权代表签署，以证明该资料已由卖方校核且适合于工程中使用。</w:t>
      </w:r>
    </w:p>
    <w:p>
      <w:pPr>
        <w:pStyle w:val="8"/>
        <w:numPr>
          <w:ilvl w:val="3"/>
          <w:numId w:val="21"/>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卖方向买方提交的技术文件、图纸、资料及邮寄或传真这些技术文件、图纸和资料，费用均应包括在合同总价内，不再另行支付。</w:t>
      </w:r>
    </w:p>
    <w:p>
      <w:pPr>
        <w:pStyle w:val="8"/>
        <w:numPr>
          <w:ilvl w:val="3"/>
          <w:numId w:val="21"/>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按照本招标文件1.5.6 “全生命周期信息”的要求，提供合同设备信息。按照买方物流信息管理要求提供相应的物流信息。</w:t>
      </w:r>
    </w:p>
    <w:p>
      <w:pPr>
        <w:pStyle w:val="8"/>
        <w:numPr>
          <w:ilvl w:val="3"/>
          <w:numId w:val="21"/>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卖方应按要求提供的图纸和文件资料的份数分别寄送买方和电站设计单位。</w:t>
      </w:r>
    </w:p>
    <w:p>
      <w:pPr>
        <w:pStyle w:val="8"/>
        <w:numPr>
          <w:ilvl w:val="3"/>
          <w:numId w:val="21"/>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所有文件、书面资料或图表使用国际公制单位制(SI)计量单位。卖方提交的图纸应按比例绘制。图纸尺寸必须符合ISO标准。</w:t>
      </w:r>
    </w:p>
    <w:p>
      <w:pPr>
        <w:pStyle w:val="8"/>
        <w:numPr>
          <w:ilvl w:val="3"/>
          <w:numId w:val="21"/>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卖方应安排技术文件提交计划，并在第一次设计联络会期间提供详细的技术文件总清单(包括计划提交的批次和日期)。</w:t>
      </w:r>
    </w:p>
    <w:p>
      <w:pPr>
        <w:pStyle w:val="8"/>
        <w:numPr>
          <w:ilvl w:val="3"/>
          <w:numId w:val="21"/>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卖方应对设备进行三维模型设计，并向买方提供可在</w:t>
      </w:r>
      <w:r>
        <w:rPr>
          <w:rFonts w:ascii="宋体" w:hAnsi="宋体"/>
          <w:szCs w:val="21"/>
        </w:rPr>
        <w:t>REVIT软件下编辑的三维数据模型，且三维设计模型与二维图纸结构及尺寸应保持一致，精度为300级。与买方的工程三维数据模型兼容，并满足各项运行要求，设计联络会后30天内提供初步成果，进行整体结构及布置和赋予设备属性，并将模型嵌于枢纽整体模型中进行各工作状态展示；设计联络会后90天内采用移动硬盘方式向买方提供三维设计最终成果。</w:t>
      </w:r>
    </w:p>
    <w:p>
      <w:pPr>
        <w:pStyle w:val="8"/>
        <w:numPr>
          <w:ilvl w:val="3"/>
          <w:numId w:val="21"/>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提供的二维图纸要求采用AUTO CAD的#.DWG格式，文档采用WORD的#.DOC或EXCEL的#.XLS格式。提供的三维图纸要求采用AUTO REVIT平台且可编辑。</w:t>
      </w:r>
    </w:p>
    <w:p>
      <w:pPr>
        <w:pStyle w:val="8"/>
        <w:numPr>
          <w:ilvl w:val="3"/>
          <w:numId w:val="21"/>
        </w:numPr>
        <w:overflowPunct w:val="0"/>
        <w:spacing w:before="100" w:beforeAutospacing="1" w:after="100" w:afterAutospacing="1" w:line="360" w:lineRule="auto"/>
        <w:ind w:left="960" w:hanging="960"/>
        <w:rPr>
          <w:rFonts w:ascii="宋体" w:hAnsi="宋体"/>
          <w:b/>
          <w:szCs w:val="21"/>
        </w:rPr>
      </w:pPr>
      <w:r>
        <w:rPr>
          <w:rFonts w:hint="eastAsia" w:ascii="宋体" w:hAnsi="宋体"/>
          <w:szCs w:val="21"/>
        </w:rPr>
        <w:t>在合同生效以后，应在规定的日历天数内提交技术文件，否则应处以合同《商务文件》“违约与索赔”中规定的约定违约金。</w:t>
      </w:r>
    </w:p>
    <w:p>
      <w:pPr>
        <w:pStyle w:val="8"/>
        <w:numPr>
          <w:ilvl w:val="3"/>
          <w:numId w:val="21"/>
        </w:numPr>
        <w:overflowPunct w:val="0"/>
        <w:spacing w:before="100" w:beforeAutospacing="1" w:after="100" w:afterAutospacing="1" w:line="360" w:lineRule="auto"/>
        <w:ind w:left="960" w:hanging="960"/>
        <w:rPr>
          <w:rFonts w:ascii="宋体" w:hAnsi="宋体"/>
          <w:b/>
          <w:szCs w:val="21"/>
        </w:rPr>
      </w:pPr>
      <w:r>
        <w:rPr>
          <w:rFonts w:hint="eastAsia" w:ascii="宋体" w:hAnsi="宋体"/>
          <w:szCs w:val="21"/>
        </w:rPr>
        <w:t>除招标文件另有规定外，卖方提供给买方和电站设计单位的资料的内容和份数应按表1.6-1A~1.6-1D执行：</w:t>
      </w:r>
    </w:p>
    <w:p>
      <w:pPr>
        <w:spacing w:line="360" w:lineRule="auto"/>
        <w:ind w:firstLine="426"/>
        <w:rPr>
          <w:rFonts w:ascii="宋体" w:hAnsi="宋体"/>
          <w:szCs w:val="21"/>
        </w:rPr>
      </w:pPr>
      <w:r>
        <w:rPr>
          <w:rFonts w:hint="eastAsia" w:ascii="宋体" w:hAnsi="宋体"/>
          <w:szCs w:val="21"/>
        </w:rPr>
        <w:t>表1.6-1A</w:t>
      </w:r>
      <w:r>
        <w:rPr>
          <w:rFonts w:hint="eastAsia" w:ascii="宋体" w:hAnsi="宋体"/>
          <w:szCs w:val="21"/>
        </w:rPr>
        <w:tab/>
      </w:r>
      <w:r>
        <w:rPr>
          <w:rFonts w:hint="eastAsia" w:ascii="宋体" w:hAnsi="宋体"/>
          <w:szCs w:val="21"/>
        </w:rPr>
        <w:t>卖方提供给买方归档资料</w:t>
      </w:r>
    </w:p>
    <w:tbl>
      <w:tblPr>
        <w:tblStyle w:val="71"/>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71"/>
        <w:gridCol w:w="5970"/>
        <w:gridCol w:w="1267"/>
        <w:gridCol w:w="118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vMerge w:val="restart"/>
            <w:tcBorders>
              <w:top w:val="single" w:color="auto" w:sz="8" w:space="0"/>
              <w:left w:val="nil"/>
              <w:bottom w:val="single" w:color="auto" w:sz="2" w:space="0"/>
              <w:right w:val="single" w:color="auto" w:sz="2" w:space="0"/>
            </w:tcBorders>
            <w:vAlign w:val="center"/>
          </w:tcPr>
          <w:p>
            <w:pPr>
              <w:widowControl/>
              <w:adjustRightInd w:val="0"/>
              <w:jc w:val="center"/>
              <w:textAlignment w:val="baseline"/>
              <w:rPr>
                <w:rFonts w:ascii="宋体" w:hAnsi="宋体"/>
                <w:szCs w:val="21"/>
              </w:rPr>
            </w:pPr>
            <w:r>
              <w:rPr>
                <w:rFonts w:hint="eastAsia" w:ascii="宋体" w:hAnsi="宋体"/>
                <w:szCs w:val="21"/>
              </w:rPr>
              <w:t>序号</w:t>
            </w:r>
          </w:p>
        </w:tc>
        <w:tc>
          <w:tcPr>
            <w:tcW w:w="3177" w:type="pct"/>
            <w:vMerge w:val="restart"/>
            <w:tcBorders>
              <w:top w:val="single" w:color="auto" w:sz="8" w:space="0"/>
              <w:left w:val="single" w:color="auto" w:sz="2" w:space="0"/>
              <w:bottom w:val="single" w:color="auto" w:sz="2" w:space="0"/>
              <w:right w:val="single" w:color="auto" w:sz="2" w:space="0"/>
            </w:tcBorders>
            <w:vAlign w:val="center"/>
          </w:tcPr>
          <w:p>
            <w:pPr>
              <w:widowControl/>
              <w:adjustRightInd w:val="0"/>
              <w:jc w:val="center"/>
              <w:textAlignment w:val="baseline"/>
              <w:rPr>
                <w:rFonts w:ascii="宋体" w:hAnsi="宋体"/>
                <w:szCs w:val="21"/>
              </w:rPr>
            </w:pPr>
            <w:r>
              <w:rPr>
                <w:rFonts w:hint="eastAsia" w:ascii="宋体" w:hAnsi="宋体"/>
                <w:szCs w:val="21"/>
              </w:rPr>
              <w:t>资料名称</w:t>
            </w:r>
          </w:p>
        </w:tc>
        <w:tc>
          <w:tcPr>
            <w:tcW w:w="1306" w:type="pct"/>
            <w:gridSpan w:val="2"/>
            <w:tcBorders>
              <w:top w:val="single" w:color="auto" w:sz="8" w:space="0"/>
              <w:left w:val="single" w:color="auto" w:sz="2" w:space="0"/>
              <w:bottom w:val="single" w:color="auto" w:sz="2" w:space="0"/>
              <w:right w:val="nil"/>
            </w:tcBorders>
          </w:tcPr>
          <w:p>
            <w:pPr>
              <w:widowControl/>
              <w:adjustRightInd w:val="0"/>
              <w:jc w:val="center"/>
              <w:textAlignment w:val="baseline"/>
              <w:rPr>
                <w:rFonts w:ascii="宋体" w:hAnsi="宋体"/>
                <w:szCs w:val="21"/>
              </w:rPr>
            </w:pPr>
            <w:r>
              <w:rPr>
                <w:rFonts w:hint="eastAsia" w:ascii="宋体" w:hAnsi="宋体"/>
                <w:szCs w:val="21"/>
              </w:rPr>
              <w:t>买方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0" w:type="auto"/>
            <w:vMerge w:val="continue"/>
            <w:tcBorders>
              <w:top w:val="single" w:color="auto" w:sz="8" w:space="0"/>
              <w:left w:val="nil"/>
              <w:bottom w:val="single" w:color="auto" w:sz="2" w:space="0"/>
              <w:right w:val="single" w:color="auto" w:sz="2" w:space="0"/>
            </w:tcBorders>
            <w:vAlign w:val="center"/>
          </w:tcPr>
          <w:p>
            <w:pPr>
              <w:widowControl/>
              <w:jc w:val="left"/>
              <w:rPr>
                <w:rFonts w:ascii="宋体" w:hAnsi="宋体"/>
                <w:szCs w:val="21"/>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图纸</w:t>
            </w:r>
          </w:p>
        </w:tc>
        <w:tc>
          <w:tcPr>
            <w:tcW w:w="632" w:type="pct"/>
            <w:vMerge w:val="restar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szCs w:val="21"/>
              </w:rPr>
            </w:pPr>
            <w:r>
              <w:rPr>
                <w:rFonts w:hint="eastAsia" w:ascii="宋体" w:hAnsi="宋体"/>
                <w:szCs w:val="21"/>
              </w:rPr>
              <w:t>硬盘</w:t>
            </w:r>
            <w:r>
              <w:rPr>
                <w:rFonts w:hint="eastAsia" w:ascii="宋体" w:hAnsi="宋体" w:cs="Arial"/>
                <w:szCs w:val="21"/>
              </w:rPr>
              <w:t>(</w:t>
            </w:r>
            <w:r>
              <w:rPr>
                <w:rFonts w:hint="eastAsia" w:ascii="宋体" w:hAnsi="宋体"/>
                <w:szCs w:val="21"/>
              </w:rPr>
              <w:t>个</w:t>
            </w:r>
            <w:r>
              <w:rPr>
                <w:rFonts w:hint="eastAsia" w:ascii="宋体" w:hAnsi="宋体" w:cs="Arial"/>
                <w:szCs w:val="21"/>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0" w:type="auto"/>
            <w:vMerge w:val="continue"/>
            <w:tcBorders>
              <w:top w:val="single" w:color="auto" w:sz="8" w:space="0"/>
              <w:left w:val="nil"/>
              <w:bottom w:val="single" w:color="auto" w:sz="2" w:space="0"/>
              <w:right w:val="single" w:color="auto" w:sz="2" w:space="0"/>
            </w:tcBorders>
            <w:vAlign w:val="center"/>
          </w:tcPr>
          <w:p>
            <w:pPr>
              <w:widowControl/>
              <w:jc w:val="left"/>
              <w:rPr>
                <w:rFonts w:ascii="宋体" w:hAnsi="宋体"/>
                <w:szCs w:val="21"/>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资料</w:t>
            </w:r>
            <w:r>
              <w:rPr>
                <w:rFonts w:hint="eastAsia" w:ascii="宋体" w:hAnsi="宋体" w:cs="Arial"/>
                <w:szCs w:val="21"/>
              </w:rPr>
              <w:t>(</w:t>
            </w:r>
            <w:r>
              <w:rPr>
                <w:rFonts w:hint="eastAsia" w:ascii="宋体" w:hAnsi="宋体"/>
                <w:szCs w:val="21"/>
              </w:rPr>
              <w:t>套</w:t>
            </w:r>
            <w:r>
              <w:rPr>
                <w:rFonts w:hint="eastAsia" w:ascii="宋体" w:hAnsi="宋体" w:cs="Arial"/>
                <w:szCs w:val="21"/>
              </w:rPr>
              <w:t>)</w:t>
            </w:r>
          </w:p>
        </w:tc>
        <w:tc>
          <w:tcPr>
            <w:tcW w:w="0" w:type="auto"/>
            <w:vMerge w:val="continue"/>
            <w:tcBorders>
              <w:top w:val="single" w:color="auto" w:sz="2" w:space="0"/>
              <w:left w:val="single" w:color="auto" w:sz="2" w:space="0"/>
              <w:bottom w:val="single" w:color="auto" w:sz="2" w:space="0"/>
              <w:right w:val="nil"/>
            </w:tcBorders>
            <w:vAlign w:val="center"/>
          </w:tcPr>
          <w:p>
            <w:pPr>
              <w:widowControl/>
              <w:jc w:val="left"/>
              <w:rPr>
                <w:rFonts w:ascii="宋体" w:hAnsi="宋体"/>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一</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归档文件</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　</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szCs w:val="21"/>
              </w:rPr>
            </w:pPr>
            <w:r>
              <w:rPr>
                <w:rFonts w:hint="eastAsia" w:ascii="宋体" w:hAnsi="宋体"/>
                <w:szCs w:val="21"/>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标准、规程和规范目录</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2</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各类计算报告</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3</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设计联络会纪要</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4</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安装程序和说明书（包括</w:t>
            </w:r>
            <w:r>
              <w:rPr>
                <w:rFonts w:ascii="宋体" w:hAnsi="宋体" w:cs="Arial"/>
                <w:szCs w:val="21"/>
              </w:rPr>
              <w:t>QCR</w:t>
            </w:r>
            <w:r>
              <w:rPr>
                <w:rFonts w:hint="eastAsia" w:ascii="宋体" w:hAnsi="宋体"/>
                <w:szCs w:val="21"/>
              </w:rPr>
              <w:t>表）</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5</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装卸和贮存说明书</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6</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运行维护使用说明书</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7</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会议纪要、备忘录、文函等</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8</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设备制造过程资料</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8.1</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工厂试验、现场试验报告</w:t>
            </w:r>
            <w:r>
              <w:rPr>
                <w:rFonts w:hint="eastAsia" w:ascii="宋体" w:hAnsi="宋体" w:cs="Arial"/>
                <w:szCs w:val="21"/>
              </w:rPr>
              <w:t>(</w:t>
            </w:r>
            <w:r>
              <w:rPr>
                <w:rFonts w:hint="eastAsia" w:ascii="宋体" w:hAnsi="宋体"/>
                <w:szCs w:val="21"/>
              </w:rPr>
              <w:t>包括中间试验和最终试验成果</w:t>
            </w:r>
            <w:r>
              <w:rPr>
                <w:rFonts w:hint="eastAsia" w:ascii="宋体" w:hAnsi="宋体" w:cs="Arial"/>
                <w:szCs w:val="21"/>
              </w:rPr>
              <w:t>)</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8.2</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主要部件材质证明报告及代用品申请报告（若有）</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8.3</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主要部件和设备的质检报告</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8.4</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部件及设备缺陷说明及处理报告（若有）</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8.5</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生产过程影像资料（若有）</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9</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外购零部件合格证</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10</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竣工图纸（按照过程中的技术往来文函等修改文件修改后的最终蓝图，所有外购件及附件的型号、厂家）</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11</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设备交货明细表、开箱检验记录</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12</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cs="Arial"/>
                <w:szCs w:val="21"/>
              </w:rPr>
              <w:t>各种控制元件和监测元件的整定值表</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13</w:t>
            </w:r>
          </w:p>
        </w:tc>
        <w:tc>
          <w:tcPr>
            <w:tcW w:w="3177"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技术往来文函</w:t>
            </w:r>
          </w:p>
        </w:tc>
        <w:tc>
          <w:tcPr>
            <w:tcW w:w="674"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7" w:type="pct"/>
            <w:tcBorders>
              <w:top w:val="single" w:color="auto" w:sz="2" w:space="0"/>
              <w:left w:val="nil"/>
              <w:bottom w:val="single" w:color="auto" w:sz="8"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14</w:t>
            </w:r>
          </w:p>
        </w:tc>
        <w:tc>
          <w:tcPr>
            <w:tcW w:w="3177" w:type="pct"/>
            <w:tcBorders>
              <w:top w:val="single" w:color="auto" w:sz="2" w:space="0"/>
              <w:left w:val="single" w:color="auto" w:sz="2" w:space="0"/>
              <w:bottom w:val="single" w:color="auto" w:sz="8"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初步验收和最终验收合格证</w:t>
            </w:r>
          </w:p>
        </w:tc>
        <w:tc>
          <w:tcPr>
            <w:tcW w:w="674" w:type="pct"/>
            <w:tcBorders>
              <w:top w:val="single" w:color="auto" w:sz="2" w:space="0"/>
              <w:left w:val="single" w:color="auto" w:sz="2" w:space="0"/>
              <w:bottom w:val="single" w:color="auto" w:sz="8"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632" w:type="pct"/>
            <w:tcBorders>
              <w:top w:val="single" w:color="auto" w:sz="2" w:space="0"/>
              <w:left w:val="single" w:color="auto" w:sz="2" w:space="0"/>
              <w:bottom w:val="single" w:color="auto" w:sz="8"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bl>
    <w:p>
      <w:pPr>
        <w:spacing w:line="360" w:lineRule="auto"/>
        <w:ind w:firstLine="1080"/>
        <w:rPr>
          <w:rFonts w:ascii="宋体" w:hAnsi="宋体"/>
          <w:szCs w:val="21"/>
        </w:rPr>
      </w:pPr>
    </w:p>
    <w:p>
      <w:pPr>
        <w:spacing w:line="360" w:lineRule="auto"/>
        <w:ind w:firstLine="709"/>
        <w:rPr>
          <w:rFonts w:ascii="宋体" w:hAnsi="宋体"/>
          <w:szCs w:val="21"/>
        </w:rPr>
      </w:pPr>
      <w:r>
        <w:rPr>
          <w:rFonts w:hint="eastAsia" w:ascii="宋体" w:hAnsi="宋体"/>
          <w:szCs w:val="21"/>
        </w:rPr>
        <w:t>表1.6-1B</w:t>
      </w:r>
      <w:r>
        <w:rPr>
          <w:rFonts w:hint="eastAsia" w:ascii="宋体" w:hAnsi="宋体"/>
          <w:szCs w:val="21"/>
        </w:rPr>
        <w:tab/>
      </w:r>
      <w:r>
        <w:rPr>
          <w:rFonts w:hint="eastAsia" w:ascii="宋体" w:hAnsi="宋体"/>
          <w:szCs w:val="21"/>
        </w:rPr>
        <w:t>卖方提供给买方工地现场安装使用的资料</w:t>
      </w:r>
    </w:p>
    <w:tbl>
      <w:tblPr>
        <w:tblStyle w:val="71"/>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72"/>
        <w:gridCol w:w="5299"/>
        <w:gridCol w:w="1562"/>
        <w:gridCol w:w="156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517" w:type="pct"/>
            <w:vMerge w:val="restart"/>
            <w:tcBorders>
              <w:top w:val="single" w:color="auto" w:sz="8" w:space="0"/>
              <w:left w:val="nil"/>
              <w:bottom w:val="single" w:color="auto" w:sz="2" w:space="0"/>
              <w:right w:val="single" w:color="auto" w:sz="2" w:space="0"/>
            </w:tcBorders>
            <w:vAlign w:val="center"/>
          </w:tcPr>
          <w:p>
            <w:pPr>
              <w:widowControl/>
              <w:adjustRightInd w:val="0"/>
              <w:jc w:val="center"/>
              <w:textAlignment w:val="baseline"/>
              <w:rPr>
                <w:rFonts w:ascii="宋体" w:hAnsi="宋体"/>
                <w:szCs w:val="21"/>
              </w:rPr>
            </w:pPr>
            <w:r>
              <w:rPr>
                <w:rFonts w:hint="eastAsia" w:ascii="宋体" w:hAnsi="宋体"/>
                <w:szCs w:val="21"/>
              </w:rPr>
              <w:t>序号</w:t>
            </w:r>
          </w:p>
        </w:tc>
        <w:tc>
          <w:tcPr>
            <w:tcW w:w="2820" w:type="pct"/>
            <w:vMerge w:val="restart"/>
            <w:tcBorders>
              <w:top w:val="single" w:color="auto" w:sz="8" w:space="0"/>
              <w:left w:val="single" w:color="auto" w:sz="2" w:space="0"/>
              <w:bottom w:val="single" w:color="auto" w:sz="2" w:space="0"/>
              <w:right w:val="single" w:color="auto" w:sz="2" w:space="0"/>
            </w:tcBorders>
            <w:vAlign w:val="center"/>
          </w:tcPr>
          <w:p>
            <w:pPr>
              <w:widowControl/>
              <w:adjustRightInd w:val="0"/>
              <w:jc w:val="center"/>
              <w:textAlignment w:val="baseline"/>
              <w:rPr>
                <w:rFonts w:ascii="宋体" w:hAnsi="宋体"/>
                <w:szCs w:val="21"/>
              </w:rPr>
            </w:pPr>
            <w:r>
              <w:rPr>
                <w:rFonts w:hint="eastAsia" w:ascii="宋体" w:hAnsi="宋体"/>
                <w:szCs w:val="21"/>
              </w:rPr>
              <w:t>资料名称</w:t>
            </w:r>
          </w:p>
        </w:tc>
        <w:tc>
          <w:tcPr>
            <w:tcW w:w="1663" w:type="pct"/>
            <w:gridSpan w:val="2"/>
            <w:tcBorders>
              <w:top w:val="single" w:color="auto" w:sz="8" w:space="0"/>
              <w:left w:val="single" w:color="auto" w:sz="2" w:space="0"/>
              <w:bottom w:val="single" w:color="auto" w:sz="2" w:space="0"/>
              <w:right w:val="nil"/>
            </w:tcBorders>
          </w:tcPr>
          <w:p>
            <w:pPr>
              <w:widowControl/>
              <w:adjustRightInd w:val="0"/>
              <w:jc w:val="center"/>
              <w:textAlignment w:val="baseline"/>
              <w:rPr>
                <w:rFonts w:ascii="宋体" w:hAnsi="宋体"/>
                <w:szCs w:val="21"/>
              </w:rPr>
            </w:pPr>
            <w:r>
              <w:rPr>
                <w:rFonts w:hint="eastAsia" w:ascii="宋体" w:hAnsi="宋体"/>
                <w:szCs w:val="21"/>
              </w:rPr>
              <w:t>买方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5" w:hRule="atLeast"/>
        </w:trPr>
        <w:tc>
          <w:tcPr>
            <w:tcW w:w="0" w:type="auto"/>
            <w:vMerge w:val="continue"/>
            <w:tcBorders>
              <w:top w:val="single" w:color="auto" w:sz="8" w:space="0"/>
              <w:left w:val="nil"/>
              <w:bottom w:val="single" w:color="auto" w:sz="2" w:space="0"/>
              <w:right w:val="single" w:color="auto" w:sz="2" w:space="0"/>
            </w:tcBorders>
            <w:vAlign w:val="center"/>
          </w:tcPr>
          <w:p>
            <w:pPr>
              <w:widowControl/>
              <w:jc w:val="left"/>
              <w:rPr>
                <w:rFonts w:ascii="宋体" w:hAnsi="宋体"/>
                <w:szCs w:val="21"/>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831"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图纸</w:t>
            </w:r>
          </w:p>
        </w:tc>
        <w:tc>
          <w:tcPr>
            <w:tcW w:w="832" w:type="pct"/>
            <w:vMerge w:val="restar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szCs w:val="21"/>
              </w:rPr>
            </w:pPr>
            <w:r>
              <w:rPr>
                <w:rFonts w:hint="eastAsia" w:ascii="宋体" w:hAnsi="宋体"/>
                <w:szCs w:val="21"/>
              </w:rPr>
              <w:t>硬盘</w:t>
            </w:r>
            <w:r>
              <w:rPr>
                <w:rFonts w:hint="eastAsia" w:ascii="宋体" w:hAnsi="宋体" w:cs="Arial"/>
                <w:szCs w:val="21"/>
              </w:rPr>
              <w:t>(</w:t>
            </w:r>
            <w:r>
              <w:rPr>
                <w:rFonts w:hint="eastAsia" w:ascii="宋体" w:hAnsi="宋体"/>
                <w:szCs w:val="21"/>
              </w:rPr>
              <w:t>个</w:t>
            </w:r>
            <w:r>
              <w:rPr>
                <w:rFonts w:hint="eastAsia" w:ascii="宋体" w:hAnsi="宋体" w:cs="Arial"/>
                <w:szCs w:val="21"/>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0" w:type="auto"/>
            <w:vMerge w:val="continue"/>
            <w:tcBorders>
              <w:top w:val="single" w:color="auto" w:sz="8" w:space="0"/>
              <w:left w:val="nil"/>
              <w:bottom w:val="single" w:color="auto" w:sz="2" w:space="0"/>
              <w:right w:val="single" w:color="auto" w:sz="2" w:space="0"/>
            </w:tcBorders>
            <w:vAlign w:val="center"/>
          </w:tcPr>
          <w:p>
            <w:pPr>
              <w:widowControl/>
              <w:jc w:val="left"/>
              <w:rPr>
                <w:rFonts w:ascii="宋体" w:hAnsi="宋体"/>
                <w:szCs w:val="21"/>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831"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资料</w:t>
            </w:r>
            <w:r>
              <w:rPr>
                <w:rFonts w:hint="eastAsia" w:ascii="宋体" w:hAnsi="宋体" w:cs="Arial"/>
                <w:szCs w:val="21"/>
              </w:rPr>
              <w:t>(</w:t>
            </w:r>
            <w:r>
              <w:rPr>
                <w:rFonts w:hint="eastAsia" w:ascii="宋体" w:hAnsi="宋体"/>
                <w:szCs w:val="21"/>
              </w:rPr>
              <w:t>套</w:t>
            </w:r>
            <w:r>
              <w:rPr>
                <w:rFonts w:hint="eastAsia" w:ascii="宋体" w:hAnsi="宋体" w:cs="Arial"/>
                <w:szCs w:val="21"/>
              </w:rPr>
              <w:t>)</w:t>
            </w:r>
          </w:p>
        </w:tc>
        <w:tc>
          <w:tcPr>
            <w:tcW w:w="0" w:type="auto"/>
            <w:vMerge w:val="continue"/>
            <w:tcBorders>
              <w:top w:val="single" w:color="auto" w:sz="2" w:space="0"/>
              <w:left w:val="single" w:color="auto" w:sz="2" w:space="0"/>
              <w:bottom w:val="single" w:color="auto" w:sz="2" w:space="0"/>
              <w:right w:val="nil"/>
            </w:tcBorders>
            <w:vAlign w:val="center"/>
          </w:tcPr>
          <w:p>
            <w:pPr>
              <w:widowControl/>
              <w:jc w:val="left"/>
              <w:rPr>
                <w:rFonts w:ascii="宋体" w:hAnsi="宋体"/>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二</w:t>
            </w:r>
          </w:p>
        </w:tc>
        <w:tc>
          <w:tcPr>
            <w:tcW w:w="2820"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现场安装使用的资料</w:t>
            </w:r>
          </w:p>
        </w:tc>
        <w:tc>
          <w:tcPr>
            <w:tcW w:w="831"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　</w:t>
            </w:r>
          </w:p>
        </w:tc>
        <w:tc>
          <w:tcPr>
            <w:tcW w:w="8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szCs w:val="21"/>
              </w:rPr>
            </w:pPr>
            <w:r>
              <w:rPr>
                <w:rFonts w:hint="eastAsia" w:ascii="宋体" w:hAnsi="宋体"/>
                <w:szCs w:val="21"/>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2820"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随机图纸</w:t>
            </w:r>
          </w:p>
        </w:tc>
        <w:tc>
          <w:tcPr>
            <w:tcW w:w="831"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8</w:t>
            </w:r>
          </w:p>
        </w:tc>
        <w:tc>
          <w:tcPr>
            <w:tcW w:w="8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2</w:t>
            </w:r>
          </w:p>
        </w:tc>
        <w:tc>
          <w:tcPr>
            <w:tcW w:w="2820"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安装说明书或安装手册</w:t>
            </w:r>
          </w:p>
        </w:tc>
        <w:tc>
          <w:tcPr>
            <w:tcW w:w="831"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8</w:t>
            </w:r>
          </w:p>
        </w:tc>
        <w:tc>
          <w:tcPr>
            <w:tcW w:w="8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517" w:type="pct"/>
            <w:tcBorders>
              <w:top w:val="single" w:color="auto" w:sz="2" w:space="0"/>
              <w:left w:val="nil"/>
              <w:bottom w:val="single" w:color="auto" w:sz="2" w:space="0"/>
              <w:right w:val="single" w:color="auto" w:sz="2" w:space="0"/>
            </w:tcBorders>
          </w:tcPr>
          <w:p>
            <w:pPr>
              <w:widowControl/>
              <w:adjustRightInd w:val="0"/>
              <w:jc w:val="center"/>
              <w:textAlignment w:val="baseline"/>
              <w:rPr>
                <w:rFonts w:ascii="宋体" w:hAnsi="宋体" w:cs="Arial"/>
                <w:szCs w:val="21"/>
              </w:rPr>
            </w:pPr>
          </w:p>
        </w:tc>
        <w:tc>
          <w:tcPr>
            <w:tcW w:w="2820"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主要部件的组装工艺或工艺守则、QCR表等现场安装技术指导文件</w:t>
            </w:r>
          </w:p>
        </w:tc>
        <w:tc>
          <w:tcPr>
            <w:tcW w:w="831"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8</w:t>
            </w:r>
          </w:p>
        </w:tc>
        <w:tc>
          <w:tcPr>
            <w:tcW w:w="8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3</w:t>
            </w:r>
          </w:p>
        </w:tc>
        <w:tc>
          <w:tcPr>
            <w:tcW w:w="2820"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运行、维修说明书</w:t>
            </w:r>
          </w:p>
        </w:tc>
        <w:tc>
          <w:tcPr>
            <w:tcW w:w="831"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8</w:t>
            </w:r>
          </w:p>
        </w:tc>
        <w:tc>
          <w:tcPr>
            <w:tcW w:w="8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4</w:t>
            </w:r>
          </w:p>
        </w:tc>
        <w:tc>
          <w:tcPr>
            <w:tcW w:w="2820"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搬运、装卸及贮存说明书</w:t>
            </w:r>
          </w:p>
        </w:tc>
        <w:tc>
          <w:tcPr>
            <w:tcW w:w="831"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8</w:t>
            </w:r>
          </w:p>
        </w:tc>
        <w:tc>
          <w:tcPr>
            <w:tcW w:w="8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30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5</w:t>
            </w:r>
          </w:p>
        </w:tc>
        <w:tc>
          <w:tcPr>
            <w:tcW w:w="2820"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设备交货明细表</w:t>
            </w:r>
          </w:p>
        </w:tc>
        <w:tc>
          <w:tcPr>
            <w:tcW w:w="831"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8</w:t>
            </w:r>
          </w:p>
        </w:tc>
        <w:tc>
          <w:tcPr>
            <w:tcW w:w="8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7</w:t>
            </w:r>
          </w:p>
        </w:tc>
        <w:tc>
          <w:tcPr>
            <w:tcW w:w="2820"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cs="Arial"/>
                <w:szCs w:val="21"/>
              </w:rPr>
              <w:t>各种控制元件和监测元件的整定值表</w:t>
            </w:r>
          </w:p>
        </w:tc>
        <w:tc>
          <w:tcPr>
            <w:tcW w:w="831"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8</w:t>
            </w:r>
          </w:p>
        </w:tc>
        <w:tc>
          <w:tcPr>
            <w:tcW w:w="83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517" w:type="pct"/>
            <w:tcBorders>
              <w:top w:val="single" w:color="auto" w:sz="2" w:space="0"/>
              <w:left w:val="nil"/>
              <w:bottom w:val="single" w:color="auto" w:sz="8"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8</w:t>
            </w:r>
          </w:p>
        </w:tc>
        <w:tc>
          <w:tcPr>
            <w:tcW w:w="2820" w:type="pct"/>
            <w:tcBorders>
              <w:top w:val="single" w:color="auto" w:sz="2" w:space="0"/>
              <w:left w:val="single" w:color="auto" w:sz="2" w:space="0"/>
              <w:bottom w:val="single" w:color="auto" w:sz="8"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竣工图缩印本</w:t>
            </w:r>
            <w:r>
              <w:rPr>
                <w:rFonts w:hint="eastAsia" w:ascii="宋体" w:hAnsi="宋体" w:cs="Arial"/>
                <w:szCs w:val="21"/>
              </w:rPr>
              <w:t>(</w:t>
            </w:r>
            <w:r>
              <w:rPr>
                <w:rFonts w:hint="eastAsia" w:ascii="宋体" w:hAnsi="宋体"/>
                <w:szCs w:val="21"/>
              </w:rPr>
              <w:t>尺寸为</w:t>
            </w:r>
            <w:r>
              <w:rPr>
                <w:rFonts w:hint="eastAsia" w:ascii="宋体" w:hAnsi="宋体" w:cs="Arial"/>
                <w:szCs w:val="21"/>
              </w:rPr>
              <w:t>297×420mm)</w:t>
            </w:r>
          </w:p>
        </w:tc>
        <w:tc>
          <w:tcPr>
            <w:tcW w:w="831" w:type="pct"/>
            <w:tcBorders>
              <w:top w:val="single" w:color="auto" w:sz="2" w:space="0"/>
              <w:left w:val="single" w:color="auto" w:sz="2" w:space="0"/>
              <w:bottom w:val="single" w:color="auto" w:sz="8" w:space="0"/>
              <w:right w:val="single" w:color="auto" w:sz="2" w:space="0"/>
            </w:tcBorders>
          </w:tcPr>
          <w:p>
            <w:pPr>
              <w:widowControl/>
              <w:adjustRightInd w:val="0"/>
              <w:snapToGrid w:val="0"/>
              <w:jc w:val="center"/>
              <w:textAlignment w:val="baseline"/>
              <w:rPr>
                <w:rFonts w:ascii="宋体" w:hAnsi="宋体"/>
                <w:szCs w:val="21"/>
              </w:rPr>
            </w:pPr>
            <w:r>
              <w:rPr>
                <w:rFonts w:ascii="宋体" w:hAnsi="宋体"/>
                <w:szCs w:val="21"/>
              </w:rPr>
              <w:t>4</w:t>
            </w:r>
          </w:p>
        </w:tc>
        <w:tc>
          <w:tcPr>
            <w:tcW w:w="832" w:type="pct"/>
            <w:tcBorders>
              <w:top w:val="single" w:color="auto" w:sz="2" w:space="0"/>
              <w:left w:val="single" w:color="auto" w:sz="2" w:space="0"/>
              <w:bottom w:val="single" w:color="auto" w:sz="8" w:space="0"/>
              <w:right w:val="nil"/>
            </w:tcBorders>
          </w:tcPr>
          <w:p>
            <w:pPr>
              <w:widowControl/>
              <w:adjustRightInd w:val="0"/>
              <w:snapToGrid w:val="0"/>
              <w:jc w:val="center"/>
              <w:textAlignment w:val="baseline"/>
              <w:rPr>
                <w:rFonts w:ascii="宋体" w:hAnsi="宋体"/>
                <w:szCs w:val="21"/>
              </w:rPr>
            </w:pPr>
            <w:r>
              <w:rPr>
                <w:rFonts w:ascii="宋体" w:hAnsi="宋体"/>
                <w:szCs w:val="21"/>
              </w:rPr>
              <w:t>1</w:t>
            </w:r>
          </w:p>
        </w:tc>
      </w:tr>
    </w:tbl>
    <w:p>
      <w:pPr>
        <w:spacing w:line="360" w:lineRule="auto"/>
        <w:ind w:firstLine="1080"/>
        <w:rPr>
          <w:rFonts w:ascii="宋体" w:hAnsi="宋体"/>
          <w:szCs w:val="21"/>
        </w:rPr>
      </w:pPr>
    </w:p>
    <w:p>
      <w:pPr>
        <w:spacing w:line="360" w:lineRule="auto"/>
        <w:ind w:firstLine="709"/>
        <w:rPr>
          <w:rFonts w:ascii="宋体" w:hAnsi="宋体"/>
          <w:szCs w:val="21"/>
        </w:rPr>
      </w:pPr>
      <w:r>
        <w:rPr>
          <w:rFonts w:hint="eastAsia" w:ascii="宋体" w:hAnsi="宋体"/>
          <w:szCs w:val="21"/>
        </w:rPr>
        <w:t>表1.6-1C</w:t>
      </w:r>
      <w:r>
        <w:rPr>
          <w:rFonts w:hint="eastAsia" w:ascii="宋体" w:hAnsi="宋体"/>
          <w:szCs w:val="21"/>
        </w:rPr>
        <w:tab/>
      </w:r>
      <w:r>
        <w:rPr>
          <w:rFonts w:hint="eastAsia" w:ascii="宋体" w:hAnsi="宋体"/>
          <w:szCs w:val="21"/>
        </w:rPr>
        <w:t>卖方提供给买方和电站设计单位的设联会资料</w:t>
      </w:r>
    </w:p>
    <w:tbl>
      <w:tblPr>
        <w:tblStyle w:val="71"/>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69"/>
        <w:gridCol w:w="2629"/>
        <w:gridCol w:w="1449"/>
        <w:gridCol w:w="1451"/>
        <w:gridCol w:w="1449"/>
        <w:gridCol w:w="144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6" w:type="pct"/>
            <w:vMerge w:val="restart"/>
            <w:tcBorders>
              <w:top w:val="single" w:color="auto" w:sz="8" w:space="0"/>
              <w:left w:val="nil"/>
              <w:bottom w:val="single" w:color="auto" w:sz="2" w:space="0"/>
              <w:right w:val="single" w:color="auto" w:sz="2" w:space="0"/>
            </w:tcBorders>
            <w:vAlign w:val="center"/>
          </w:tcPr>
          <w:p>
            <w:pPr>
              <w:widowControl/>
              <w:adjustRightInd w:val="0"/>
              <w:jc w:val="center"/>
              <w:textAlignment w:val="baseline"/>
              <w:rPr>
                <w:rFonts w:ascii="宋体" w:hAnsi="宋体"/>
                <w:szCs w:val="21"/>
              </w:rPr>
            </w:pPr>
            <w:r>
              <w:rPr>
                <w:rFonts w:hint="eastAsia" w:ascii="宋体" w:hAnsi="宋体"/>
                <w:szCs w:val="21"/>
              </w:rPr>
              <w:t>序号</w:t>
            </w:r>
          </w:p>
        </w:tc>
        <w:tc>
          <w:tcPr>
            <w:tcW w:w="1399" w:type="pct"/>
            <w:vMerge w:val="restart"/>
            <w:tcBorders>
              <w:top w:val="single" w:color="auto" w:sz="8" w:space="0"/>
              <w:left w:val="single" w:color="auto" w:sz="2" w:space="0"/>
              <w:bottom w:val="single" w:color="auto" w:sz="2" w:space="0"/>
              <w:right w:val="single" w:color="auto" w:sz="2" w:space="0"/>
            </w:tcBorders>
            <w:vAlign w:val="center"/>
          </w:tcPr>
          <w:p>
            <w:pPr>
              <w:widowControl/>
              <w:adjustRightInd w:val="0"/>
              <w:jc w:val="center"/>
              <w:textAlignment w:val="baseline"/>
              <w:rPr>
                <w:rFonts w:ascii="宋体" w:hAnsi="宋体"/>
                <w:szCs w:val="21"/>
              </w:rPr>
            </w:pPr>
            <w:r>
              <w:rPr>
                <w:rFonts w:hint="eastAsia" w:ascii="宋体" w:hAnsi="宋体"/>
                <w:szCs w:val="21"/>
              </w:rPr>
              <w:t>资料名称</w:t>
            </w:r>
          </w:p>
        </w:tc>
        <w:tc>
          <w:tcPr>
            <w:tcW w:w="1543" w:type="pct"/>
            <w:gridSpan w:val="2"/>
            <w:tcBorders>
              <w:top w:val="single" w:color="auto" w:sz="8" w:space="0"/>
              <w:left w:val="single" w:color="auto" w:sz="2" w:space="0"/>
              <w:bottom w:val="single" w:color="auto" w:sz="2" w:space="0"/>
              <w:right w:val="single" w:color="auto" w:sz="2" w:space="0"/>
            </w:tcBorders>
          </w:tcPr>
          <w:p>
            <w:pPr>
              <w:widowControl/>
              <w:adjustRightInd w:val="0"/>
              <w:jc w:val="center"/>
              <w:textAlignment w:val="baseline"/>
              <w:rPr>
                <w:rFonts w:ascii="宋体" w:hAnsi="宋体"/>
                <w:szCs w:val="21"/>
              </w:rPr>
            </w:pPr>
            <w:r>
              <w:rPr>
                <w:rFonts w:hint="eastAsia" w:ascii="宋体" w:hAnsi="宋体"/>
                <w:szCs w:val="21"/>
              </w:rPr>
              <w:t>买方</w:t>
            </w:r>
          </w:p>
        </w:tc>
        <w:tc>
          <w:tcPr>
            <w:tcW w:w="1543" w:type="pct"/>
            <w:gridSpan w:val="2"/>
            <w:tcBorders>
              <w:top w:val="single" w:color="auto" w:sz="8" w:space="0"/>
              <w:left w:val="single" w:color="auto" w:sz="2" w:space="0"/>
              <w:bottom w:val="single" w:color="auto" w:sz="2" w:space="0"/>
              <w:right w:val="nil"/>
            </w:tcBorders>
          </w:tcPr>
          <w:p>
            <w:pPr>
              <w:widowControl/>
              <w:adjustRightInd w:val="0"/>
              <w:jc w:val="center"/>
              <w:textAlignment w:val="baseline"/>
              <w:rPr>
                <w:rFonts w:ascii="宋体" w:hAnsi="宋体"/>
                <w:szCs w:val="21"/>
              </w:rPr>
            </w:pPr>
            <w:r>
              <w:rPr>
                <w:rFonts w:hint="eastAsia" w:ascii="宋体" w:hAnsi="宋体"/>
                <w:szCs w:val="21"/>
              </w:rPr>
              <w:t>设计单位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0" w:type="auto"/>
            <w:vMerge w:val="continue"/>
            <w:tcBorders>
              <w:top w:val="single" w:color="auto" w:sz="8" w:space="0"/>
              <w:left w:val="nil"/>
              <w:bottom w:val="single" w:color="auto" w:sz="2" w:space="0"/>
              <w:right w:val="single" w:color="auto" w:sz="2" w:space="0"/>
            </w:tcBorders>
            <w:vAlign w:val="center"/>
          </w:tcPr>
          <w:p>
            <w:pPr>
              <w:widowControl/>
              <w:jc w:val="left"/>
              <w:rPr>
                <w:rFonts w:ascii="宋体" w:hAnsi="宋体"/>
                <w:szCs w:val="21"/>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771"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图纸</w:t>
            </w:r>
          </w:p>
        </w:tc>
        <w:tc>
          <w:tcPr>
            <w:tcW w:w="772" w:type="pct"/>
            <w:vMerge w:val="restar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硬盘</w:t>
            </w:r>
            <w:r>
              <w:rPr>
                <w:rFonts w:hint="eastAsia" w:ascii="宋体" w:hAnsi="宋体" w:cs="Arial"/>
                <w:szCs w:val="21"/>
              </w:rPr>
              <w:t>(</w:t>
            </w:r>
            <w:r>
              <w:rPr>
                <w:rFonts w:hint="eastAsia" w:ascii="宋体" w:hAnsi="宋体"/>
                <w:szCs w:val="21"/>
              </w:rPr>
              <w:t>个</w:t>
            </w:r>
            <w:r>
              <w:rPr>
                <w:rFonts w:hint="eastAsia" w:ascii="宋体" w:hAnsi="宋体" w:cs="Arial"/>
                <w:szCs w:val="21"/>
              </w:rPr>
              <w:t>)</w:t>
            </w:r>
          </w:p>
        </w:tc>
        <w:tc>
          <w:tcPr>
            <w:tcW w:w="771"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图纸</w:t>
            </w:r>
          </w:p>
        </w:tc>
        <w:tc>
          <w:tcPr>
            <w:tcW w:w="771" w:type="pct"/>
            <w:vMerge w:val="restart"/>
            <w:tcBorders>
              <w:top w:val="single" w:color="auto" w:sz="2" w:space="0"/>
              <w:left w:val="single" w:color="auto" w:sz="2" w:space="0"/>
              <w:bottom w:val="single" w:color="auto" w:sz="2" w:space="0"/>
              <w:right w:val="nil"/>
            </w:tcBorders>
          </w:tcPr>
          <w:p>
            <w:pPr>
              <w:widowControl/>
              <w:adjustRightInd w:val="0"/>
              <w:jc w:val="center"/>
              <w:textAlignment w:val="baseline"/>
              <w:rPr>
                <w:rFonts w:ascii="宋体" w:hAnsi="宋体"/>
                <w:szCs w:val="21"/>
              </w:rPr>
            </w:pPr>
            <w:r>
              <w:rPr>
                <w:rFonts w:hint="eastAsia" w:ascii="宋体" w:hAnsi="宋体"/>
                <w:szCs w:val="21"/>
              </w:rPr>
              <w:t>硬盘</w:t>
            </w:r>
            <w:r>
              <w:rPr>
                <w:rFonts w:hint="eastAsia" w:ascii="宋体" w:hAnsi="宋体" w:cs="Arial"/>
                <w:szCs w:val="21"/>
              </w:rPr>
              <w:t>(</w:t>
            </w:r>
            <w:r>
              <w:rPr>
                <w:rFonts w:hint="eastAsia" w:ascii="宋体" w:hAnsi="宋体"/>
                <w:szCs w:val="21"/>
              </w:rPr>
              <w:t>个</w:t>
            </w:r>
            <w:r>
              <w:rPr>
                <w:rFonts w:hint="eastAsia" w:ascii="宋体" w:hAnsi="宋体" w:cs="Arial"/>
                <w:szCs w:val="21"/>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0" w:type="auto"/>
            <w:vMerge w:val="continue"/>
            <w:tcBorders>
              <w:top w:val="single" w:color="auto" w:sz="8" w:space="0"/>
              <w:left w:val="nil"/>
              <w:bottom w:val="single" w:color="auto" w:sz="2" w:space="0"/>
              <w:right w:val="single" w:color="auto" w:sz="2" w:space="0"/>
            </w:tcBorders>
            <w:vAlign w:val="center"/>
          </w:tcPr>
          <w:p>
            <w:pPr>
              <w:widowControl/>
              <w:jc w:val="left"/>
              <w:rPr>
                <w:rFonts w:ascii="宋体" w:hAnsi="宋体"/>
                <w:szCs w:val="21"/>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771"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资料</w:t>
            </w:r>
            <w:r>
              <w:rPr>
                <w:rFonts w:hint="eastAsia" w:ascii="宋体" w:hAnsi="宋体" w:cs="Arial"/>
                <w:szCs w:val="21"/>
              </w:rPr>
              <w:t>(</w:t>
            </w:r>
            <w:r>
              <w:rPr>
                <w:rFonts w:hint="eastAsia" w:ascii="宋体" w:hAnsi="宋体"/>
                <w:szCs w:val="21"/>
              </w:rPr>
              <w:t>套</w:t>
            </w:r>
            <w:r>
              <w:rPr>
                <w:rFonts w:hint="eastAsia" w:ascii="宋体" w:hAnsi="宋体" w:cs="Arial"/>
                <w:szCs w:val="21"/>
              </w:rPr>
              <w:t>)</w:t>
            </w: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771"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资料</w:t>
            </w:r>
            <w:r>
              <w:rPr>
                <w:rFonts w:hint="eastAsia" w:ascii="宋体" w:hAnsi="宋体" w:cs="Arial"/>
                <w:szCs w:val="21"/>
              </w:rPr>
              <w:t>(</w:t>
            </w:r>
            <w:r>
              <w:rPr>
                <w:rFonts w:hint="eastAsia" w:ascii="宋体" w:hAnsi="宋体"/>
                <w:szCs w:val="21"/>
              </w:rPr>
              <w:t>套</w:t>
            </w:r>
            <w:r>
              <w:rPr>
                <w:rFonts w:hint="eastAsia" w:ascii="宋体" w:hAnsi="宋体" w:cs="Arial"/>
                <w:szCs w:val="21"/>
              </w:rPr>
              <w:t>)</w:t>
            </w:r>
          </w:p>
        </w:tc>
        <w:tc>
          <w:tcPr>
            <w:tcW w:w="0" w:type="auto"/>
            <w:vMerge w:val="continue"/>
            <w:tcBorders>
              <w:top w:val="single" w:color="auto" w:sz="2" w:space="0"/>
              <w:left w:val="single" w:color="auto" w:sz="2" w:space="0"/>
              <w:bottom w:val="single" w:color="auto" w:sz="2" w:space="0"/>
              <w:right w:val="nil"/>
            </w:tcBorders>
            <w:vAlign w:val="center"/>
          </w:tcPr>
          <w:p>
            <w:pPr>
              <w:widowControl/>
              <w:jc w:val="left"/>
              <w:rPr>
                <w:rFonts w:ascii="宋体" w:hAnsi="宋体"/>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516" w:type="pct"/>
            <w:tcBorders>
              <w:top w:val="single" w:color="auto" w:sz="2" w:space="0"/>
              <w:left w:val="nil"/>
              <w:bottom w:val="single" w:color="auto" w:sz="8"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三</w:t>
            </w:r>
          </w:p>
        </w:tc>
        <w:tc>
          <w:tcPr>
            <w:tcW w:w="1399" w:type="pct"/>
            <w:tcBorders>
              <w:top w:val="single" w:color="auto" w:sz="2" w:space="0"/>
              <w:left w:val="single" w:color="auto" w:sz="2" w:space="0"/>
              <w:bottom w:val="single" w:color="auto" w:sz="8"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设联会资料</w:t>
            </w:r>
          </w:p>
        </w:tc>
        <w:tc>
          <w:tcPr>
            <w:tcW w:w="771" w:type="pct"/>
            <w:tcBorders>
              <w:top w:val="single" w:color="auto" w:sz="2" w:space="0"/>
              <w:left w:val="single" w:color="auto" w:sz="2" w:space="0"/>
              <w:bottom w:val="single" w:color="auto" w:sz="8" w:space="0"/>
              <w:right w:val="single" w:color="auto" w:sz="2" w:space="0"/>
            </w:tcBorders>
          </w:tcPr>
          <w:p>
            <w:pPr>
              <w:widowControl/>
              <w:adjustRightInd w:val="0"/>
              <w:snapToGrid w:val="0"/>
              <w:jc w:val="center"/>
              <w:textAlignment w:val="baseline"/>
              <w:rPr>
                <w:rFonts w:ascii="宋体" w:hAnsi="宋体" w:cs="Arial"/>
                <w:szCs w:val="21"/>
              </w:rPr>
            </w:pPr>
            <w:r>
              <w:rPr>
                <w:rFonts w:ascii="宋体" w:hAnsi="宋体" w:cs="Arial"/>
                <w:szCs w:val="21"/>
              </w:rPr>
              <w:t>12</w:t>
            </w:r>
          </w:p>
        </w:tc>
        <w:tc>
          <w:tcPr>
            <w:tcW w:w="772" w:type="pct"/>
            <w:tcBorders>
              <w:top w:val="single" w:color="auto" w:sz="2" w:space="0"/>
              <w:left w:val="single" w:color="auto" w:sz="2" w:space="0"/>
              <w:bottom w:val="single" w:color="auto" w:sz="8" w:space="0"/>
              <w:right w:val="single" w:color="auto" w:sz="2" w:space="0"/>
            </w:tcBorders>
          </w:tcPr>
          <w:p>
            <w:pPr>
              <w:widowControl/>
              <w:adjustRightInd w:val="0"/>
              <w:snapToGrid w:val="0"/>
              <w:jc w:val="center"/>
              <w:textAlignment w:val="baseline"/>
              <w:rPr>
                <w:rFonts w:ascii="宋体" w:hAnsi="宋体" w:cs="Arial"/>
                <w:szCs w:val="21"/>
              </w:rPr>
            </w:pPr>
            <w:r>
              <w:rPr>
                <w:rFonts w:ascii="宋体" w:hAnsi="宋体" w:cs="Arial"/>
                <w:szCs w:val="21"/>
              </w:rPr>
              <w:t>1</w:t>
            </w:r>
          </w:p>
        </w:tc>
        <w:tc>
          <w:tcPr>
            <w:tcW w:w="771" w:type="pct"/>
            <w:tcBorders>
              <w:top w:val="single" w:color="auto" w:sz="2" w:space="0"/>
              <w:left w:val="single" w:color="auto" w:sz="2" w:space="0"/>
              <w:bottom w:val="single" w:color="auto" w:sz="8" w:space="0"/>
              <w:right w:val="single" w:color="auto" w:sz="2" w:space="0"/>
            </w:tcBorders>
          </w:tcPr>
          <w:p>
            <w:pPr>
              <w:widowControl/>
              <w:adjustRightInd w:val="0"/>
              <w:snapToGrid w:val="0"/>
              <w:jc w:val="center"/>
              <w:textAlignment w:val="baseline"/>
              <w:rPr>
                <w:rFonts w:ascii="宋体" w:hAnsi="宋体" w:cs="Arial"/>
                <w:szCs w:val="21"/>
              </w:rPr>
            </w:pPr>
            <w:r>
              <w:rPr>
                <w:rFonts w:ascii="宋体" w:hAnsi="宋体" w:cs="Arial"/>
                <w:szCs w:val="21"/>
              </w:rPr>
              <w:t>1</w:t>
            </w:r>
          </w:p>
        </w:tc>
        <w:tc>
          <w:tcPr>
            <w:tcW w:w="771" w:type="pct"/>
            <w:tcBorders>
              <w:top w:val="single" w:color="auto" w:sz="2" w:space="0"/>
              <w:left w:val="single" w:color="auto" w:sz="2" w:space="0"/>
              <w:bottom w:val="single" w:color="auto" w:sz="8" w:space="0"/>
              <w:right w:val="nil"/>
            </w:tcBorders>
          </w:tcPr>
          <w:p>
            <w:pPr>
              <w:widowControl/>
              <w:adjustRightInd w:val="0"/>
              <w:snapToGrid w:val="0"/>
              <w:jc w:val="center"/>
              <w:textAlignment w:val="baseline"/>
              <w:rPr>
                <w:rFonts w:ascii="宋体" w:hAnsi="宋体" w:cs="Arial"/>
                <w:szCs w:val="21"/>
              </w:rPr>
            </w:pPr>
            <w:r>
              <w:rPr>
                <w:rFonts w:ascii="宋体" w:hAnsi="宋体" w:cs="Arial"/>
                <w:szCs w:val="21"/>
              </w:rPr>
              <w:t>1</w:t>
            </w:r>
          </w:p>
        </w:tc>
      </w:tr>
    </w:tbl>
    <w:p>
      <w:pPr>
        <w:spacing w:line="360" w:lineRule="auto"/>
        <w:ind w:firstLine="1080"/>
        <w:rPr>
          <w:rFonts w:ascii="宋体" w:hAnsi="宋体"/>
          <w:szCs w:val="21"/>
        </w:rPr>
      </w:pPr>
    </w:p>
    <w:p>
      <w:pPr>
        <w:spacing w:line="360" w:lineRule="auto"/>
        <w:ind w:firstLine="709"/>
        <w:rPr>
          <w:rFonts w:ascii="宋体" w:hAnsi="宋体"/>
          <w:szCs w:val="21"/>
        </w:rPr>
      </w:pPr>
      <w:r>
        <w:rPr>
          <w:rFonts w:hint="eastAsia" w:ascii="宋体" w:hAnsi="宋体"/>
          <w:szCs w:val="21"/>
        </w:rPr>
        <w:t>表1.6-1D</w:t>
      </w:r>
      <w:r>
        <w:rPr>
          <w:rFonts w:hint="eastAsia" w:ascii="宋体" w:hAnsi="宋体"/>
          <w:szCs w:val="21"/>
        </w:rPr>
        <w:tab/>
      </w:r>
      <w:r>
        <w:rPr>
          <w:rFonts w:hint="eastAsia" w:ascii="宋体" w:hAnsi="宋体"/>
          <w:szCs w:val="21"/>
        </w:rPr>
        <w:t>卖方提供给买方合同执行过程资料</w:t>
      </w:r>
    </w:p>
    <w:tbl>
      <w:tblPr>
        <w:tblStyle w:val="71"/>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972"/>
        <w:gridCol w:w="4320"/>
        <w:gridCol w:w="1171"/>
        <w:gridCol w:w="977"/>
        <w:gridCol w:w="1069"/>
        <w:gridCol w:w="88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517" w:type="pct"/>
            <w:vMerge w:val="restart"/>
            <w:tcBorders>
              <w:top w:val="single" w:color="auto" w:sz="8" w:space="0"/>
              <w:left w:val="nil"/>
              <w:bottom w:val="single" w:color="auto" w:sz="2" w:space="0"/>
              <w:right w:val="single" w:color="auto" w:sz="2" w:space="0"/>
            </w:tcBorders>
            <w:vAlign w:val="center"/>
          </w:tcPr>
          <w:p>
            <w:pPr>
              <w:widowControl/>
              <w:adjustRightInd w:val="0"/>
              <w:jc w:val="center"/>
              <w:textAlignment w:val="baseline"/>
              <w:rPr>
                <w:rFonts w:ascii="宋体" w:hAnsi="宋体"/>
                <w:szCs w:val="21"/>
              </w:rPr>
            </w:pPr>
            <w:r>
              <w:rPr>
                <w:rFonts w:hint="eastAsia" w:ascii="宋体" w:hAnsi="宋体"/>
                <w:szCs w:val="21"/>
              </w:rPr>
              <w:t>序号</w:t>
            </w:r>
          </w:p>
        </w:tc>
        <w:tc>
          <w:tcPr>
            <w:tcW w:w="2299" w:type="pct"/>
            <w:vMerge w:val="restart"/>
            <w:tcBorders>
              <w:top w:val="single" w:color="auto" w:sz="8" w:space="0"/>
              <w:left w:val="single" w:color="auto" w:sz="2" w:space="0"/>
              <w:bottom w:val="single" w:color="auto" w:sz="2" w:space="0"/>
              <w:right w:val="single" w:color="auto" w:sz="2" w:space="0"/>
            </w:tcBorders>
            <w:vAlign w:val="center"/>
          </w:tcPr>
          <w:p>
            <w:pPr>
              <w:widowControl/>
              <w:adjustRightInd w:val="0"/>
              <w:jc w:val="center"/>
              <w:textAlignment w:val="baseline"/>
              <w:rPr>
                <w:rFonts w:ascii="宋体" w:hAnsi="宋体"/>
                <w:szCs w:val="21"/>
              </w:rPr>
            </w:pPr>
            <w:r>
              <w:rPr>
                <w:rFonts w:hint="eastAsia" w:ascii="宋体" w:hAnsi="宋体"/>
                <w:szCs w:val="21"/>
              </w:rPr>
              <w:t>资料名称</w:t>
            </w:r>
          </w:p>
        </w:tc>
        <w:tc>
          <w:tcPr>
            <w:tcW w:w="1143" w:type="pct"/>
            <w:gridSpan w:val="2"/>
            <w:tcBorders>
              <w:top w:val="single" w:color="auto" w:sz="8" w:space="0"/>
              <w:left w:val="single" w:color="auto" w:sz="2" w:space="0"/>
              <w:bottom w:val="single" w:color="auto" w:sz="2" w:space="0"/>
              <w:right w:val="single" w:color="auto" w:sz="2" w:space="0"/>
            </w:tcBorders>
          </w:tcPr>
          <w:p>
            <w:pPr>
              <w:widowControl/>
              <w:adjustRightInd w:val="0"/>
              <w:jc w:val="center"/>
              <w:textAlignment w:val="baseline"/>
              <w:rPr>
                <w:rFonts w:ascii="宋体" w:hAnsi="宋体"/>
                <w:szCs w:val="21"/>
              </w:rPr>
            </w:pPr>
            <w:r>
              <w:rPr>
                <w:rFonts w:hint="eastAsia" w:ascii="宋体" w:hAnsi="宋体"/>
                <w:szCs w:val="21"/>
              </w:rPr>
              <w:t>买方</w:t>
            </w:r>
          </w:p>
        </w:tc>
        <w:tc>
          <w:tcPr>
            <w:tcW w:w="1041" w:type="pct"/>
            <w:gridSpan w:val="2"/>
            <w:tcBorders>
              <w:top w:val="single" w:color="auto" w:sz="8" w:space="0"/>
              <w:left w:val="single" w:color="auto" w:sz="2" w:space="0"/>
              <w:bottom w:val="single" w:color="auto" w:sz="2" w:space="0"/>
              <w:right w:val="nil"/>
            </w:tcBorders>
          </w:tcPr>
          <w:p>
            <w:pPr>
              <w:widowControl/>
              <w:adjustRightInd w:val="0"/>
              <w:jc w:val="center"/>
              <w:textAlignment w:val="baseline"/>
              <w:rPr>
                <w:rFonts w:ascii="宋体" w:hAnsi="宋体"/>
                <w:szCs w:val="21"/>
              </w:rPr>
            </w:pPr>
            <w:r>
              <w:rPr>
                <w:rFonts w:hint="eastAsia" w:ascii="宋体" w:hAnsi="宋体"/>
                <w:szCs w:val="21"/>
              </w:rPr>
              <w:t>设计单位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0" w:type="auto"/>
            <w:vMerge w:val="continue"/>
            <w:tcBorders>
              <w:top w:val="single" w:color="auto" w:sz="8" w:space="0"/>
              <w:left w:val="nil"/>
              <w:bottom w:val="single" w:color="auto" w:sz="2" w:space="0"/>
              <w:right w:val="single" w:color="auto" w:sz="2" w:space="0"/>
            </w:tcBorders>
            <w:vAlign w:val="center"/>
          </w:tcPr>
          <w:p>
            <w:pPr>
              <w:widowControl/>
              <w:jc w:val="left"/>
              <w:rPr>
                <w:rFonts w:ascii="宋体" w:hAnsi="宋体"/>
                <w:szCs w:val="21"/>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623"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图纸</w:t>
            </w:r>
          </w:p>
        </w:tc>
        <w:tc>
          <w:tcPr>
            <w:tcW w:w="520" w:type="pct"/>
            <w:vMerge w:val="restar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硬盘</w:t>
            </w:r>
            <w:r>
              <w:rPr>
                <w:rFonts w:hint="eastAsia" w:ascii="宋体" w:hAnsi="宋体" w:cs="Arial"/>
                <w:szCs w:val="21"/>
              </w:rPr>
              <w:t>(</w:t>
            </w:r>
            <w:r>
              <w:rPr>
                <w:rFonts w:hint="eastAsia" w:ascii="宋体" w:hAnsi="宋体"/>
                <w:szCs w:val="21"/>
              </w:rPr>
              <w:t>个</w:t>
            </w:r>
            <w:r>
              <w:rPr>
                <w:rFonts w:hint="eastAsia" w:ascii="宋体" w:hAnsi="宋体" w:cs="Arial"/>
                <w:szCs w:val="21"/>
              </w:rPr>
              <w:t>)</w:t>
            </w:r>
          </w:p>
        </w:tc>
        <w:tc>
          <w:tcPr>
            <w:tcW w:w="569"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图纸</w:t>
            </w:r>
          </w:p>
        </w:tc>
        <w:tc>
          <w:tcPr>
            <w:tcW w:w="472" w:type="pct"/>
            <w:vMerge w:val="restart"/>
            <w:tcBorders>
              <w:top w:val="single" w:color="auto" w:sz="2" w:space="0"/>
              <w:left w:val="single" w:color="auto" w:sz="2" w:space="0"/>
              <w:bottom w:val="single" w:color="auto" w:sz="2" w:space="0"/>
              <w:right w:val="nil"/>
            </w:tcBorders>
          </w:tcPr>
          <w:p>
            <w:pPr>
              <w:widowControl/>
              <w:adjustRightInd w:val="0"/>
              <w:jc w:val="center"/>
              <w:textAlignment w:val="baseline"/>
              <w:rPr>
                <w:rFonts w:ascii="宋体" w:hAnsi="宋体"/>
                <w:szCs w:val="21"/>
              </w:rPr>
            </w:pPr>
            <w:r>
              <w:rPr>
                <w:rFonts w:hint="eastAsia" w:ascii="宋体" w:hAnsi="宋体"/>
                <w:szCs w:val="21"/>
              </w:rPr>
              <w:t>硬盘</w:t>
            </w:r>
            <w:r>
              <w:rPr>
                <w:rFonts w:hint="eastAsia" w:ascii="宋体" w:hAnsi="宋体" w:cs="Arial"/>
                <w:szCs w:val="21"/>
              </w:rPr>
              <w:t>(</w:t>
            </w:r>
            <w:r>
              <w:rPr>
                <w:rFonts w:hint="eastAsia" w:ascii="宋体" w:hAnsi="宋体"/>
                <w:szCs w:val="21"/>
              </w:rPr>
              <w:t>个</w:t>
            </w:r>
            <w:r>
              <w:rPr>
                <w:rFonts w:hint="eastAsia" w:ascii="宋体" w:hAnsi="宋体" w:cs="Arial"/>
                <w:szCs w:val="21"/>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0" w:type="auto"/>
            <w:vMerge w:val="continue"/>
            <w:tcBorders>
              <w:top w:val="single" w:color="auto" w:sz="8" w:space="0"/>
              <w:left w:val="nil"/>
              <w:bottom w:val="single" w:color="auto" w:sz="2" w:space="0"/>
              <w:right w:val="single" w:color="auto" w:sz="2" w:space="0"/>
            </w:tcBorders>
            <w:vAlign w:val="center"/>
          </w:tcPr>
          <w:p>
            <w:pPr>
              <w:widowControl/>
              <w:jc w:val="left"/>
              <w:rPr>
                <w:rFonts w:ascii="宋体" w:hAnsi="宋体"/>
                <w:szCs w:val="21"/>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623"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资料</w:t>
            </w:r>
            <w:r>
              <w:rPr>
                <w:rFonts w:hint="eastAsia" w:ascii="宋体" w:hAnsi="宋体" w:cs="Arial"/>
                <w:szCs w:val="21"/>
              </w:rPr>
              <w:t>(</w:t>
            </w:r>
            <w:r>
              <w:rPr>
                <w:rFonts w:hint="eastAsia" w:ascii="宋体" w:hAnsi="宋体"/>
                <w:szCs w:val="21"/>
              </w:rPr>
              <w:t>套</w:t>
            </w:r>
            <w:r>
              <w:rPr>
                <w:rFonts w:hint="eastAsia" w:ascii="宋体" w:hAnsi="宋体" w:cs="Arial"/>
                <w:szCs w:val="21"/>
              </w:rPr>
              <w:t>)</w:t>
            </w: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569"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资料</w:t>
            </w:r>
            <w:r>
              <w:rPr>
                <w:rFonts w:hint="eastAsia" w:ascii="宋体" w:hAnsi="宋体" w:cs="Arial"/>
                <w:szCs w:val="21"/>
              </w:rPr>
              <w:t>(</w:t>
            </w:r>
            <w:r>
              <w:rPr>
                <w:rFonts w:hint="eastAsia" w:ascii="宋体" w:hAnsi="宋体"/>
                <w:szCs w:val="21"/>
              </w:rPr>
              <w:t>套</w:t>
            </w:r>
            <w:r>
              <w:rPr>
                <w:rFonts w:hint="eastAsia" w:ascii="宋体" w:hAnsi="宋体" w:cs="Arial"/>
                <w:szCs w:val="21"/>
              </w:rPr>
              <w:t>)</w:t>
            </w:r>
          </w:p>
        </w:tc>
        <w:tc>
          <w:tcPr>
            <w:tcW w:w="0" w:type="auto"/>
            <w:vMerge w:val="continue"/>
            <w:tcBorders>
              <w:top w:val="single" w:color="auto" w:sz="2" w:space="0"/>
              <w:left w:val="single" w:color="auto" w:sz="2" w:space="0"/>
              <w:bottom w:val="single" w:color="auto" w:sz="2" w:space="0"/>
              <w:right w:val="nil"/>
            </w:tcBorders>
            <w:vAlign w:val="center"/>
          </w:tcPr>
          <w:p>
            <w:pPr>
              <w:widowControl/>
              <w:jc w:val="left"/>
              <w:rPr>
                <w:rFonts w:ascii="宋体" w:hAnsi="宋体"/>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四</w:t>
            </w:r>
          </w:p>
        </w:tc>
        <w:tc>
          <w:tcPr>
            <w:tcW w:w="2299"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合同执行过程文件</w:t>
            </w:r>
          </w:p>
        </w:tc>
        <w:tc>
          <w:tcPr>
            <w:tcW w:w="623"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　</w:t>
            </w:r>
          </w:p>
        </w:tc>
        <w:tc>
          <w:tcPr>
            <w:tcW w:w="520"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　</w:t>
            </w:r>
          </w:p>
        </w:tc>
        <w:tc>
          <w:tcPr>
            <w:tcW w:w="569"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szCs w:val="21"/>
              </w:rPr>
            </w:pPr>
            <w:r>
              <w:rPr>
                <w:rFonts w:hint="eastAsia" w:ascii="宋体" w:hAnsi="宋体"/>
                <w:szCs w:val="21"/>
              </w:rPr>
              <w:t>　</w:t>
            </w:r>
          </w:p>
        </w:tc>
        <w:tc>
          <w:tcPr>
            <w:tcW w:w="472" w:type="pct"/>
            <w:tcBorders>
              <w:top w:val="single" w:color="auto" w:sz="2" w:space="0"/>
              <w:left w:val="single" w:color="auto" w:sz="2" w:space="0"/>
              <w:bottom w:val="single" w:color="auto" w:sz="2" w:space="0"/>
              <w:right w:val="nil"/>
            </w:tcBorders>
          </w:tcPr>
          <w:p>
            <w:pPr>
              <w:widowControl/>
              <w:adjustRightInd w:val="0"/>
              <w:jc w:val="center"/>
              <w:textAlignment w:val="baseline"/>
              <w:rPr>
                <w:rFonts w:ascii="宋体" w:hAnsi="宋体"/>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8"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2299"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cs="Arial"/>
                <w:szCs w:val="21"/>
              </w:rPr>
            </w:pPr>
            <w:r>
              <w:rPr>
                <w:rFonts w:hint="eastAsia" w:ascii="宋体" w:hAnsi="宋体" w:cs="Arial"/>
                <w:szCs w:val="21"/>
              </w:rPr>
              <w:t>设联会后修改完成的图纸和技术文件</w:t>
            </w:r>
          </w:p>
        </w:tc>
        <w:tc>
          <w:tcPr>
            <w:tcW w:w="623"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20"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69"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47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2</w:t>
            </w:r>
          </w:p>
        </w:tc>
        <w:tc>
          <w:tcPr>
            <w:tcW w:w="2299"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计算软件、逻辑图及使用说明书</w:t>
            </w:r>
          </w:p>
        </w:tc>
        <w:tc>
          <w:tcPr>
            <w:tcW w:w="623"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20"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69"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47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3</w:t>
            </w:r>
          </w:p>
        </w:tc>
        <w:tc>
          <w:tcPr>
            <w:tcW w:w="2299"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工厂组装及试验程序</w:t>
            </w:r>
          </w:p>
        </w:tc>
        <w:tc>
          <w:tcPr>
            <w:tcW w:w="623"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20"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69"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47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4</w:t>
            </w:r>
          </w:p>
        </w:tc>
        <w:tc>
          <w:tcPr>
            <w:tcW w:w="2299"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月生产及供货计划表</w:t>
            </w:r>
          </w:p>
        </w:tc>
        <w:tc>
          <w:tcPr>
            <w:tcW w:w="623"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20"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69"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47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5</w:t>
            </w:r>
          </w:p>
        </w:tc>
        <w:tc>
          <w:tcPr>
            <w:tcW w:w="2299"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卖方与其他卖方协调资料</w:t>
            </w:r>
          </w:p>
        </w:tc>
        <w:tc>
          <w:tcPr>
            <w:tcW w:w="623"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20"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69"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47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6</w:t>
            </w:r>
          </w:p>
        </w:tc>
        <w:tc>
          <w:tcPr>
            <w:tcW w:w="2299"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外购设备的样本、技术参数及文件</w:t>
            </w:r>
          </w:p>
        </w:tc>
        <w:tc>
          <w:tcPr>
            <w:tcW w:w="623"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20"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69"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47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7</w:t>
            </w:r>
          </w:p>
        </w:tc>
        <w:tc>
          <w:tcPr>
            <w:tcW w:w="2299"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卖方建议的设备安装程序</w:t>
            </w:r>
          </w:p>
        </w:tc>
        <w:tc>
          <w:tcPr>
            <w:tcW w:w="623"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20"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69"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47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517" w:type="pct"/>
            <w:tcBorders>
              <w:top w:val="single" w:color="auto" w:sz="2" w:space="0"/>
              <w:left w:val="nil"/>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8</w:t>
            </w:r>
          </w:p>
        </w:tc>
        <w:tc>
          <w:tcPr>
            <w:tcW w:w="2299" w:type="pct"/>
            <w:tcBorders>
              <w:top w:val="single" w:color="auto" w:sz="2" w:space="0"/>
              <w:left w:val="single" w:color="auto" w:sz="2" w:space="0"/>
              <w:bottom w:val="single" w:color="auto" w:sz="2"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设备清单</w:t>
            </w:r>
          </w:p>
        </w:tc>
        <w:tc>
          <w:tcPr>
            <w:tcW w:w="623"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20"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69" w:type="pct"/>
            <w:tcBorders>
              <w:top w:val="single" w:color="auto" w:sz="2" w:space="0"/>
              <w:left w:val="single" w:color="auto" w:sz="2" w:space="0"/>
              <w:bottom w:val="single" w:color="auto" w:sz="2"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472" w:type="pct"/>
            <w:tcBorders>
              <w:top w:val="single" w:color="auto" w:sz="2" w:space="0"/>
              <w:left w:val="single" w:color="auto" w:sz="2" w:space="0"/>
              <w:bottom w:val="single" w:color="auto" w:sz="2"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517" w:type="pct"/>
            <w:tcBorders>
              <w:top w:val="single" w:color="auto" w:sz="2" w:space="0"/>
              <w:left w:val="nil"/>
              <w:bottom w:val="single" w:color="auto" w:sz="8"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9</w:t>
            </w:r>
          </w:p>
        </w:tc>
        <w:tc>
          <w:tcPr>
            <w:tcW w:w="2299" w:type="pct"/>
            <w:tcBorders>
              <w:top w:val="single" w:color="auto" w:sz="2" w:space="0"/>
              <w:left w:val="single" w:color="auto" w:sz="2" w:space="0"/>
              <w:bottom w:val="single" w:color="auto" w:sz="8" w:space="0"/>
              <w:right w:val="single" w:color="auto" w:sz="2" w:space="0"/>
            </w:tcBorders>
          </w:tcPr>
          <w:p>
            <w:pPr>
              <w:widowControl/>
              <w:adjustRightInd w:val="0"/>
              <w:snapToGrid w:val="0"/>
              <w:textAlignment w:val="baseline"/>
              <w:rPr>
                <w:rFonts w:ascii="宋体" w:hAnsi="宋体"/>
                <w:szCs w:val="21"/>
              </w:rPr>
            </w:pPr>
            <w:r>
              <w:rPr>
                <w:rFonts w:hint="eastAsia" w:ascii="宋体" w:hAnsi="宋体"/>
                <w:szCs w:val="21"/>
              </w:rPr>
              <w:t>其它买方要求的合同执行过程文件</w:t>
            </w:r>
          </w:p>
        </w:tc>
        <w:tc>
          <w:tcPr>
            <w:tcW w:w="623" w:type="pct"/>
            <w:tcBorders>
              <w:top w:val="single" w:color="auto" w:sz="2" w:space="0"/>
              <w:left w:val="single" w:color="auto" w:sz="2" w:space="0"/>
              <w:bottom w:val="single" w:color="auto" w:sz="8"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20" w:type="pct"/>
            <w:tcBorders>
              <w:top w:val="single" w:color="auto" w:sz="2" w:space="0"/>
              <w:left w:val="single" w:color="auto" w:sz="2" w:space="0"/>
              <w:bottom w:val="single" w:color="auto" w:sz="8"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569" w:type="pct"/>
            <w:tcBorders>
              <w:top w:val="single" w:color="auto" w:sz="2" w:space="0"/>
              <w:left w:val="single" w:color="auto" w:sz="2" w:space="0"/>
              <w:bottom w:val="single" w:color="auto" w:sz="8" w:space="0"/>
              <w:right w:val="single" w:color="auto" w:sz="2" w:space="0"/>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c>
          <w:tcPr>
            <w:tcW w:w="472" w:type="pct"/>
            <w:tcBorders>
              <w:top w:val="single" w:color="auto" w:sz="2" w:space="0"/>
              <w:left w:val="single" w:color="auto" w:sz="2" w:space="0"/>
              <w:bottom w:val="single" w:color="auto" w:sz="8" w:space="0"/>
              <w:right w:val="nil"/>
            </w:tcBorders>
          </w:tcPr>
          <w:p>
            <w:pPr>
              <w:widowControl/>
              <w:adjustRightInd w:val="0"/>
              <w:snapToGrid w:val="0"/>
              <w:jc w:val="center"/>
              <w:textAlignment w:val="baseline"/>
              <w:rPr>
                <w:rFonts w:ascii="宋体" w:hAnsi="宋体" w:cs="Arial"/>
                <w:szCs w:val="21"/>
              </w:rPr>
            </w:pPr>
            <w:r>
              <w:rPr>
                <w:rFonts w:hint="eastAsia" w:ascii="宋体" w:hAnsi="宋体" w:cs="Arial"/>
                <w:szCs w:val="21"/>
              </w:rPr>
              <w:t>1</w:t>
            </w:r>
          </w:p>
        </w:tc>
      </w:tr>
    </w:tbl>
    <w:p>
      <w:pPr>
        <w:pStyle w:val="7"/>
        <w:widowControl w:val="0"/>
        <w:overflowPunct w:val="0"/>
        <w:snapToGrid/>
        <w:spacing w:after="100" w:afterAutospacing="1" w:line="360" w:lineRule="auto"/>
        <w:jc w:val="both"/>
        <w:rPr>
          <w:rFonts w:ascii="宋体" w:hAnsi="宋体"/>
          <w:b/>
          <w:bCs/>
          <w:kern w:val="2"/>
          <w:sz w:val="21"/>
          <w:szCs w:val="21"/>
        </w:rPr>
      </w:pPr>
      <w:bookmarkStart w:id="99" w:name="_Toc214273557"/>
      <w:bookmarkEnd w:id="99"/>
      <w:bookmarkStart w:id="100" w:name="_Toc57986295"/>
      <w:bookmarkEnd w:id="100"/>
      <w:bookmarkStart w:id="101" w:name="_Toc186345122"/>
      <w:bookmarkEnd w:id="101"/>
      <w:bookmarkStart w:id="102" w:name="_Toc178064036"/>
      <w:bookmarkEnd w:id="102"/>
      <w:bookmarkStart w:id="103" w:name="_Toc178064038"/>
      <w:bookmarkEnd w:id="103"/>
      <w:bookmarkStart w:id="104" w:name="_Toc31720442"/>
      <w:bookmarkEnd w:id="104"/>
      <w:bookmarkStart w:id="105" w:name="_Toc186345120"/>
      <w:bookmarkEnd w:id="105"/>
      <w:bookmarkStart w:id="106" w:name="_Toc12378806"/>
      <w:bookmarkEnd w:id="106"/>
      <w:bookmarkStart w:id="107" w:name="_Toc195329961"/>
      <w:bookmarkEnd w:id="107"/>
      <w:bookmarkStart w:id="108" w:name="_Toc471322938"/>
      <w:r>
        <w:rPr>
          <w:rFonts w:hint="eastAsia" w:ascii="宋体" w:hAnsi="宋体"/>
          <w:b/>
          <w:bCs/>
          <w:sz w:val="21"/>
          <w:szCs w:val="21"/>
        </w:rPr>
        <w:t>1.5.2进度计划和报告</w:t>
      </w:r>
      <w:bookmarkEnd w:id="108"/>
    </w:p>
    <w:p>
      <w:pPr>
        <w:numPr>
          <w:ilvl w:val="0"/>
          <w:numId w:val="22"/>
        </w:numPr>
        <w:tabs>
          <w:tab w:val="left" w:pos="851"/>
          <w:tab w:val="clear" w:pos="960"/>
        </w:tabs>
        <w:adjustRightInd w:val="0"/>
        <w:spacing w:line="360" w:lineRule="auto"/>
        <w:ind w:left="840" w:leftChars="75" w:hanging="682" w:hangingChars="325"/>
        <w:textAlignment w:val="baseline"/>
        <w:rPr>
          <w:rFonts w:ascii="宋体" w:hAnsi="宋体"/>
          <w:szCs w:val="21"/>
        </w:rPr>
      </w:pPr>
      <w:r>
        <w:rPr>
          <w:rFonts w:hint="eastAsia" w:ascii="宋体" w:hAnsi="宋体"/>
          <w:szCs w:val="21"/>
        </w:rPr>
        <w:t>在第一次设计联络会前，卖方应向买方递交工作进度计划。进度计划中的项目应按其实施的先后顺序安排且符合合同规定的工作时间和交付时间。</w:t>
      </w:r>
    </w:p>
    <w:p>
      <w:pPr>
        <w:numPr>
          <w:ilvl w:val="0"/>
          <w:numId w:val="22"/>
        </w:numPr>
        <w:tabs>
          <w:tab w:val="left" w:pos="851"/>
          <w:tab w:val="clear" w:pos="960"/>
        </w:tabs>
        <w:adjustRightInd w:val="0"/>
        <w:spacing w:line="360" w:lineRule="auto"/>
        <w:ind w:left="840" w:leftChars="75" w:hanging="682" w:hangingChars="325"/>
        <w:textAlignment w:val="baseline"/>
        <w:rPr>
          <w:rFonts w:ascii="宋体" w:hAnsi="宋体"/>
          <w:szCs w:val="21"/>
        </w:rPr>
      </w:pPr>
      <w:r>
        <w:rPr>
          <w:rFonts w:hint="eastAsia" w:ascii="宋体" w:hAnsi="宋体"/>
          <w:szCs w:val="21"/>
        </w:rPr>
        <w:t>卖方必须确保合同设备的成套部件和技术文件在规定的交付日期内交付。卖方可以按最有利的情况来调整合同设备工作进度，并将调整的进度计划报送买方审查。任何进度时间的修正都应经买方书面批准。</w:t>
      </w:r>
    </w:p>
    <w:p>
      <w:pPr>
        <w:numPr>
          <w:ilvl w:val="0"/>
          <w:numId w:val="22"/>
        </w:numPr>
        <w:tabs>
          <w:tab w:val="left" w:pos="851"/>
          <w:tab w:val="clear" w:pos="960"/>
        </w:tabs>
        <w:adjustRightInd w:val="0"/>
        <w:spacing w:line="360" w:lineRule="auto"/>
        <w:ind w:left="840" w:leftChars="75" w:hanging="682" w:hangingChars="325"/>
        <w:textAlignment w:val="baseline"/>
        <w:rPr>
          <w:rFonts w:ascii="宋体" w:hAnsi="宋体"/>
          <w:szCs w:val="21"/>
        </w:rPr>
      </w:pPr>
      <w:r>
        <w:rPr>
          <w:rFonts w:hint="eastAsia" w:ascii="宋体" w:hAnsi="宋体"/>
          <w:szCs w:val="21"/>
        </w:rPr>
        <w:t>进度计划应有箭头指示图表，按“关键路径法”（CPM）编制，显示按合同要求合同设备的每个部件或组件的设计、制造、试验、运输和交货开始和完成的日期，时标网络图应使用MS Project或与此兼容的软件编制，并提供电子文档。</w:t>
      </w:r>
    </w:p>
    <w:p>
      <w:pPr>
        <w:numPr>
          <w:ilvl w:val="0"/>
          <w:numId w:val="22"/>
        </w:numPr>
        <w:tabs>
          <w:tab w:val="left" w:pos="851"/>
          <w:tab w:val="clear" w:pos="960"/>
        </w:tabs>
        <w:adjustRightInd w:val="0"/>
        <w:spacing w:line="360" w:lineRule="auto"/>
        <w:ind w:left="840" w:leftChars="75" w:hanging="682" w:hangingChars="325"/>
        <w:textAlignment w:val="baseline"/>
        <w:rPr>
          <w:rFonts w:ascii="宋体" w:hAnsi="宋体"/>
          <w:szCs w:val="21"/>
        </w:rPr>
      </w:pPr>
      <w:r>
        <w:rPr>
          <w:rFonts w:hint="eastAsia" w:ascii="宋体" w:hAnsi="宋体"/>
          <w:szCs w:val="21"/>
        </w:rPr>
        <w:t>进度计划应包含必要的文字说明，对重大事件作详细的描述，同时还应提供由分包人编制的主要分包部件的进度计划。</w:t>
      </w:r>
    </w:p>
    <w:p>
      <w:pPr>
        <w:pStyle w:val="7"/>
        <w:widowControl w:val="0"/>
        <w:overflowPunct w:val="0"/>
        <w:snapToGrid/>
        <w:spacing w:after="100" w:afterAutospacing="1" w:line="360" w:lineRule="auto"/>
        <w:jc w:val="both"/>
        <w:rPr>
          <w:rFonts w:ascii="宋体" w:hAnsi="宋体"/>
          <w:b/>
          <w:bCs/>
          <w:sz w:val="21"/>
          <w:szCs w:val="21"/>
        </w:rPr>
      </w:pPr>
      <w:bookmarkStart w:id="109" w:name="_Toc12378807"/>
      <w:bookmarkEnd w:id="109"/>
      <w:bookmarkStart w:id="110" w:name="_Toc178064037"/>
      <w:bookmarkEnd w:id="110"/>
      <w:bookmarkStart w:id="111" w:name="_Toc204692893"/>
      <w:bookmarkEnd w:id="111"/>
      <w:bookmarkStart w:id="112" w:name="_Toc57986296"/>
      <w:bookmarkEnd w:id="112"/>
      <w:bookmarkStart w:id="113" w:name="_Toc31720443"/>
      <w:bookmarkEnd w:id="113"/>
      <w:bookmarkStart w:id="114" w:name="_Toc186345121"/>
      <w:bookmarkEnd w:id="114"/>
      <w:bookmarkStart w:id="115" w:name="_Toc195329962"/>
      <w:r>
        <w:rPr>
          <w:rFonts w:hint="eastAsia" w:ascii="宋体" w:hAnsi="宋体"/>
          <w:b/>
          <w:bCs/>
          <w:sz w:val="21"/>
          <w:szCs w:val="21"/>
        </w:rPr>
        <w:t>1.5.3合同设备清单</w:t>
      </w:r>
      <w:bookmarkEnd w:id="115"/>
    </w:p>
    <w:p>
      <w:pPr>
        <w:pStyle w:val="8"/>
        <w:numPr>
          <w:ilvl w:val="3"/>
          <w:numId w:val="23"/>
        </w:numPr>
        <w:overflowPunct w:val="0"/>
        <w:spacing w:before="100" w:beforeAutospacing="1" w:after="100" w:afterAutospacing="1" w:line="360" w:lineRule="auto"/>
        <w:rPr>
          <w:rFonts w:ascii="宋体" w:hAnsi="宋体"/>
          <w:b/>
          <w:bCs/>
          <w:szCs w:val="21"/>
        </w:rPr>
      </w:pPr>
      <w:r>
        <w:rPr>
          <w:rFonts w:hint="eastAsia" w:ascii="宋体" w:hAnsi="宋体"/>
          <w:szCs w:val="21"/>
        </w:rPr>
        <w:t>卖方应在设备发运前向买方提交合同设备部件总清单，此清单应为合同设备的所有部件清单，以作为每批次交货基准，核对是否漏发少发。零部件的细分程度以安装不可拆分为止。卖方须对合同设备主部件和主部件所属零部件进行编号，其主部件和所属零部件编号组成的代码是唯一且固定不变的。</w:t>
      </w:r>
    </w:p>
    <w:p>
      <w:pPr>
        <w:pStyle w:val="8"/>
        <w:numPr>
          <w:ilvl w:val="3"/>
          <w:numId w:val="23"/>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合同设备交货部件总清单分为主部件清单和详细部件清单。主部件清单内容主要包括合同设备主部件名称、重量、体积和各主部件所属部件的种类等；详细部件清单是指每一主部件所属零部件清单，其内容包括部件名称、规格型号、材料、数量、计量单位、唯一图号及图中位置号、相应部件号、生产厂家、原产地等信息。</w:t>
      </w:r>
    </w:p>
    <w:p>
      <w:pPr>
        <w:pStyle w:val="8"/>
        <w:numPr>
          <w:ilvl w:val="3"/>
          <w:numId w:val="23"/>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合同设备交货部件总清单不能作为卖方交货不全的借口。</w:t>
      </w:r>
    </w:p>
    <w:p>
      <w:pPr>
        <w:pStyle w:val="7"/>
        <w:widowControl w:val="0"/>
        <w:overflowPunct w:val="0"/>
        <w:snapToGrid/>
        <w:spacing w:after="100" w:afterAutospacing="1" w:line="360" w:lineRule="auto"/>
        <w:jc w:val="both"/>
        <w:rPr>
          <w:rFonts w:ascii="宋体" w:hAnsi="宋体"/>
          <w:b/>
          <w:bCs/>
          <w:sz w:val="21"/>
          <w:szCs w:val="21"/>
        </w:rPr>
      </w:pPr>
      <w:bookmarkStart w:id="116" w:name="_Toc57986297"/>
      <w:bookmarkEnd w:id="116"/>
      <w:bookmarkStart w:id="117" w:name="_Toc12378808"/>
      <w:bookmarkEnd w:id="117"/>
      <w:bookmarkStart w:id="118" w:name="_Toc31720444"/>
      <w:r>
        <w:rPr>
          <w:rFonts w:hint="eastAsia" w:ascii="宋体" w:hAnsi="宋体"/>
          <w:b/>
          <w:bCs/>
          <w:sz w:val="21"/>
          <w:szCs w:val="21"/>
        </w:rPr>
        <w:t>1.5.4技术文件审查</w:t>
      </w:r>
      <w:bookmarkEnd w:id="118"/>
    </w:p>
    <w:p>
      <w:pPr>
        <w:pStyle w:val="8"/>
        <w:numPr>
          <w:ilvl w:val="3"/>
          <w:numId w:val="24"/>
        </w:numPr>
        <w:overflowPunct w:val="0"/>
        <w:spacing w:before="100" w:beforeAutospacing="1" w:after="100" w:afterAutospacing="1" w:line="360" w:lineRule="auto"/>
        <w:rPr>
          <w:rFonts w:ascii="宋体" w:hAnsi="宋体"/>
          <w:b/>
          <w:bCs/>
          <w:szCs w:val="21"/>
        </w:rPr>
      </w:pPr>
      <w:r>
        <w:rPr>
          <w:rFonts w:hint="eastAsia" w:ascii="宋体" w:hAnsi="宋体"/>
          <w:szCs w:val="21"/>
        </w:rPr>
        <w:t>买方对卖方技术文件的审查不能免除卖方应付的责任。</w:t>
      </w:r>
    </w:p>
    <w:p>
      <w:pPr>
        <w:pStyle w:val="8"/>
        <w:numPr>
          <w:ilvl w:val="3"/>
          <w:numId w:val="24"/>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卖方提供的文件不符合本合同文件的要求，买方有权要求卖方进行设计修改。为使设备符合本合同文件的规定和意图，卖方可以做出必要的设计变更。但所有设计变更均须得到买方的确认。</w:t>
      </w:r>
    </w:p>
    <w:p>
      <w:pPr>
        <w:pStyle w:val="8"/>
        <w:numPr>
          <w:ilvl w:val="3"/>
          <w:numId w:val="24"/>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设计联络所需的图纸和资料，卖方应在设计联络会召开前根据各次设联会要求提前的时间全部提交。卖方应按设计联络会纪要修改图纸和资料，并在设计联络会后</w:t>
      </w:r>
      <w:r>
        <w:rPr>
          <w:rFonts w:ascii="宋体" w:hAnsi="宋体"/>
          <w:szCs w:val="21"/>
        </w:rPr>
        <w:t>2</w:t>
      </w:r>
      <w:r>
        <w:rPr>
          <w:rFonts w:hint="eastAsia" w:ascii="宋体" w:hAnsi="宋体"/>
          <w:szCs w:val="21"/>
        </w:rPr>
        <w:t>0天内重新提交。</w:t>
      </w:r>
    </w:p>
    <w:p>
      <w:pPr>
        <w:pStyle w:val="8"/>
        <w:numPr>
          <w:ilvl w:val="3"/>
          <w:numId w:val="24"/>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买方在设计联络会上将对卖方的技术文件进行审查，并在设计联络会议纪要中明确审查的意见。设计联络所需的图纸和资料以外的其它图纸和资料，买方将在收到后的</w:t>
      </w:r>
      <w:r>
        <w:rPr>
          <w:rFonts w:ascii="宋体" w:hAnsi="宋体"/>
          <w:szCs w:val="21"/>
        </w:rPr>
        <w:t>2</w:t>
      </w:r>
      <w:r>
        <w:rPr>
          <w:rFonts w:hint="eastAsia" w:ascii="宋体" w:hAnsi="宋体"/>
          <w:szCs w:val="21"/>
        </w:rPr>
        <w:t>0天以内审查并返回给卖方，卖方应在收到买方图纸后</w:t>
      </w:r>
      <w:r>
        <w:rPr>
          <w:rFonts w:ascii="宋体" w:hAnsi="宋体"/>
          <w:szCs w:val="21"/>
        </w:rPr>
        <w:t>2</w:t>
      </w:r>
      <w:r>
        <w:rPr>
          <w:rFonts w:hint="eastAsia" w:ascii="宋体" w:hAnsi="宋体"/>
          <w:szCs w:val="21"/>
        </w:rPr>
        <w:t>0天内进行修改并重新提交。</w:t>
      </w:r>
    </w:p>
    <w:p>
      <w:pPr>
        <w:pStyle w:val="8"/>
        <w:numPr>
          <w:ilvl w:val="3"/>
          <w:numId w:val="24"/>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当图纸经买方审查通过，则不得进行任何修改，否则应再次提交买方审查。</w:t>
      </w:r>
    </w:p>
    <w:p>
      <w:pPr>
        <w:pStyle w:val="8"/>
        <w:numPr>
          <w:ilvl w:val="3"/>
          <w:numId w:val="24"/>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在设备组装或安装期间，如果发现卖方图纸有错误，卖方应在图纸上标注修改内容，包括任何认为必要的现场变更。该图纸应按上述程序重新提交买方审查。</w:t>
      </w:r>
    </w:p>
    <w:p>
      <w:pPr>
        <w:pStyle w:val="8"/>
        <w:numPr>
          <w:ilvl w:val="3"/>
          <w:numId w:val="24"/>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买方对工厂图纸只作概要的审查，对任何性质的错误和疏忽，图纸或说明中的偏差，或由此偏差而可能产生的与其它产品的矛盾，均仍由卖方负责。</w:t>
      </w:r>
    </w:p>
    <w:p>
      <w:pPr>
        <w:pStyle w:val="8"/>
        <w:numPr>
          <w:ilvl w:val="3"/>
          <w:numId w:val="24"/>
        </w:numPr>
        <w:overflowPunct w:val="0"/>
        <w:spacing w:before="100" w:beforeAutospacing="1" w:after="100" w:afterAutospacing="1" w:line="360" w:lineRule="auto"/>
        <w:ind w:left="960" w:hanging="960"/>
        <w:rPr>
          <w:rFonts w:ascii="宋体" w:hAnsi="宋体"/>
          <w:b/>
          <w:bCs/>
          <w:szCs w:val="21"/>
        </w:rPr>
      </w:pPr>
      <w:r>
        <w:rPr>
          <w:rFonts w:hint="eastAsia" w:ascii="宋体" w:hAnsi="宋体"/>
          <w:szCs w:val="21"/>
        </w:rPr>
        <w:t>买方对技术文件在设计联络会上或以传真方式予以审查确认。</w:t>
      </w:r>
    </w:p>
    <w:p>
      <w:pPr>
        <w:pStyle w:val="7"/>
        <w:widowControl w:val="0"/>
        <w:overflowPunct w:val="0"/>
        <w:snapToGrid/>
        <w:spacing w:after="100" w:afterAutospacing="1" w:line="360" w:lineRule="auto"/>
        <w:jc w:val="both"/>
        <w:rPr>
          <w:rFonts w:ascii="宋体" w:hAnsi="宋体"/>
          <w:b/>
          <w:bCs/>
          <w:sz w:val="21"/>
          <w:szCs w:val="21"/>
        </w:rPr>
      </w:pPr>
      <w:bookmarkStart w:id="119" w:name="_Toc31720445"/>
      <w:bookmarkEnd w:id="119"/>
      <w:bookmarkStart w:id="120" w:name="_Toc158196838"/>
      <w:bookmarkEnd w:id="120"/>
      <w:bookmarkStart w:id="121" w:name="_Toc471322939"/>
      <w:bookmarkEnd w:id="121"/>
      <w:bookmarkStart w:id="122" w:name="_Toc12378809"/>
      <w:bookmarkEnd w:id="122"/>
      <w:bookmarkStart w:id="123" w:name="_Toc57986298"/>
      <w:r>
        <w:rPr>
          <w:rFonts w:hint="eastAsia" w:ascii="宋体" w:hAnsi="宋体"/>
          <w:b/>
          <w:bCs/>
          <w:sz w:val="21"/>
          <w:szCs w:val="21"/>
        </w:rPr>
        <w:t>1.5.5技术文件和图纸</w:t>
      </w:r>
      <w:bookmarkEnd w:id="123"/>
    </w:p>
    <w:p>
      <w:pPr>
        <w:spacing w:line="360" w:lineRule="auto"/>
        <w:ind w:left="840" w:leftChars="400"/>
        <w:rPr>
          <w:rFonts w:ascii="宋体" w:hAnsi="宋体"/>
          <w:szCs w:val="21"/>
        </w:rPr>
      </w:pPr>
      <w:r>
        <w:rPr>
          <w:rFonts w:hint="eastAsia" w:ascii="宋体" w:hAnsi="宋体"/>
          <w:szCs w:val="21"/>
        </w:rPr>
        <w:t>卖方应按规定的时间和数量提供资料，除下列图纸外，买方和卖方认为需要补充提供的图纸资料及提供时间将在设计联络会纪要中列出。</w:t>
      </w:r>
    </w:p>
    <w:p>
      <w:pPr>
        <w:spacing w:line="360" w:lineRule="auto"/>
        <w:ind w:left="840" w:leftChars="400"/>
        <w:rPr>
          <w:rFonts w:ascii="宋体" w:hAnsi="宋体"/>
          <w:szCs w:val="21"/>
        </w:rPr>
      </w:pPr>
      <w:r>
        <w:rPr>
          <w:rFonts w:hint="eastAsia" w:ascii="宋体" w:hAnsi="宋体"/>
          <w:szCs w:val="21"/>
        </w:rPr>
        <w:t>卖方提供的电子文档的文件名应为“</w:t>
      </w:r>
      <w:r>
        <w:rPr>
          <w:rFonts w:ascii="宋体" w:hAnsi="宋体"/>
          <w:szCs w:val="21"/>
        </w:rPr>
        <w:t>SJ</w:t>
      </w:r>
      <w:r>
        <w:rPr>
          <w:rFonts w:hint="eastAsia" w:ascii="宋体" w:hAnsi="宋体"/>
          <w:szCs w:val="21"/>
        </w:rPr>
        <w:t>－图号－图名(或报告名称)－版本号”格式。</w:t>
      </w:r>
    </w:p>
    <w:p>
      <w:pPr>
        <w:spacing w:line="360" w:lineRule="auto"/>
        <w:ind w:left="840" w:leftChars="400"/>
        <w:rPr>
          <w:rFonts w:ascii="宋体" w:hAnsi="宋体"/>
          <w:szCs w:val="21"/>
        </w:rPr>
      </w:pPr>
      <w:r>
        <w:rPr>
          <w:rFonts w:hint="eastAsia" w:ascii="宋体" w:hAnsi="宋体"/>
          <w:szCs w:val="21"/>
        </w:rPr>
        <w:t>图纸工程名称为“双江航电枢纽接入系统”。除按图纸清单规定的时间提交过程设计图纸资料外，卖方在每次联络会30天前向买方和设计单位提供设计联络会专用图纸资料(A3白图，成册提供，为全部的最新设计图纸，并注明“联络会用图”)。每次联络会资料应包括前次联络会资料，并且已确认的资料与送审资料分别成册。除通用产品样本或设计文件外，其余针对本工程的图纸、计算书和报告等技术文件和图纸均应有设计、校核和审查人员的签名。</w:t>
      </w:r>
    </w:p>
    <w:p>
      <w:pPr>
        <w:pStyle w:val="8"/>
        <w:numPr>
          <w:ilvl w:val="3"/>
          <w:numId w:val="25"/>
        </w:numPr>
        <w:overflowPunct w:val="0"/>
        <w:snapToGrid w:val="0"/>
        <w:spacing w:before="0" w:after="0" w:line="360" w:lineRule="auto"/>
        <w:rPr>
          <w:rFonts w:ascii="宋体" w:hAnsi="宋体"/>
          <w:szCs w:val="21"/>
        </w:rPr>
      </w:pPr>
      <w:r>
        <w:rPr>
          <w:rFonts w:hint="eastAsia" w:ascii="宋体" w:hAnsi="宋体"/>
          <w:szCs w:val="21"/>
        </w:rPr>
        <w:t>设计联络会所需图纸和资料</w:t>
      </w:r>
    </w:p>
    <w:p>
      <w:pPr>
        <w:spacing w:line="360" w:lineRule="auto"/>
        <w:ind w:left="840" w:leftChars="400"/>
        <w:rPr>
          <w:rFonts w:ascii="宋体" w:hAnsi="宋体"/>
          <w:szCs w:val="21"/>
        </w:rPr>
      </w:pPr>
      <w:r>
        <w:rPr>
          <w:rFonts w:hint="eastAsia" w:ascii="宋体" w:hAnsi="宋体"/>
          <w:szCs w:val="21"/>
        </w:rPr>
        <w:t>卖方应按表1.6. 2中规定的时间提交合同设备用于第一次设计联络会的图纸，图纸包括配置图、外形图、逻辑图和各种所需数据（但不限于此）。</w:t>
      </w:r>
    </w:p>
    <w:p>
      <w:pPr>
        <w:pStyle w:val="184"/>
        <w:spacing w:beforeLines="0"/>
        <w:ind w:firstLine="1417" w:firstLineChars="675"/>
        <w:jc w:val="both"/>
        <w:rPr>
          <w:rFonts w:ascii="宋体" w:hAnsi="宋体" w:eastAsia="宋体"/>
          <w:kern w:val="0"/>
          <w:sz w:val="21"/>
          <w:szCs w:val="21"/>
        </w:rPr>
      </w:pPr>
      <w:r>
        <w:rPr>
          <w:rFonts w:hint="eastAsia" w:ascii="宋体" w:hAnsi="宋体" w:eastAsia="宋体"/>
          <w:kern w:val="0"/>
          <w:sz w:val="21"/>
          <w:szCs w:val="21"/>
        </w:rPr>
        <w:t>表</w:t>
      </w:r>
      <w:r>
        <w:rPr>
          <w:rFonts w:ascii="宋体" w:hAnsi="宋体" w:eastAsia="宋体"/>
          <w:kern w:val="0"/>
          <w:sz w:val="21"/>
          <w:szCs w:val="21"/>
        </w:rPr>
        <w:t>1</w:t>
      </w:r>
      <w:r>
        <w:rPr>
          <w:rFonts w:ascii="宋体" w:hAnsi="宋体" w:eastAsia="宋体"/>
          <w:sz w:val="21"/>
          <w:szCs w:val="21"/>
        </w:rPr>
        <w:t>.6</w:t>
      </w:r>
      <w:r>
        <w:rPr>
          <w:rFonts w:ascii="宋体" w:hAnsi="宋体" w:eastAsia="宋体"/>
          <w:kern w:val="0"/>
          <w:sz w:val="21"/>
          <w:szCs w:val="21"/>
        </w:rPr>
        <w:t>-2</w:t>
      </w:r>
      <w:r>
        <w:rPr>
          <w:rFonts w:ascii="宋体" w:hAnsi="宋体" w:eastAsia="宋体"/>
          <w:kern w:val="0"/>
          <w:sz w:val="21"/>
          <w:szCs w:val="21"/>
        </w:rPr>
        <w:tab/>
      </w:r>
      <w:r>
        <w:rPr>
          <w:rFonts w:hint="eastAsia" w:ascii="宋体" w:hAnsi="宋体" w:eastAsia="宋体"/>
          <w:sz w:val="21"/>
          <w:szCs w:val="21"/>
        </w:rPr>
        <w:t>第一次设计联络会所需图纸和资料（但不限于此）</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95"/>
        <w:gridCol w:w="4320"/>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2"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pStyle w:val="120"/>
              <w:snapToGrid w:val="0"/>
              <w:spacing w:before="0" w:after="0" w:line="240" w:lineRule="auto"/>
              <w:ind w:left="1134" w:right="124" w:firstLine="0"/>
              <w:textAlignment w:val="bottom"/>
              <w:rPr>
                <w:rFonts w:hAnsi="宋体"/>
                <w:spacing w:val="0"/>
                <w:sz w:val="21"/>
                <w:szCs w:val="21"/>
              </w:rPr>
            </w:pPr>
            <w:r>
              <w:rPr>
                <w:rFonts w:hint="eastAsia" w:hAnsi="宋体"/>
                <w:spacing w:val="0"/>
                <w:sz w:val="21"/>
                <w:szCs w:val="21"/>
              </w:rPr>
              <w:t xml:space="preserve">序号 </w:t>
            </w:r>
            <w:r>
              <w:rPr>
                <w:rFonts w:hAnsi="宋体"/>
                <w:spacing w:val="0"/>
                <w:sz w:val="21"/>
                <w:szCs w:val="21"/>
              </w:rPr>
              <w:t xml:space="preserve">  </w:t>
            </w:r>
          </w:p>
        </w:tc>
        <w:tc>
          <w:tcPr>
            <w:tcW w:w="4320" w:type="dxa"/>
            <w:tcBorders>
              <w:top w:val="single" w:color="auto" w:sz="4" w:space="0"/>
              <w:left w:val="nil"/>
              <w:bottom w:val="single" w:color="auto" w:sz="4" w:space="0"/>
              <w:right w:val="single" w:color="auto" w:sz="4" w:space="0"/>
            </w:tcBorders>
            <w:vAlign w:val="center"/>
          </w:tcPr>
          <w:p>
            <w:pPr>
              <w:pStyle w:val="120"/>
              <w:snapToGrid w:val="0"/>
              <w:spacing w:before="0" w:after="0" w:line="240" w:lineRule="auto"/>
              <w:ind w:left="1470" w:hanging="420"/>
              <w:jc w:val="center"/>
              <w:textAlignment w:val="bottom"/>
              <w:rPr>
                <w:rFonts w:hAnsi="宋体"/>
                <w:spacing w:val="0"/>
                <w:sz w:val="21"/>
                <w:szCs w:val="21"/>
              </w:rPr>
            </w:pPr>
            <w:r>
              <w:rPr>
                <w:rFonts w:hint="eastAsia" w:hAnsi="宋体"/>
                <w:spacing w:val="0"/>
                <w:sz w:val="21"/>
                <w:szCs w:val="21"/>
              </w:rPr>
              <w:t>图纸和资料名称(但不限于此)</w:t>
            </w:r>
          </w:p>
        </w:tc>
        <w:tc>
          <w:tcPr>
            <w:tcW w:w="211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szCs w:val="21"/>
              </w:rPr>
            </w:pPr>
            <w:r>
              <w:rPr>
                <w:rFonts w:hint="eastAsia" w:ascii="宋体" w:hAnsi="宋体"/>
                <w:szCs w:val="21"/>
              </w:rPr>
              <w:t>提供时间</w:t>
            </w:r>
          </w:p>
          <w:p>
            <w:pPr>
              <w:pStyle w:val="120"/>
              <w:snapToGrid w:val="0"/>
              <w:spacing w:before="0" w:after="0" w:line="240" w:lineRule="auto"/>
              <w:ind w:left="1134" w:firstLine="0"/>
              <w:textAlignment w:val="bottom"/>
              <w:rPr>
                <w:rFonts w:hAnsi="宋体"/>
                <w:spacing w:val="0"/>
                <w:sz w:val="21"/>
                <w:szCs w:val="21"/>
              </w:rPr>
            </w:pPr>
            <w:r>
              <w:rPr>
                <w:rFonts w:hint="eastAsia" w:hAnsi="宋体"/>
                <w:spacing w:val="0"/>
                <w:sz w:val="21"/>
                <w:szCs w:val="21"/>
              </w:rPr>
              <w:t>(合同生效后天数)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495" w:type="dxa"/>
            <w:tcBorders>
              <w:top w:val="single" w:color="auto" w:sz="4" w:space="0"/>
              <w:left w:val="single" w:color="auto" w:sz="4" w:space="0"/>
              <w:bottom w:val="single" w:color="auto" w:sz="4" w:space="0"/>
              <w:right w:val="single" w:color="auto" w:sz="4" w:space="0"/>
            </w:tcBorders>
            <w:vAlign w:val="center"/>
          </w:tcPr>
          <w:p>
            <w:pPr>
              <w:pStyle w:val="113"/>
              <w:spacing w:beforeLines="0" w:afterLines="0" w:line="240" w:lineRule="auto"/>
              <w:ind w:left="105" w:leftChars="19" w:right="420" w:hanging="65" w:hangingChars="31"/>
              <w:jc w:val="center"/>
              <w:textAlignment w:val="bottom"/>
              <w:rPr>
                <w:rFonts w:ascii="宋体" w:hAnsi="宋体"/>
                <w:sz w:val="21"/>
                <w:szCs w:val="21"/>
              </w:rPr>
            </w:pPr>
            <w:r>
              <w:rPr>
                <w:rFonts w:hint="eastAsia" w:ascii="宋体" w:hAnsi="宋体"/>
                <w:sz w:val="21"/>
                <w:szCs w:val="21"/>
              </w:rPr>
              <w:t>☆(1）</w:t>
            </w:r>
          </w:p>
        </w:tc>
        <w:tc>
          <w:tcPr>
            <w:tcW w:w="4320"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textAlignment w:val="bottom"/>
              <w:rPr>
                <w:rFonts w:ascii="宋体" w:hAnsi="宋体"/>
                <w:sz w:val="21"/>
                <w:szCs w:val="21"/>
              </w:rPr>
            </w:pPr>
            <w:r>
              <w:rPr>
                <w:rFonts w:hint="eastAsia" w:ascii="宋体" w:hAnsi="宋体"/>
                <w:color w:val="000000"/>
                <w:sz w:val="21"/>
                <w:szCs w:val="21"/>
              </w:rPr>
              <w:t>接入系统设备配置图</w:t>
            </w:r>
          </w:p>
        </w:tc>
        <w:tc>
          <w:tcPr>
            <w:tcW w:w="2111"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jc w:val="center"/>
              <w:textAlignment w:val="bottom"/>
              <w:rPr>
                <w:rFonts w:ascii="宋体" w:hAnsi="宋体"/>
                <w:sz w:val="21"/>
                <w:szCs w:val="21"/>
              </w:rPr>
            </w:pPr>
            <w:r>
              <w:rPr>
                <w:rFonts w:ascii="宋体" w:hAnsi="宋体"/>
                <w:sz w:val="21"/>
                <w:szCs w:val="21"/>
              </w:rPr>
              <w:t>30</w:t>
            </w:r>
            <w:r>
              <w:rPr>
                <w:rFonts w:hint="eastAsia" w:ascii="宋体" w:hAnsi="宋体"/>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6"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pStyle w:val="113"/>
              <w:spacing w:beforeLines="0" w:afterLines="0" w:line="240" w:lineRule="auto"/>
              <w:ind w:left="105" w:right="420"/>
              <w:jc w:val="center"/>
              <w:textAlignment w:val="bottom"/>
              <w:rPr>
                <w:rFonts w:ascii="宋体" w:hAnsi="宋体"/>
                <w:sz w:val="21"/>
                <w:szCs w:val="21"/>
              </w:rPr>
            </w:pPr>
            <w:r>
              <w:rPr>
                <w:rFonts w:hint="eastAsia" w:ascii="宋体" w:hAnsi="宋体"/>
                <w:sz w:val="21"/>
                <w:szCs w:val="21"/>
              </w:rPr>
              <w:t>☆（2）</w:t>
            </w:r>
          </w:p>
        </w:tc>
        <w:tc>
          <w:tcPr>
            <w:tcW w:w="4320"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textAlignment w:val="bottom"/>
              <w:rPr>
                <w:rFonts w:ascii="宋体" w:hAnsi="宋体"/>
                <w:sz w:val="21"/>
                <w:szCs w:val="21"/>
              </w:rPr>
            </w:pPr>
            <w:r>
              <w:rPr>
                <w:rFonts w:hint="eastAsia" w:ascii="宋体" w:hAnsi="宋体"/>
                <w:color w:val="000000"/>
                <w:sz w:val="21"/>
                <w:szCs w:val="21"/>
              </w:rPr>
              <w:t>接入系统设备屏柜总体外形图及安装详图(包括尺寸、重量及开孔等)</w:t>
            </w:r>
          </w:p>
        </w:tc>
        <w:tc>
          <w:tcPr>
            <w:tcW w:w="2111"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jc w:val="center"/>
              <w:textAlignment w:val="bottom"/>
              <w:rPr>
                <w:rFonts w:ascii="宋体" w:hAnsi="宋体"/>
                <w:sz w:val="21"/>
                <w:szCs w:val="21"/>
              </w:rPr>
            </w:pPr>
            <w:r>
              <w:rPr>
                <w:rFonts w:ascii="宋体" w:hAnsi="宋体"/>
                <w:sz w:val="21"/>
                <w:szCs w:val="21"/>
              </w:rPr>
              <w:t>30</w:t>
            </w:r>
            <w:r>
              <w:rPr>
                <w:rFonts w:hint="eastAsia" w:ascii="宋体" w:hAnsi="宋体"/>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2"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pStyle w:val="113"/>
              <w:spacing w:beforeLines="0" w:afterLines="0" w:line="240" w:lineRule="auto"/>
              <w:ind w:left="105" w:right="420"/>
              <w:jc w:val="center"/>
              <w:textAlignment w:val="bottom"/>
              <w:rPr>
                <w:rFonts w:ascii="宋体" w:hAnsi="宋体"/>
                <w:sz w:val="21"/>
                <w:szCs w:val="21"/>
              </w:rPr>
            </w:pPr>
            <w:r>
              <w:rPr>
                <w:rFonts w:hint="eastAsia" w:ascii="宋体" w:hAnsi="宋体"/>
                <w:sz w:val="21"/>
                <w:szCs w:val="21"/>
              </w:rPr>
              <w:t>☆（3）</w:t>
            </w:r>
          </w:p>
        </w:tc>
        <w:tc>
          <w:tcPr>
            <w:tcW w:w="4320"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textAlignment w:val="bottom"/>
              <w:rPr>
                <w:rFonts w:ascii="宋体" w:hAnsi="宋体"/>
                <w:sz w:val="21"/>
                <w:szCs w:val="21"/>
              </w:rPr>
            </w:pPr>
            <w:r>
              <w:rPr>
                <w:rFonts w:hint="eastAsia" w:ascii="宋体" w:hAnsi="宋体"/>
                <w:color w:val="000000"/>
                <w:sz w:val="21"/>
                <w:szCs w:val="21"/>
              </w:rPr>
              <w:t>接入系统设备主要数据及主要技术参数</w:t>
            </w:r>
          </w:p>
        </w:tc>
        <w:tc>
          <w:tcPr>
            <w:tcW w:w="2111"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jc w:val="center"/>
              <w:textAlignment w:val="bottom"/>
              <w:rPr>
                <w:rFonts w:ascii="宋体" w:hAnsi="宋体"/>
                <w:sz w:val="21"/>
                <w:szCs w:val="21"/>
              </w:rPr>
            </w:pPr>
            <w:r>
              <w:rPr>
                <w:rFonts w:ascii="宋体" w:hAnsi="宋体"/>
                <w:sz w:val="21"/>
                <w:szCs w:val="21"/>
              </w:rPr>
              <w:t>30</w:t>
            </w:r>
            <w:r>
              <w:rPr>
                <w:rFonts w:hint="eastAsia" w:ascii="宋体" w:hAnsi="宋体"/>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495" w:type="dxa"/>
            <w:tcBorders>
              <w:top w:val="single" w:color="auto" w:sz="4" w:space="0"/>
              <w:left w:val="single" w:color="auto" w:sz="4" w:space="0"/>
              <w:bottom w:val="single" w:color="auto" w:sz="4" w:space="0"/>
              <w:right w:val="single" w:color="auto" w:sz="4" w:space="0"/>
            </w:tcBorders>
            <w:vAlign w:val="center"/>
          </w:tcPr>
          <w:p>
            <w:pPr>
              <w:pStyle w:val="113"/>
              <w:spacing w:beforeLines="0" w:afterLines="0" w:line="240" w:lineRule="auto"/>
              <w:ind w:left="105" w:right="420"/>
              <w:jc w:val="center"/>
              <w:textAlignment w:val="bottom"/>
              <w:rPr>
                <w:rFonts w:ascii="宋体" w:hAnsi="宋体"/>
                <w:sz w:val="21"/>
                <w:szCs w:val="21"/>
              </w:rPr>
            </w:pPr>
            <w:r>
              <w:rPr>
                <w:rFonts w:hint="eastAsia" w:ascii="宋体" w:hAnsi="宋体"/>
                <w:sz w:val="21"/>
                <w:szCs w:val="21"/>
              </w:rPr>
              <w:t>☆（4）</w:t>
            </w:r>
          </w:p>
        </w:tc>
        <w:tc>
          <w:tcPr>
            <w:tcW w:w="4320"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textAlignment w:val="bottom"/>
              <w:rPr>
                <w:rFonts w:ascii="宋体" w:hAnsi="宋体"/>
                <w:sz w:val="21"/>
                <w:szCs w:val="21"/>
              </w:rPr>
            </w:pPr>
            <w:r>
              <w:rPr>
                <w:rFonts w:hint="eastAsia" w:ascii="宋体" w:hAnsi="宋体"/>
                <w:color w:val="000000"/>
                <w:sz w:val="21"/>
                <w:szCs w:val="21"/>
              </w:rPr>
              <w:t>接入系统设备技术说明书</w:t>
            </w:r>
          </w:p>
        </w:tc>
        <w:tc>
          <w:tcPr>
            <w:tcW w:w="2111"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jc w:val="center"/>
              <w:textAlignment w:val="bottom"/>
              <w:rPr>
                <w:rFonts w:ascii="宋体" w:hAnsi="宋体"/>
                <w:sz w:val="21"/>
                <w:szCs w:val="21"/>
              </w:rPr>
            </w:pPr>
            <w:r>
              <w:rPr>
                <w:rFonts w:ascii="宋体" w:hAnsi="宋体"/>
                <w:sz w:val="21"/>
                <w:szCs w:val="21"/>
              </w:rPr>
              <w:t>30</w:t>
            </w:r>
            <w:r>
              <w:rPr>
                <w:rFonts w:hint="eastAsia" w:ascii="宋体" w:hAnsi="宋体"/>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495" w:type="dxa"/>
            <w:tcBorders>
              <w:top w:val="single" w:color="auto" w:sz="4" w:space="0"/>
              <w:left w:val="single" w:color="auto" w:sz="4" w:space="0"/>
              <w:bottom w:val="single" w:color="auto" w:sz="4" w:space="0"/>
              <w:right w:val="single" w:color="auto" w:sz="4" w:space="0"/>
            </w:tcBorders>
            <w:vAlign w:val="center"/>
          </w:tcPr>
          <w:p>
            <w:pPr>
              <w:pStyle w:val="113"/>
              <w:spacing w:beforeLines="0" w:afterLines="0" w:line="240" w:lineRule="auto"/>
              <w:ind w:left="105" w:right="420"/>
              <w:jc w:val="center"/>
              <w:textAlignment w:val="bottom"/>
              <w:rPr>
                <w:rFonts w:ascii="宋体" w:hAnsi="宋体"/>
                <w:sz w:val="21"/>
                <w:szCs w:val="21"/>
              </w:rPr>
            </w:pPr>
            <w:r>
              <w:rPr>
                <w:rFonts w:hint="eastAsia" w:ascii="宋体" w:hAnsi="宋体"/>
                <w:sz w:val="21"/>
                <w:szCs w:val="21"/>
              </w:rPr>
              <w:t>☆（5）</w:t>
            </w:r>
          </w:p>
        </w:tc>
        <w:tc>
          <w:tcPr>
            <w:tcW w:w="4320"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textAlignment w:val="bottom"/>
              <w:rPr>
                <w:rFonts w:ascii="宋体" w:hAnsi="宋体"/>
                <w:color w:val="000000"/>
                <w:sz w:val="21"/>
                <w:szCs w:val="21"/>
              </w:rPr>
            </w:pPr>
            <w:r>
              <w:rPr>
                <w:rFonts w:hint="eastAsia" w:ascii="宋体" w:hAnsi="宋体"/>
                <w:color w:val="000000"/>
                <w:sz w:val="21"/>
                <w:szCs w:val="21"/>
              </w:rPr>
              <w:t>原理接线图</w:t>
            </w:r>
          </w:p>
        </w:tc>
        <w:tc>
          <w:tcPr>
            <w:tcW w:w="2111"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jc w:val="center"/>
              <w:textAlignment w:val="bottom"/>
              <w:rPr>
                <w:rFonts w:ascii="宋体" w:hAnsi="宋体"/>
                <w:sz w:val="21"/>
                <w:szCs w:val="21"/>
              </w:rPr>
            </w:pPr>
            <w:r>
              <w:rPr>
                <w:rFonts w:ascii="宋体" w:hAnsi="宋体"/>
                <w:sz w:val="21"/>
                <w:szCs w:val="21"/>
              </w:rPr>
              <w:t>30</w:t>
            </w:r>
            <w:r>
              <w:rPr>
                <w:rFonts w:hint="eastAsia" w:ascii="宋体" w:hAnsi="宋体"/>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495" w:type="dxa"/>
            <w:tcBorders>
              <w:top w:val="single" w:color="auto" w:sz="4" w:space="0"/>
              <w:left w:val="single" w:color="auto" w:sz="4" w:space="0"/>
              <w:bottom w:val="single" w:color="auto" w:sz="4" w:space="0"/>
              <w:right w:val="single" w:color="auto" w:sz="4" w:space="0"/>
            </w:tcBorders>
            <w:vAlign w:val="center"/>
          </w:tcPr>
          <w:p>
            <w:pPr>
              <w:pStyle w:val="113"/>
              <w:spacing w:beforeLines="0" w:afterLines="0" w:line="240" w:lineRule="auto"/>
              <w:ind w:left="105" w:right="420"/>
              <w:jc w:val="center"/>
              <w:textAlignment w:val="bottom"/>
              <w:rPr>
                <w:rFonts w:ascii="宋体" w:hAnsi="宋体"/>
                <w:sz w:val="21"/>
                <w:szCs w:val="21"/>
              </w:rPr>
            </w:pPr>
            <w:r>
              <w:rPr>
                <w:rFonts w:hint="eastAsia" w:ascii="宋体" w:hAnsi="宋体"/>
                <w:sz w:val="21"/>
                <w:szCs w:val="21"/>
              </w:rPr>
              <w:t>☆（6）</w:t>
            </w:r>
          </w:p>
        </w:tc>
        <w:tc>
          <w:tcPr>
            <w:tcW w:w="4320"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textAlignment w:val="bottom"/>
              <w:rPr>
                <w:rFonts w:ascii="宋体" w:hAnsi="宋体"/>
                <w:color w:val="000000"/>
                <w:sz w:val="21"/>
                <w:szCs w:val="21"/>
              </w:rPr>
            </w:pPr>
            <w:r>
              <w:rPr>
                <w:rFonts w:hint="eastAsia" w:ascii="宋体" w:hAnsi="宋体"/>
                <w:color w:val="000000"/>
                <w:sz w:val="21"/>
                <w:szCs w:val="21"/>
              </w:rPr>
              <w:t>屏面布置图、外形图和安装图</w:t>
            </w:r>
          </w:p>
        </w:tc>
        <w:tc>
          <w:tcPr>
            <w:tcW w:w="2111"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jc w:val="center"/>
              <w:textAlignment w:val="bottom"/>
              <w:rPr>
                <w:rFonts w:ascii="宋体" w:hAnsi="宋体"/>
                <w:sz w:val="21"/>
                <w:szCs w:val="21"/>
              </w:rPr>
            </w:pPr>
            <w:r>
              <w:rPr>
                <w:rFonts w:ascii="宋体" w:hAnsi="宋体"/>
                <w:sz w:val="21"/>
                <w:szCs w:val="21"/>
              </w:rPr>
              <w:t>30</w:t>
            </w:r>
            <w:r>
              <w:rPr>
                <w:rFonts w:hint="eastAsia" w:ascii="宋体" w:hAnsi="宋体"/>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495" w:type="dxa"/>
            <w:tcBorders>
              <w:top w:val="single" w:color="auto" w:sz="4" w:space="0"/>
              <w:left w:val="single" w:color="auto" w:sz="4" w:space="0"/>
              <w:bottom w:val="single" w:color="auto" w:sz="4" w:space="0"/>
              <w:right w:val="single" w:color="auto" w:sz="4" w:space="0"/>
            </w:tcBorders>
            <w:vAlign w:val="center"/>
          </w:tcPr>
          <w:p>
            <w:pPr>
              <w:pStyle w:val="113"/>
              <w:spacing w:beforeLines="0" w:afterLines="0" w:line="240" w:lineRule="auto"/>
              <w:ind w:left="105" w:right="420"/>
              <w:jc w:val="center"/>
              <w:textAlignment w:val="bottom"/>
              <w:rPr>
                <w:rFonts w:ascii="宋体" w:hAnsi="宋体"/>
                <w:sz w:val="21"/>
                <w:szCs w:val="21"/>
              </w:rPr>
            </w:pPr>
            <w:r>
              <w:rPr>
                <w:rFonts w:hint="eastAsia" w:ascii="宋体" w:hAnsi="宋体"/>
                <w:sz w:val="21"/>
                <w:szCs w:val="21"/>
              </w:rPr>
              <w:t>☆（7）</w:t>
            </w:r>
          </w:p>
        </w:tc>
        <w:tc>
          <w:tcPr>
            <w:tcW w:w="4320"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textAlignment w:val="bottom"/>
              <w:rPr>
                <w:rFonts w:ascii="宋体" w:hAnsi="宋体"/>
                <w:color w:val="000000"/>
                <w:sz w:val="21"/>
                <w:szCs w:val="21"/>
              </w:rPr>
            </w:pPr>
            <w:r>
              <w:rPr>
                <w:rFonts w:hint="eastAsia" w:ascii="宋体" w:hAnsi="宋体"/>
                <w:color w:val="000000"/>
                <w:sz w:val="21"/>
                <w:szCs w:val="21"/>
              </w:rPr>
              <w:t>端子接线图</w:t>
            </w:r>
          </w:p>
        </w:tc>
        <w:tc>
          <w:tcPr>
            <w:tcW w:w="2111"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jc w:val="center"/>
              <w:textAlignment w:val="bottom"/>
              <w:rPr>
                <w:rFonts w:ascii="宋体" w:hAnsi="宋体"/>
                <w:sz w:val="21"/>
                <w:szCs w:val="21"/>
              </w:rPr>
            </w:pPr>
            <w:r>
              <w:rPr>
                <w:rFonts w:ascii="宋体" w:hAnsi="宋体"/>
                <w:sz w:val="21"/>
                <w:szCs w:val="21"/>
              </w:rPr>
              <w:t>30</w:t>
            </w:r>
            <w:r>
              <w:rPr>
                <w:rFonts w:hint="eastAsia" w:ascii="宋体" w:hAnsi="宋体"/>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495" w:type="dxa"/>
            <w:tcBorders>
              <w:top w:val="single" w:color="auto" w:sz="4" w:space="0"/>
              <w:left w:val="single" w:color="auto" w:sz="4" w:space="0"/>
              <w:bottom w:val="single" w:color="auto" w:sz="4" w:space="0"/>
              <w:right w:val="single" w:color="auto" w:sz="4" w:space="0"/>
            </w:tcBorders>
            <w:vAlign w:val="center"/>
          </w:tcPr>
          <w:p>
            <w:pPr>
              <w:pStyle w:val="113"/>
              <w:spacing w:beforeLines="0" w:afterLines="0" w:line="240" w:lineRule="auto"/>
              <w:ind w:left="105" w:right="420"/>
              <w:jc w:val="center"/>
              <w:textAlignment w:val="bottom"/>
              <w:rPr>
                <w:rFonts w:ascii="宋体" w:hAnsi="宋体"/>
                <w:sz w:val="21"/>
                <w:szCs w:val="21"/>
              </w:rPr>
            </w:pPr>
            <w:r>
              <w:rPr>
                <w:rFonts w:hint="eastAsia" w:ascii="宋体" w:hAnsi="宋体"/>
                <w:sz w:val="21"/>
                <w:szCs w:val="21"/>
              </w:rPr>
              <w:t>☆（8）</w:t>
            </w:r>
          </w:p>
        </w:tc>
        <w:tc>
          <w:tcPr>
            <w:tcW w:w="4320"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textAlignment w:val="bottom"/>
              <w:rPr>
                <w:rFonts w:ascii="宋体" w:hAnsi="宋体"/>
                <w:color w:val="000000"/>
                <w:sz w:val="21"/>
                <w:szCs w:val="21"/>
              </w:rPr>
            </w:pPr>
            <w:r>
              <w:rPr>
                <w:rFonts w:hint="eastAsia" w:ascii="宋体" w:hAnsi="宋体"/>
                <w:color w:val="000000"/>
                <w:sz w:val="21"/>
                <w:szCs w:val="21"/>
              </w:rPr>
              <w:t>详细设备清册(包括型号、规格等)</w:t>
            </w:r>
          </w:p>
        </w:tc>
        <w:tc>
          <w:tcPr>
            <w:tcW w:w="2111"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jc w:val="center"/>
              <w:textAlignment w:val="bottom"/>
              <w:rPr>
                <w:rFonts w:ascii="宋体" w:hAnsi="宋体"/>
                <w:sz w:val="21"/>
                <w:szCs w:val="21"/>
              </w:rPr>
            </w:pPr>
            <w:r>
              <w:rPr>
                <w:rFonts w:ascii="宋体" w:hAnsi="宋体"/>
                <w:sz w:val="21"/>
                <w:szCs w:val="21"/>
              </w:rPr>
              <w:t>30</w:t>
            </w:r>
            <w:r>
              <w:rPr>
                <w:rFonts w:hint="eastAsia" w:ascii="宋体" w:hAnsi="宋体"/>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495" w:type="dxa"/>
            <w:tcBorders>
              <w:top w:val="single" w:color="auto" w:sz="4" w:space="0"/>
              <w:left w:val="single" w:color="auto" w:sz="4" w:space="0"/>
              <w:bottom w:val="single" w:color="auto" w:sz="4" w:space="0"/>
              <w:right w:val="single" w:color="auto" w:sz="4" w:space="0"/>
            </w:tcBorders>
            <w:vAlign w:val="center"/>
          </w:tcPr>
          <w:p>
            <w:pPr>
              <w:pStyle w:val="113"/>
              <w:spacing w:beforeLines="0" w:afterLines="0" w:line="240" w:lineRule="auto"/>
              <w:ind w:left="105" w:right="420"/>
              <w:jc w:val="center"/>
              <w:textAlignment w:val="bottom"/>
              <w:rPr>
                <w:rFonts w:ascii="宋体" w:hAnsi="宋体"/>
                <w:sz w:val="21"/>
                <w:szCs w:val="21"/>
              </w:rPr>
            </w:pPr>
            <w:r>
              <w:rPr>
                <w:rFonts w:hint="eastAsia" w:ascii="宋体" w:hAnsi="宋体"/>
                <w:sz w:val="21"/>
                <w:szCs w:val="21"/>
              </w:rPr>
              <w:t>☆（10）</w:t>
            </w:r>
          </w:p>
        </w:tc>
        <w:tc>
          <w:tcPr>
            <w:tcW w:w="4320"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textAlignment w:val="bottom"/>
              <w:rPr>
                <w:rFonts w:ascii="宋体" w:hAnsi="宋体"/>
                <w:color w:val="000000"/>
                <w:sz w:val="21"/>
                <w:szCs w:val="21"/>
              </w:rPr>
            </w:pPr>
            <w:r>
              <w:rPr>
                <w:rFonts w:hint="eastAsia" w:ascii="宋体" w:hAnsi="宋体"/>
                <w:color w:val="000000"/>
                <w:sz w:val="21"/>
                <w:szCs w:val="21"/>
              </w:rPr>
              <w:t>设计、安装、调试及使用说明书</w:t>
            </w:r>
          </w:p>
        </w:tc>
        <w:tc>
          <w:tcPr>
            <w:tcW w:w="2111"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jc w:val="center"/>
              <w:textAlignment w:val="bottom"/>
              <w:rPr>
                <w:rFonts w:ascii="宋体" w:hAnsi="宋体"/>
                <w:sz w:val="21"/>
                <w:szCs w:val="21"/>
              </w:rPr>
            </w:pPr>
            <w:r>
              <w:rPr>
                <w:rFonts w:ascii="宋体" w:hAnsi="宋体"/>
                <w:sz w:val="21"/>
                <w:szCs w:val="21"/>
              </w:rPr>
              <w:t>30</w:t>
            </w:r>
            <w:r>
              <w:rPr>
                <w:rFonts w:hint="eastAsia" w:ascii="宋体" w:hAnsi="宋体"/>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495" w:type="dxa"/>
            <w:tcBorders>
              <w:top w:val="single" w:color="auto" w:sz="4" w:space="0"/>
              <w:left w:val="single" w:color="auto" w:sz="4" w:space="0"/>
              <w:bottom w:val="single" w:color="auto" w:sz="4" w:space="0"/>
              <w:right w:val="single" w:color="auto" w:sz="4" w:space="0"/>
            </w:tcBorders>
            <w:vAlign w:val="center"/>
          </w:tcPr>
          <w:p>
            <w:pPr>
              <w:pStyle w:val="113"/>
              <w:spacing w:beforeLines="0" w:afterLines="0" w:line="240" w:lineRule="auto"/>
              <w:ind w:left="1096" w:leftChars="132" w:right="420" w:hanging="819" w:hangingChars="390"/>
              <w:textAlignment w:val="bottom"/>
              <w:rPr>
                <w:rFonts w:ascii="宋体" w:hAnsi="宋体"/>
                <w:sz w:val="21"/>
                <w:szCs w:val="21"/>
              </w:rPr>
            </w:pPr>
            <w:r>
              <w:rPr>
                <w:rFonts w:hint="eastAsia" w:ascii="宋体" w:hAnsi="宋体"/>
                <w:sz w:val="21"/>
                <w:szCs w:val="21"/>
              </w:rPr>
              <w:t>（11）</w:t>
            </w:r>
          </w:p>
        </w:tc>
        <w:tc>
          <w:tcPr>
            <w:tcW w:w="4320"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textAlignment w:val="bottom"/>
              <w:rPr>
                <w:rFonts w:ascii="宋体" w:hAnsi="宋体"/>
                <w:sz w:val="21"/>
                <w:szCs w:val="21"/>
              </w:rPr>
            </w:pPr>
            <w:r>
              <w:rPr>
                <w:rFonts w:hint="eastAsia" w:ascii="宋体" w:hAnsi="宋体"/>
                <w:color w:val="000000"/>
                <w:sz w:val="21"/>
                <w:szCs w:val="21"/>
              </w:rPr>
              <w:t>其他相关资料</w:t>
            </w:r>
          </w:p>
        </w:tc>
        <w:tc>
          <w:tcPr>
            <w:tcW w:w="2111" w:type="dxa"/>
            <w:tcBorders>
              <w:top w:val="single" w:color="auto" w:sz="4" w:space="0"/>
              <w:left w:val="nil"/>
              <w:bottom w:val="single" w:color="auto" w:sz="4" w:space="0"/>
              <w:right w:val="single" w:color="auto" w:sz="4" w:space="0"/>
            </w:tcBorders>
          </w:tcPr>
          <w:p>
            <w:pPr>
              <w:pStyle w:val="113"/>
              <w:spacing w:beforeLines="0" w:afterLines="0" w:line="240" w:lineRule="auto"/>
              <w:ind w:left="105" w:right="420"/>
              <w:jc w:val="center"/>
              <w:textAlignment w:val="bottom"/>
              <w:rPr>
                <w:rFonts w:ascii="宋体" w:hAnsi="宋体"/>
                <w:sz w:val="21"/>
                <w:szCs w:val="21"/>
              </w:rPr>
            </w:pPr>
            <w:r>
              <w:rPr>
                <w:rFonts w:ascii="宋体" w:hAnsi="宋体"/>
                <w:sz w:val="21"/>
                <w:szCs w:val="21"/>
              </w:rPr>
              <w:t>30</w:t>
            </w:r>
            <w:r>
              <w:rPr>
                <w:rFonts w:hint="eastAsia" w:ascii="宋体" w:hAnsi="宋体"/>
                <w:sz w:val="21"/>
                <w:szCs w:val="21"/>
              </w:rPr>
              <w:t>天</w:t>
            </w:r>
          </w:p>
        </w:tc>
      </w:tr>
    </w:tbl>
    <w:p>
      <w:pPr>
        <w:spacing w:line="360" w:lineRule="auto"/>
        <w:ind w:left="840" w:leftChars="400" w:firstLine="210" w:firstLineChars="100"/>
        <w:rPr>
          <w:rFonts w:ascii="宋体" w:hAnsi="宋体"/>
          <w:szCs w:val="21"/>
        </w:rPr>
      </w:pPr>
      <w:r>
        <w:rPr>
          <w:rFonts w:hint="eastAsia" w:ascii="宋体" w:hAnsi="宋体"/>
          <w:szCs w:val="21"/>
        </w:rPr>
        <w:t>注：“☆”表示图纸资料要遵照拖期违约赔偿规定。</w:t>
      </w:r>
    </w:p>
    <w:p>
      <w:pPr>
        <w:pStyle w:val="8"/>
        <w:numPr>
          <w:ilvl w:val="3"/>
          <w:numId w:val="25"/>
        </w:numPr>
        <w:overflowPunct w:val="0"/>
        <w:snapToGrid w:val="0"/>
        <w:spacing w:before="0" w:after="0" w:line="360" w:lineRule="auto"/>
        <w:ind w:left="958" w:hanging="957" w:hangingChars="456"/>
        <w:rPr>
          <w:rFonts w:ascii="宋体" w:hAnsi="宋体"/>
          <w:szCs w:val="21"/>
        </w:rPr>
      </w:pPr>
      <w:bookmarkStart w:id="124" w:name="_Toc435017851"/>
      <w:bookmarkEnd w:id="124"/>
      <w:bookmarkStart w:id="125" w:name="_Toc436881486"/>
      <w:bookmarkEnd w:id="125"/>
      <w:bookmarkStart w:id="126" w:name="_Toc437105317"/>
      <w:bookmarkEnd w:id="126"/>
      <w:bookmarkStart w:id="127" w:name="_Toc71945404"/>
      <w:bookmarkEnd w:id="127"/>
      <w:bookmarkStart w:id="128" w:name="_Toc432385123"/>
      <w:bookmarkEnd w:id="128"/>
      <w:bookmarkStart w:id="129" w:name="_Toc433870767"/>
      <w:bookmarkEnd w:id="129"/>
      <w:bookmarkStart w:id="130" w:name="_Toc432343335"/>
      <w:bookmarkEnd w:id="130"/>
      <w:bookmarkStart w:id="131" w:name="_Toc116636508"/>
      <w:bookmarkEnd w:id="131"/>
      <w:bookmarkStart w:id="132" w:name="_Toc72142274"/>
      <w:bookmarkEnd w:id="132"/>
      <w:bookmarkStart w:id="133" w:name="_Toc69801981"/>
      <w:bookmarkEnd w:id="133"/>
      <w:bookmarkStart w:id="134" w:name="_Toc175977823"/>
      <w:bookmarkEnd w:id="134"/>
      <w:bookmarkStart w:id="135" w:name="_Toc435524153"/>
      <w:bookmarkEnd w:id="135"/>
      <w:bookmarkStart w:id="136" w:name="_Toc442616503"/>
      <w:bookmarkEnd w:id="136"/>
      <w:bookmarkStart w:id="137" w:name="_Toc130370920"/>
      <w:bookmarkEnd w:id="137"/>
      <w:bookmarkStart w:id="138" w:name="_Toc436881969"/>
      <w:r>
        <w:rPr>
          <w:rFonts w:hint="eastAsia" w:ascii="宋体" w:hAnsi="宋体"/>
          <w:szCs w:val="21"/>
        </w:rPr>
        <w:t>计算书</w:t>
      </w:r>
      <w:bookmarkEnd w:id="138"/>
    </w:p>
    <w:p>
      <w:pPr>
        <w:spacing w:line="360" w:lineRule="auto"/>
        <w:ind w:left="840" w:leftChars="400"/>
        <w:rPr>
          <w:rFonts w:ascii="宋体" w:hAnsi="宋体"/>
          <w:szCs w:val="21"/>
        </w:rPr>
      </w:pPr>
      <w:r>
        <w:rPr>
          <w:rFonts w:hint="eastAsia" w:ascii="宋体" w:hAnsi="宋体"/>
          <w:szCs w:val="21"/>
        </w:rPr>
        <w:t>卖方在提供合同设备的设计图纸时，应同时提供给买方接入系统参数整定的整定计算书及推荐的整定值供买方参考。计算书应足够详细地说明基本设计方法、假设、使用准则，以证明供货设备能符合规定的要求，并为寻找电气主设备故障提供充分依据。</w:t>
      </w:r>
    </w:p>
    <w:p>
      <w:pPr>
        <w:pStyle w:val="8"/>
        <w:numPr>
          <w:ilvl w:val="3"/>
          <w:numId w:val="25"/>
        </w:numPr>
        <w:overflowPunct w:val="0"/>
        <w:spacing w:before="100" w:beforeAutospacing="1" w:after="100" w:afterAutospacing="1" w:line="360" w:lineRule="auto"/>
        <w:ind w:left="960" w:hanging="960"/>
        <w:rPr>
          <w:rFonts w:ascii="宋体" w:hAnsi="宋体"/>
          <w:szCs w:val="21"/>
        </w:rPr>
      </w:pPr>
      <w:r>
        <w:rPr>
          <w:rFonts w:hint="eastAsia" w:ascii="宋体" w:hAnsi="宋体"/>
          <w:szCs w:val="21"/>
        </w:rPr>
        <w:t>竣工图及说明书</w:t>
      </w:r>
    </w:p>
    <w:p>
      <w:pPr>
        <w:pStyle w:val="8"/>
        <w:overflowPunct w:val="0"/>
        <w:spacing w:before="100" w:beforeAutospacing="1" w:after="100" w:afterAutospacing="1" w:line="360" w:lineRule="auto"/>
        <w:rPr>
          <w:rFonts w:ascii="宋体" w:hAnsi="宋体"/>
          <w:b/>
          <w:szCs w:val="21"/>
        </w:rPr>
      </w:pPr>
      <w:r>
        <w:rPr>
          <w:rFonts w:hint="eastAsia" w:ascii="宋体" w:hAnsi="宋体"/>
          <w:szCs w:val="21"/>
        </w:rPr>
        <w:t>（1）概述</w:t>
      </w:r>
    </w:p>
    <w:p>
      <w:pPr>
        <w:spacing w:line="360" w:lineRule="auto"/>
        <w:ind w:left="840" w:leftChars="400"/>
        <w:rPr>
          <w:rFonts w:ascii="宋体" w:hAnsi="宋体"/>
          <w:szCs w:val="21"/>
        </w:rPr>
      </w:pPr>
      <w:r>
        <w:rPr>
          <w:rFonts w:hint="eastAsia" w:ascii="宋体" w:hAnsi="宋体"/>
          <w:szCs w:val="21"/>
        </w:rPr>
        <w:t>卖方应对每项设备的工厂组装和试验、搬运和贮存、安装、运行和维修、以及现场检查、试验和试运行的程序提交详尽的书面说明书。</w:t>
      </w:r>
    </w:p>
    <w:p>
      <w:pPr>
        <w:spacing w:line="360" w:lineRule="auto"/>
        <w:ind w:left="840" w:leftChars="400"/>
        <w:rPr>
          <w:rFonts w:ascii="宋体" w:hAnsi="宋体"/>
          <w:szCs w:val="21"/>
        </w:rPr>
      </w:pPr>
      <w:r>
        <w:rPr>
          <w:rFonts w:hint="eastAsia" w:ascii="宋体" w:hAnsi="宋体"/>
          <w:szCs w:val="21"/>
        </w:rPr>
        <w:t>卖方还应提交接入系统应用软件程序及流程逻辑图的说明书。说明书应按规定的时间提交给买方，以便在实际的安装和运行之前，在现场能获得最终的经审查的文本，用来做好计划工作。</w:t>
      </w:r>
    </w:p>
    <w:p>
      <w:pPr>
        <w:pStyle w:val="8"/>
        <w:overflowPunct w:val="0"/>
        <w:spacing w:before="100" w:beforeAutospacing="1" w:after="100" w:afterAutospacing="1" w:line="360" w:lineRule="auto"/>
        <w:rPr>
          <w:rFonts w:ascii="宋体" w:hAnsi="宋体"/>
          <w:szCs w:val="21"/>
        </w:rPr>
      </w:pPr>
      <w:r>
        <w:rPr>
          <w:rFonts w:hint="eastAsia" w:ascii="宋体" w:hAnsi="宋体"/>
          <w:szCs w:val="21"/>
        </w:rPr>
        <w:t>（2）说明书</w:t>
      </w:r>
    </w:p>
    <w:p>
      <w:pPr>
        <w:spacing w:line="360" w:lineRule="auto"/>
        <w:ind w:left="788" w:leftChars="375"/>
        <w:rPr>
          <w:rFonts w:ascii="宋体" w:hAnsi="宋体"/>
          <w:szCs w:val="21"/>
        </w:rPr>
      </w:pPr>
      <w:r>
        <w:rPr>
          <w:rFonts w:hint="eastAsia" w:ascii="宋体" w:hAnsi="宋体"/>
          <w:szCs w:val="21"/>
        </w:rPr>
        <w:t>卖方按表</w:t>
      </w:r>
      <w:r>
        <w:rPr>
          <w:rFonts w:ascii="宋体" w:hAnsi="宋体"/>
          <w:szCs w:val="21"/>
        </w:rPr>
        <w:t>1.6-4</w:t>
      </w:r>
      <w:r>
        <w:rPr>
          <w:rFonts w:hint="eastAsia" w:ascii="宋体" w:hAnsi="宋体"/>
          <w:szCs w:val="21"/>
        </w:rPr>
        <w:t>中规定的时间提交合同设备的说明书（但不限于此）。</w:t>
      </w:r>
    </w:p>
    <w:p>
      <w:pPr>
        <w:pStyle w:val="184"/>
        <w:spacing w:beforeLines="0"/>
        <w:ind w:firstLine="1890" w:firstLineChars="900"/>
        <w:jc w:val="both"/>
        <w:rPr>
          <w:rFonts w:ascii="宋体" w:hAnsi="宋体" w:eastAsia="宋体"/>
          <w:kern w:val="0"/>
          <w:sz w:val="21"/>
          <w:szCs w:val="21"/>
        </w:rPr>
      </w:pPr>
      <w:r>
        <w:rPr>
          <w:rFonts w:hint="eastAsia" w:ascii="宋体" w:hAnsi="宋体" w:eastAsia="宋体"/>
          <w:kern w:val="0"/>
          <w:sz w:val="21"/>
          <w:szCs w:val="21"/>
        </w:rPr>
        <w:t>表</w:t>
      </w:r>
      <w:r>
        <w:rPr>
          <w:rFonts w:ascii="宋体" w:hAnsi="宋体" w:eastAsia="宋体"/>
          <w:kern w:val="0"/>
          <w:sz w:val="21"/>
          <w:szCs w:val="21"/>
        </w:rPr>
        <w:t>1</w:t>
      </w:r>
      <w:r>
        <w:rPr>
          <w:rFonts w:ascii="宋体" w:hAnsi="宋体" w:eastAsia="宋体"/>
          <w:sz w:val="21"/>
          <w:szCs w:val="21"/>
        </w:rPr>
        <w:t>.6</w:t>
      </w:r>
      <w:r>
        <w:rPr>
          <w:rFonts w:ascii="宋体" w:hAnsi="宋体" w:eastAsia="宋体"/>
          <w:kern w:val="0"/>
          <w:sz w:val="21"/>
          <w:szCs w:val="21"/>
        </w:rPr>
        <w:t>-4</w:t>
      </w:r>
      <w:r>
        <w:rPr>
          <w:rFonts w:ascii="宋体" w:hAnsi="宋体" w:eastAsia="宋体"/>
          <w:kern w:val="0"/>
          <w:sz w:val="21"/>
          <w:szCs w:val="21"/>
        </w:rPr>
        <w:tab/>
      </w:r>
      <w:r>
        <w:rPr>
          <w:rFonts w:hint="eastAsia" w:ascii="宋体" w:hAnsi="宋体" w:eastAsia="宋体"/>
          <w:kern w:val="0"/>
          <w:sz w:val="21"/>
          <w:szCs w:val="21"/>
        </w:rPr>
        <w:t>说明书（但不限于此）</w:t>
      </w:r>
    </w:p>
    <w:tbl>
      <w:tblPr>
        <w:tblStyle w:val="71"/>
        <w:tblW w:w="7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5644"/>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szCs w:val="21"/>
              </w:rPr>
            </w:pPr>
            <w:r>
              <w:rPr>
                <w:rFonts w:hint="eastAsia" w:ascii="宋体" w:hAnsi="宋体"/>
                <w:szCs w:val="21"/>
              </w:rPr>
              <w:t>序号</w:t>
            </w:r>
          </w:p>
        </w:tc>
        <w:tc>
          <w:tcPr>
            <w:tcW w:w="5644"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szCs w:val="21"/>
              </w:rPr>
            </w:pPr>
            <w:r>
              <w:rPr>
                <w:rFonts w:hint="eastAsia" w:ascii="宋体" w:hAnsi="宋体"/>
                <w:szCs w:val="21"/>
              </w:rPr>
              <w:t>图名</w:t>
            </w:r>
          </w:p>
        </w:tc>
        <w:tc>
          <w:tcPr>
            <w:tcW w:w="1552" w:type="dxa"/>
            <w:tcBorders>
              <w:top w:val="single" w:color="auto" w:sz="4" w:space="0"/>
              <w:left w:val="nil"/>
              <w:bottom w:val="single" w:color="auto" w:sz="4" w:space="0"/>
              <w:right w:val="single" w:color="auto" w:sz="4" w:space="0"/>
            </w:tcBorders>
          </w:tcPr>
          <w:p>
            <w:pPr>
              <w:adjustRightInd w:val="0"/>
              <w:jc w:val="center"/>
              <w:textAlignment w:val="baseline"/>
              <w:rPr>
                <w:rFonts w:ascii="宋体" w:hAnsi="宋体"/>
                <w:szCs w:val="21"/>
              </w:rPr>
            </w:pPr>
            <w:r>
              <w:rPr>
                <w:rFonts w:hint="eastAsia" w:ascii="宋体" w:hAnsi="宋体"/>
                <w:szCs w:val="21"/>
              </w:rPr>
              <w:t>合同生效后的日历天数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szCs w:val="21"/>
              </w:rPr>
            </w:pPr>
            <w:r>
              <w:rPr>
                <w:rFonts w:hint="eastAsia" w:ascii="宋体" w:hAnsi="宋体"/>
                <w:szCs w:val="21"/>
              </w:rPr>
              <w:t>（1）</w:t>
            </w:r>
          </w:p>
        </w:tc>
        <w:tc>
          <w:tcPr>
            <w:tcW w:w="5644" w:type="dxa"/>
            <w:tcBorders>
              <w:top w:val="single" w:color="auto" w:sz="4" w:space="0"/>
              <w:left w:val="nil"/>
              <w:bottom w:val="single" w:color="auto" w:sz="4" w:space="0"/>
              <w:right w:val="single" w:color="auto" w:sz="4" w:space="0"/>
            </w:tcBorders>
            <w:vAlign w:val="center"/>
          </w:tcPr>
          <w:p>
            <w:pPr>
              <w:adjustRightInd w:val="0"/>
              <w:snapToGrid w:val="0"/>
              <w:textAlignment w:val="baseline"/>
              <w:rPr>
                <w:rFonts w:ascii="宋体" w:hAnsi="宋体"/>
                <w:szCs w:val="21"/>
              </w:rPr>
            </w:pPr>
            <w:r>
              <w:rPr>
                <w:rFonts w:hint="eastAsia" w:ascii="宋体" w:hAnsi="宋体"/>
                <w:szCs w:val="21"/>
              </w:rPr>
              <w:t>装卸和贮存说明书</w:t>
            </w:r>
          </w:p>
        </w:tc>
        <w:tc>
          <w:tcPr>
            <w:tcW w:w="1552" w:type="dxa"/>
            <w:tcBorders>
              <w:top w:val="single" w:color="auto" w:sz="4" w:space="0"/>
              <w:left w:val="nil"/>
              <w:bottom w:val="single" w:color="auto" w:sz="4" w:space="0"/>
              <w:right w:val="single" w:color="auto" w:sz="4" w:space="0"/>
            </w:tcBorders>
          </w:tcPr>
          <w:p>
            <w:pPr>
              <w:adjustRightInd w:val="0"/>
              <w:snapToGrid w:val="0"/>
              <w:jc w:val="center"/>
              <w:textAlignment w:val="baseline"/>
              <w:rPr>
                <w:rFonts w:ascii="宋体" w:hAnsi="宋体"/>
                <w:szCs w:val="21"/>
              </w:rPr>
            </w:pPr>
            <w:r>
              <w:rPr>
                <w:rFonts w:ascii="宋体" w:hAnsi="宋体"/>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r>
              <w:rPr>
                <w:rFonts w:hint="eastAsia" w:ascii="宋体" w:hAnsi="宋体"/>
                <w:szCs w:val="21"/>
              </w:rPr>
              <w:t>☆（2）</w:t>
            </w:r>
          </w:p>
        </w:tc>
        <w:tc>
          <w:tcPr>
            <w:tcW w:w="5644" w:type="dxa"/>
            <w:tcBorders>
              <w:top w:val="single" w:color="auto" w:sz="4" w:space="0"/>
              <w:left w:val="nil"/>
              <w:bottom w:val="single" w:color="auto" w:sz="4" w:space="0"/>
              <w:right w:val="single" w:color="auto" w:sz="4" w:space="0"/>
            </w:tcBorders>
            <w:vAlign w:val="center"/>
          </w:tcPr>
          <w:p>
            <w:pPr>
              <w:adjustRightInd w:val="0"/>
              <w:snapToGrid w:val="0"/>
              <w:textAlignment w:val="baseline"/>
              <w:rPr>
                <w:rFonts w:ascii="宋体" w:hAnsi="宋体"/>
                <w:szCs w:val="21"/>
              </w:rPr>
            </w:pPr>
            <w:r>
              <w:rPr>
                <w:rFonts w:hint="eastAsia" w:ascii="宋体" w:hAnsi="宋体" w:cs="Arial"/>
                <w:szCs w:val="21"/>
              </w:rPr>
              <w:t>工厂组装和试验程序说明书</w:t>
            </w:r>
          </w:p>
        </w:tc>
        <w:tc>
          <w:tcPr>
            <w:tcW w:w="1552" w:type="dxa"/>
            <w:tcBorders>
              <w:top w:val="single" w:color="auto" w:sz="4" w:space="0"/>
              <w:left w:val="nil"/>
              <w:bottom w:val="single" w:color="auto" w:sz="4" w:space="0"/>
              <w:right w:val="single" w:color="auto" w:sz="4" w:space="0"/>
            </w:tcBorders>
          </w:tcPr>
          <w:p>
            <w:pPr>
              <w:adjustRightInd w:val="0"/>
              <w:snapToGrid w:val="0"/>
              <w:jc w:val="center"/>
              <w:textAlignment w:val="baseline"/>
              <w:rPr>
                <w:rFonts w:ascii="宋体" w:hAnsi="宋体"/>
                <w:szCs w:val="21"/>
              </w:rPr>
            </w:pPr>
            <w:r>
              <w:rPr>
                <w:rFonts w:hint="eastAsia" w:ascii="宋体" w:hAnsi="宋体"/>
                <w:szCs w:val="21"/>
              </w:rPr>
              <w:t>出厂前</w:t>
            </w:r>
            <w:r>
              <w:rPr>
                <w:rFonts w:ascii="宋体" w:hAnsi="宋体"/>
                <w:szCs w:val="21"/>
              </w:rPr>
              <w:t>30</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r>
              <w:rPr>
                <w:rFonts w:hint="eastAsia" w:ascii="宋体" w:hAnsi="宋体"/>
                <w:szCs w:val="21"/>
              </w:rPr>
              <w:t>（3）</w:t>
            </w:r>
          </w:p>
        </w:tc>
        <w:tc>
          <w:tcPr>
            <w:tcW w:w="5644" w:type="dxa"/>
            <w:tcBorders>
              <w:top w:val="single" w:color="auto" w:sz="4" w:space="0"/>
              <w:left w:val="nil"/>
              <w:bottom w:val="single" w:color="auto" w:sz="4" w:space="0"/>
              <w:right w:val="single" w:color="auto" w:sz="4" w:space="0"/>
            </w:tcBorders>
            <w:vAlign w:val="center"/>
          </w:tcPr>
          <w:p>
            <w:pPr>
              <w:adjustRightInd w:val="0"/>
              <w:snapToGrid w:val="0"/>
              <w:textAlignment w:val="baseline"/>
              <w:rPr>
                <w:rFonts w:ascii="宋体" w:hAnsi="宋体"/>
                <w:szCs w:val="21"/>
              </w:rPr>
            </w:pPr>
            <w:r>
              <w:rPr>
                <w:rFonts w:hint="eastAsia" w:ascii="宋体" w:hAnsi="宋体"/>
                <w:szCs w:val="21"/>
              </w:rPr>
              <w:t>安装说明书</w:t>
            </w:r>
          </w:p>
        </w:tc>
        <w:tc>
          <w:tcPr>
            <w:tcW w:w="1552" w:type="dxa"/>
            <w:tcBorders>
              <w:top w:val="single" w:color="auto" w:sz="4" w:space="0"/>
              <w:left w:val="nil"/>
              <w:bottom w:val="single" w:color="auto" w:sz="4" w:space="0"/>
              <w:right w:val="single" w:color="auto" w:sz="4" w:space="0"/>
            </w:tcBorders>
          </w:tcPr>
          <w:p>
            <w:pPr>
              <w:adjustRightInd w:val="0"/>
              <w:snapToGrid w:val="0"/>
              <w:jc w:val="center"/>
              <w:textAlignment w:val="baseline"/>
              <w:rPr>
                <w:rFonts w:ascii="宋体" w:hAnsi="宋体"/>
                <w:szCs w:val="21"/>
              </w:rPr>
            </w:pPr>
            <w:r>
              <w:rPr>
                <w:rFonts w:ascii="宋体" w:hAnsi="宋体"/>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r>
              <w:rPr>
                <w:rFonts w:hint="eastAsia" w:ascii="宋体" w:hAnsi="宋体"/>
                <w:szCs w:val="21"/>
              </w:rPr>
              <w:t>（4）</w:t>
            </w:r>
          </w:p>
        </w:tc>
        <w:tc>
          <w:tcPr>
            <w:tcW w:w="5644" w:type="dxa"/>
            <w:tcBorders>
              <w:top w:val="single" w:color="auto" w:sz="4" w:space="0"/>
              <w:left w:val="nil"/>
              <w:bottom w:val="single" w:color="auto" w:sz="4" w:space="0"/>
              <w:right w:val="single" w:color="auto" w:sz="4" w:space="0"/>
            </w:tcBorders>
            <w:vAlign w:val="center"/>
          </w:tcPr>
          <w:p>
            <w:pPr>
              <w:adjustRightInd w:val="0"/>
              <w:snapToGrid w:val="0"/>
              <w:textAlignment w:val="baseline"/>
              <w:rPr>
                <w:rFonts w:ascii="宋体" w:hAnsi="宋体"/>
                <w:szCs w:val="21"/>
              </w:rPr>
            </w:pPr>
            <w:r>
              <w:rPr>
                <w:rFonts w:hint="eastAsia" w:ascii="宋体" w:hAnsi="宋体"/>
                <w:szCs w:val="21"/>
              </w:rPr>
              <w:t>运行和维护说明书</w:t>
            </w:r>
          </w:p>
        </w:tc>
        <w:tc>
          <w:tcPr>
            <w:tcW w:w="1552" w:type="dxa"/>
            <w:tcBorders>
              <w:top w:val="single" w:color="auto" w:sz="4" w:space="0"/>
              <w:left w:val="nil"/>
              <w:bottom w:val="single" w:color="auto" w:sz="4" w:space="0"/>
              <w:right w:val="single" w:color="auto" w:sz="4" w:space="0"/>
            </w:tcBorders>
          </w:tcPr>
          <w:p>
            <w:pPr>
              <w:adjustRightInd w:val="0"/>
              <w:snapToGrid w:val="0"/>
              <w:jc w:val="center"/>
              <w:textAlignment w:val="baseline"/>
              <w:rPr>
                <w:rFonts w:ascii="宋体" w:hAnsi="宋体"/>
                <w:szCs w:val="21"/>
              </w:rPr>
            </w:pPr>
            <w:r>
              <w:rPr>
                <w:rFonts w:ascii="宋体" w:hAnsi="宋体"/>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r>
              <w:rPr>
                <w:rFonts w:hint="eastAsia" w:ascii="宋体" w:hAnsi="宋体"/>
                <w:szCs w:val="21"/>
              </w:rPr>
              <w:t>（5）</w:t>
            </w:r>
          </w:p>
        </w:tc>
        <w:tc>
          <w:tcPr>
            <w:tcW w:w="5644" w:type="dxa"/>
            <w:tcBorders>
              <w:top w:val="single" w:color="auto" w:sz="4" w:space="0"/>
              <w:left w:val="nil"/>
              <w:bottom w:val="single" w:color="auto" w:sz="4" w:space="0"/>
              <w:right w:val="single" w:color="auto" w:sz="4" w:space="0"/>
            </w:tcBorders>
            <w:vAlign w:val="center"/>
          </w:tcPr>
          <w:p>
            <w:pPr>
              <w:adjustRightInd w:val="0"/>
              <w:snapToGrid w:val="0"/>
              <w:textAlignment w:val="baseline"/>
              <w:rPr>
                <w:rFonts w:ascii="宋体" w:hAnsi="宋体"/>
                <w:szCs w:val="21"/>
              </w:rPr>
            </w:pPr>
            <w:r>
              <w:rPr>
                <w:rFonts w:hint="eastAsia" w:ascii="宋体" w:hAnsi="宋体"/>
                <w:szCs w:val="21"/>
              </w:rPr>
              <w:t>详细的现场培训计划和培训教材</w:t>
            </w:r>
          </w:p>
        </w:tc>
        <w:tc>
          <w:tcPr>
            <w:tcW w:w="1552"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ascii="宋体" w:hAnsi="宋体"/>
                <w:szCs w:val="21"/>
              </w:rPr>
            </w:pPr>
            <w:r>
              <w:rPr>
                <w:rFonts w:hint="eastAsia" w:ascii="宋体" w:hAnsi="宋体"/>
                <w:szCs w:val="21"/>
              </w:rPr>
              <w:t>培训前</w:t>
            </w:r>
            <w:r>
              <w:rPr>
                <w:rFonts w:ascii="宋体" w:hAnsi="宋体"/>
                <w:szCs w:val="21"/>
              </w:rPr>
              <w:t>15</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r>
              <w:rPr>
                <w:rFonts w:hint="eastAsia" w:ascii="宋体" w:hAnsi="宋体"/>
                <w:szCs w:val="21"/>
              </w:rPr>
              <w:t>☆（6）</w:t>
            </w:r>
          </w:p>
        </w:tc>
        <w:tc>
          <w:tcPr>
            <w:tcW w:w="5644" w:type="dxa"/>
            <w:tcBorders>
              <w:top w:val="single" w:color="auto" w:sz="4" w:space="0"/>
              <w:left w:val="nil"/>
              <w:bottom w:val="single" w:color="auto" w:sz="4" w:space="0"/>
              <w:right w:val="single" w:color="auto" w:sz="4" w:space="0"/>
            </w:tcBorders>
            <w:vAlign w:val="center"/>
          </w:tcPr>
          <w:p>
            <w:pPr>
              <w:adjustRightInd w:val="0"/>
              <w:snapToGrid w:val="0"/>
              <w:textAlignment w:val="baseline"/>
              <w:rPr>
                <w:rFonts w:ascii="宋体" w:hAnsi="宋体"/>
                <w:szCs w:val="21"/>
              </w:rPr>
            </w:pPr>
            <w:r>
              <w:rPr>
                <w:rFonts w:hint="eastAsia" w:ascii="宋体" w:hAnsi="宋体" w:cs="Arial"/>
                <w:szCs w:val="21"/>
              </w:rPr>
              <w:t>现场检查、试验和试运行程序说明书</w:t>
            </w:r>
          </w:p>
        </w:tc>
        <w:tc>
          <w:tcPr>
            <w:tcW w:w="1552" w:type="dxa"/>
            <w:tcBorders>
              <w:top w:val="single" w:color="auto" w:sz="4" w:space="0"/>
              <w:left w:val="nil"/>
              <w:bottom w:val="single" w:color="auto" w:sz="4" w:space="0"/>
              <w:right w:val="single" w:color="auto" w:sz="4" w:space="0"/>
            </w:tcBorders>
          </w:tcPr>
          <w:p>
            <w:pPr>
              <w:adjustRightInd w:val="0"/>
              <w:snapToGrid w:val="0"/>
              <w:jc w:val="center"/>
              <w:textAlignment w:val="baseline"/>
              <w:rPr>
                <w:rFonts w:ascii="宋体" w:hAnsi="宋体"/>
                <w:szCs w:val="21"/>
              </w:rPr>
            </w:pPr>
            <w:r>
              <w:rPr>
                <w:rFonts w:hint="eastAsia" w:ascii="宋体" w:hAnsi="宋体"/>
                <w:szCs w:val="21"/>
              </w:rPr>
              <w:t>设备安装前</w:t>
            </w:r>
            <w:r>
              <w:rPr>
                <w:rFonts w:ascii="宋体" w:hAnsi="宋体"/>
                <w:szCs w:val="21"/>
              </w:rPr>
              <w:t>15</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r>
              <w:rPr>
                <w:rFonts w:hint="eastAsia" w:ascii="宋体" w:hAnsi="宋体"/>
                <w:szCs w:val="21"/>
              </w:rPr>
              <w:t>（7）</w:t>
            </w:r>
          </w:p>
        </w:tc>
        <w:tc>
          <w:tcPr>
            <w:tcW w:w="5644" w:type="dxa"/>
            <w:tcBorders>
              <w:top w:val="single" w:color="auto" w:sz="4" w:space="0"/>
              <w:left w:val="nil"/>
              <w:bottom w:val="single" w:color="auto" w:sz="4" w:space="0"/>
              <w:right w:val="single" w:color="auto" w:sz="4" w:space="0"/>
            </w:tcBorders>
            <w:vAlign w:val="center"/>
          </w:tcPr>
          <w:p>
            <w:pPr>
              <w:adjustRightInd w:val="0"/>
              <w:snapToGrid w:val="0"/>
              <w:textAlignment w:val="baseline"/>
              <w:rPr>
                <w:rFonts w:ascii="宋体" w:hAnsi="宋体" w:cs="Arial"/>
                <w:szCs w:val="21"/>
              </w:rPr>
            </w:pPr>
            <w:r>
              <w:rPr>
                <w:rFonts w:hint="eastAsia" w:ascii="宋体" w:hAnsi="宋体"/>
                <w:szCs w:val="21"/>
              </w:rPr>
              <w:t>应用软件程序及流程说明书、软件中相关变量定义的说明以及现场调试方法的说明</w:t>
            </w:r>
          </w:p>
        </w:tc>
        <w:tc>
          <w:tcPr>
            <w:tcW w:w="1552" w:type="dxa"/>
            <w:tcBorders>
              <w:top w:val="single" w:color="auto" w:sz="4" w:space="0"/>
              <w:left w:val="nil"/>
              <w:bottom w:val="single" w:color="auto" w:sz="4" w:space="0"/>
              <w:right w:val="single" w:color="auto" w:sz="4" w:space="0"/>
            </w:tcBorders>
          </w:tcPr>
          <w:p>
            <w:pPr>
              <w:adjustRightInd w:val="0"/>
              <w:snapToGrid w:val="0"/>
              <w:jc w:val="center"/>
              <w:textAlignment w:val="baseline"/>
              <w:rPr>
                <w:rFonts w:ascii="宋体" w:hAnsi="宋体"/>
                <w:szCs w:val="21"/>
              </w:rPr>
            </w:pPr>
            <w:r>
              <w:rPr>
                <w:rFonts w:ascii="宋体" w:hAnsi="宋体"/>
                <w:szCs w:val="21"/>
              </w:rPr>
              <w:t>90</w:t>
            </w:r>
          </w:p>
        </w:tc>
      </w:tr>
    </w:tbl>
    <w:p>
      <w:pPr>
        <w:spacing w:line="360" w:lineRule="auto"/>
        <w:ind w:left="788" w:leftChars="375"/>
        <w:rPr>
          <w:rFonts w:ascii="宋体" w:hAnsi="宋体"/>
          <w:szCs w:val="21"/>
        </w:rPr>
      </w:pPr>
      <w:r>
        <w:rPr>
          <w:rFonts w:hint="eastAsia" w:ascii="宋体" w:hAnsi="宋体"/>
          <w:szCs w:val="21"/>
        </w:rPr>
        <w:t>注：“☆”表示图纸资料要遵照拖期违约赔偿规定。</w:t>
      </w:r>
    </w:p>
    <w:p>
      <w:pPr>
        <w:pStyle w:val="8"/>
        <w:numPr>
          <w:ilvl w:val="3"/>
          <w:numId w:val="25"/>
        </w:numPr>
        <w:overflowPunct w:val="0"/>
        <w:spacing w:before="100" w:beforeAutospacing="1" w:after="100" w:afterAutospacing="1" w:line="360" w:lineRule="auto"/>
        <w:ind w:left="960" w:hanging="960"/>
        <w:rPr>
          <w:rFonts w:ascii="宋体" w:hAnsi="宋体"/>
          <w:szCs w:val="21"/>
        </w:rPr>
      </w:pPr>
      <w:r>
        <w:rPr>
          <w:rFonts w:hint="eastAsia" w:ascii="宋体" w:hAnsi="宋体"/>
          <w:szCs w:val="21"/>
        </w:rPr>
        <w:t>竣工图</w:t>
      </w:r>
    </w:p>
    <w:p>
      <w:pPr>
        <w:snapToGrid w:val="0"/>
        <w:spacing w:line="360" w:lineRule="auto"/>
        <w:ind w:firstLine="440" w:firstLineChars="200"/>
        <w:rPr>
          <w:rStyle w:val="75"/>
          <w:rFonts w:ascii="宋体" w:hAnsi="宋体"/>
          <w:color w:val="000000" w:themeColor="text1"/>
          <w:spacing w:val="5"/>
          <w:kern w:val="0"/>
          <w:szCs w:val="24"/>
          <w14:textFill>
            <w14:solidFill>
              <w14:schemeClr w14:val="tx1"/>
            </w14:solidFill>
          </w14:textFill>
        </w:rPr>
      </w:pPr>
      <w:r>
        <w:rPr>
          <w:rStyle w:val="75"/>
          <w:rFonts w:hint="eastAsia" w:ascii="宋体" w:hAnsi="宋体"/>
          <w:color w:val="000000" w:themeColor="text1"/>
          <w:spacing w:val="5"/>
          <w:szCs w:val="24"/>
          <w14:textFill>
            <w14:solidFill>
              <w14:schemeClr w14:val="tx1"/>
            </w14:solidFill>
          </w14:textFill>
        </w:rPr>
        <w:t>卖方提</w:t>
      </w:r>
      <w:r>
        <w:rPr>
          <w:rStyle w:val="75"/>
          <w:rFonts w:hint="eastAsia" w:ascii="宋体" w:hAnsi="宋体"/>
          <w:color w:val="000000" w:themeColor="text1"/>
          <w:spacing w:val="5"/>
          <w:kern w:val="0"/>
          <w:szCs w:val="24"/>
          <w14:textFill>
            <w14:solidFill>
              <w14:schemeClr w14:val="tx1"/>
            </w14:solidFill>
          </w14:textFill>
        </w:rPr>
        <w:t>供的竣工资料均应按买方的档案管理要求整理成册，纸质资料共4套，电子版资料共2套（使用硬盘分别提供），并经买方审核通过。包括（但不限于）：</w:t>
      </w:r>
    </w:p>
    <w:p>
      <w:pPr>
        <w:snapToGrid w:val="0"/>
        <w:spacing w:line="360" w:lineRule="auto"/>
        <w:ind w:firstLine="440" w:firstLineChars="200"/>
        <w:rPr>
          <w:rStyle w:val="75"/>
          <w:rFonts w:ascii="宋体" w:hAnsi="宋体"/>
          <w:color w:val="000000" w:themeColor="text1"/>
          <w:spacing w:val="5"/>
          <w:kern w:val="0"/>
          <w:szCs w:val="24"/>
          <w14:textFill>
            <w14:solidFill>
              <w14:schemeClr w14:val="tx1"/>
            </w14:solidFill>
          </w14:textFill>
        </w:rPr>
      </w:pPr>
      <w:r>
        <w:rPr>
          <w:rStyle w:val="75"/>
          <w:rFonts w:hint="eastAsia" w:ascii="宋体" w:hAnsi="宋体"/>
          <w:color w:val="000000" w:themeColor="text1"/>
          <w:spacing w:val="5"/>
          <w:kern w:val="0"/>
          <w:szCs w:val="24"/>
          <w14:textFill>
            <w14:solidFill>
              <w14:schemeClr w14:val="tx1"/>
            </w14:solidFill>
          </w14:textFill>
        </w:rPr>
        <w:t>1）合同概况：合同协议书、工程概况、供货范围、设备主要性能参数、定值计算书、主要外购件配置清单等。</w:t>
      </w:r>
    </w:p>
    <w:p>
      <w:pPr>
        <w:snapToGrid w:val="0"/>
        <w:spacing w:line="360" w:lineRule="auto"/>
        <w:ind w:firstLine="440" w:firstLineChars="200"/>
        <w:rPr>
          <w:rStyle w:val="75"/>
          <w:rFonts w:ascii="宋体" w:hAnsi="宋体"/>
          <w:color w:val="000000" w:themeColor="text1"/>
          <w:spacing w:val="5"/>
          <w:kern w:val="0"/>
          <w:szCs w:val="24"/>
          <w14:textFill>
            <w14:solidFill>
              <w14:schemeClr w14:val="tx1"/>
            </w14:solidFill>
          </w14:textFill>
        </w:rPr>
      </w:pPr>
      <w:r>
        <w:rPr>
          <w:rStyle w:val="75"/>
          <w:rFonts w:hint="eastAsia" w:ascii="宋体" w:hAnsi="宋体"/>
          <w:color w:val="000000" w:themeColor="text1"/>
          <w:spacing w:val="5"/>
          <w:kern w:val="0"/>
          <w:szCs w:val="24"/>
          <w14:textFill>
            <w14:solidFill>
              <w14:schemeClr w14:val="tx1"/>
            </w14:solidFill>
          </w14:textFill>
        </w:rPr>
        <w:t>2）设备制造大事记：设备开工、材料进场、组装、自检、运抵现场、现场试验、现场试验、现场初步验收（移交）、消缺处理及验收等主要节点时间及佐证资料图片等。</w:t>
      </w:r>
    </w:p>
    <w:p>
      <w:pPr>
        <w:snapToGrid w:val="0"/>
        <w:spacing w:line="360" w:lineRule="auto"/>
        <w:ind w:firstLine="440" w:firstLineChars="200"/>
        <w:rPr>
          <w:rStyle w:val="75"/>
          <w:rFonts w:ascii="宋体" w:hAnsi="宋体"/>
          <w:color w:val="000000" w:themeColor="text1"/>
          <w:spacing w:val="5"/>
          <w:kern w:val="0"/>
          <w:szCs w:val="24"/>
          <w14:textFill>
            <w14:solidFill>
              <w14:schemeClr w14:val="tx1"/>
            </w14:solidFill>
          </w14:textFill>
        </w:rPr>
      </w:pPr>
      <w:r>
        <w:rPr>
          <w:rStyle w:val="75"/>
          <w:rFonts w:hint="eastAsia" w:ascii="宋体" w:hAnsi="宋体"/>
          <w:color w:val="000000" w:themeColor="text1"/>
          <w:spacing w:val="5"/>
          <w:kern w:val="0"/>
          <w:szCs w:val="24"/>
          <w14:textFill>
            <w14:solidFill>
              <w14:schemeClr w14:val="tx1"/>
            </w14:solidFill>
          </w14:textFill>
        </w:rPr>
        <w:t>3）制造过程资料：材料的材质证明文件、复检试验报告；制造过程和组装状态的检查、测定记录、试运行报告等资料及图片。</w:t>
      </w:r>
    </w:p>
    <w:p>
      <w:pPr>
        <w:snapToGrid w:val="0"/>
        <w:spacing w:line="360" w:lineRule="auto"/>
        <w:ind w:firstLine="440" w:firstLineChars="200"/>
        <w:rPr>
          <w:rStyle w:val="75"/>
          <w:rFonts w:ascii="宋体" w:hAnsi="宋体"/>
          <w:color w:val="000000" w:themeColor="text1"/>
          <w:spacing w:val="5"/>
          <w:kern w:val="0"/>
          <w:szCs w:val="24"/>
          <w14:textFill>
            <w14:solidFill>
              <w14:schemeClr w14:val="tx1"/>
            </w14:solidFill>
          </w14:textFill>
        </w:rPr>
      </w:pPr>
      <w:r>
        <w:rPr>
          <w:rStyle w:val="75"/>
          <w:rFonts w:hint="eastAsia" w:ascii="宋体" w:hAnsi="宋体"/>
          <w:color w:val="000000" w:themeColor="text1"/>
          <w:spacing w:val="5"/>
          <w:kern w:val="0"/>
          <w:szCs w:val="24"/>
          <w14:textFill>
            <w14:solidFill>
              <w14:schemeClr w14:val="tx1"/>
            </w14:solidFill>
          </w14:textFill>
        </w:rPr>
        <w:t>4）缺陷处理：缺陷通知单，缺陷处理的（专家）分析会会议纪要，缺陷处理记录，缺陷处理后检测验收记录等资料及图片。</w:t>
      </w:r>
    </w:p>
    <w:p>
      <w:pPr>
        <w:snapToGrid w:val="0"/>
        <w:spacing w:line="360" w:lineRule="auto"/>
        <w:ind w:firstLine="440" w:firstLineChars="200"/>
        <w:rPr>
          <w:rStyle w:val="75"/>
          <w:rFonts w:ascii="宋体" w:hAnsi="宋体"/>
          <w:color w:val="000000" w:themeColor="text1"/>
          <w:spacing w:val="5"/>
          <w:kern w:val="0"/>
          <w:szCs w:val="24"/>
          <w14:textFill>
            <w14:solidFill>
              <w14:schemeClr w14:val="tx1"/>
            </w14:solidFill>
          </w14:textFill>
        </w:rPr>
      </w:pPr>
      <w:r>
        <w:rPr>
          <w:rStyle w:val="75"/>
          <w:rFonts w:hint="eastAsia" w:ascii="宋体" w:hAnsi="宋体"/>
          <w:color w:val="000000" w:themeColor="text1"/>
          <w:spacing w:val="5"/>
          <w:kern w:val="0"/>
          <w:szCs w:val="24"/>
          <w14:textFill>
            <w14:solidFill>
              <w14:schemeClr w14:val="tx1"/>
            </w14:solidFill>
          </w14:textFill>
        </w:rPr>
        <w:t xml:space="preserve">5）出厂验收（若有）：出厂验收申请、会议安排、验收记录、会议纪要等资料及图片。 </w:t>
      </w:r>
    </w:p>
    <w:p>
      <w:pPr>
        <w:snapToGrid w:val="0"/>
        <w:spacing w:line="360" w:lineRule="auto"/>
        <w:ind w:firstLine="440" w:firstLineChars="200"/>
        <w:rPr>
          <w:rStyle w:val="75"/>
          <w:rFonts w:ascii="宋体" w:hAnsi="宋体"/>
          <w:color w:val="000000" w:themeColor="text1"/>
          <w:spacing w:val="5"/>
          <w:kern w:val="0"/>
          <w:szCs w:val="24"/>
          <w14:textFill>
            <w14:solidFill>
              <w14:schemeClr w14:val="tx1"/>
            </w14:solidFill>
          </w14:textFill>
        </w:rPr>
      </w:pPr>
      <w:r>
        <w:rPr>
          <w:rStyle w:val="75"/>
          <w:rFonts w:hint="eastAsia" w:ascii="宋体" w:hAnsi="宋体"/>
          <w:color w:val="000000" w:themeColor="text1"/>
          <w:spacing w:val="5"/>
          <w:kern w:val="0"/>
          <w:szCs w:val="24"/>
          <w14:textFill>
            <w14:solidFill>
              <w14:schemeClr w14:val="tx1"/>
            </w14:solidFill>
          </w14:textFill>
        </w:rPr>
        <w:t>6）运输交接：发运通知、装箱清单、现场交接验收单等。</w:t>
      </w:r>
    </w:p>
    <w:p>
      <w:pPr>
        <w:snapToGrid w:val="0"/>
        <w:spacing w:line="360" w:lineRule="auto"/>
        <w:ind w:firstLine="440" w:firstLineChars="200"/>
        <w:rPr>
          <w:rStyle w:val="75"/>
          <w:rFonts w:ascii="宋体" w:hAnsi="宋体"/>
          <w:color w:val="000000" w:themeColor="text1"/>
          <w:spacing w:val="5"/>
          <w:kern w:val="0"/>
          <w:szCs w:val="24"/>
          <w14:textFill>
            <w14:solidFill>
              <w14:schemeClr w14:val="tx1"/>
            </w14:solidFill>
          </w14:textFill>
        </w:rPr>
      </w:pPr>
      <w:r>
        <w:rPr>
          <w:rStyle w:val="75"/>
          <w:rFonts w:hint="eastAsia" w:ascii="宋体" w:hAnsi="宋体"/>
          <w:color w:val="000000" w:themeColor="text1"/>
          <w:spacing w:val="5"/>
          <w:kern w:val="0"/>
          <w:szCs w:val="24"/>
          <w14:textFill>
            <w14:solidFill>
              <w14:schemeClr w14:val="tx1"/>
            </w14:solidFill>
          </w14:textFill>
        </w:rPr>
        <w:t>7）现场安装及取证：调试记录、现场试验记录、验收及会议纪要、消缺处理及处理后验收记录等资料及图片。政府监督部门颁发的专项证书复印件（如有）等。</w:t>
      </w:r>
    </w:p>
    <w:p>
      <w:pPr>
        <w:snapToGrid w:val="0"/>
        <w:spacing w:line="360" w:lineRule="auto"/>
        <w:ind w:firstLine="440" w:firstLineChars="200"/>
        <w:rPr>
          <w:rStyle w:val="75"/>
          <w:rFonts w:ascii="宋体" w:hAnsi="宋体"/>
          <w:color w:val="000000" w:themeColor="text1"/>
          <w:spacing w:val="5"/>
          <w:kern w:val="0"/>
          <w:szCs w:val="24"/>
          <w14:textFill>
            <w14:solidFill>
              <w14:schemeClr w14:val="tx1"/>
            </w14:solidFill>
          </w14:textFill>
        </w:rPr>
      </w:pPr>
      <w:r>
        <w:rPr>
          <w:rStyle w:val="75"/>
          <w:rFonts w:hint="eastAsia" w:ascii="宋体" w:hAnsi="宋体"/>
          <w:color w:val="000000" w:themeColor="text1"/>
          <w:spacing w:val="5"/>
          <w:kern w:val="0"/>
          <w:szCs w:val="24"/>
          <w14:textFill>
            <w14:solidFill>
              <w14:schemeClr w14:val="tx1"/>
            </w14:solidFill>
          </w14:textFill>
        </w:rPr>
        <w:t>8）竣工图纸：设计修改通知单、制造竣工图、三维设计模型等。</w:t>
      </w:r>
    </w:p>
    <w:p>
      <w:pPr>
        <w:adjustRightInd w:val="0"/>
        <w:snapToGrid w:val="0"/>
        <w:spacing w:line="360" w:lineRule="auto"/>
        <w:ind w:firstLine="440" w:firstLineChars="200"/>
        <w:rPr>
          <w:rFonts w:ascii="宋体" w:hAnsi="宋体"/>
          <w:color w:val="000000" w:themeColor="text1"/>
          <w:spacing w:val="5"/>
          <w:kern w:val="0"/>
          <w:sz w:val="24"/>
          <w:szCs w:val="24"/>
          <w14:textFill>
            <w14:solidFill>
              <w14:schemeClr w14:val="tx1"/>
            </w14:solidFill>
          </w14:textFill>
        </w:rPr>
      </w:pPr>
      <w:r>
        <w:rPr>
          <w:rStyle w:val="75"/>
          <w:rFonts w:hint="eastAsia" w:ascii="宋体" w:hAnsi="宋体"/>
          <w:color w:val="000000" w:themeColor="text1"/>
          <w:spacing w:val="5"/>
          <w:kern w:val="0"/>
          <w:szCs w:val="24"/>
          <w14:textFill>
            <w14:solidFill>
              <w14:schemeClr w14:val="tx1"/>
            </w14:solidFill>
          </w14:textFill>
        </w:rPr>
        <w:t>卖方</w:t>
      </w:r>
      <w:r>
        <w:rPr>
          <w:rStyle w:val="75"/>
          <w:rFonts w:hint="eastAsia" w:ascii="宋体"/>
          <w:color w:val="000000" w:themeColor="text1"/>
          <w:spacing w:val="5"/>
          <w:kern w:val="0"/>
          <w:szCs w:val="24"/>
          <w14:textFill>
            <w14:solidFill>
              <w14:schemeClr w14:val="tx1"/>
            </w14:solidFill>
          </w14:textFill>
        </w:rPr>
        <w:t>应严格按合同的要求及规定的时间提交正确、完整、清晰的技术文件。技术文件的实际交付时间为符合合同要求的技术文件送达</w:t>
      </w:r>
      <w:r>
        <w:rPr>
          <w:rStyle w:val="75"/>
          <w:rFonts w:hint="eastAsia" w:ascii="宋体" w:hAnsi="宋体"/>
          <w:color w:val="000000" w:themeColor="text1"/>
          <w:spacing w:val="5"/>
          <w:kern w:val="0"/>
          <w:szCs w:val="24"/>
          <w14:textFill>
            <w14:solidFill>
              <w14:schemeClr w14:val="tx1"/>
            </w14:solidFill>
          </w14:textFill>
        </w:rPr>
        <w:t>买方</w:t>
      </w:r>
      <w:r>
        <w:rPr>
          <w:rStyle w:val="75"/>
          <w:rFonts w:hint="eastAsia" w:ascii="宋体"/>
          <w:color w:val="000000" w:themeColor="text1"/>
          <w:spacing w:val="5"/>
          <w:kern w:val="0"/>
          <w:szCs w:val="24"/>
          <w14:textFill>
            <w14:solidFill>
              <w14:schemeClr w14:val="tx1"/>
            </w14:solidFill>
          </w14:textFill>
        </w:rPr>
        <w:t>签收的时间。</w:t>
      </w:r>
    </w:p>
    <w:p>
      <w:pPr>
        <w:pStyle w:val="8"/>
        <w:numPr>
          <w:ilvl w:val="3"/>
          <w:numId w:val="25"/>
        </w:numPr>
        <w:overflowPunct w:val="0"/>
        <w:spacing w:before="100" w:beforeAutospacing="1" w:after="100" w:afterAutospacing="1" w:line="360" w:lineRule="auto"/>
        <w:ind w:left="960" w:hanging="960"/>
        <w:rPr>
          <w:rFonts w:ascii="宋体" w:hAnsi="宋体"/>
          <w:szCs w:val="21"/>
        </w:rPr>
      </w:pPr>
      <w:r>
        <w:rPr>
          <w:rFonts w:hint="eastAsia" w:ascii="宋体" w:hAnsi="宋体"/>
          <w:szCs w:val="21"/>
        </w:rPr>
        <w:t>设备清单</w:t>
      </w:r>
    </w:p>
    <w:p>
      <w:pPr>
        <w:spacing w:line="360" w:lineRule="auto"/>
        <w:ind w:left="840" w:leftChars="400"/>
        <w:rPr>
          <w:rFonts w:ascii="宋体" w:hAnsi="宋体"/>
          <w:szCs w:val="21"/>
        </w:rPr>
      </w:pPr>
      <w:r>
        <w:rPr>
          <w:rFonts w:hint="eastAsia" w:ascii="宋体" w:hAnsi="宋体"/>
          <w:szCs w:val="21"/>
        </w:rPr>
        <w:t>卖方应在提供合同设备的设计图纸时，同时提交设备清单及设备清单硬盘交买方批准。清单应包括本合同涉及的设备和辅助设备的制造厂名，以及制造厂的产品说明书和型式试验报告、部件编号、额定值、性能特性和能使买方得到各件所必需的其他有用资料。还应提供本合同文件包括的每块印刷电路板和分部组装件的单独的设备清单。若设备有未经买方批准的设备或元件时，卖方将承担被拒收的风险。</w:t>
      </w:r>
    </w:p>
    <w:p>
      <w:pPr>
        <w:pStyle w:val="8"/>
        <w:numPr>
          <w:ilvl w:val="3"/>
          <w:numId w:val="25"/>
        </w:numPr>
        <w:overflowPunct w:val="0"/>
        <w:spacing w:before="100" w:beforeAutospacing="1" w:after="100" w:afterAutospacing="1" w:line="360" w:lineRule="auto"/>
        <w:ind w:left="960" w:hanging="960"/>
        <w:rPr>
          <w:rFonts w:ascii="宋体" w:hAnsi="宋体"/>
          <w:szCs w:val="21"/>
        </w:rPr>
      </w:pPr>
      <w:r>
        <w:rPr>
          <w:rFonts w:hint="eastAsia" w:ascii="宋体" w:hAnsi="宋体"/>
          <w:szCs w:val="21"/>
        </w:rPr>
        <w:t>逻辑图及软件</w:t>
      </w:r>
    </w:p>
    <w:p>
      <w:pPr>
        <w:pStyle w:val="8"/>
        <w:overflowPunct w:val="0"/>
        <w:spacing w:before="100" w:beforeAutospacing="1" w:after="100" w:afterAutospacing="1" w:line="360" w:lineRule="auto"/>
        <w:rPr>
          <w:rFonts w:ascii="宋体" w:hAnsi="宋体"/>
          <w:b/>
          <w:szCs w:val="21"/>
        </w:rPr>
      </w:pPr>
      <w:r>
        <w:rPr>
          <w:rFonts w:hint="eastAsia" w:ascii="宋体" w:hAnsi="宋体"/>
          <w:szCs w:val="21"/>
        </w:rPr>
        <w:t>（1）逻辑图</w:t>
      </w:r>
    </w:p>
    <w:p>
      <w:pPr>
        <w:spacing w:line="360" w:lineRule="auto"/>
        <w:ind w:left="840" w:leftChars="400"/>
        <w:rPr>
          <w:rFonts w:ascii="宋体" w:hAnsi="宋体"/>
          <w:szCs w:val="21"/>
        </w:rPr>
      </w:pPr>
      <w:r>
        <w:rPr>
          <w:rFonts w:hint="eastAsia" w:ascii="宋体" w:hAnsi="宋体"/>
          <w:szCs w:val="21"/>
        </w:rPr>
        <w:t>卖方应提供接入系统所有应用软件的逻辑图。该逻辑图还应按包括卖方对逻辑图图例、文字符号及阅读指导等说明。卖方提供的接入动作逻辑图应该与现场一致，避免使用通用的说明书。</w:t>
      </w:r>
    </w:p>
    <w:p>
      <w:pPr>
        <w:pStyle w:val="8"/>
        <w:overflowPunct w:val="0"/>
        <w:spacing w:before="100" w:beforeAutospacing="1" w:after="100" w:afterAutospacing="1" w:line="360" w:lineRule="auto"/>
        <w:rPr>
          <w:rFonts w:ascii="宋体" w:hAnsi="宋体"/>
          <w:szCs w:val="21"/>
        </w:rPr>
      </w:pPr>
      <w:r>
        <w:rPr>
          <w:rFonts w:hint="eastAsia" w:ascii="宋体" w:hAnsi="宋体"/>
          <w:szCs w:val="21"/>
          <w:highlight w:val="lightGray"/>
        </w:rPr>
        <w:t>（2）</w:t>
      </w:r>
      <w:r>
        <w:rPr>
          <w:rFonts w:hint="eastAsia" w:ascii="宋体" w:hAnsi="宋体"/>
          <w:szCs w:val="21"/>
        </w:rPr>
        <w:t>软件</w:t>
      </w:r>
    </w:p>
    <w:p>
      <w:pPr>
        <w:spacing w:line="360" w:lineRule="auto"/>
        <w:ind w:left="840" w:leftChars="400"/>
        <w:rPr>
          <w:rFonts w:ascii="宋体" w:hAnsi="宋体"/>
          <w:szCs w:val="21"/>
        </w:rPr>
      </w:pPr>
      <w:r>
        <w:rPr>
          <w:rFonts w:hint="eastAsia" w:ascii="宋体" w:hAnsi="宋体"/>
          <w:szCs w:val="21"/>
        </w:rPr>
        <w:t>应提供接入系统的系统软件和应用软件、开发工具软件、调试维护软件的硬盘。在最后一批合同货物发货后</w:t>
      </w:r>
      <w:r>
        <w:rPr>
          <w:rFonts w:ascii="宋体" w:hAnsi="宋体"/>
          <w:szCs w:val="21"/>
        </w:rPr>
        <w:t>5</w:t>
      </w:r>
      <w:r>
        <w:rPr>
          <w:rFonts w:hint="eastAsia" w:ascii="宋体" w:hAnsi="宋体"/>
          <w:szCs w:val="21"/>
        </w:rPr>
        <w:t>年内，软件的更新或功能增强均应无偿地提供给买方。在此之后，应使买方能以协商的费用得到更新的软件。</w:t>
      </w:r>
    </w:p>
    <w:p>
      <w:pPr>
        <w:pStyle w:val="8"/>
        <w:numPr>
          <w:ilvl w:val="3"/>
          <w:numId w:val="25"/>
        </w:numPr>
        <w:overflowPunct w:val="0"/>
        <w:spacing w:before="100" w:beforeAutospacing="1" w:after="100" w:afterAutospacing="1" w:line="360" w:lineRule="auto"/>
        <w:ind w:left="960" w:hanging="960"/>
        <w:rPr>
          <w:rFonts w:ascii="宋体" w:hAnsi="宋体"/>
          <w:szCs w:val="21"/>
        </w:rPr>
      </w:pPr>
      <w:r>
        <w:rPr>
          <w:rFonts w:hint="eastAsia" w:ascii="宋体" w:hAnsi="宋体"/>
          <w:szCs w:val="21"/>
        </w:rPr>
        <w:t>试验报告</w:t>
      </w:r>
    </w:p>
    <w:p>
      <w:pPr>
        <w:spacing w:line="360" w:lineRule="auto"/>
        <w:ind w:left="840" w:leftChars="400"/>
        <w:rPr>
          <w:rFonts w:ascii="宋体" w:hAnsi="宋体"/>
          <w:szCs w:val="21"/>
        </w:rPr>
      </w:pPr>
      <w:r>
        <w:rPr>
          <w:rFonts w:hint="eastAsia" w:ascii="宋体" w:hAnsi="宋体"/>
          <w:szCs w:val="21"/>
        </w:rPr>
        <w:t>卖方应提供与合同设备有关的所有最终试验报告的复制件装订本，包括接入系统电气试验以及规定性能试验的最终报告。该报告应装订成册作为永久资料使用。</w:t>
      </w:r>
    </w:p>
    <w:p>
      <w:pPr>
        <w:pStyle w:val="8"/>
        <w:numPr>
          <w:ilvl w:val="3"/>
          <w:numId w:val="25"/>
        </w:numPr>
        <w:overflowPunct w:val="0"/>
        <w:spacing w:before="100" w:beforeAutospacing="1" w:after="100" w:afterAutospacing="1" w:line="360" w:lineRule="auto"/>
        <w:ind w:left="960" w:hanging="960"/>
        <w:rPr>
          <w:rFonts w:ascii="宋体" w:hAnsi="宋体"/>
          <w:szCs w:val="21"/>
        </w:rPr>
      </w:pPr>
      <w:r>
        <w:rPr>
          <w:rFonts w:hint="eastAsia" w:ascii="宋体" w:hAnsi="宋体"/>
          <w:szCs w:val="21"/>
        </w:rPr>
        <w:t>随机图纸及档案图</w:t>
      </w:r>
    </w:p>
    <w:p>
      <w:pPr>
        <w:pStyle w:val="8"/>
        <w:overflowPunct w:val="0"/>
        <w:spacing w:before="100" w:beforeAutospacing="1" w:after="100" w:afterAutospacing="1" w:line="360" w:lineRule="auto"/>
        <w:rPr>
          <w:rFonts w:ascii="宋体" w:hAnsi="宋体"/>
          <w:b/>
          <w:szCs w:val="21"/>
        </w:rPr>
      </w:pPr>
      <w:r>
        <w:rPr>
          <w:rFonts w:hint="eastAsia" w:ascii="宋体" w:hAnsi="宋体"/>
          <w:szCs w:val="21"/>
        </w:rPr>
        <w:t>（1）卖方应随合同设备发货提供完整的审批通过的随机图和技术文件。</w:t>
      </w:r>
    </w:p>
    <w:p>
      <w:pPr>
        <w:pStyle w:val="8"/>
        <w:overflowPunct w:val="0"/>
        <w:spacing w:before="100" w:beforeAutospacing="1" w:after="100" w:afterAutospacing="1" w:line="360" w:lineRule="auto"/>
        <w:ind w:left="567" w:hanging="567" w:hangingChars="270"/>
        <w:rPr>
          <w:rFonts w:ascii="宋体" w:hAnsi="宋体"/>
          <w:b/>
          <w:szCs w:val="21"/>
        </w:rPr>
      </w:pPr>
      <w:r>
        <w:rPr>
          <w:rFonts w:hint="eastAsia" w:ascii="宋体" w:hAnsi="宋体"/>
          <w:szCs w:val="21"/>
        </w:rPr>
        <w:t>（2）设计完成之后，项目完成之前，卖方应提供全套完整的全尺寸的经证明质量、形式均优的永久性的可供复制的底图作为竣工图（包括任何现场变更在内），所有图纸应包括1个表明图纸数量和图纸题目的索引，并应装订成册作为永久的资料。卖方应向买方提供卖方图纸的电子版（保存于光盘和硬盘）及相应的图纸支持软件。</w:t>
      </w:r>
    </w:p>
    <w:p>
      <w:pPr>
        <w:pStyle w:val="8"/>
        <w:numPr>
          <w:ilvl w:val="3"/>
          <w:numId w:val="25"/>
        </w:numPr>
        <w:overflowPunct w:val="0"/>
        <w:spacing w:before="100" w:beforeAutospacing="1" w:after="100" w:afterAutospacing="1" w:line="360" w:lineRule="auto"/>
        <w:ind w:left="960" w:hanging="960"/>
        <w:rPr>
          <w:rFonts w:ascii="宋体" w:hAnsi="宋体"/>
          <w:b/>
          <w:szCs w:val="21"/>
        </w:rPr>
      </w:pPr>
      <w:r>
        <w:rPr>
          <w:rFonts w:hint="eastAsia" w:ascii="宋体" w:hAnsi="宋体"/>
          <w:szCs w:val="21"/>
        </w:rPr>
        <w:t>电气图纸和说明书的特殊要求</w:t>
      </w:r>
    </w:p>
    <w:p>
      <w:pPr>
        <w:pStyle w:val="8"/>
        <w:numPr>
          <w:ilvl w:val="4"/>
          <w:numId w:val="25"/>
        </w:numPr>
        <w:overflowPunct w:val="0"/>
        <w:spacing w:before="100" w:beforeAutospacing="1" w:after="100" w:afterAutospacing="1" w:line="360" w:lineRule="auto"/>
        <w:rPr>
          <w:rFonts w:ascii="宋体" w:hAnsi="宋体"/>
          <w:b/>
          <w:szCs w:val="21"/>
        </w:rPr>
      </w:pPr>
      <w:r>
        <w:rPr>
          <w:rFonts w:hint="eastAsia" w:ascii="宋体" w:hAnsi="宋体"/>
          <w:szCs w:val="21"/>
        </w:rPr>
        <w:t>系统接线图</w:t>
      </w:r>
    </w:p>
    <w:p>
      <w:pPr>
        <w:spacing w:line="360" w:lineRule="auto"/>
        <w:ind w:left="840" w:leftChars="400"/>
        <w:rPr>
          <w:rFonts w:ascii="宋体" w:hAnsi="宋体"/>
          <w:szCs w:val="21"/>
        </w:rPr>
      </w:pPr>
      <w:r>
        <w:rPr>
          <w:rFonts w:hint="eastAsia" w:ascii="宋体" w:hAnsi="宋体"/>
          <w:szCs w:val="21"/>
        </w:rPr>
        <w:t>图中应显示出设备与电源的连接，保护装置、元器件的安装位置及代号，以及上述设备间的电气连接（系统图中应有包括设备元器件名称、厂家、型号、规格、数量的明细表及系统主要参数），系统各设备代号应按买方要求进行编制。</w:t>
      </w:r>
    </w:p>
    <w:p>
      <w:pPr>
        <w:pStyle w:val="8"/>
        <w:numPr>
          <w:ilvl w:val="4"/>
          <w:numId w:val="25"/>
        </w:numPr>
        <w:overflowPunct w:val="0"/>
        <w:spacing w:before="100" w:beforeAutospacing="1" w:after="100" w:afterAutospacing="1" w:line="360" w:lineRule="auto"/>
        <w:rPr>
          <w:rFonts w:ascii="宋体" w:hAnsi="宋体"/>
          <w:szCs w:val="21"/>
        </w:rPr>
      </w:pPr>
      <w:r>
        <w:rPr>
          <w:rFonts w:hint="eastAsia" w:ascii="宋体" w:hAnsi="宋体"/>
          <w:szCs w:val="21"/>
        </w:rPr>
        <w:t>原理接线图</w:t>
      </w:r>
    </w:p>
    <w:p>
      <w:pPr>
        <w:spacing w:line="360" w:lineRule="auto"/>
        <w:ind w:left="840" w:leftChars="400"/>
        <w:rPr>
          <w:rFonts w:ascii="宋体" w:hAnsi="宋体"/>
          <w:szCs w:val="21"/>
        </w:rPr>
      </w:pPr>
      <w:r>
        <w:rPr>
          <w:rFonts w:hint="eastAsia" w:ascii="宋体" w:hAnsi="宋体"/>
          <w:szCs w:val="21"/>
        </w:rPr>
        <w:t>图中应表明所供的保护装置的工作原理和电气连接，应包括以下内容：</w:t>
      </w:r>
    </w:p>
    <w:p>
      <w:pPr>
        <w:numPr>
          <w:ilvl w:val="0"/>
          <w:numId w:val="26"/>
        </w:numPr>
        <w:adjustRightInd w:val="0"/>
        <w:spacing w:line="360" w:lineRule="auto"/>
        <w:textAlignment w:val="baseline"/>
        <w:rPr>
          <w:rFonts w:ascii="宋体" w:hAnsi="宋体"/>
          <w:szCs w:val="21"/>
        </w:rPr>
      </w:pPr>
      <w:r>
        <w:rPr>
          <w:rFonts w:hint="eastAsia" w:ascii="宋体" w:hAnsi="宋体"/>
          <w:szCs w:val="21"/>
        </w:rPr>
        <w:t>过程仪表的整定点和复归点；</w:t>
      </w:r>
    </w:p>
    <w:p>
      <w:pPr>
        <w:numPr>
          <w:ilvl w:val="0"/>
          <w:numId w:val="26"/>
        </w:numPr>
        <w:adjustRightInd w:val="0"/>
        <w:spacing w:line="360" w:lineRule="auto"/>
        <w:textAlignment w:val="baseline"/>
        <w:rPr>
          <w:rFonts w:ascii="宋体" w:hAnsi="宋体"/>
          <w:szCs w:val="21"/>
        </w:rPr>
      </w:pPr>
      <w:r>
        <w:rPr>
          <w:rFonts w:hint="eastAsia" w:ascii="宋体" w:hAnsi="宋体"/>
          <w:szCs w:val="21"/>
        </w:rPr>
        <w:t>保护装置的整定值；</w:t>
      </w:r>
    </w:p>
    <w:p>
      <w:pPr>
        <w:numPr>
          <w:ilvl w:val="0"/>
          <w:numId w:val="26"/>
        </w:numPr>
        <w:adjustRightInd w:val="0"/>
        <w:spacing w:line="360" w:lineRule="auto"/>
        <w:textAlignment w:val="baseline"/>
        <w:rPr>
          <w:rFonts w:ascii="宋体" w:hAnsi="宋体"/>
          <w:szCs w:val="21"/>
        </w:rPr>
      </w:pPr>
      <w:r>
        <w:rPr>
          <w:rFonts w:hint="eastAsia" w:ascii="宋体" w:hAnsi="宋体"/>
          <w:szCs w:val="21"/>
        </w:rPr>
        <w:t>熔断器、隔离开关和断路器额定值；</w:t>
      </w:r>
    </w:p>
    <w:p>
      <w:pPr>
        <w:numPr>
          <w:ilvl w:val="0"/>
          <w:numId w:val="26"/>
        </w:numPr>
        <w:adjustRightInd w:val="0"/>
        <w:spacing w:line="360" w:lineRule="auto"/>
        <w:textAlignment w:val="baseline"/>
        <w:rPr>
          <w:rFonts w:ascii="宋体" w:hAnsi="宋体"/>
          <w:szCs w:val="21"/>
        </w:rPr>
      </w:pPr>
      <w:r>
        <w:rPr>
          <w:rFonts w:hint="eastAsia" w:ascii="宋体" w:hAnsi="宋体"/>
          <w:szCs w:val="21"/>
        </w:rPr>
        <w:t>控制电压以及推荐的电源回路过流保护值；</w:t>
      </w:r>
    </w:p>
    <w:p>
      <w:pPr>
        <w:numPr>
          <w:ilvl w:val="0"/>
          <w:numId w:val="26"/>
        </w:numPr>
        <w:adjustRightInd w:val="0"/>
        <w:spacing w:line="360" w:lineRule="auto"/>
        <w:textAlignment w:val="baseline"/>
        <w:rPr>
          <w:rFonts w:ascii="宋体" w:hAnsi="宋体"/>
          <w:szCs w:val="21"/>
        </w:rPr>
      </w:pPr>
      <w:r>
        <w:rPr>
          <w:rFonts w:hint="eastAsia" w:ascii="宋体" w:hAnsi="宋体"/>
          <w:szCs w:val="21"/>
        </w:rPr>
        <w:t>接入系统系统参数调整范围。</w:t>
      </w:r>
    </w:p>
    <w:p>
      <w:pPr>
        <w:pStyle w:val="8"/>
        <w:numPr>
          <w:ilvl w:val="4"/>
          <w:numId w:val="25"/>
        </w:numPr>
        <w:overflowPunct w:val="0"/>
        <w:spacing w:before="100" w:beforeAutospacing="1" w:after="100" w:afterAutospacing="1" w:line="360" w:lineRule="auto"/>
        <w:rPr>
          <w:rFonts w:ascii="宋体" w:hAnsi="宋体"/>
          <w:szCs w:val="21"/>
        </w:rPr>
      </w:pPr>
      <w:r>
        <w:rPr>
          <w:rFonts w:hint="eastAsia" w:ascii="宋体" w:hAnsi="宋体"/>
          <w:szCs w:val="21"/>
        </w:rPr>
        <w:t>安装接线图</w:t>
      </w:r>
    </w:p>
    <w:p>
      <w:pPr>
        <w:spacing w:line="360" w:lineRule="auto"/>
        <w:ind w:left="840" w:leftChars="400"/>
        <w:rPr>
          <w:rFonts w:ascii="宋体" w:hAnsi="宋体"/>
          <w:szCs w:val="21"/>
        </w:rPr>
      </w:pPr>
      <w:r>
        <w:rPr>
          <w:rFonts w:hint="eastAsia" w:ascii="宋体" w:hAnsi="宋体"/>
          <w:szCs w:val="21"/>
        </w:rPr>
        <w:t>图中应显示控制设备各元件点与点间的连接（包括部件或模块的内部安装图），保护装置和端子排应正确地表示在其相应位置上。端子排的一侧应清楚地标明外部接线的连接。安装接线图应注明所用电缆的型号、规格等参数。保护装置和端子排的标记应与原理接线图相对应。外接电缆有特别要求时应在图中说明。</w:t>
      </w:r>
    </w:p>
    <w:p>
      <w:pPr>
        <w:pStyle w:val="8"/>
        <w:numPr>
          <w:ilvl w:val="4"/>
          <w:numId w:val="25"/>
        </w:numPr>
        <w:overflowPunct w:val="0"/>
        <w:spacing w:before="100" w:beforeAutospacing="1" w:after="100" w:afterAutospacing="1" w:line="360" w:lineRule="auto"/>
        <w:rPr>
          <w:rFonts w:ascii="宋体" w:hAnsi="宋体"/>
          <w:szCs w:val="21"/>
        </w:rPr>
      </w:pPr>
      <w:r>
        <w:rPr>
          <w:rFonts w:hint="eastAsia" w:ascii="宋体" w:hAnsi="宋体"/>
          <w:szCs w:val="21"/>
        </w:rPr>
        <w:t>盘面布置图</w:t>
      </w:r>
    </w:p>
    <w:p>
      <w:pPr>
        <w:spacing w:line="360" w:lineRule="auto"/>
        <w:ind w:left="840" w:leftChars="400"/>
        <w:rPr>
          <w:rFonts w:ascii="宋体" w:hAnsi="宋体"/>
          <w:szCs w:val="21"/>
        </w:rPr>
      </w:pPr>
      <w:r>
        <w:rPr>
          <w:rFonts w:hint="eastAsia" w:ascii="宋体" w:hAnsi="宋体"/>
          <w:szCs w:val="21"/>
        </w:rPr>
        <w:t>应标明保护柜和开关板前安装的设备和铭牌，并在图上按比例画出。同时还应标明设备名称、代号、规格、主要参数及数量等。</w:t>
      </w:r>
    </w:p>
    <w:p>
      <w:pPr>
        <w:spacing w:line="360" w:lineRule="auto"/>
        <w:ind w:left="840" w:leftChars="400"/>
        <w:rPr>
          <w:rFonts w:ascii="宋体" w:hAnsi="宋体"/>
          <w:szCs w:val="21"/>
        </w:rPr>
      </w:pPr>
      <w:r>
        <w:rPr>
          <w:rFonts w:hint="eastAsia" w:ascii="宋体" w:hAnsi="宋体"/>
          <w:szCs w:val="21"/>
        </w:rPr>
        <w:t>设备代号应与系统接线图一致。应提供所有盘面设备和装置的清单，铭牌清单包括铭牌的尺寸和字体大小。卖方应在相应的图上注明铭牌的镌板，作为供审核图纸的一部分。</w:t>
      </w:r>
    </w:p>
    <w:p>
      <w:pPr>
        <w:pStyle w:val="8"/>
        <w:numPr>
          <w:ilvl w:val="4"/>
          <w:numId w:val="25"/>
        </w:numPr>
        <w:overflowPunct w:val="0"/>
        <w:spacing w:before="100" w:beforeAutospacing="1" w:after="100" w:afterAutospacing="1" w:line="360" w:lineRule="auto"/>
        <w:rPr>
          <w:rFonts w:ascii="宋体" w:hAnsi="宋体"/>
          <w:szCs w:val="21"/>
        </w:rPr>
      </w:pPr>
      <w:r>
        <w:rPr>
          <w:rFonts w:hint="eastAsia" w:ascii="宋体" w:hAnsi="宋体"/>
          <w:szCs w:val="21"/>
        </w:rPr>
        <w:t>工厂组装和试验程序说明书</w:t>
      </w:r>
    </w:p>
    <w:p>
      <w:pPr>
        <w:spacing w:line="360" w:lineRule="auto"/>
        <w:ind w:left="840" w:leftChars="400"/>
        <w:rPr>
          <w:rFonts w:ascii="宋体" w:hAnsi="宋体"/>
          <w:szCs w:val="21"/>
        </w:rPr>
      </w:pPr>
      <w:r>
        <w:rPr>
          <w:rFonts w:hint="eastAsia" w:ascii="宋体" w:hAnsi="宋体"/>
          <w:szCs w:val="21"/>
        </w:rPr>
        <w:t>在设备工厂组装和试验前，应提交列有所要做的每步检查细节的程序，以表明本合同文件的要求己得到满足。工厂组装和试验程序应以表格形式提供，分项列出每个试验，并表示出设计的预期结果，并留出空白供组装和试验时填写实际观测结果。试验程序应包括所采用的试验值、可接受的最大（或最小）试验结果以及相应可接受的标准。如果工厂试验受到某种限制，则应给出充分解释，并经买方认可。</w:t>
      </w:r>
    </w:p>
    <w:p>
      <w:pPr>
        <w:pStyle w:val="8"/>
        <w:numPr>
          <w:ilvl w:val="4"/>
          <w:numId w:val="25"/>
        </w:numPr>
        <w:overflowPunct w:val="0"/>
        <w:spacing w:before="100" w:beforeAutospacing="1" w:after="100" w:afterAutospacing="1" w:line="360" w:lineRule="auto"/>
        <w:rPr>
          <w:rFonts w:ascii="宋体" w:hAnsi="宋体"/>
          <w:szCs w:val="21"/>
        </w:rPr>
      </w:pPr>
      <w:r>
        <w:rPr>
          <w:rFonts w:hint="eastAsia" w:ascii="宋体" w:hAnsi="宋体"/>
          <w:szCs w:val="21"/>
        </w:rPr>
        <w:t>搬运、装卸和贮存说明书</w:t>
      </w:r>
    </w:p>
    <w:p>
      <w:pPr>
        <w:spacing w:line="360" w:lineRule="auto"/>
        <w:ind w:left="840" w:leftChars="400"/>
        <w:rPr>
          <w:rFonts w:ascii="宋体" w:hAnsi="宋体"/>
          <w:szCs w:val="21"/>
        </w:rPr>
      </w:pPr>
      <w:r>
        <w:rPr>
          <w:rFonts w:hint="eastAsia" w:ascii="宋体" w:hAnsi="宋体"/>
          <w:szCs w:val="21"/>
        </w:rPr>
        <w:t>应提交设备在现场搬运、装卸、贮存和保管时的详细说明书，并附有图解、图纸和重量。</w:t>
      </w:r>
    </w:p>
    <w:p>
      <w:pPr>
        <w:pStyle w:val="8"/>
        <w:numPr>
          <w:ilvl w:val="4"/>
          <w:numId w:val="25"/>
        </w:numPr>
        <w:overflowPunct w:val="0"/>
        <w:spacing w:before="100" w:beforeAutospacing="1" w:after="100" w:afterAutospacing="1" w:line="360" w:lineRule="auto"/>
        <w:rPr>
          <w:rFonts w:ascii="宋体" w:hAnsi="宋体"/>
          <w:szCs w:val="21"/>
        </w:rPr>
      </w:pPr>
      <w:r>
        <w:rPr>
          <w:rFonts w:hint="eastAsia" w:ascii="宋体" w:hAnsi="宋体"/>
          <w:szCs w:val="21"/>
        </w:rPr>
        <w:t>安装说明书</w:t>
      </w:r>
    </w:p>
    <w:p>
      <w:pPr>
        <w:spacing w:line="360" w:lineRule="auto"/>
        <w:ind w:left="840" w:leftChars="400"/>
        <w:rPr>
          <w:rFonts w:ascii="宋体" w:hAnsi="宋体"/>
          <w:szCs w:val="21"/>
        </w:rPr>
      </w:pPr>
      <w:r>
        <w:rPr>
          <w:rFonts w:hint="eastAsia" w:ascii="宋体" w:hAnsi="宋体"/>
          <w:szCs w:val="21"/>
        </w:rPr>
        <w:t>卖方应向买方提供设备安装的详细说明书及表示安装顺序的相应图纸的缩影复印件。该说明书和图纸应包括设备安装期间应遵守的特殊注意事项等资料。</w:t>
      </w:r>
    </w:p>
    <w:p>
      <w:pPr>
        <w:pStyle w:val="8"/>
        <w:numPr>
          <w:ilvl w:val="4"/>
          <w:numId w:val="25"/>
        </w:numPr>
        <w:overflowPunct w:val="0"/>
        <w:spacing w:before="100" w:beforeAutospacing="1" w:after="100" w:afterAutospacing="1" w:line="360" w:lineRule="auto"/>
        <w:rPr>
          <w:rFonts w:ascii="宋体" w:hAnsi="宋体"/>
          <w:szCs w:val="21"/>
        </w:rPr>
      </w:pPr>
      <w:r>
        <w:rPr>
          <w:rFonts w:hint="eastAsia" w:ascii="宋体" w:hAnsi="宋体"/>
          <w:szCs w:val="21"/>
        </w:rPr>
        <w:t>运行和维修说明书</w:t>
      </w:r>
    </w:p>
    <w:p>
      <w:pPr>
        <w:numPr>
          <w:ilvl w:val="0"/>
          <w:numId w:val="27"/>
        </w:numPr>
        <w:tabs>
          <w:tab w:val="clear" w:pos="1200"/>
        </w:tabs>
        <w:adjustRightInd w:val="0"/>
        <w:spacing w:line="360" w:lineRule="auto"/>
        <w:ind w:left="709" w:hanging="425"/>
        <w:textAlignment w:val="baseline"/>
        <w:rPr>
          <w:rFonts w:ascii="宋体" w:hAnsi="宋体"/>
          <w:szCs w:val="21"/>
        </w:rPr>
      </w:pPr>
      <w:r>
        <w:rPr>
          <w:rFonts w:hint="eastAsia" w:ascii="宋体" w:hAnsi="宋体"/>
          <w:szCs w:val="21"/>
        </w:rPr>
        <w:t>卖方应提供详尽的运行和维修说明书，该说明书应包括相应图纸的缩影复制件、相应的部件一览表，所提供的全部设备的样本，还应包括运行、维修、拆卸或组装、以及订购更换部件时所必需或有用的资料。</w:t>
      </w:r>
    </w:p>
    <w:p>
      <w:pPr>
        <w:numPr>
          <w:ilvl w:val="0"/>
          <w:numId w:val="27"/>
        </w:numPr>
        <w:tabs>
          <w:tab w:val="clear" w:pos="1200"/>
        </w:tabs>
        <w:adjustRightInd w:val="0"/>
        <w:spacing w:line="360" w:lineRule="auto"/>
        <w:ind w:left="709" w:hanging="425"/>
        <w:textAlignment w:val="baseline"/>
        <w:rPr>
          <w:rFonts w:ascii="宋体" w:hAnsi="宋体"/>
          <w:szCs w:val="21"/>
        </w:rPr>
      </w:pPr>
      <w:r>
        <w:rPr>
          <w:rFonts w:hint="eastAsia" w:ascii="宋体" w:hAnsi="宋体"/>
          <w:szCs w:val="21"/>
        </w:rPr>
        <w:t>运行和维修说明书内容应完整清晰，说明书中采用的术语和标记应与卖方图纸上采用的一致。</w:t>
      </w:r>
    </w:p>
    <w:p>
      <w:pPr>
        <w:numPr>
          <w:ilvl w:val="0"/>
          <w:numId w:val="27"/>
        </w:numPr>
        <w:tabs>
          <w:tab w:val="clear" w:pos="1200"/>
        </w:tabs>
        <w:adjustRightInd w:val="0"/>
        <w:spacing w:line="360" w:lineRule="auto"/>
        <w:ind w:left="709" w:hanging="425"/>
        <w:textAlignment w:val="baseline"/>
        <w:rPr>
          <w:rFonts w:ascii="宋体" w:hAnsi="宋体"/>
          <w:szCs w:val="21"/>
        </w:rPr>
      </w:pPr>
      <w:r>
        <w:rPr>
          <w:rFonts w:hint="eastAsia" w:ascii="宋体" w:hAnsi="宋体"/>
          <w:szCs w:val="21"/>
        </w:rPr>
        <w:t>运行和维修说明书应清楚他说明所供设备的工作原理、特点和电气控制操作要求，并包括系统主要参数及全部的整定值。</w:t>
      </w:r>
    </w:p>
    <w:p>
      <w:pPr>
        <w:numPr>
          <w:ilvl w:val="0"/>
          <w:numId w:val="27"/>
        </w:numPr>
        <w:tabs>
          <w:tab w:val="clear" w:pos="1200"/>
        </w:tabs>
        <w:adjustRightInd w:val="0"/>
        <w:spacing w:line="360" w:lineRule="auto"/>
        <w:ind w:left="709" w:hanging="425"/>
        <w:textAlignment w:val="baseline"/>
        <w:rPr>
          <w:rFonts w:ascii="宋体" w:hAnsi="宋体"/>
          <w:szCs w:val="21"/>
        </w:rPr>
      </w:pPr>
      <w:r>
        <w:rPr>
          <w:rFonts w:hint="eastAsia" w:ascii="宋体" w:hAnsi="宋体"/>
          <w:szCs w:val="21"/>
        </w:rPr>
        <w:t>运行、维护说明书应按下列格式编制：</w:t>
      </w:r>
    </w:p>
    <w:p>
      <w:pPr>
        <w:spacing w:line="360" w:lineRule="auto"/>
        <w:ind w:left="788" w:leftChars="375"/>
        <w:rPr>
          <w:rFonts w:ascii="宋体" w:hAnsi="宋体"/>
          <w:szCs w:val="21"/>
        </w:rPr>
      </w:pPr>
      <w:r>
        <w:rPr>
          <w:rFonts w:hint="eastAsia" w:ascii="宋体" w:hAnsi="宋体"/>
          <w:szCs w:val="21"/>
        </w:rPr>
        <w:t>接入系统运行、维护说明书</w:t>
      </w:r>
    </w:p>
    <w:p>
      <w:pPr>
        <w:pStyle w:val="228"/>
        <w:spacing w:line="360" w:lineRule="auto"/>
        <w:ind w:left="2520"/>
        <w:rPr>
          <w:rFonts w:hAnsi="宋体"/>
          <w:sz w:val="21"/>
          <w:szCs w:val="21"/>
        </w:rPr>
      </w:pPr>
      <w:r>
        <w:rPr>
          <w:rFonts w:hAnsi="宋体"/>
          <w:sz w:val="21"/>
          <w:szCs w:val="21"/>
        </w:rPr>
        <w:tab/>
      </w:r>
      <w:r>
        <w:rPr>
          <w:rFonts w:hAnsi="宋体"/>
          <w:sz w:val="21"/>
          <w:szCs w:val="21"/>
        </w:rPr>
        <w:t>A.</w:t>
      </w:r>
      <w:r>
        <w:rPr>
          <w:rFonts w:hAnsi="宋体"/>
          <w:sz w:val="21"/>
          <w:szCs w:val="21"/>
        </w:rPr>
        <w:tab/>
      </w:r>
      <w:r>
        <w:rPr>
          <w:rFonts w:hint="eastAsia" w:hAnsi="宋体"/>
          <w:sz w:val="21"/>
          <w:szCs w:val="21"/>
        </w:rPr>
        <w:t>接入系统概述</w:t>
      </w:r>
    </w:p>
    <w:p>
      <w:pPr>
        <w:pStyle w:val="228"/>
        <w:spacing w:line="360" w:lineRule="auto"/>
        <w:ind w:left="2520"/>
        <w:rPr>
          <w:rFonts w:hAnsi="宋体"/>
          <w:sz w:val="21"/>
          <w:szCs w:val="21"/>
        </w:rPr>
      </w:pPr>
      <w:r>
        <w:rPr>
          <w:rFonts w:hAnsi="宋体"/>
          <w:sz w:val="21"/>
          <w:szCs w:val="21"/>
        </w:rPr>
        <w:tab/>
      </w:r>
      <w:r>
        <w:rPr>
          <w:rFonts w:hAnsi="宋体"/>
          <w:sz w:val="21"/>
          <w:szCs w:val="21"/>
        </w:rPr>
        <w:t>A.1</w:t>
      </w:r>
      <w:r>
        <w:rPr>
          <w:rFonts w:hAnsi="宋体"/>
          <w:sz w:val="21"/>
          <w:szCs w:val="21"/>
        </w:rPr>
        <w:tab/>
      </w:r>
      <w:r>
        <w:rPr>
          <w:rFonts w:hint="eastAsia" w:hAnsi="宋体"/>
          <w:sz w:val="21"/>
          <w:szCs w:val="21"/>
        </w:rPr>
        <w:t>简述</w:t>
      </w:r>
    </w:p>
    <w:p>
      <w:pPr>
        <w:pStyle w:val="228"/>
        <w:spacing w:line="360" w:lineRule="auto"/>
        <w:ind w:left="2520"/>
        <w:rPr>
          <w:rFonts w:hAnsi="宋体"/>
          <w:sz w:val="21"/>
          <w:szCs w:val="21"/>
        </w:rPr>
      </w:pPr>
      <w:r>
        <w:rPr>
          <w:rFonts w:hAnsi="宋体"/>
          <w:sz w:val="21"/>
          <w:szCs w:val="21"/>
        </w:rPr>
        <w:tab/>
      </w:r>
      <w:r>
        <w:rPr>
          <w:rFonts w:hAnsi="宋体"/>
          <w:sz w:val="21"/>
          <w:szCs w:val="21"/>
        </w:rPr>
        <w:t>A.2</w:t>
      </w:r>
      <w:r>
        <w:rPr>
          <w:rFonts w:hAnsi="宋体"/>
          <w:sz w:val="21"/>
          <w:szCs w:val="21"/>
        </w:rPr>
        <w:tab/>
      </w:r>
      <w:r>
        <w:rPr>
          <w:rFonts w:hint="eastAsia" w:hAnsi="宋体"/>
          <w:sz w:val="21"/>
          <w:szCs w:val="21"/>
        </w:rPr>
        <w:t>运行方式和各部件描述</w:t>
      </w:r>
    </w:p>
    <w:p>
      <w:pPr>
        <w:pStyle w:val="228"/>
        <w:spacing w:line="360" w:lineRule="auto"/>
        <w:ind w:left="2520"/>
        <w:rPr>
          <w:rFonts w:hAnsi="宋体"/>
          <w:sz w:val="21"/>
          <w:szCs w:val="21"/>
        </w:rPr>
      </w:pPr>
      <w:r>
        <w:rPr>
          <w:rFonts w:hAnsi="宋体"/>
          <w:sz w:val="21"/>
          <w:szCs w:val="21"/>
        </w:rPr>
        <w:tab/>
      </w:r>
      <w:r>
        <w:rPr>
          <w:rFonts w:hAnsi="宋体"/>
          <w:sz w:val="21"/>
          <w:szCs w:val="21"/>
        </w:rPr>
        <w:t>A.3</w:t>
      </w:r>
      <w:r>
        <w:rPr>
          <w:rFonts w:hAnsi="宋体"/>
          <w:sz w:val="21"/>
          <w:szCs w:val="21"/>
        </w:rPr>
        <w:tab/>
      </w:r>
      <w:r>
        <w:rPr>
          <w:rFonts w:hint="eastAsia" w:hAnsi="宋体"/>
          <w:sz w:val="21"/>
          <w:szCs w:val="21"/>
        </w:rPr>
        <w:t>功能描述</w:t>
      </w:r>
    </w:p>
    <w:p>
      <w:pPr>
        <w:pStyle w:val="228"/>
        <w:spacing w:line="360" w:lineRule="auto"/>
        <w:ind w:left="2520"/>
        <w:rPr>
          <w:rFonts w:hAnsi="宋体"/>
          <w:sz w:val="21"/>
          <w:szCs w:val="21"/>
        </w:rPr>
      </w:pPr>
      <w:r>
        <w:rPr>
          <w:rFonts w:hAnsi="宋体"/>
          <w:sz w:val="21"/>
          <w:szCs w:val="21"/>
        </w:rPr>
        <w:tab/>
      </w:r>
      <w:r>
        <w:rPr>
          <w:rFonts w:hAnsi="宋体"/>
          <w:sz w:val="21"/>
          <w:szCs w:val="21"/>
        </w:rPr>
        <w:t>A.4</w:t>
      </w:r>
      <w:r>
        <w:rPr>
          <w:rFonts w:hAnsi="宋体"/>
          <w:sz w:val="21"/>
          <w:szCs w:val="21"/>
        </w:rPr>
        <w:tab/>
      </w:r>
      <w:r>
        <w:rPr>
          <w:rFonts w:hint="eastAsia" w:hAnsi="宋体"/>
          <w:sz w:val="21"/>
          <w:szCs w:val="21"/>
        </w:rPr>
        <w:t>操作说明</w:t>
      </w:r>
    </w:p>
    <w:p>
      <w:pPr>
        <w:pStyle w:val="228"/>
        <w:spacing w:line="360" w:lineRule="auto"/>
        <w:ind w:left="2520"/>
        <w:rPr>
          <w:rFonts w:hAnsi="宋体"/>
          <w:sz w:val="21"/>
          <w:szCs w:val="21"/>
        </w:rPr>
      </w:pPr>
      <w:r>
        <w:rPr>
          <w:rFonts w:hAnsi="宋体"/>
          <w:sz w:val="21"/>
          <w:szCs w:val="21"/>
        </w:rPr>
        <w:tab/>
      </w:r>
      <w:r>
        <w:rPr>
          <w:rFonts w:hAnsi="宋体"/>
          <w:sz w:val="21"/>
          <w:szCs w:val="21"/>
        </w:rPr>
        <w:t>A.5</w:t>
      </w:r>
      <w:r>
        <w:rPr>
          <w:rFonts w:hAnsi="宋体"/>
          <w:sz w:val="21"/>
          <w:szCs w:val="21"/>
        </w:rPr>
        <w:tab/>
      </w:r>
      <w:r>
        <w:rPr>
          <w:rFonts w:hint="eastAsia" w:hAnsi="宋体"/>
          <w:sz w:val="21"/>
          <w:szCs w:val="21"/>
        </w:rPr>
        <w:t>系统原理图</w:t>
      </w:r>
    </w:p>
    <w:p>
      <w:pPr>
        <w:pStyle w:val="228"/>
        <w:spacing w:line="360" w:lineRule="auto"/>
        <w:ind w:left="2520"/>
        <w:rPr>
          <w:rFonts w:hAnsi="宋体"/>
          <w:sz w:val="21"/>
          <w:szCs w:val="21"/>
        </w:rPr>
      </w:pPr>
      <w:r>
        <w:rPr>
          <w:rFonts w:hAnsi="宋体"/>
          <w:sz w:val="21"/>
          <w:szCs w:val="21"/>
        </w:rPr>
        <w:tab/>
      </w:r>
      <w:r>
        <w:rPr>
          <w:rFonts w:hAnsi="宋体"/>
          <w:sz w:val="21"/>
          <w:szCs w:val="21"/>
        </w:rPr>
        <w:t>B.</w:t>
      </w:r>
      <w:r>
        <w:rPr>
          <w:rFonts w:hAnsi="宋体"/>
          <w:sz w:val="21"/>
          <w:szCs w:val="21"/>
        </w:rPr>
        <w:tab/>
      </w:r>
      <w:r>
        <w:rPr>
          <w:rFonts w:hint="eastAsia" w:hAnsi="宋体"/>
          <w:sz w:val="21"/>
          <w:szCs w:val="21"/>
        </w:rPr>
        <w:t>维护说明</w:t>
      </w:r>
    </w:p>
    <w:p>
      <w:pPr>
        <w:pStyle w:val="228"/>
        <w:spacing w:line="360" w:lineRule="auto"/>
        <w:ind w:left="2520"/>
        <w:rPr>
          <w:rFonts w:hAnsi="宋体"/>
          <w:sz w:val="21"/>
          <w:szCs w:val="21"/>
        </w:rPr>
      </w:pPr>
      <w:r>
        <w:rPr>
          <w:rFonts w:hAnsi="宋体"/>
          <w:sz w:val="21"/>
          <w:szCs w:val="21"/>
        </w:rPr>
        <w:tab/>
      </w:r>
      <w:r>
        <w:rPr>
          <w:rFonts w:hAnsi="宋体"/>
          <w:sz w:val="21"/>
          <w:szCs w:val="21"/>
        </w:rPr>
        <w:t>B.1</w:t>
      </w:r>
      <w:r>
        <w:rPr>
          <w:rFonts w:hAnsi="宋体"/>
          <w:sz w:val="21"/>
          <w:szCs w:val="21"/>
        </w:rPr>
        <w:tab/>
      </w:r>
      <w:r>
        <w:rPr>
          <w:rFonts w:hint="eastAsia" w:hAnsi="宋体"/>
          <w:sz w:val="21"/>
          <w:szCs w:val="21"/>
        </w:rPr>
        <w:t>功能说明</w:t>
      </w:r>
    </w:p>
    <w:p>
      <w:pPr>
        <w:pStyle w:val="228"/>
        <w:spacing w:line="360" w:lineRule="auto"/>
        <w:ind w:left="2520"/>
        <w:rPr>
          <w:rFonts w:hAnsi="宋体"/>
          <w:sz w:val="21"/>
          <w:szCs w:val="21"/>
        </w:rPr>
      </w:pPr>
      <w:r>
        <w:rPr>
          <w:rFonts w:hAnsi="宋体"/>
          <w:sz w:val="21"/>
          <w:szCs w:val="21"/>
        </w:rPr>
        <w:tab/>
      </w:r>
      <w:r>
        <w:rPr>
          <w:rFonts w:hAnsi="宋体"/>
          <w:sz w:val="21"/>
          <w:szCs w:val="21"/>
        </w:rPr>
        <w:t>B.2</w:t>
      </w:r>
      <w:r>
        <w:rPr>
          <w:rFonts w:hAnsi="宋体"/>
          <w:sz w:val="21"/>
          <w:szCs w:val="21"/>
        </w:rPr>
        <w:tab/>
      </w:r>
      <w:r>
        <w:rPr>
          <w:rFonts w:hint="eastAsia" w:hAnsi="宋体"/>
          <w:sz w:val="21"/>
          <w:szCs w:val="21"/>
        </w:rPr>
        <w:t>定期维护</w:t>
      </w:r>
    </w:p>
    <w:p>
      <w:pPr>
        <w:pStyle w:val="228"/>
        <w:spacing w:line="360" w:lineRule="auto"/>
        <w:ind w:left="2520"/>
        <w:rPr>
          <w:rFonts w:hAnsi="宋体"/>
          <w:sz w:val="21"/>
          <w:szCs w:val="21"/>
        </w:rPr>
      </w:pPr>
      <w:r>
        <w:rPr>
          <w:rFonts w:hAnsi="宋体"/>
          <w:sz w:val="21"/>
          <w:szCs w:val="21"/>
        </w:rPr>
        <w:tab/>
      </w:r>
      <w:r>
        <w:rPr>
          <w:rFonts w:hAnsi="宋体"/>
          <w:sz w:val="21"/>
          <w:szCs w:val="21"/>
        </w:rPr>
        <w:t>B.3</w:t>
      </w:r>
      <w:r>
        <w:rPr>
          <w:rFonts w:hAnsi="宋体"/>
          <w:sz w:val="21"/>
          <w:szCs w:val="21"/>
        </w:rPr>
        <w:tab/>
      </w:r>
      <w:r>
        <w:rPr>
          <w:rFonts w:hint="eastAsia" w:hAnsi="宋体"/>
          <w:sz w:val="21"/>
          <w:szCs w:val="21"/>
        </w:rPr>
        <w:t>故障诊断</w:t>
      </w:r>
    </w:p>
    <w:p>
      <w:pPr>
        <w:pStyle w:val="228"/>
        <w:spacing w:line="360" w:lineRule="auto"/>
        <w:ind w:left="2520"/>
        <w:rPr>
          <w:rFonts w:hAnsi="宋体"/>
          <w:sz w:val="21"/>
          <w:szCs w:val="21"/>
        </w:rPr>
      </w:pPr>
      <w:r>
        <w:rPr>
          <w:rFonts w:hAnsi="宋体"/>
          <w:sz w:val="21"/>
          <w:szCs w:val="21"/>
        </w:rPr>
        <w:tab/>
      </w:r>
      <w:r>
        <w:rPr>
          <w:rFonts w:hAnsi="宋体"/>
          <w:sz w:val="21"/>
          <w:szCs w:val="21"/>
        </w:rPr>
        <w:t>B.4</w:t>
      </w:r>
      <w:r>
        <w:rPr>
          <w:rFonts w:hAnsi="宋体"/>
          <w:sz w:val="21"/>
          <w:szCs w:val="21"/>
        </w:rPr>
        <w:tab/>
      </w:r>
      <w:r>
        <w:rPr>
          <w:rFonts w:hint="eastAsia" w:hAnsi="宋体"/>
          <w:sz w:val="21"/>
          <w:szCs w:val="21"/>
        </w:rPr>
        <w:t>修理与测试</w:t>
      </w:r>
    </w:p>
    <w:p>
      <w:pPr>
        <w:pStyle w:val="228"/>
        <w:spacing w:line="360" w:lineRule="auto"/>
        <w:ind w:left="2520"/>
        <w:rPr>
          <w:rFonts w:hAnsi="宋体"/>
          <w:sz w:val="21"/>
          <w:szCs w:val="21"/>
        </w:rPr>
      </w:pPr>
      <w:r>
        <w:rPr>
          <w:rFonts w:hAnsi="宋体"/>
          <w:sz w:val="21"/>
          <w:szCs w:val="21"/>
        </w:rPr>
        <w:tab/>
      </w:r>
      <w:r>
        <w:rPr>
          <w:rFonts w:hAnsi="宋体"/>
          <w:sz w:val="21"/>
          <w:szCs w:val="21"/>
        </w:rPr>
        <w:t>B.5</w:t>
      </w:r>
      <w:r>
        <w:rPr>
          <w:rFonts w:hAnsi="宋体"/>
          <w:sz w:val="21"/>
          <w:szCs w:val="21"/>
        </w:rPr>
        <w:tab/>
      </w:r>
      <w:r>
        <w:rPr>
          <w:rFonts w:hint="eastAsia" w:hAnsi="宋体"/>
          <w:sz w:val="21"/>
          <w:szCs w:val="21"/>
        </w:rPr>
        <w:t>各种调整</w:t>
      </w:r>
    </w:p>
    <w:p>
      <w:pPr>
        <w:pStyle w:val="228"/>
        <w:spacing w:line="360" w:lineRule="auto"/>
        <w:ind w:left="2520"/>
        <w:rPr>
          <w:rFonts w:hAnsi="宋体"/>
          <w:sz w:val="21"/>
          <w:szCs w:val="21"/>
        </w:rPr>
      </w:pPr>
      <w:r>
        <w:rPr>
          <w:rFonts w:hAnsi="宋体"/>
          <w:sz w:val="21"/>
          <w:szCs w:val="21"/>
        </w:rPr>
        <w:tab/>
      </w:r>
      <w:r>
        <w:rPr>
          <w:rFonts w:hAnsi="宋体"/>
          <w:sz w:val="21"/>
          <w:szCs w:val="21"/>
        </w:rPr>
        <w:t>C.</w:t>
      </w:r>
      <w:r>
        <w:rPr>
          <w:rFonts w:hAnsi="宋体"/>
          <w:sz w:val="21"/>
          <w:szCs w:val="21"/>
        </w:rPr>
        <w:tab/>
      </w:r>
      <w:r>
        <w:rPr>
          <w:rFonts w:hint="eastAsia" w:hAnsi="宋体"/>
          <w:sz w:val="21"/>
          <w:szCs w:val="21"/>
        </w:rPr>
        <w:t>调试</w:t>
      </w:r>
    </w:p>
    <w:p>
      <w:pPr>
        <w:pStyle w:val="228"/>
        <w:spacing w:line="360" w:lineRule="auto"/>
        <w:ind w:left="2520"/>
        <w:rPr>
          <w:rFonts w:hAnsi="宋体"/>
          <w:sz w:val="21"/>
          <w:szCs w:val="21"/>
        </w:rPr>
      </w:pPr>
      <w:r>
        <w:rPr>
          <w:rFonts w:hAnsi="宋体"/>
          <w:sz w:val="21"/>
          <w:szCs w:val="21"/>
        </w:rPr>
        <w:tab/>
      </w:r>
      <w:r>
        <w:rPr>
          <w:rFonts w:hAnsi="宋体"/>
          <w:sz w:val="21"/>
          <w:szCs w:val="21"/>
        </w:rPr>
        <w:t>C.1</w:t>
      </w:r>
      <w:r>
        <w:rPr>
          <w:rFonts w:hAnsi="宋体"/>
          <w:sz w:val="21"/>
          <w:szCs w:val="21"/>
        </w:rPr>
        <w:tab/>
      </w:r>
      <w:r>
        <w:rPr>
          <w:rFonts w:hint="eastAsia" w:hAnsi="宋体"/>
          <w:sz w:val="21"/>
          <w:szCs w:val="21"/>
        </w:rPr>
        <w:t>工厂试验</w:t>
      </w:r>
    </w:p>
    <w:p>
      <w:pPr>
        <w:pStyle w:val="228"/>
        <w:spacing w:line="360" w:lineRule="auto"/>
        <w:ind w:left="2520"/>
        <w:rPr>
          <w:rFonts w:hAnsi="宋体"/>
          <w:sz w:val="21"/>
          <w:szCs w:val="21"/>
        </w:rPr>
      </w:pPr>
      <w:r>
        <w:rPr>
          <w:rFonts w:hAnsi="宋体"/>
          <w:sz w:val="21"/>
          <w:szCs w:val="21"/>
        </w:rPr>
        <w:tab/>
      </w:r>
      <w:r>
        <w:rPr>
          <w:rFonts w:hAnsi="宋体"/>
          <w:sz w:val="21"/>
          <w:szCs w:val="21"/>
        </w:rPr>
        <w:t>C.2</w:t>
      </w:r>
      <w:r>
        <w:rPr>
          <w:rFonts w:hAnsi="宋体"/>
          <w:sz w:val="21"/>
          <w:szCs w:val="21"/>
        </w:rPr>
        <w:tab/>
      </w:r>
      <w:r>
        <w:rPr>
          <w:rFonts w:hint="eastAsia" w:hAnsi="宋体"/>
          <w:sz w:val="21"/>
          <w:szCs w:val="21"/>
        </w:rPr>
        <w:t>现场调试说明</w:t>
      </w:r>
    </w:p>
    <w:p>
      <w:pPr>
        <w:pStyle w:val="228"/>
        <w:spacing w:line="360" w:lineRule="auto"/>
        <w:ind w:left="2520"/>
        <w:rPr>
          <w:rFonts w:hAnsi="宋体"/>
          <w:sz w:val="21"/>
          <w:szCs w:val="21"/>
        </w:rPr>
      </w:pPr>
      <w:r>
        <w:rPr>
          <w:rFonts w:hAnsi="宋体"/>
          <w:sz w:val="21"/>
          <w:szCs w:val="21"/>
        </w:rPr>
        <w:tab/>
      </w:r>
      <w:r>
        <w:rPr>
          <w:rFonts w:hAnsi="宋体"/>
          <w:sz w:val="21"/>
          <w:szCs w:val="21"/>
        </w:rPr>
        <w:t>C.3</w:t>
      </w:r>
      <w:r>
        <w:rPr>
          <w:rFonts w:hAnsi="宋体"/>
          <w:sz w:val="21"/>
          <w:szCs w:val="21"/>
        </w:rPr>
        <w:tab/>
      </w:r>
      <w:r>
        <w:rPr>
          <w:rFonts w:hint="eastAsia" w:hAnsi="宋体"/>
          <w:sz w:val="21"/>
          <w:szCs w:val="21"/>
        </w:rPr>
        <w:t>调试报告</w:t>
      </w:r>
    </w:p>
    <w:p>
      <w:pPr>
        <w:pStyle w:val="228"/>
        <w:spacing w:line="360" w:lineRule="auto"/>
        <w:ind w:left="2520"/>
        <w:rPr>
          <w:rFonts w:hAnsi="宋体"/>
          <w:sz w:val="21"/>
          <w:szCs w:val="21"/>
        </w:rPr>
      </w:pPr>
      <w:r>
        <w:rPr>
          <w:rFonts w:hAnsi="宋体"/>
          <w:sz w:val="21"/>
          <w:szCs w:val="21"/>
        </w:rPr>
        <w:tab/>
      </w:r>
      <w:r>
        <w:rPr>
          <w:rFonts w:hAnsi="宋体"/>
          <w:sz w:val="21"/>
          <w:szCs w:val="21"/>
        </w:rPr>
        <w:t>D.</w:t>
      </w:r>
      <w:r>
        <w:rPr>
          <w:rFonts w:hAnsi="宋体"/>
          <w:sz w:val="21"/>
          <w:szCs w:val="21"/>
        </w:rPr>
        <w:tab/>
      </w:r>
      <w:r>
        <w:rPr>
          <w:rFonts w:hint="eastAsia" w:hAnsi="宋体"/>
          <w:sz w:val="21"/>
          <w:szCs w:val="21"/>
        </w:rPr>
        <w:t>图纸</w:t>
      </w:r>
    </w:p>
    <w:p>
      <w:pPr>
        <w:pStyle w:val="228"/>
        <w:spacing w:line="360" w:lineRule="auto"/>
        <w:ind w:left="2520"/>
        <w:rPr>
          <w:rFonts w:hAnsi="宋体"/>
          <w:sz w:val="21"/>
          <w:szCs w:val="21"/>
        </w:rPr>
      </w:pPr>
      <w:r>
        <w:rPr>
          <w:rFonts w:hAnsi="宋体"/>
          <w:sz w:val="21"/>
          <w:szCs w:val="21"/>
        </w:rPr>
        <w:tab/>
      </w:r>
      <w:r>
        <w:rPr>
          <w:rFonts w:hAnsi="宋体"/>
          <w:sz w:val="21"/>
          <w:szCs w:val="21"/>
        </w:rPr>
        <w:t>D.1</w:t>
      </w:r>
      <w:r>
        <w:rPr>
          <w:rFonts w:hAnsi="宋体"/>
          <w:sz w:val="21"/>
          <w:szCs w:val="21"/>
        </w:rPr>
        <w:tab/>
      </w:r>
      <w:r>
        <w:rPr>
          <w:rFonts w:hint="eastAsia" w:hAnsi="宋体"/>
          <w:sz w:val="21"/>
          <w:szCs w:val="21"/>
        </w:rPr>
        <w:t>插件电路图</w:t>
      </w:r>
    </w:p>
    <w:p>
      <w:pPr>
        <w:pStyle w:val="228"/>
        <w:spacing w:line="360" w:lineRule="auto"/>
        <w:ind w:left="2520" w:leftChars="1200" w:firstLine="440" w:firstLineChars="200"/>
        <w:rPr>
          <w:rFonts w:hAnsi="宋体"/>
          <w:sz w:val="21"/>
          <w:szCs w:val="21"/>
        </w:rPr>
      </w:pPr>
      <w:r>
        <w:rPr>
          <w:rFonts w:hAnsi="宋体"/>
          <w:sz w:val="21"/>
          <w:szCs w:val="21"/>
        </w:rPr>
        <w:t>D.2</w:t>
      </w:r>
      <w:r>
        <w:rPr>
          <w:rFonts w:hAnsi="宋体"/>
          <w:sz w:val="21"/>
          <w:szCs w:val="21"/>
        </w:rPr>
        <w:tab/>
      </w:r>
      <w:r>
        <w:rPr>
          <w:rFonts w:hint="eastAsia" w:hAnsi="宋体"/>
          <w:sz w:val="21"/>
          <w:szCs w:val="21"/>
        </w:rPr>
        <w:t>标有元件参数和布置位置的电路板和插件的图纸</w:t>
      </w:r>
    </w:p>
    <w:p>
      <w:pPr>
        <w:pStyle w:val="228"/>
        <w:spacing w:line="360" w:lineRule="auto"/>
        <w:ind w:left="2520"/>
        <w:rPr>
          <w:rFonts w:hAnsi="宋体"/>
          <w:sz w:val="21"/>
          <w:szCs w:val="21"/>
        </w:rPr>
      </w:pPr>
      <w:r>
        <w:rPr>
          <w:rFonts w:hAnsi="宋体"/>
          <w:sz w:val="21"/>
          <w:szCs w:val="21"/>
        </w:rPr>
        <w:tab/>
      </w:r>
      <w:r>
        <w:rPr>
          <w:rFonts w:hAnsi="宋体"/>
          <w:sz w:val="21"/>
          <w:szCs w:val="21"/>
        </w:rPr>
        <w:t>D.3</w:t>
      </w:r>
      <w:r>
        <w:rPr>
          <w:rFonts w:hAnsi="宋体"/>
          <w:sz w:val="21"/>
          <w:szCs w:val="21"/>
        </w:rPr>
        <w:tab/>
      </w:r>
      <w:r>
        <w:rPr>
          <w:rFonts w:hint="eastAsia" w:hAnsi="宋体"/>
          <w:sz w:val="21"/>
          <w:szCs w:val="21"/>
        </w:rPr>
        <w:t>电路说明</w:t>
      </w:r>
    </w:p>
    <w:p>
      <w:pPr>
        <w:pStyle w:val="228"/>
        <w:spacing w:line="360" w:lineRule="auto"/>
        <w:ind w:left="2520"/>
        <w:rPr>
          <w:rFonts w:hAnsi="宋体"/>
          <w:sz w:val="21"/>
          <w:szCs w:val="21"/>
        </w:rPr>
      </w:pPr>
      <w:r>
        <w:rPr>
          <w:rFonts w:hAnsi="宋体"/>
          <w:sz w:val="21"/>
          <w:szCs w:val="21"/>
        </w:rPr>
        <w:tab/>
      </w:r>
      <w:r>
        <w:rPr>
          <w:rFonts w:hAnsi="宋体"/>
          <w:sz w:val="21"/>
          <w:szCs w:val="21"/>
        </w:rPr>
        <w:t>D.4</w:t>
      </w:r>
      <w:r>
        <w:rPr>
          <w:rFonts w:hAnsi="宋体"/>
          <w:sz w:val="21"/>
          <w:szCs w:val="21"/>
        </w:rPr>
        <w:tab/>
      </w:r>
      <w:r>
        <w:rPr>
          <w:rFonts w:hint="eastAsia" w:hAnsi="宋体"/>
          <w:sz w:val="21"/>
          <w:szCs w:val="21"/>
        </w:rPr>
        <w:t>应用软件</w:t>
      </w:r>
    </w:p>
    <w:p>
      <w:pPr>
        <w:pStyle w:val="228"/>
        <w:spacing w:line="360" w:lineRule="auto"/>
        <w:ind w:left="2520"/>
        <w:rPr>
          <w:rFonts w:hAnsi="宋体"/>
          <w:sz w:val="21"/>
          <w:szCs w:val="21"/>
        </w:rPr>
      </w:pPr>
      <w:r>
        <w:rPr>
          <w:rFonts w:hAnsi="宋体"/>
          <w:sz w:val="21"/>
          <w:szCs w:val="21"/>
        </w:rPr>
        <w:tab/>
      </w:r>
      <w:r>
        <w:rPr>
          <w:rFonts w:hAnsi="宋体"/>
          <w:sz w:val="21"/>
          <w:szCs w:val="21"/>
        </w:rPr>
        <w:t>E.</w:t>
      </w:r>
      <w:r>
        <w:rPr>
          <w:rFonts w:hAnsi="宋体"/>
          <w:sz w:val="21"/>
          <w:szCs w:val="21"/>
        </w:rPr>
        <w:tab/>
      </w:r>
      <w:r>
        <w:rPr>
          <w:rFonts w:hint="eastAsia" w:hAnsi="宋体"/>
          <w:sz w:val="21"/>
          <w:szCs w:val="21"/>
        </w:rPr>
        <w:t>备品备件</w:t>
      </w:r>
    </w:p>
    <w:p>
      <w:pPr>
        <w:pStyle w:val="228"/>
        <w:spacing w:line="360" w:lineRule="auto"/>
        <w:ind w:left="2520"/>
        <w:rPr>
          <w:rFonts w:hAnsi="宋体"/>
          <w:sz w:val="21"/>
          <w:szCs w:val="21"/>
        </w:rPr>
      </w:pPr>
      <w:r>
        <w:rPr>
          <w:rFonts w:hAnsi="宋体"/>
          <w:sz w:val="21"/>
          <w:szCs w:val="21"/>
        </w:rPr>
        <w:tab/>
      </w:r>
      <w:r>
        <w:rPr>
          <w:rFonts w:hAnsi="宋体"/>
          <w:sz w:val="21"/>
          <w:szCs w:val="21"/>
        </w:rPr>
        <w:t>F.</w:t>
      </w:r>
      <w:r>
        <w:rPr>
          <w:rFonts w:hAnsi="宋体"/>
          <w:sz w:val="21"/>
          <w:szCs w:val="21"/>
        </w:rPr>
        <w:tab/>
      </w:r>
      <w:r>
        <w:rPr>
          <w:rFonts w:hint="eastAsia" w:hAnsi="宋体"/>
          <w:sz w:val="21"/>
          <w:szCs w:val="21"/>
        </w:rPr>
        <w:t>产品样本</w:t>
      </w:r>
    </w:p>
    <w:p>
      <w:pPr>
        <w:pStyle w:val="8"/>
        <w:numPr>
          <w:ilvl w:val="4"/>
          <w:numId w:val="25"/>
        </w:numPr>
        <w:overflowPunct w:val="0"/>
        <w:spacing w:before="100" w:beforeAutospacing="1" w:after="100" w:afterAutospacing="1" w:line="360" w:lineRule="auto"/>
        <w:rPr>
          <w:rFonts w:ascii="宋体" w:hAnsi="宋体"/>
          <w:szCs w:val="21"/>
        </w:rPr>
      </w:pPr>
      <w:r>
        <w:rPr>
          <w:rFonts w:hint="eastAsia" w:ascii="宋体" w:hAnsi="宋体"/>
          <w:szCs w:val="21"/>
        </w:rPr>
        <w:t>现场检查、试验和试运行程序说明书</w:t>
      </w:r>
    </w:p>
    <w:p>
      <w:pPr>
        <w:spacing w:line="360" w:lineRule="auto"/>
        <w:ind w:left="840" w:leftChars="400"/>
        <w:rPr>
          <w:rFonts w:ascii="宋体" w:hAnsi="宋体"/>
          <w:szCs w:val="21"/>
        </w:rPr>
      </w:pPr>
      <w:r>
        <w:rPr>
          <w:rFonts w:hint="eastAsia" w:ascii="宋体" w:hAnsi="宋体"/>
          <w:szCs w:val="21"/>
        </w:rPr>
        <w:t>卖方应提交现场安装后设备检查、试验和试运行的详细程序的手册，并应包括有关图纸和说明。其内容应包括设备现场检查、试验和试运行的操作和试验的详细的程序。程序应以表格形式分项列出每项操作和试验，注明设计所预计的结果，并留出空白以填写在调试和试验过程中的实际观察结果。</w:t>
      </w:r>
    </w:p>
    <w:p>
      <w:pPr>
        <w:pStyle w:val="7"/>
        <w:widowControl w:val="0"/>
        <w:overflowPunct w:val="0"/>
        <w:snapToGrid/>
        <w:spacing w:after="100" w:afterAutospacing="1" w:line="360" w:lineRule="auto"/>
        <w:jc w:val="both"/>
        <w:rPr>
          <w:rFonts w:ascii="宋体" w:hAnsi="宋体"/>
          <w:b/>
          <w:bCs/>
          <w:sz w:val="21"/>
          <w:szCs w:val="21"/>
        </w:rPr>
      </w:pPr>
      <w:bookmarkStart w:id="139" w:name="_Toc12378810"/>
      <w:bookmarkEnd w:id="139"/>
      <w:bookmarkStart w:id="140" w:name="_Ref414625581"/>
      <w:bookmarkEnd w:id="140"/>
      <w:bookmarkStart w:id="141" w:name="_Toc57986299"/>
      <w:bookmarkEnd w:id="141"/>
      <w:bookmarkStart w:id="142" w:name="_Toc31720446"/>
      <w:bookmarkEnd w:id="142"/>
      <w:bookmarkStart w:id="143" w:name="_Ref423073918"/>
      <w:bookmarkEnd w:id="143"/>
      <w:r>
        <w:rPr>
          <w:rFonts w:hint="eastAsia" w:ascii="宋体" w:hAnsi="宋体"/>
          <w:b/>
          <w:bCs/>
          <w:sz w:val="21"/>
          <w:szCs w:val="21"/>
        </w:rPr>
        <w:t>1.5.6全生命周期信息</w:t>
      </w:r>
    </w:p>
    <w:p>
      <w:pPr>
        <w:pStyle w:val="8"/>
        <w:numPr>
          <w:ilvl w:val="3"/>
          <w:numId w:val="28"/>
        </w:numPr>
        <w:overflowPunct w:val="0"/>
        <w:spacing w:before="100" w:beforeAutospacing="1" w:after="100" w:afterAutospacing="1" w:line="360" w:lineRule="auto"/>
        <w:rPr>
          <w:rFonts w:ascii="宋体" w:hAnsi="宋体"/>
          <w:b/>
          <w:szCs w:val="21"/>
        </w:rPr>
      </w:pPr>
      <w:r>
        <w:rPr>
          <w:rFonts w:hint="eastAsia" w:ascii="宋体" w:hAnsi="宋体"/>
          <w:szCs w:val="21"/>
        </w:rPr>
        <w:t>为满足买方机电设备全生命周期信息系统对卖方供货设备数据和信息的需要，卖方应按照买方提供的格式和数据要求，及时向买方提供设备的设计及计算、模型试验、材料选取及检验、制造工艺及过程、工厂试验及检验等真实可靠的数据和信息。</w:t>
      </w:r>
    </w:p>
    <w:p>
      <w:pPr>
        <w:pStyle w:val="8"/>
        <w:numPr>
          <w:ilvl w:val="3"/>
          <w:numId w:val="28"/>
        </w:numPr>
        <w:overflowPunct w:val="0"/>
        <w:spacing w:before="100" w:beforeAutospacing="1" w:after="100" w:afterAutospacing="1" w:line="360" w:lineRule="auto"/>
        <w:ind w:left="960" w:hanging="960"/>
        <w:rPr>
          <w:rFonts w:ascii="宋体" w:hAnsi="宋体"/>
          <w:b/>
          <w:szCs w:val="21"/>
        </w:rPr>
      </w:pPr>
      <w:r>
        <w:rPr>
          <w:rFonts w:hint="eastAsia" w:ascii="宋体" w:hAnsi="宋体"/>
          <w:szCs w:val="21"/>
        </w:rPr>
        <w:t>对于外购件，应及时提供供货厂家、产品规格型号、出厂检验报告、产品合格证等真实可靠的数据和信息。</w:t>
      </w:r>
    </w:p>
    <w:p>
      <w:pPr>
        <w:pStyle w:val="8"/>
        <w:numPr>
          <w:ilvl w:val="3"/>
          <w:numId w:val="28"/>
        </w:numPr>
        <w:overflowPunct w:val="0"/>
        <w:spacing w:before="100" w:beforeAutospacing="1" w:after="100" w:afterAutospacing="1" w:line="360" w:lineRule="auto"/>
        <w:ind w:left="960" w:hanging="960"/>
        <w:rPr>
          <w:rFonts w:ascii="宋体" w:hAnsi="宋体"/>
          <w:b/>
          <w:szCs w:val="21"/>
        </w:rPr>
      </w:pPr>
      <w:r>
        <w:rPr>
          <w:rFonts w:hint="eastAsia" w:ascii="宋体" w:hAnsi="宋体"/>
          <w:szCs w:val="21"/>
        </w:rPr>
        <w:t>本节中所要求的文档必须以电子文档（硬盘）的方式提供或直接录入买方的信息系统（若具备条件）。</w:t>
      </w:r>
    </w:p>
    <w:p>
      <w:pPr>
        <w:pStyle w:val="6"/>
        <w:widowControl w:val="0"/>
        <w:numPr>
          <w:ilvl w:val="1"/>
          <w:numId w:val="16"/>
        </w:numPr>
        <w:tabs>
          <w:tab w:val="left" w:pos="709"/>
          <w:tab w:val="clear" w:pos="964"/>
        </w:tabs>
        <w:snapToGrid/>
        <w:spacing w:before="93" w:beforeLines="30" w:after="93" w:afterLines="30" w:line="300" w:lineRule="auto"/>
        <w:jc w:val="both"/>
        <w:rPr>
          <w:rFonts w:ascii="宋体" w:hAnsi="宋体"/>
          <w:sz w:val="24"/>
          <w:szCs w:val="24"/>
        </w:rPr>
      </w:pPr>
      <w:bookmarkStart w:id="144" w:name="_Toc515872323"/>
      <w:bookmarkEnd w:id="144"/>
      <w:bookmarkStart w:id="145" w:name="_Toc72415695"/>
      <w:bookmarkStart w:id="146" w:name="_Toc143589467"/>
      <w:bookmarkStart w:id="147" w:name="_Toc57986300"/>
      <w:r>
        <w:rPr>
          <w:rFonts w:hint="eastAsia" w:ascii="宋体" w:hAnsi="宋体"/>
          <w:sz w:val="24"/>
          <w:szCs w:val="24"/>
        </w:rPr>
        <w:t>材料和制造工艺</w:t>
      </w:r>
      <w:bookmarkEnd w:id="145"/>
      <w:bookmarkEnd w:id="146"/>
      <w:bookmarkEnd w:id="147"/>
    </w:p>
    <w:p>
      <w:pPr>
        <w:pStyle w:val="7"/>
        <w:widowControl w:val="0"/>
        <w:numPr>
          <w:ilvl w:val="2"/>
          <w:numId w:val="29"/>
        </w:numPr>
        <w:overflowPunct w:val="0"/>
        <w:snapToGrid/>
        <w:spacing w:after="100" w:afterAutospacing="1" w:line="360" w:lineRule="auto"/>
        <w:jc w:val="both"/>
        <w:rPr>
          <w:rFonts w:ascii="宋体" w:hAnsi="宋体"/>
          <w:bCs/>
          <w:color w:val="000000"/>
          <w:sz w:val="21"/>
          <w:szCs w:val="21"/>
        </w:rPr>
      </w:pPr>
      <w:bookmarkStart w:id="148" w:name="_Toc57986301"/>
      <w:bookmarkEnd w:id="148"/>
      <w:bookmarkStart w:id="149" w:name="_Toc12378812"/>
      <w:bookmarkEnd w:id="149"/>
      <w:bookmarkStart w:id="150" w:name="_Toc31720448"/>
      <w:r>
        <w:rPr>
          <w:rFonts w:hint="eastAsia" w:ascii="宋体" w:hAnsi="宋体"/>
          <w:bCs/>
          <w:color w:val="000000"/>
          <w:sz w:val="21"/>
          <w:szCs w:val="21"/>
        </w:rPr>
        <w:t>设备制造选用的材料应是新的、适用的优质产品，并且无缺陷。材料的规格、包括等级应符合相应的标准，并表示在适当的详图上，以提交买方审批。</w:t>
      </w:r>
      <w:bookmarkEnd w:id="150"/>
    </w:p>
    <w:p>
      <w:pPr>
        <w:pStyle w:val="7"/>
        <w:widowControl w:val="0"/>
        <w:numPr>
          <w:ilvl w:val="2"/>
          <w:numId w:val="29"/>
        </w:numPr>
        <w:overflowPunct w:val="0"/>
        <w:snapToGrid/>
        <w:spacing w:after="100" w:afterAutospacing="1" w:line="360" w:lineRule="auto"/>
        <w:jc w:val="both"/>
        <w:rPr>
          <w:rFonts w:ascii="宋体" w:hAnsi="宋体"/>
          <w:bCs/>
          <w:color w:val="000000"/>
          <w:sz w:val="21"/>
          <w:szCs w:val="21"/>
        </w:rPr>
      </w:pPr>
      <w:bookmarkStart w:id="151" w:name="_Toc31720449"/>
      <w:bookmarkEnd w:id="151"/>
      <w:bookmarkStart w:id="152" w:name="_Toc57986302"/>
      <w:bookmarkEnd w:id="152"/>
      <w:bookmarkStart w:id="153" w:name="_Toc12378813"/>
      <w:r>
        <w:rPr>
          <w:rFonts w:hint="eastAsia" w:ascii="宋体" w:hAnsi="宋体"/>
          <w:bCs/>
          <w:color w:val="000000"/>
          <w:sz w:val="21"/>
          <w:szCs w:val="21"/>
        </w:rPr>
        <w:t>用于设备和部件的材料都应经过试验，试验按</w:t>
      </w:r>
      <w:bookmarkEnd w:id="153"/>
      <w:r>
        <w:rPr>
          <w:rFonts w:hint="eastAsia" w:ascii="宋体" w:hAnsi="宋体"/>
          <w:bCs/>
          <w:color w:val="000000"/>
          <w:sz w:val="21"/>
          <w:szCs w:val="21"/>
        </w:rPr>
        <w:t>ASTM规定的有关方法进行，材料试验报告应提交买方。</w:t>
      </w:r>
    </w:p>
    <w:p>
      <w:pPr>
        <w:pStyle w:val="7"/>
        <w:widowControl w:val="0"/>
        <w:numPr>
          <w:ilvl w:val="2"/>
          <w:numId w:val="29"/>
        </w:numPr>
        <w:overflowPunct w:val="0"/>
        <w:snapToGrid/>
        <w:spacing w:after="100" w:afterAutospacing="1" w:line="360" w:lineRule="auto"/>
        <w:jc w:val="both"/>
        <w:rPr>
          <w:rFonts w:ascii="宋体" w:hAnsi="宋体"/>
          <w:b/>
          <w:bCs/>
          <w:color w:val="000000"/>
          <w:sz w:val="21"/>
          <w:szCs w:val="21"/>
        </w:rPr>
      </w:pPr>
      <w:bookmarkStart w:id="154" w:name="_Toc12378814"/>
      <w:bookmarkEnd w:id="154"/>
      <w:bookmarkStart w:id="155" w:name="_Toc31720450"/>
      <w:bookmarkEnd w:id="155"/>
      <w:bookmarkStart w:id="156" w:name="_Toc57986303"/>
      <w:r>
        <w:rPr>
          <w:rFonts w:hint="eastAsia" w:ascii="宋体" w:hAnsi="宋体"/>
          <w:bCs/>
          <w:color w:val="000000"/>
          <w:sz w:val="21"/>
          <w:szCs w:val="21"/>
        </w:rPr>
        <w:t>合同设备应在良好的工艺条件下进行制造，制造工艺应是经实践证实是最先进的。全部设计和制造工作应由专业技术人员和经训练的熟练技工担任。所有零部件应严格按规定的标准加工，零件可互换，便于修理。设备的生产过程应进行严格质量控制，确保提供设备的质量。</w:t>
      </w:r>
      <w:bookmarkEnd w:id="156"/>
    </w:p>
    <w:p>
      <w:pPr>
        <w:snapToGrid w:val="0"/>
        <w:spacing w:line="360" w:lineRule="auto"/>
        <w:ind w:left="993"/>
        <w:rPr>
          <w:rFonts w:ascii="宋体" w:hAnsi="宋体"/>
          <w:color w:val="000000"/>
          <w:szCs w:val="21"/>
        </w:rPr>
      </w:pPr>
      <w:bookmarkStart w:id="157" w:name="_Toc12378815"/>
      <w:bookmarkEnd w:id="157"/>
      <w:bookmarkStart w:id="158" w:name="_Toc31720451"/>
      <w:bookmarkEnd w:id="158"/>
      <w:bookmarkStart w:id="159" w:name="_Toc57986304"/>
      <w:r>
        <w:rPr>
          <w:rFonts w:hint="eastAsia" w:ascii="宋体" w:hAnsi="宋体"/>
          <w:color w:val="000000"/>
          <w:szCs w:val="21"/>
        </w:rPr>
        <w:t>所有的配合件，应按其用途选择合适的机械制造公差，公差应符合国际标准协会（</w:t>
      </w:r>
      <w:bookmarkEnd w:id="159"/>
      <w:r>
        <w:rPr>
          <w:rFonts w:hint="eastAsia" w:ascii="宋体" w:hAnsi="宋体"/>
          <w:color w:val="000000"/>
          <w:szCs w:val="21"/>
        </w:rPr>
        <w:t>ISO）标准。</w:t>
      </w:r>
    </w:p>
    <w:p>
      <w:pPr>
        <w:pStyle w:val="6"/>
        <w:widowControl w:val="0"/>
        <w:numPr>
          <w:ilvl w:val="1"/>
          <w:numId w:val="16"/>
        </w:numPr>
        <w:tabs>
          <w:tab w:val="left" w:pos="709"/>
          <w:tab w:val="clear" w:pos="964"/>
        </w:tabs>
        <w:snapToGrid/>
        <w:spacing w:before="93" w:beforeLines="30" w:after="93" w:afterLines="30" w:line="300" w:lineRule="auto"/>
        <w:jc w:val="both"/>
        <w:rPr>
          <w:rFonts w:ascii="宋体" w:hAnsi="宋体"/>
          <w:sz w:val="24"/>
          <w:szCs w:val="24"/>
        </w:rPr>
      </w:pPr>
      <w:bookmarkStart w:id="160" w:name="_Toc143406395"/>
      <w:bookmarkEnd w:id="160"/>
      <w:bookmarkStart w:id="161" w:name="_Toc69733301"/>
      <w:bookmarkEnd w:id="161"/>
      <w:bookmarkStart w:id="162" w:name="_Toc70996977"/>
      <w:bookmarkEnd w:id="162"/>
      <w:bookmarkStart w:id="163" w:name="_Toc73416612"/>
      <w:bookmarkEnd w:id="163"/>
      <w:bookmarkStart w:id="164" w:name="_Toc73415967"/>
      <w:bookmarkEnd w:id="164"/>
      <w:bookmarkStart w:id="165" w:name="_Toc457019810"/>
      <w:bookmarkEnd w:id="165"/>
      <w:bookmarkStart w:id="166" w:name="_Toc75871212"/>
      <w:bookmarkEnd w:id="166"/>
      <w:bookmarkStart w:id="167" w:name="_Toc70996671"/>
      <w:bookmarkEnd w:id="167"/>
      <w:bookmarkStart w:id="168" w:name="_Toc73416765"/>
      <w:bookmarkEnd w:id="168"/>
      <w:bookmarkStart w:id="169" w:name="_Toc413679734"/>
      <w:bookmarkStart w:id="170" w:name="_Toc72415696"/>
      <w:bookmarkStart w:id="171" w:name="_Toc143589468"/>
      <w:r>
        <w:rPr>
          <w:rFonts w:hint="eastAsia" w:ascii="宋体" w:hAnsi="宋体"/>
          <w:sz w:val="24"/>
          <w:szCs w:val="24"/>
        </w:rPr>
        <w:t>辅助电气设备</w:t>
      </w:r>
      <w:bookmarkEnd w:id="169"/>
      <w:bookmarkEnd w:id="170"/>
      <w:bookmarkEnd w:id="171"/>
    </w:p>
    <w:p>
      <w:pPr>
        <w:pStyle w:val="7"/>
        <w:widowControl w:val="0"/>
        <w:numPr>
          <w:ilvl w:val="2"/>
          <w:numId w:val="30"/>
        </w:numPr>
        <w:overflowPunct w:val="0"/>
        <w:snapToGrid/>
        <w:spacing w:before="93" w:beforeLines="30" w:after="93" w:afterLines="30" w:line="300" w:lineRule="auto"/>
        <w:jc w:val="both"/>
        <w:rPr>
          <w:rFonts w:ascii="宋体" w:hAnsi="宋体"/>
          <w:b/>
          <w:bCs/>
          <w:color w:val="000000"/>
          <w:sz w:val="21"/>
          <w:szCs w:val="21"/>
        </w:rPr>
      </w:pPr>
      <w:bookmarkStart w:id="172" w:name="_Toc143406396"/>
      <w:bookmarkEnd w:id="172"/>
      <w:r>
        <w:rPr>
          <w:rFonts w:hint="eastAsia" w:ascii="宋体" w:hAnsi="宋体"/>
          <w:b/>
          <w:bCs/>
          <w:color w:val="000000"/>
          <w:sz w:val="21"/>
          <w:szCs w:val="21"/>
        </w:rPr>
        <w:t>概述</w:t>
      </w:r>
    </w:p>
    <w:p>
      <w:pPr>
        <w:pStyle w:val="120"/>
        <w:numPr>
          <w:ilvl w:val="0"/>
          <w:numId w:val="31"/>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除非另有规定，辅助电气设备应符合</w:t>
      </w:r>
      <w:r>
        <w:rPr>
          <w:rFonts w:hAnsi="宋体"/>
          <w:color w:val="000000"/>
          <w:sz w:val="21"/>
          <w:szCs w:val="21"/>
        </w:rPr>
        <w:t>1</w:t>
      </w:r>
      <w:r>
        <w:rPr>
          <w:rFonts w:hint="eastAsia" w:hAnsi="宋体"/>
          <w:color w:val="000000"/>
          <w:sz w:val="21"/>
          <w:szCs w:val="21"/>
        </w:rPr>
        <w:t>.4条中所列的标准和规程，同时考虑设备现场运行条件，所有技术规范的要求和所有制造厂的保证值均应根据这些条件制定。</w:t>
      </w:r>
    </w:p>
    <w:p>
      <w:pPr>
        <w:pStyle w:val="120"/>
        <w:numPr>
          <w:ilvl w:val="0"/>
          <w:numId w:val="31"/>
        </w:numPr>
        <w:spacing w:before="93" w:beforeLines="30" w:after="93" w:afterLines="30" w:line="300" w:lineRule="auto"/>
        <w:ind w:left="1470" w:hanging="420"/>
        <w:rPr>
          <w:rFonts w:hAnsi="宋体"/>
          <w:color w:val="000000"/>
          <w:kern w:val="2"/>
          <w:sz w:val="21"/>
          <w:szCs w:val="21"/>
        </w:rPr>
      </w:pPr>
      <w:r>
        <w:rPr>
          <w:rFonts w:hint="eastAsia" w:hAnsi="宋体"/>
          <w:color w:val="000000"/>
          <w:sz w:val="21"/>
          <w:szCs w:val="21"/>
        </w:rPr>
        <w:t>除非另有说明，卖方所提供的所有电气设备应适用于50Hz单相交流220V或三相交流380V电源，或者直流220V电源，</w:t>
      </w:r>
      <w:r>
        <w:rPr>
          <w:rFonts w:hint="eastAsia" w:hAnsi="宋体"/>
          <w:color w:val="000000"/>
          <w:kern w:val="2"/>
          <w:sz w:val="21"/>
          <w:szCs w:val="21"/>
        </w:rPr>
        <w:t>并在下列变化范围内能正常运行：</w:t>
      </w:r>
    </w:p>
    <w:p>
      <w:pPr>
        <w:snapToGrid w:val="0"/>
        <w:spacing w:line="360" w:lineRule="auto"/>
        <w:ind w:left="993"/>
        <w:rPr>
          <w:rFonts w:ascii="宋体" w:hAnsi="宋体"/>
          <w:color w:val="000000"/>
          <w:szCs w:val="21"/>
        </w:rPr>
      </w:pPr>
      <w:r>
        <w:rPr>
          <w:rFonts w:hint="eastAsia" w:ascii="宋体" w:hAnsi="宋体"/>
          <w:color w:val="000000"/>
          <w:szCs w:val="21"/>
        </w:rPr>
        <w:t>交流380/220V系统：</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85%～115%Un         49.5～50.5Hz</w:t>
      </w:r>
    </w:p>
    <w:p>
      <w:pPr>
        <w:snapToGrid w:val="0"/>
        <w:spacing w:line="360" w:lineRule="auto"/>
        <w:ind w:left="993"/>
        <w:rPr>
          <w:rFonts w:ascii="宋体" w:hAnsi="宋体"/>
          <w:color w:val="000000"/>
          <w:szCs w:val="21"/>
        </w:rPr>
      </w:pPr>
      <w:r>
        <w:rPr>
          <w:rFonts w:hint="eastAsia" w:ascii="宋体" w:hAnsi="宋体"/>
          <w:color w:val="000000"/>
          <w:szCs w:val="21"/>
        </w:rPr>
        <w:t>直流220V系统：</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80%～115%Un</w:t>
      </w:r>
    </w:p>
    <w:p>
      <w:pPr>
        <w:snapToGrid w:val="0"/>
        <w:spacing w:line="360" w:lineRule="auto"/>
        <w:ind w:left="993"/>
        <w:rPr>
          <w:rFonts w:ascii="宋体" w:hAnsi="宋体"/>
          <w:color w:val="000000"/>
          <w:szCs w:val="21"/>
        </w:rPr>
      </w:pPr>
      <w:r>
        <w:rPr>
          <w:rFonts w:hint="eastAsia" w:ascii="宋体" w:hAnsi="宋体"/>
          <w:color w:val="000000"/>
          <w:szCs w:val="21"/>
        </w:rPr>
        <w:t>卖方所提供的合同设备若需要其它电压等级的电源供电，则应由卖方提供的电源转换装置供给。</w:t>
      </w:r>
    </w:p>
    <w:p>
      <w:pPr>
        <w:pStyle w:val="120"/>
        <w:numPr>
          <w:ilvl w:val="0"/>
          <w:numId w:val="31"/>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卖方所提供的所有电气设备应具有耐受过电压的能力。当系统出现短时（2s内）操作过电压（3倍额定电压）时，电气设备不应破坏。</w:t>
      </w:r>
    </w:p>
    <w:p>
      <w:pPr>
        <w:pStyle w:val="120"/>
        <w:numPr>
          <w:ilvl w:val="0"/>
          <w:numId w:val="31"/>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导线的安装应符合</w:t>
      </w:r>
      <w:r>
        <w:rPr>
          <w:rFonts w:hAnsi="宋体"/>
          <w:color w:val="000000"/>
          <w:sz w:val="21"/>
          <w:szCs w:val="21"/>
        </w:rPr>
        <w:t xml:space="preserve">ANSI </w:t>
      </w:r>
      <w:r>
        <w:rPr>
          <w:rFonts w:hint="eastAsia" w:hAnsi="宋体"/>
          <w:color w:val="000000"/>
          <w:sz w:val="21"/>
          <w:szCs w:val="21"/>
        </w:rPr>
        <w:t>标准有关条款的要求。</w:t>
      </w:r>
    </w:p>
    <w:p>
      <w:pPr>
        <w:pStyle w:val="7"/>
        <w:widowControl w:val="0"/>
        <w:numPr>
          <w:ilvl w:val="2"/>
          <w:numId w:val="30"/>
        </w:numPr>
        <w:overflowPunct w:val="0"/>
        <w:snapToGrid/>
        <w:spacing w:before="93" w:beforeLines="30" w:after="93" w:afterLines="30" w:line="300" w:lineRule="auto"/>
        <w:jc w:val="both"/>
        <w:rPr>
          <w:rFonts w:ascii="宋体" w:hAnsi="宋体"/>
          <w:b/>
          <w:bCs/>
          <w:color w:val="000000"/>
          <w:sz w:val="21"/>
          <w:szCs w:val="21"/>
        </w:rPr>
      </w:pPr>
      <w:r>
        <w:rPr>
          <w:rFonts w:hint="eastAsia" w:ascii="宋体" w:hAnsi="宋体"/>
          <w:b/>
          <w:bCs/>
          <w:color w:val="000000"/>
          <w:sz w:val="21"/>
          <w:szCs w:val="21"/>
        </w:rPr>
        <w:t>继电器</w:t>
      </w:r>
    </w:p>
    <w:p>
      <w:pPr>
        <w:snapToGrid w:val="0"/>
        <w:spacing w:line="360" w:lineRule="auto"/>
        <w:ind w:left="993"/>
        <w:rPr>
          <w:rFonts w:ascii="宋体" w:hAnsi="宋体"/>
          <w:color w:val="000000"/>
          <w:szCs w:val="21"/>
        </w:rPr>
      </w:pPr>
      <w:r>
        <w:rPr>
          <w:rFonts w:hint="eastAsia" w:ascii="宋体" w:hAnsi="宋体"/>
          <w:color w:val="000000"/>
          <w:szCs w:val="21"/>
        </w:rPr>
        <w:t>继电器应符合</w:t>
      </w:r>
      <w:r>
        <w:rPr>
          <w:rFonts w:ascii="宋体" w:hAnsi="宋体"/>
          <w:color w:val="000000"/>
          <w:szCs w:val="21"/>
        </w:rPr>
        <w:t>IEEE313/ANSI C37.90的规定。</w:t>
      </w:r>
    </w:p>
    <w:p>
      <w:pPr>
        <w:snapToGrid w:val="0"/>
        <w:spacing w:line="360" w:lineRule="auto"/>
        <w:ind w:left="993"/>
        <w:rPr>
          <w:rFonts w:ascii="宋体" w:hAnsi="宋体"/>
          <w:color w:val="000000"/>
          <w:szCs w:val="21"/>
        </w:rPr>
      </w:pPr>
      <w:r>
        <w:rPr>
          <w:rFonts w:hint="eastAsia" w:ascii="宋体" w:hAnsi="宋体"/>
          <w:color w:val="000000"/>
          <w:szCs w:val="21"/>
        </w:rPr>
        <w:t>继电器元件应是插入式或抽屉式。插入式联接应做成带压力的触头。</w:t>
      </w:r>
    </w:p>
    <w:p>
      <w:pPr>
        <w:snapToGrid w:val="0"/>
        <w:spacing w:line="360" w:lineRule="auto"/>
        <w:ind w:left="993"/>
        <w:rPr>
          <w:rFonts w:ascii="宋体" w:hAnsi="宋体"/>
          <w:color w:val="000000"/>
          <w:szCs w:val="21"/>
        </w:rPr>
      </w:pPr>
      <w:r>
        <w:rPr>
          <w:rFonts w:hint="eastAsia" w:ascii="宋体" w:hAnsi="宋体"/>
          <w:color w:val="000000"/>
          <w:szCs w:val="21"/>
        </w:rPr>
        <w:t>继电器接点应有足够的额定容量以满足运行，继电器线圈能持续带规定负荷并具有耐热措施。</w:t>
      </w:r>
    </w:p>
    <w:p>
      <w:pPr>
        <w:snapToGrid w:val="0"/>
        <w:spacing w:line="360" w:lineRule="auto"/>
        <w:ind w:left="993"/>
        <w:rPr>
          <w:rFonts w:ascii="宋体" w:hAnsi="宋体"/>
          <w:color w:val="000000"/>
          <w:szCs w:val="21"/>
        </w:rPr>
      </w:pPr>
      <w:r>
        <w:rPr>
          <w:rFonts w:hint="eastAsia" w:ascii="宋体" w:hAnsi="宋体"/>
          <w:color w:val="000000"/>
          <w:szCs w:val="21"/>
        </w:rPr>
        <w:t>时间继电器的延时应能易于调整，且调整后保持不变。延时整定范围要求大于整定值的</w:t>
      </w:r>
      <w:r>
        <w:rPr>
          <w:rFonts w:ascii="宋体" w:hAnsi="宋体"/>
          <w:color w:val="000000"/>
          <w:szCs w:val="21"/>
        </w:rPr>
        <w:t>50%。延时的整定应具有明显的刻度。</w:t>
      </w:r>
    </w:p>
    <w:p>
      <w:pPr>
        <w:snapToGrid w:val="0"/>
        <w:spacing w:line="360" w:lineRule="auto"/>
        <w:ind w:left="993"/>
        <w:rPr>
          <w:rFonts w:ascii="宋体" w:hAnsi="宋体"/>
          <w:color w:val="000000"/>
          <w:szCs w:val="21"/>
        </w:rPr>
      </w:pPr>
      <w:r>
        <w:rPr>
          <w:rFonts w:hint="eastAsia" w:ascii="宋体" w:hAnsi="宋体"/>
          <w:color w:val="000000"/>
          <w:szCs w:val="21"/>
        </w:rPr>
        <w:t>出口继电器接点除了满足控制要求外，至少每个继电器应留有一对备用的常开接点和一对备用的常闭接点。</w:t>
      </w:r>
    </w:p>
    <w:p>
      <w:pPr>
        <w:pStyle w:val="7"/>
        <w:widowControl w:val="0"/>
        <w:numPr>
          <w:ilvl w:val="2"/>
          <w:numId w:val="30"/>
        </w:numPr>
        <w:overflowPunct w:val="0"/>
        <w:snapToGrid/>
        <w:spacing w:before="93" w:beforeLines="30" w:after="93" w:afterLines="30" w:line="300" w:lineRule="auto"/>
        <w:jc w:val="both"/>
        <w:rPr>
          <w:rFonts w:ascii="宋体" w:hAnsi="宋体"/>
          <w:b/>
          <w:bCs/>
          <w:color w:val="000000"/>
          <w:sz w:val="21"/>
          <w:szCs w:val="21"/>
        </w:rPr>
      </w:pPr>
      <w:bookmarkStart w:id="173" w:name="_Toc143406397"/>
      <w:bookmarkEnd w:id="173"/>
      <w:bookmarkStart w:id="174" w:name="_Toc143406398"/>
      <w:r>
        <w:rPr>
          <w:rFonts w:hint="eastAsia" w:ascii="宋体" w:hAnsi="宋体"/>
          <w:b/>
          <w:bCs/>
          <w:sz w:val="21"/>
          <w:szCs w:val="21"/>
        </w:rPr>
        <w:t>变送器</w:t>
      </w:r>
      <w:bookmarkEnd w:id="174"/>
    </w:p>
    <w:p>
      <w:pPr>
        <w:pStyle w:val="120"/>
        <w:numPr>
          <w:ilvl w:val="0"/>
          <w:numId w:val="32"/>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变送器应能适用于需精确测量的物理量。其输出应为</w:t>
      </w:r>
      <w:r>
        <w:rPr>
          <w:rFonts w:hAnsi="宋体"/>
          <w:color w:val="000000"/>
          <w:sz w:val="21"/>
          <w:szCs w:val="21"/>
        </w:rPr>
        <w:t>4～20mA(满刻度)直流电流，负载电阻不小于750W</w:t>
      </w:r>
      <w:r>
        <w:rPr>
          <w:rFonts w:hint="eastAsia" w:hAnsi="宋体"/>
          <w:color w:val="000000"/>
          <w:sz w:val="21"/>
          <w:szCs w:val="21"/>
        </w:rPr>
        <w:t>。</w:t>
      </w:r>
    </w:p>
    <w:p>
      <w:pPr>
        <w:pStyle w:val="120"/>
        <w:numPr>
          <w:ilvl w:val="0"/>
          <w:numId w:val="32"/>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除另有规定外，</w:t>
      </w:r>
      <w:r>
        <w:rPr>
          <w:rFonts w:hAnsi="宋体"/>
          <w:color w:val="000000"/>
          <w:sz w:val="21"/>
          <w:szCs w:val="21"/>
        </w:rPr>
        <w:t>25℃时的最大允许误差应不超过满刻度的±0.25%，温度从－20℃至60℃的变化引起的误差不超过满刻度的±0.5%。交流输出脉动应不超过1%。设备的校准调节量应为满刻度的10%，从0～99%的响应时间应小于300ms。在输入、</w:t>
      </w:r>
      <w:r>
        <w:rPr>
          <w:rFonts w:hint="eastAsia" w:hAnsi="宋体"/>
          <w:color w:val="000000"/>
          <w:sz w:val="21"/>
          <w:szCs w:val="21"/>
        </w:rPr>
        <w:t>输出、外接电源</w:t>
      </w:r>
      <w:r>
        <w:rPr>
          <w:rFonts w:hAnsi="宋体"/>
          <w:color w:val="000000"/>
          <w:sz w:val="21"/>
          <w:szCs w:val="21"/>
        </w:rPr>
        <w:t>(如果有的话)和外壳接地之间应有电气隔离。</w:t>
      </w:r>
    </w:p>
    <w:p>
      <w:pPr>
        <w:pStyle w:val="7"/>
        <w:widowControl w:val="0"/>
        <w:numPr>
          <w:ilvl w:val="2"/>
          <w:numId w:val="30"/>
        </w:numPr>
        <w:overflowPunct w:val="0"/>
        <w:snapToGrid/>
        <w:spacing w:before="93" w:beforeLines="30" w:after="93" w:afterLines="30" w:line="300" w:lineRule="auto"/>
        <w:jc w:val="both"/>
        <w:rPr>
          <w:rFonts w:ascii="宋体" w:hAnsi="宋体"/>
          <w:b/>
          <w:bCs/>
          <w:color w:val="000000"/>
          <w:sz w:val="21"/>
          <w:szCs w:val="21"/>
        </w:rPr>
      </w:pPr>
      <w:r>
        <w:rPr>
          <w:rFonts w:hint="eastAsia" w:ascii="宋体" w:hAnsi="宋体"/>
          <w:b/>
          <w:bCs/>
          <w:color w:val="000000"/>
          <w:sz w:val="21"/>
          <w:szCs w:val="21"/>
        </w:rPr>
        <w:t>按钮</w:t>
      </w:r>
    </w:p>
    <w:p>
      <w:pPr>
        <w:pStyle w:val="120"/>
        <w:numPr>
          <w:ilvl w:val="0"/>
          <w:numId w:val="33"/>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所有按钮应为重载防油结构，并有防误罩或防误锁的防误操作设施。</w:t>
      </w:r>
    </w:p>
    <w:p>
      <w:pPr>
        <w:pStyle w:val="120"/>
        <w:numPr>
          <w:ilvl w:val="0"/>
          <w:numId w:val="33"/>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接点额定值</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最高设计电压：交流</w:t>
      </w:r>
      <w:r>
        <w:rPr>
          <w:rFonts w:ascii="宋体" w:hAnsi="宋体" w:cs="Arial"/>
          <w:szCs w:val="21"/>
        </w:rPr>
        <w:t>500V和直流250V</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最大持续电流：</w:t>
      </w:r>
      <w:r>
        <w:rPr>
          <w:rFonts w:ascii="宋体" w:hAnsi="宋体" w:cs="Arial"/>
          <w:szCs w:val="21"/>
        </w:rPr>
        <w:t>10A(交流或直流)</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最大感性开断电流：交流</w:t>
      </w:r>
      <w:r>
        <w:rPr>
          <w:rFonts w:ascii="宋体" w:hAnsi="宋体" w:cs="Arial"/>
          <w:szCs w:val="21"/>
        </w:rPr>
        <w:t>220V，3A和直流220V，1.1A</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最大感性关合电流：交流</w:t>
      </w:r>
      <w:r>
        <w:rPr>
          <w:rFonts w:ascii="宋体" w:hAnsi="宋体" w:cs="Arial"/>
          <w:szCs w:val="21"/>
        </w:rPr>
        <w:t>220V，30A和直流220V，15A</w:t>
      </w:r>
    </w:p>
    <w:p>
      <w:pPr>
        <w:pStyle w:val="120"/>
        <w:numPr>
          <w:ilvl w:val="0"/>
          <w:numId w:val="33"/>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按钮应符合</w:t>
      </w:r>
      <w:r>
        <w:rPr>
          <w:rFonts w:hAnsi="宋体"/>
          <w:color w:val="000000"/>
          <w:sz w:val="21"/>
          <w:szCs w:val="21"/>
        </w:rPr>
        <w:t>NEMA</w:t>
      </w:r>
      <w:r>
        <w:rPr>
          <w:rFonts w:hint="eastAsia" w:hAnsi="宋体"/>
          <w:color w:val="000000"/>
          <w:sz w:val="21"/>
          <w:szCs w:val="21"/>
        </w:rPr>
        <w:t>标准有关条款的要求。</w:t>
      </w:r>
    </w:p>
    <w:p>
      <w:pPr>
        <w:pStyle w:val="7"/>
        <w:widowControl w:val="0"/>
        <w:numPr>
          <w:ilvl w:val="2"/>
          <w:numId w:val="30"/>
        </w:numPr>
        <w:overflowPunct w:val="0"/>
        <w:snapToGrid/>
        <w:spacing w:before="93" w:beforeLines="30" w:after="93" w:afterLines="30" w:line="300" w:lineRule="auto"/>
        <w:jc w:val="both"/>
        <w:rPr>
          <w:rFonts w:ascii="宋体" w:hAnsi="宋体"/>
          <w:b/>
          <w:bCs/>
          <w:color w:val="000000"/>
          <w:sz w:val="21"/>
          <w:szCs w:val="21"/>
        </w:rPr>
      </w:pPr>
      <w:bookmarkStart w:id="175" w:name="_Toc143406401"/>
      <w:bookmarkEnd w:id="175"/>
      <w:r>
        <w:rPr>
          <w:rFonts w:hint="eastAsia" w:ascii="宋体" w:hAnsi="宋体"/>
          <w:b/>
          <w:bCs/>
          <w:color w:val="000000"/>
          <w:sz w:val="21"/>
          <w:szCs w:val="21"/>
        </w:rPr>
        <w:t>指示灯</w:t>
      </w:r>
    </w:p>
    <w:p>
      <w:pPr>
        <w:pStyle w:val="120"/>
        <w:numPr>
          <w:ilvl w:val="0"/>
          <w:numId w:val="34"/>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型式</w:t>
      </w:r>
    </w:p>
    <w:p>
      <w:pPr>
        <w:snapToGrid w:val="0"/>
        <w:spacing w:line="360" w:lineRule="auto"/>
        <w:ind w:left="993"/>
        <w:rPr>
          <w:rFonts w:ascii="宋体" w:hAnsi="宋体"/>
          <w:color w:val="000000"/>
          <w:szCs w:val="21"/>
        </w:rPr>
      </w:pPr>
      <w:r>
        <w:rPr>
          <w:rFonts w:hint="eastAsia" w:ascii="宋体" w:hAnsi="宋体"/>
          <w:color w:val="000000"/>
          <w:szCs w:val="21"/>
        </w:rPr>
        <w:t>指示灯应为开关板型，具有合适的有色灯盖和整体安装的电阻，指示灯的发光元件应采用</w:t>
      </w:r>
      <w:r>
        <w:rPr>
          <w:rFonts w:ascii="宋体" w:hAnsi="宋体"/>
          <w:color w:val="000000"/>
          <w:szCs w:val="21"/>
        </w:rPr>
        <w:t>LED。有色灯盖应采用透明材料，不会因为灯发热而变软。所有有色灯盖应具有互换性，而且所有的灯应为同一类型和额定值。</w:t>
      </w:r>
    </w:p>
    <w:p>
      <w:pPr>
        <w:pStyle w:val="120"/>
        <w:numPr>
          <w:ilvl w:val="0"/>
          <w:numId w:val="34"/>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特殊要求</w:t>
      </w:r>
    </w:p>
    <w:p>
      <w:pPr>
        <w:snapToGrid w:val="0"/>
        <w:spacing w:line="360" w:lineRule="auto"/>
        <w:ind w:left="993"/>
        <w:rPr>
          <w:rFonts w:ascii="宋体" w:hAnsi="宋体"/>
          <w:color w:val="000000"/>
          <w:szCs w:val="21"/>
        </w:rPr>
      </w:pPr>
      <w:r>
        <w:rPr>
          <w:rFonts w:hint="eastAsia" w:ascii="宋体" w:hAnsi="宋体"/>
          <w:color w:val="000000"/>
          <w:szCs w:val="21"/>
        </w:rPr>
        <w:t>用于各种场合的指示灯和光字信号由卖方选择并提交买方批准。</w:t>
      </w:r>
    </w:p>
    <w:p>
      <w:pPr>
        <w:pStyle w:val="7"/>
        <w:widowControl w:val="0"/>
        <w:numPr>
          <w:ilvl w:val="2"/>
          <w:numId w:val="30"/>
        </w:numPr>
        <w:overflowPunct w:val="0"/>
        <w:snapToGrid/>
        <w:spacing w:before="93" w:beforeLines="30" w:after="93" w:afterLines="30" w:line="300" w:lineRule="auto"/>
        <w:jc w:val="both"/>
        <w:rPr>
          <w:rFonts w:ascii="宋体" w:hAnsi="宋体"/>
          <w:b/>
          <w:bCs/>
          <w:color w:val="000000"/>
          <w:sz w:val="21"/>
          <w:szCs w:val="21"/>
        </w:rPr>
      </w:pPr>
      <w:bookmarkStart w:id="176" w:name="_Toc143406402"/>
      <w:bookmarkEnd w:id="176"/>
      <w:r>
        <w:rPr>
          <w:rFonts w:hint="eastAsia" w:ascii="宋体" w:hAnsi="宋体"/>
          <w:b/>
          <w:bCs/>
          <w:color w:val="000000"/>
          <w:sz w:val="21"/>
          <w:szCs w:val="21"/>
        </w:rPr>
        <w:t>控制、转换和选择开关</w:t>
      </w:r>
    </w:p>
    <w:p>
      <w:pPr>
        <w:pStyle w:val="120"/>
        <w:numPr>
          <w:ilvl w:val="0"/>
          <w:numId w:val="35"/>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型式</w:t>
      </w:r>
    </w:p>
    <w:p>
      <w:pPr>
        <w:snapToGrid w:val="0"/>
        <w:spacing w:line="360" w:lineRule="auto"/>
        <w:ind w:left="993"/>
        <w:rPr>
          <w:rFonts w:ascii="宋体" w:hAnsi="宋体"/>
          <w:color w:val="000000"/>
          <w:szCs w:val="21"/>
        </w:rPr>
      </w:pPr>
      <w:r>
        <w:rPr>
          <w:rFonts w:hint="eastAsia" w:ascii="宋体" w:hAnsi="宋体"/>
          <w:color w:val="000000"/>
          <w:szCs w:val="21"/>
        </w:rPr>
        <w:t>开关板或控制柜盘前安装的手动开关为重载、旋转式、带限位结构。</w:t>
      </w:r>
    </w:p>
    <w:p>
      <w:pPr>
        <w:pStyle w:val="120"/>
        <w:numPr>
          <w:ilvl w:val="0"/>
          <w:numId w:val="35"/>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额定值</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最高设计电压：交流</w:t>
      </w:r>
      <w:r>
        <w:rPr>
          <w:rFonts w:ascii="宋体" w:hAnsi="宋体" w:cs="Arial"/>
          <w:szCs w:val="21"/>
        </w:rPr>
        <w:t>500V或直流250V；</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持续工作电流：</w:t>
      </w:r>
      <w:r>
        <w:rPr>
          <w:rFonts w:ascii="宋体" w:hAnsi="宋体" w:cs="Arial"/>
          <w:szCs w:val="21"/>
        </w:rPr>
        <w:t>10A(交流或直流)；</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最大感性开断电流：交流</w:t>
      </w:r>
      <w:r>
        <w:rPr>
          <w:rFonts w:ascii="宋体" w:hAnsi="宋体" w:cs="Arial"/>
          <w:szCs w:val="21"/>
        </w:rPr>
        <w:t>220V，3A或直流220V，1.1A；</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最大感性关合电流：交流</w:t>
      </w:r>
      <w:r>
        <w:rPr>
          <w:rFonts w:ascii="宋体" w:hAnsi="宋体" w:cs="Arial"/>
          <w:szCs w:val="21"/>
        </w:rPr>
        <w:t>220V，30A或直流220V，15A。</w:t>
      </w:r>
    </w:p>
    <w:p>
      <w:pPr>
        <w:pStyle w:val="120"/>
        <w:numPr>
          <w:ilvl w:val="0"/>
          <w:numId w:val="35"/>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面板</w:t>
      </w:r>
    </w:p>
    <w:p>
      <w:pPr>
        <w:snapToGrid w:val="0"/>
        <w:spacing w:line="360" w:lineRule="auto"/>
        <w:ind w:left="993"/>
        <w:rPr>
          <w:rFonts w:ascii="宋体" w:hAnsi="宋体"/>
          <w:color w:val="000000"/>
          <w:szCs w:val="21"/>
        </w:rPr>
      </w:pPr>
      <w:r>
        <w:rPr>
          <w:rFonts w:hint="eastAsia" w:ascii="宋体" w:hAnsi="宋体"/>
          <w:color w:val="000000"/>
          <w:szCs w:val="21"/>
        </w:rPr>
        <w:t>每个开关面板应能清楚地显示每一工作位置。面板的标志应由卖方选择并经买方批准。</w:t>
      </w:r>
    </w:p>
    <w:p>
      <w:pPr>
        <w:pStyle w:val="120"/>
        <w:numPr>
          <w:ilvl w:val="0"/>
          <w:numId w:val="35"/>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手柄</w:t>
      </w:r>
    </w:p>
    <w:p>
      <w:pPr>
        <w:snapToGrid w:val="0"/>
        <w:spacing w:line="360" w:lineRule="auto"/>
        <w:ind w:left="993"/>
        <w:rPr>
          <w:rFonts w:ascii="宋体" w:hAnsi="宋体"/>
          <w:color w:val="000000"/>
          <w:szCs w:val="21"/>
        </w:rPr>
      </w:pPr>
      <w:r>
        <w:rPr>
          <w:rFonts w:hint="eastAsia" w:ascii="宋体" w:hAnsi="宋体"/>
          <w:color w:val="000000"/>
          <w:szCs w:val="21"/>
        </w:rPr>
        <w:t>开关手柄的型式和颜色应由卖方选择并经买方批准。</w:t>
      </w:r>
    </w:p>
    <w:p>
      <w:pPr>
        <w:pStyle w:val="7"/>
        <w:widowControl w:val="0"/>
        <w:numPr>
          <w:ilvl w:val="2"/>
          <w:numId w:val="30"/>
        </w:numPr>
        <w:overflowPunct w:val="0"/>
        <w:snapToGrid/>
        <w:spacing w:before="93" w:beforeLines="30" w:after="93" w:afterLines="30" w:line="300" w:lineRule="auto"/>
        <w:jc w:val="both"/>
        <w:rPr>
          <w:rFonts w:ascii="宋体" w:hAnsi="宋体"/>
          <w:b/>
          <w:bCs/>
          <w:color w:val="000000"/>
          <w:sz w:val="21"/>
          <w:szCs w:val="21"/>
        </w:rPr>
      </w:pPr>
      <w:r>
        <w:rPr>
          <w:rFonts w:hint="eastAsia" w:ascii="宋体" w:hAnsi="宋体"/>
          <w:b/>
          <w:bCs/>
          <w:color w:val="000000"/>
          <w:sz w:val="21"/>
          <w:szCs w:val="21"/>
        </w:rPr>
        <w:t>电子元件和组件</w:t>
      </w:r>
    </w:p>
    <w:p>
      <w:pPr>
        <w:snapToGrid w:val="0"/>
        <w:spacing w:line="360" w:lineRule="auto"/>
        <w:ind w:left="993"/>
        <w:rPr>
          <w:rFonts w:ascii="宋体" w:hAnsi="宋体"/>
          <w:color w:val="000000"/>
          <w:szCs w:val="21"/>
        </w:rPr>
      </w:pPr>
      <w:r>
        <w:rPr>
          <w:rFonts w:hint="eastAsia" w:ascii="宋体" w:hAnsi="宋体"/>
          <w:color w:val="000000"/>
          <w:szCs w:val="21"/>
        </w:rPr>
        <w:t>所有电子元件应经过严格的筛选及防止老化，其设计寿命不少于</w:t>
      </w:r>
      <w:r>
        <w:rPr>
          <w:rFonts w:ascii="宋体" w:hAnsi="宋体"/>
          <w:color w:val="000000"/>
          <w:szCs w:val="21"/>
        </w:rPr>
        <w:t>30年。卖方应给出所有电子元件使用参数的允许偏差。</w:t>
      </w:r>
    </w:p>
    <w:p>
      <w:pPr>
        <w:snapToGrid w:val="0"/>
        <w:spacing w:line="360" w:lineRule="auto"/>
        <w:ind w:left="993"/>
        <w:rPr>
          <w:rFonts w:ascii="宋体" w:hAnsi="宋体"/>
          <w:color w:val="000000"/>
          <w:szCs w:val="21"/>
        </w:rPr>
      </w:pPr>
      <w:r>
        <w:rPr>
          <w:rFonts w:hint="eastAsia" w:ascii="宋体" w:hAnsi="宋体"/>
          <w:color w:val="000000"/>
          <w:szCs w:val="21"/>
        </w:rPr>
        <w:t>电子元件焊接在印刷电路板上，防止虚焊、松焊，不允许搭接，焊接表面应涂有一层保护层，以防止焊点被腐蚀。</w:t>
      </w:r>
    </w:p>
    <w:p>
      <w:pPr>
        <w:snapToGrid w:val="0"/>
        <w:spacing w:line="360" w:lineRule="auto"/>
        <w:ind w:left="993"/>
        <w:rPr>
          <w:rFonts w:ascii="宋体" w:hAnsi="宋体"/>
          <w:color w:val="000000"/>
          <w:szCs w:val="21"/>
        </w:rPr>
      </w:pPr>
      <w:r>
        <w:rPr>
          <w:rFonts w:hint="eastAsia" w:ascii="宋体" w:hAnsi="宋体"/>
          <w:color w:val="000000"/>
          <w:szCs w:val="21"/>
        </w:rPr>
        <w:t>一个或几个印刷电路板组成一个功能组件，印刷电路板之间采用接触良好、可靠、耐用、并有防松脱措施的接插器连接，不允许在印刷电路板之间用导线直接连接。卖方应同时供应接插器的试验接插头，以便需要时，向装置输入试验信号或对装置测试。</w:t>
      </w:r>
    </w:p>
    <w:p>
      <w:pPr>
        <w:snapToGrid w:val="0"/>
        <w:spacing w:line="360" w:lineRule="auto"/>
        <w:ind w:left="993"/>
        <w:rPr>
          <w:rFonts w:ascii="宋体" w:hAnsi="宋体"/>
          <w:color w:val="000000"/>
          <w:szCs w:val="21"/>
        </w:rPr>
      </w:pPr>
      <w:r>
        <w:rPr>
          <w:rFonts w:hint="eastAsia" w:ascii="宋体" w:hAnsi="宋体"/>
          <w:color w:val="000000"/>
          <w:szCs w:val="21"/>
        </w:rPr>
        <w:t>印刷电路板上的所有元件和测试点应有清楚、永久、耐清洗的标记，以表明元件标号和组件标号。所有接插器应有统一的规格。</w:t>
      </w:r>
    </w:p>
    <w:p>
      <w:pPr>
        <w:pStyle w:val="7"/>
        <w:widowControl w:val="0"/>
        <w:numPr>
          <w:ilvl w:val="2"/>
          <w:numId w:val="30"/>
        </w:numPr>
        <w:overflowPunct w:val="0"/>
        <w:snapToGrid/>
        <w:spacing w:before="93" w:beforeLines="30" w:after="93" w:afterLines="30" w:line="300" w:lineRule="auto"/>
        <w:jc w:val="both"/>
        <w:rPr>
          <w:rFonts w:ascii="宋体" w:hAnsi="宋体"/>
          <w:b/>
          <w:bCs/>
          <w:color w:val="000000"/>
          <w:sz w:val="21"/>
          <w:szCs w:val="21"/>
        </w:rPr>
      </w:pPr>
      <w:bookmarkStart w:id="177" w:name="_Toc143406404"/>
      <w:bookmarkEnd w:id="177"/>
      <w:r>
        <w:rPr>
          <w:rFonts w:hint="eastAsia" w:ascii="宋体" w:hAnsi="宋体"/>
          <w:b/>
          <w:bCs/>
          <w:color w:val="000000"/>
          <w:sz w:val="21"/>
          <w:szCs w:val="21"/>
        </w:rPr>
        <w:t>电气接线和端子</w:t>
      </w:r>
    </w:p>
    <w:p>
      <w:pPr>
        <w:pStyle w:val="120"/>
        <w:numPr>
          <w:ilvl w:val="0"/>
          <w:numId w:val="36"/>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电缆和电线</w:t>
      </w:r>
    </w:p>
    <w:p>
      <w:pPr>
        <w:pStyle w:val="120"/>
        <w:numPr>
          <w:ilvl w:val="1"/>
          <w:numId w:val="36"/>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总则</w:t>
      </w:r>
    </w:p>
    <w:p>
      <w:pPr>
        <w:spacing w:before="93" w:beforeLines="30" w:after="93" w:afterLines="30" w:line="300" w:lineRule="auto"/>
        <w:ind w:left="840" w:leftChars="400"/>
        <w:rPr>
          <w:rFonts w:ascii="宋体" w:hAnsi="宋体"/>
          <w:color w:val="000000"/>
          <w:szCs w:val="21"/>
        </w:rPr>
      </w:pPr>
      <w:r>
        <w:rPr>
          <w:rFonts w:hint="eastAsia" w:ascii="宋体" w:hAnsi="宋体"/>
          <w:color w:val="000000"/>
          <w:szCs w:val="21"/>
        </w:rPr>
        <w:t>卖方提供的所有电缆、电线必须是阻燃型、材质为无氧铜材，电缆采用聚全氟乙丙烯绝缘、聚氯乙烯护套，电线采用聚氯乙烯绝缘。控制电缆应采用屏蔽电缆。电缆和电线的额定值应符合本节的规定，并应适于其工作环境。在电缆或电线过门铰链之处，应使用具有柔韧性的铜绞线。</w:t>
      </w:r>
    </w:p>
    <w:p>
      <w:pPr>
        <w:spacing w:before="93" w:beforeLines="30" w:after="93" w:afterLines="30" w:line="300" w:lineRule="auto"/>
        <w:ind w:left="840" w:leftChars="400"/>
        <w:rPr>
          <w:rFonts w:ascii="宋体" w:hAnsi="宋体"/>
          <w:color w:val="000000"/>
          <w:szCs w:val="21"/>
        </w:rPr>
      </w:pPr>
      <w:r>
        <w:rPr>
          <w:rFonts w:hint="eastAsia" w:ascii="宋体" w:hAnsi="宋体"/>
          <w:color w:val="000000"/>
          <w:szCs w:val="21"/>
        </w:rPr>
        <w:t>控制电缆应采用屏蔽电缆。</w:t>
      </w:r>
    </w:p>
    <w:p>
      <w:pPr>
        <w:pStyle w:val="120"/>
        <w:numPr>
          <w:ilvl w:val="1"/>
          <w:numId w:val="36"/>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一般控制和动力回路的电线和电缆</w:t>
      </w:r>
    </w:p>
    <w:p>
      <w:pPr>
        <w:pStyle w:val="120"/>
        <w:numPr>
          <w:ilvl w:val="2"/>
          <w:numId w:val="36"/>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型式：单芯或多芯，动力电缆采用铜芯聚全氟乙丙烯绝缘、阻燃聚氯乙烯护套电力电缆；控制电缆采用铜芯聚全氟乙丙烯绝缘、阻燃聚氯乙烯护套、铜丝编织屏蔽控制电缆。</w:t>
      </w:r>
    </w:p>
    <w:p>
      <w:pPr>
        <w:pStyle w:val="120"/>
        <w:numPr>
          <w:ilvl w:val="2"/>
          <w:numId w:val="36"/>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导体：一般为镀锡铜绞线、控制回路截面积不小于1.5mm</w:t>
      </w:r>
      <w:r>
        <w:rPr>
          <w:rFonts w:hint="eastAsia" w:hAnsi="宋体"/>
          <w:color w:val="000000"/>
          <w:sz w:val="21"/>
          <w:szCs w:val="21"/>
          <w:vertAlign w:val="superscript"/>
        </w:rPr>
        <w:t>2</w:t>
      </w:r>
      <w:r>
        <w:rPr>
          <w:rFonts w:hint="eastAsia" w:hAnsi="宋体"/>
          <w:color w:val="000000"/>
          <w:sz w:val="21"/>
          <w:szCs w:val="21"/>
        </w:rPr>
        <w:t>，动力回路不小于4mm</w:t>
      </w:r>
      <w:r>
        <w:rPr>
          <w:rFonts w:hint="eastAsia" w:hAnsi="宋体"/>
          <w:color w:val="000000"/>
          <w:sz w:val="21"/>
          <w:szCs w:val="21"/>
          <w:vertAlign w:val="superscript"/>
        </w:rPr>
        <w:t>2</w:t>
      </w:r>
      <w:r>
        <w:rPr>
          <w:rFonts w:hint="eastAsia" w:hAnsi="宋体"/>
          <w:color w:val="000000"/>
          <w:sz w:val="21"/>
          <w:szCs w:val="21"/>
        </w:rPr>
        <w:t>，电流互感器回路不小于4mm</w:t>
      </w:r>
      <w:r>
        <w:rPr>
          <w:rFonts w:hint="eastAsia" w:hAnsi="宋体"/>
          <w:color w:val="000000"/>
          <w:sz w:val="21"/>
          <w:szCs w:val="21"/>
          <w:vertAlign w:val="superscript"/>
        </w:rPr>
        <w:t>2</w:t>
      </w:r>
      <w:r>
        <w:rPr>
          <w:rFonts w:hint="eastAsia" w:hAnsi="宋体"/>
          <w:color w:val="000000"/>
          <w:sz w:val="21"/>
          <w:szCs w:val="21"/>
        </w:rPr>
        <w:t>，但下列情形除外：如载流量及短路故障水平需要，应使用更大截面积的导线；仪用互感器二次线圈引线应满足二次负载要求。</w:t>
      </w:r>
    </w:p>
    <w:p>
      <w:pPr>
        <w:pStyle w:val="120"/>
        <w:numPr>
          <w:ilvl w:val="2"/>
          <w:numId w:val="36"/>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绝缘：</w:t>
      </w:r>
    </w:p>
    <w:p>
      <w:pPr>
        <w:numPr>
          <w:ilvl w:val="0"/>
          <w:numId w:val="37"/>
        </w:numPr>
        <w:autoSpaceDE w:val="0"/>
        <w:autoSpaceDN w:val="0"/>
        <w:adjustRightInd w:val="0"/>
        <w:spacing w:before="93" w:beforeLines="30" w:after="93" w:afterLines="30" w:line="300" w:lineRule="auto"/>
        <w:ind w:right="23"/>
        <w:jc w:val="left"/>
        <w:textAlignment w:val="bottom"/>
        <w:rPr>
          <w:rFonts w:ascii="宋体" w:hAnsi="宋体"/>
          <w:color w:val="000000"/>
          <w:szCs w:val="21"/>
        </w:rPr>
      </w:pPr>
      <w:r>
        <w:rPr>
          <w:rFonts w:hint="eastAsia" w:ascii="宋体" w:hAnsi="宋体"/>
          <w:color w:val="000000"/>
          <w:szCs w:val="21"/>
        </w:rPr>
        <w:t>交流额定电压：</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0.6/1kV</w:t>
      </w:r>
    </w:p>
    <w:p>
      <w:pPr>
        <w:numPr>
          <w:ilvl w:val="0"/>
          <w:numId w:val="37"/>
        </w:numPr>
        <w:autoSpaceDE w:val="0"/>
        <w:autoSpaceDN w:val="0"/>
        <w:adjustRightInd w:val="0"/>
        <w:spacing w:before="93" w:beforeLines="30" w:after="93" w:afterLines="30" w:line="300" w:lineRule="auto"/>
        <w:ind w:right="23"/>
        <w:jc w:val="left"/>
        <w:textAlignment w:val="bottom"/>
        <w:rPr>
          <w:rFonts w:ascii="宋体" w:hAnsi="宋体"/>
          <w:color w:val="000000"/>
          <w:szCs w:val="21"/>
        </w:rPr>
      </w:pPr>
      <w:r>
        <w:rPr>
          <w:rFonts w:hint="eastAsia" w:ascii="宋体" w:hAnsi="宋体"/>
          <w:color w:val="000000"/>
          <w:szCs w:val="21"/>
        </w:rPr>
        <w:t>工作温度：电缆导体长期运行工作最高温度为200℃，最低温度－40℃。</w:t>
      </w:r>
    </w:p>
    <w:p>
      <w:pPr>
        <w:numPr>
          <w:ilvl w:val="0"/>
          <w:numId w:val="37"/>
        </w:numPr>
        <w:autoSpaceDE w:val="0"/>
        <w:autoSpaceDN w:val="0"/>
        <w:adjustRightInd w:val="0"/>
        <w:spacing w:before="93" w:beforeLines="30" w:after="93" w:afterLines="30" w:line="300" w:lineRule="auto"/>
        <w:ind w:right="23"/>
        <w:jc w:val="left"/>
        <w:textAlignment w:val="bottom"/>
        <w:rPr>
          <w:rFonts w:ascii="宋体" w:hAnsi="宋体"/>
          <w:color w:val="000000"/>
          <w:szCs w:val="21"/>
        </w:rPr>
      </w:pPr>
      <w:r>
        <w:rPr>
          <w:rFonts w:hint="eastAsia" w:ascii="宋体" w:hAnsi="宋体"/>
          <w:color w:val="000000"/>
          <w:szCs w:val="21"/>
        </w:rPr>
        <w:t>短路温度：短路时（最长持续时间不超过5s）电缆导体的最高温度不超过250℃。</w:t>
      </w:r>
    </w:p>
    <w:p>
      <w:pPr>
        <w:numPr>
          <w:ilvl w:val="0"/>
          <w:numId w:val="37"/>
        </w:numPr>
        <w:autoSpaceDE w:val="0"/>
        <w:autoSpaceDN w:val="0"/>
        <w:adjustRightInd w:val="0"/>
        <w:spacing w:before="93" w:beforeLines="30" w:after="93" w:afterLines="30" w:line="300" w:lineRule="auto"/>
        <w:ind w:right="23"/>
        <w:jc w:val="left"/>
        <w:textAlignment w:val="bottom"/>
        <w:rPr>
          <w:rFonts w:ascii="宋体" w:hAnsi="宋体"/>
          <w:color w:val="000000"/>
          <w:szCs w:val="21"/>
        </w:rPr>
      </w:pPr>
      <w:r>
        <w:rPr>
          <w:rFonts w:hint="eastAsia" w:ascii="宋体" w:hAnsi="宋体"/>
          <w:color w:val="000000"/>
          <w:szCs w:val="21"/>
        </w:rPr>
        <w:t>阻燃特性：阻燃材料耐105℃。</w:t>
      </w:r>
    </w:p>
    <w:p>
      <w:pPr>
        <w:pStyle w:val="120"/>
        <w:numPr>
          <w:ilvl w:val="2"/>
          <w:numId w:val="36"/>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标志：绝缘导体应根据ICEA方法2或方法4作上色码标志。</w:t>
      </w:r>
    </w:p>
    <w:p>
      <w:pPr>
        <w:pStyle w:val="120"/>
        <w:numPr>
          <w:ilvl w:val="1"/>
          <w:numId w:val="36"/>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用于低信号电平回路的电缆和控制线</w:t>
      </w:r>
    </w:p>
    <w:p>
      <w:pPr>
        <w:pStyle w:val="120"/>
        <w:numPr>
          <w:ilvl w:val="2"/>
          <w:numId w:val="36"/>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型式：双绞线或三绞线(用于电阻型温度检测计)，</w:t>
      </w:r>
      <w:r>
        <w:rPr>
          <w:rFonts w:hint="eastAsia" w:hAnsi="宋体"/>
          <w:sz w:val="21"/>
          <w:szCs w:val="21"/>
        </w:rPr>
        <w:t>采用铜芯聚全氟乙丙烯绝缘、阻燃聚氯乙烯护套、铜丝编织分屏蔽、总屏蔽计算机电缆</w:t>
      </w:r>
      <w:r>
        <w:rPr>
          <w:rFonts w:hint="eastAsia" w:hAnsi="宋体"/>
          <w:color w:val="000000"/>
          <w:sz w:val="21"/>
          <w:szCs w:val="21"/>
        </w:rPr>
        <w:t>。</w:t>
      </w:r>
    </w:p>
    <w:p>
      <w:pPr>
        <w:pStyle w:val="120"/>
        <w:numPr>
          <w:ilvl w:val="2"/>
          <w:numId w:val="36"/>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导体：单芯、退火硬铜，截面积1.0mm</w:t>
      </w:r>
      <w:r>
        <w:rPr>
          <w:rFonts w:hint="eastAsia" w:hAnsi="宋体"/>
          <w:color w:val="000000"/>
          <w:sz w:val="21"/>
          <w:szCs w:val="21"/>
          <w:vertAlign w:val="superscript"/>
        </w:rPr>
        <w:t>2</w:t>
      </w:r>
      <w:r>
        <w:rPr>
          <w:rFonts w:hint="eastAsia" w:hAnsi="宋体"/>
          <w:color w:val="000000"/>
          <w:sz w:val="21"/>
          <w:szCs w:val="21"/>
        </w:rPr>
        <w:t>或以上。</w:t>
      </w:r>
    </w:p>
    <w:p>
      <w:pPr>
        <w:pStyle w:val="120"/>
        <w:numPr>
          <w:ilvl w:val="2"/>
          <w:numId w:val="36"/>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绝缘：</w:t>
      </w:r>
    </w:p>
    <w:p>
      <w:pPr>
        <w:numPr>
          <w:ilvl w:val="0"/>
          <w:numId w:val="37"/>
        </w:numPr>
        <w:autoSpaceDE w:val="0"/>
        <w:autoSpaceDN w:val="0"/>
        <w:adjustRightInd w:val="0"/>
        <w:spacing w:before="93" w:beforeLines="30" w:after="93" w:afterLines="30" w:line="300" w:lineRule="auto"/>
        <w:ind w:right="23"/>
        <w:jc w:val="left"/>
        <w:textAlignment w:val="bottom"/>
        <w:rPr>
          <w:rFonts w:ascii="宋体" w:hAnsi="宋体"/>
          <w:color w:val="000000"/>
          <w:szCs w:val="21"/>
        </w:rPr>
      </w:pPr>
      <w:r>
        <w:rPr>
          <w:rFonts w:hint="eastAsia" w:ascii="宋体" w:hAnsi="宋体"/>
          <w:color w:val="000000"/>
          <w:szCs w:val="21"/>
        </w:rPr>
        <w:t>额定电压U0/U：</w:t>
      </w:r>
      <w:r>
        <w:rPr>
          <w:rFonts w:hint="eastAsia" w:ascii="宋体" w:hAnsi="宋体"/>
          <w:color w:val="000000"/>
          <w:szCs w:val="21"/>
        </w:rPr>
        <w:tab/>
      </w:r>
      <w:r>
        <w:rPr>
          <w:rFonts w:hint="eastAsia" w:ascii="宋体" w:hAnsi="宋体"/>
          <w:color w:val="000000"/>
          <w:szCs w:val="21"/>
        </w:rPr>
        <w:t>300V/500V</w:t>
      </w:r>
    </w:p>
    <w:p>
      <w:pPr>
        <w:numPr>
          <w:ilvl w:val="0"/>
          <w:numId w:val="37"/>
        </w:numPr>
        <w:autoSpaceDE w:val="0"/>
        <w:autoSpaceDN w:val="0"/>
        <w:adjustRightInd w:val="0"/>
        <w:spacing w:before="93" w:beforeLines="30" w:after="93" w:afterLines="30" w:line="300" w:lineRule="auto"/>
        <w:ind w:right="23"/>
        <w:jc w:val="left"/>
        <w:textAlignment w:val="bottom"/>
        <w:rPr>
          <w:rFonts w:ascii="宋体" w:hAnsi="宋体"/>
          <w:color w:val="000000"/>
          <w:szCs w:val="21"/>
        </w:rPr>
      </w:pPr>
      <w:r>
        <w:rPr>
          <w:rFonts w:hint="eastAsia" w:ascii="宋体" w:hAnsi="宋体"/>
          <w:color w:val="000000"/>
          <w:szCs w:val="21"/>
        </w:rPr>
        <w:t>工作温度：电缆导体长期运行工作最高温度为200℃，最低温度－40℃。</w:t>
      </w:r>
    </w:p>
    <w:p>
      <w:pPr>
        <w:numPr>
          <w:ilvl w:val="0"/>
          <w:numId w:val="37"/>
        </w:numPr>
        <w:autoSpaceDE w:val="0"/>
        <w:autoSpaceDN w:val="0"/>
        <w:adjustRightInd w:val="0"/>
        <w:spacing w:before="93" w:beforeLines="30" w:after="93" w:afterLines="30" w:line="300" w:lineRule="auto"/>
        <w:ind w:right="23"/>
        <w:jc w:val="left"/>
        <w:textAlignment w:val="bottom"/>
        <w:rPr>
          <w:rFonts w:ascii="宋体" w:hAnsi="宋体"/>
          <w:color w:val="000000"/>
          <w:szCs w:val="21"/>
        </w:rPr>
      </w:pPr>
      <w:r>
        <w:rPr>
          <w:rFonts w:hint="eastAsia" w:ascii="宋体" w:hAnsi="宋体"/>
          <w:color w:val="000000"/>
          <w:szCs w:val="21"/>
        </w:rPr>
        <w:t>短路温度：短路时（最长持续时间不超过5s）电缆导体的最高温度不超过250℃。</w:t>
      </w:r>
    </w:p>
    <w:p>
      <w:pPr>
        <w:numPr>
          <w:ilvl w:val="0"/>
          <w:numId w:val="37"/>
        </w:numPr>
        <w:autoSpaceDE w:val="0"/>
        <w:autoSpaceDN w:val="0"/>
        <w:adjustRightInd w:val="0"/>
        <w:spacing w:before="93" w:beforeLines="30" w:after="93" w:afterLines="30" w:line="300" w:lineRule="auto"/>
        <w:ind w:right="23"/>
        <w:jc w:val="left"/>
        <w:textAlignment w:val="bottom"/>
        <w:rPr>
          <w:rFonts w:ascii="宋体" w:hAnsi="宋体"/>
          <w:color w:val="000000"/>
          <w:szCs w:val="21"/>
        </w:rPr>
      </w:pPr>
      <w:r>
        <w:rPr>
          <w:rFonts w:hint="eastAsia" w:ascii="宋体" w:hAnsi="宋体"/>
          <w:color w:val="000000"/>
          <w:szCs w:val="21"/>
        </w:rPr>
        <w:t>阻燃特性：阻燃材料耐105℃。</w:t>
      </w:r>
    </w:p>
    <w:p>
      <w:pPr>
        <w:pStyle w:val="120"/>
        <w:numPr>
          <w:ilvl w:val="2"/>
          <w:numId w:val="36"/>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标志：绝缘导体应根据ICEA方法2或方法4作上色码标志。</w:t>
      </w:r>
    </w:p>
    <w:p>
      <w:pPr>
        <w:pStyle w:val="120"/>
        <w:numPr>
          <w:ilvl w:val="1"/>
          <w:numId w:val="36"/>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4芯以上控制电缆应留有10%～20%的备用芯，芯数多的电缆取低值，但备用芯数最少不少于2。</w:t>
      </w:r>
    </w:p>
    <w:p>
      <w:pPr>
        <w:pStyle w:val="120"/>
        <w:numPr>
          <w:ilvl w:val="1"/>
          <w:numId w:val="36"/>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卖方应对本合同供货范围内的全部设备及电缆，编制端子结线图和电缆清册，每根电缆两端应设置与电缆清册上一致的识别编号。电缆清册应按买方认可的格式对每根电缆标明电缆型号、长度、起止位置及安装编号。</w:t>
      </w:r>
    </w:p>
    <w:p>
      <w:pPr>
        <w:pStyle w:val="120"/>
        <w:numPr>
          <w:ilvl w:val="1"/>
          <w:numId w:val="36"/>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交流U、V、W、N电缆的颜色分别为黄、绿、红、黑。</w:t>
      </w:r>
    </w:p>
    <w:p>
      <w:pPr>
        <w:pStyle w:val="120"/>
        <w:numPr>
          <w:ilvl w:val="0"/>
          <w:numId w:val="36"/>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导线端子和端子板</w:t>
      </w:r>
    </w:p>
    <w:p>
      <w:pPr>
        <w:pStyle w:val="120"/>
        <w:numPr>
          <w:ilvl w:val="1"/>
          <w:numId w:val="18"/>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总则</w:t>
      </w:r>
    </w:p>
    <w:p>
      <w:pPr>
        <w:spacing w:before="93" w:beforeLines="30" w:after="93" w:afterLines="30" w:line="300" w:lineRule="auto"/>
        <w:ind w:left="840" w:leftChars="400"/>
        <w:rPr>
          <w:rFonts w:ascii="宋体" w:hAnsi="宋体"/>
          <w:color w:val="000000"/>
          <w:szCs w:val="21"/>
        </w:rPr>
      </w:pPr>
      <w:r>
        <w:rPr>
          <w:rFonts w:hint="eastAsia" w:ascii="宋体" w:hAnsi="宋体"/>
          <w:color w:val="000000"/>
          <w:szCs w:val="21"/>
        </w:rPr>
        <w:t>设备内的电气接线应布置整齐、正确固定并连接至端子，所有控制、仪表和动力的外部连接只需接在设备内端子板的一侧。每组端子板应至少预留</w:t>
      </w:r>
      <w:r>
        <w:rPr>
          <w:rFonts w:ascii="宋体" w:hAnsi="宋体"/>
          <w:color w:val="000000"/>
          <w:szCs w:val="21"/>
        </w:rPr>
        <w:t>20%</w:t>
      </w:r>
      <w:r>
        <w:rPr>
          <w:rFonts w:hint="eastAsia" w:ascii="宋体" w:hAnsi="宋体"/>
          <w:color w:val="000000"/>
          <w:szCs w:val="21"/>
        </w:rPr>
        <w:t>的端子，任何一个端子板螺钉只能接1根导线。</w:t>
      </w:r>
    </w:p>
    <w:p>
      <w:pPr>
        <w:pStyle w:val="120"/>
        <w:numPr>
          <w:ilvl w:val="1"/>
          <w:numId w:val="18"/>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端子板</w:t>
      </w:r>
    </w:p>
    <w:p>
      <w:pPr>
        <w:spacing w:before="93" w:beforeLines="30" w:after="93" w:afterLines="30" w:line="300" w:lineRule="auto"/>
        <w:ind w:left="840" w:leftChars="400"/>
        <w:rPr>
          <w:rFonts w:ascii="宋体" w:hAnsi="宋体"/>
          <w:color w:val="000000"/>
          <w:szCs w:val="21"/>
        </w:rPr>
      </w:pPr>
      <w:r>
        <w:rPr>
          <w:rFonts w:hint="eastAsia" w:ascii="宋体" w:hAnsi="宋体"/>
          <w:color w:val="000000"/>
          <w:szCs w:val="21"/>
        </w:rPr>
        <w:t>端子板应为有隔板的凹式螺丝型端子，端子板的额定值如下：</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最高电压(AC)：</w:t>
      </w:r>
      <w:r>
        <w:rPr>
          <w:rFonts w:hint="eastAsia" w:ascii="宋体" w:hAnsi="宋体" w:cs="Arial"/>
          <w:szCs w:val="21"/>
        </w:rPr>
        <w:tab/>
      </w:r>
      <w:r>
        <w:rPr>
          <w:rFonts w:hint="eastAsia" w:ascii="宋体" w:hAnsi="宋体" w:cs="Arial"/>
          <w:szCs w:val="21"/>
        </w:rPr>
        <w:tab/>
      </w:r>
      <w:r>
        <w:rPr>
          <w:rFonts w:hint="eastAsia" w:ascii="宋体" w:hAnsi="宋体" w:cs="Arial"/>
          <w:szCs w:val="21"/>
        </w:rPr>
        <w:t>不低于600V</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最大电流(AC)：</w:t>
      </w:r>
      <w:r>
        <w:rPr>
          <w:rFonts w:hint="eastAsia" w:ascii="宋体" w:hAnsi="宋体" w:cs="Arial"/>
          <w:szCs w:val="21"/>
        </w:rPr>
        <w:tab/>
      </w:r>
      <w:r>
        <w:rPr>
          <w:rFonts w:hint="eastAsia" w:ascii="宋体" w:hAnsi="宋体" w:cs="Arial"/>
          <w:szCs w:val="21"/>
        </w:rPr>
        <w:tab/>
      </w:r>
      <w:r>
        <w:rPr>
          <w:rFonts w:hint="eastAsia" w:ascii="宋体" w:hAnsi="宋体" w:cs="Arial"/>
          <w:szCs w:val="21"/>
        </w:rPr>
        <w:t>不低于30A</w:t>
      </w:r>
    </w:p>
    <w:p>
      <w:pPr>
        <w:spacing w:before="93" w:beforeLines="30" w:after="93" w:afterLines="30" w:line="300" w:lineRule="auto"/>
        <w:ind w:left="840" w:leftChars="400"/>
        <w:rPr>
          <w:rFonts w:ascii="宋体" w:hAnsi="宋体"/>
          <w:color w:val="000000"/>
          <w:szCs w:val="21"/>
        </w:rPr>
      </w:pPr>
      <w:r>
        <w:rPr>
          <w:rFonts w:hint="eastAsia" w:ascii="宋体" w:hAnsi="宋体"/>
          <w:color w:val="000000"/>
          <w:szCs w:val="21"/>
        </w:rPr>
        <w:t>模拟量、控制、指示和电源回路应用独立的接线端子排，每一个独立端子排单独命名，端子采用数字编号，标识清晰牢固。电流互感器的二次侧引线应接于具有极性标志和铭牌的短路端子板上，交流电流和电压回路应使用试验端子。</w:t>
      </w:r>
    </w:p>
    <w:p>
      <w:pPr>
        <w:pStyle w:val="120"/>
        <w:numPr>
          <w:ilvl w:val="1"/>
          <w:numId w:val="18"/>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导线端子</w:t>
      </w:r>
    </w:p>
    <w:p>
      <w:pPr>
        <w:snapToGrid w:val="0"/>
        <w:spacing w:line="360" w:lineRule="auto"/>
        <w:ind w:left="993"/>
        <w:rPr>
          <w:rFonts w:ascii="宋体" w:hAnsi="宋体"/>
          <w:color w:val="000000"/>
          <w:szCs w:val="21"/>
        </w:rPr>
      </w:pPr>
      <w:r>
        <w:rPr>
          <w:rFonts w:hint="eastAsia" w:ascii="宋体" w:hAnsi="宋体"/>
          <w:color w:val="000000"/>
          <w:szCs w:val="21"/>
        </w:rPr>
        <w:t>导线应用导线端子与端子板或设备连接。导线端子规定如下：</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16mm</w:t>
      </w:r>
      <w:r>
        <w:rPr>
          <w:rFonts w:hint="eastAsia" w:ascii="宋体" w:hAnsi="宋体" w:cs="Arial"/>
          <w:szCs w:val="21"/>
          <w:vertAlign w:val="superscript"/>
        </w:rPr>
        <w:t>2</w:t>
      </w:r>
      <w:r>
        <w:rPr>
          <w:rFonts w:hint="eastAsia" w:ascii="宋体" w:hAnsi="宋体" w:cs="Arial"/>
          <w:szCs w:val="21"/>
        </w:rPr>
        <w:t>以下的导线应为园形舌片或铲形舌片，压接式铜线端子。</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16mm</w:t>
      </w:r>
      <w:r>
        <w:rPr>
          <w:rFonts w:hint="eastAsia" w:ascii="宋体" w:hAnsi="宋体" w:cs="Arial"/>
          <w:szCs w:val="21"/>
          <w:vertAlign w:val="superscript"/>
        </w:rPr>
        <w:t>2</w:t>
      </w:r>
      <w:r>
        <w:rPr>
          <w:rFonts w:hint="eastAsia" w:ascii="宋体" w:hAnsi="宋体" w:cs="Arial"/>
          <w:szCs w:val="21"/>
        </w:rPr>
        <w:t>及以上导线应为1孔或NEMA型2孔压接式铜线端子。</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控制回路端子可压接导线截面：     0.5～2.5mm</w:t>
      </w:r>
      <w:r>
        <w:rPr>
          <w:rFonts w:hint="eastAsia" w:ascii="宋体" w:hAnsi="宋体" w:cs="Arial"/>
          <w:szCs w:val="21"/>
          <w:vertAlign w:val="superscript"/>
        </w:rPr>
        <w:t>2</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控制电源回路端子可压接导线截面：2.5～10mm</w:t>
      </w:r>
      <w:r>
        <w:rPr>
          <w:rFonts w:hint="eastAsia" w:ascii="宋体" w:hAnsi="宋体" w:cs="Arial"/>
          <w:szCs w:val="21"/>
          <w:vertAlign w:val="superscript"/>
        </w:rPr>
        <w:t>2</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CT回路端子可压接导线截面： 4～10mm</w:t>
      </w:r>
      <w:r>
        <w:rPr>
          <w:rFonts w:hint="eastAsia" w:ascii="宋体" w:hAnsi="宋体" w:cs="Arial"/>
          <w:szCs w:val="21"/>
          <w:vertAlign w:val="superscript"/>
        </w:rPr>
        <w:t>2</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szCs w:val="21"/>
        </w:rPr>
        <w:t>控制柜内动力电源进、出线端子应与电动机功率及所选电缆相匹配。</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所有导线采用导线鼻子与端子排或设备连接；</w:t>
      </w:r>
    </w:p>
    <w:p>
      <w:pPr>
        <w:autoSpaceDE w:val="0"/>
        <w:autoSpaceDN w:val="0"/>
        <w:spacing w:before="50" w:after="156" w:afterLines="50" w:line="300" w:lineRule="exact"/>
        <w:ind w:left="210" w:leftChars="100" w:firstLine="735" w:firstLineChars="350"/>
        <w:textAlignment w:val="bottom"/>
        <w:rPr>
          <w:rFonts w:ascii="宋体" w:hAnsi="宋体" w:cs="Arial"/>
          <w:szCs w:val="21"/>
        </w:rPr>
      </w:pPr>
      <w:r>
        <w:rPr>
          <w:rFonts w:hint="eastAsia" w:ascii="宋体" w:hAnsi="宋体" w:cs="Arial"/>
          <w:szCs w:val="21"/>
        </w:rPr>
        <w:t>所有导线端子应有与要求或接线图一致的标志。</w:t>
      </w:r>
    </w:p>
    <w:p>
      <w:pPr>
        <w:pStyle w:val="120"/>
        <w:numPr>
          <w:ilvl w:val="1"/>
          <w:numId w:val="18"/>
        </w:numPr>
        <w:spacing w:before="93" w:beforeLines="30" w:after="93" w:afterLines="30" w:line="300" w:lineRule="auto"/>
        <w:ind w:left="1470" w:hanging="420"/>
        <w:rPr>
          <w:rFonts w:hAnsi="宋体"/>
          <w:color w:val="000000"/>
          <w:sz w:val="21"/>
          <w:szCs w:val="21"/>
        </w:rPr>
      </w:pPr>
      <w:bookmarkStart w:id="178" w:name="_Ref167874012"/>
      <w:bookmarkEnd w:id="178"/>
      <w:bookmarkStart w:id="179" w:name="_Toc143406403"/>
      <w:bookmarkEnd w:id="179"/>
      <w:bookmarkStart w:id="180" w:name="_Ref143529530"/>
      <w:bookmarkEnd w:id="180"/>
      <w:bookmarkStart w:id="181" w:name="_Ref164852291"/>
      <w:bookmarkEnd w:id="181"/>
      <w:bookmarkStart w:id="182" w:name="_Ref167871590"/>
      <w:bookmarkEnd w:id="182"/>
      <w:bookmarkStart w:id="183" w:name="_Ref143530171"/>
      <w:r>
        <w:rPr>
          <w:rFonts w:hint="eastAsia" w:hAnsi="宋体"/>
          <w:color w:val="000000"/>
          <w:sz w:val="21"/>
          <w:szCs w:val="21"/>
        </w:rPr>
        <w:t>线槽</w:t>
      </w:r>
      <w:bookmarkEnd w:id="183"/>
    </w:p>
    <w:p>
      <w:pPr>
        <w:pStyle w:val="120"/>
        <w:spacing w:before="93" w:beforeLines="30" w:after="93" w:afterLines="30" w:line="300" w:lineRule="auto"/>
        <w:ind w:left="1470" w:hanging="420"/>
        <w:rPr>
          <w:rFonts w:hAnsi="宋体"/>
          <w:color w:val="000000"/>
          <w:sz w:val="21"/>
          <w:szCs w:val="21"/>
        </w:rPr>
      </w:pPr>
      <w:r>
        <w:rPr>
          <w:rFonts w:hint="eastAsia" w:hAnsi="宋体"/>
          <w:color w:val="000000"/>
          <w:sz w:val="21"/>
          <w:szCs w:val="21"/>
        </w:rPr>
        <w:t>卖方应提供走线槽，以便于盘内保护装置及元器件的配线，固定电缆及端子排的接线。走线槽的配置应合理，固定可靠，线槽盖启闭密封性好。</w:t>
      </w:r>
    </w:p>
    <w:p>
      <w:pPr>
        <w:pStyle w:val="7"/>
        <w:widowControl w:val="0"/>
        <w:numPr>
          <w:ilvl w:val="2"/>
          <w:numId w:val="30"/>
        </w:numPr>
        <w:overflowPunct w:val="0"/>
        <w:snapToGrid/>
        <w:spacing w:before="93" w:beforeLines="30" w:after="93" w:afterLines="30" w:line="300" w:lineRule="auto"/>
        <w:jc w:val="both"/>
        <w:rPr>
          <w:rFonts w:ascii="宋体" w:hAnsi="宋体"/>
          <w:b/>
          <w:bCs/>
          <w:color w:val="000000"/>
          <w:sz w:val="21"/>
          <w:szCs w:val="21"/>
        </w:rPr>
      </w:pPr>
      <w:bookmarkStart w:id="184" w:name="_Ref224663508"/>
      <w:bookmarkEnd w:id="184"/>
      <w:r>
        <w:rPr>
          <w:rFonts w:hint="eastAsia" w:ascii="宋体" w:hAnsi="宋体"/>
          <w:b/>
          <w:bCs/>
          <w:color w:val="000000"/>
          <w:sz w:val="21"/>
          <w:szCs w:val="21"/>
        </w:rPr>
        <w:t>电气盘</w:t>
      </w:r>
    </w:p>
    <w:p>
      <w:pPr>
        <w:pStyle w:val="120"/>
        <w:numPr>
          <w:ilvl w:val="0"/>
          <w:numId w:val="38"/>
        </w:numPr>
        <w:spacing w:before="93" w:beforeLines="30" w:after="93" w:afterLines="30" w:line="300" w:lineRule="auto"/>
        <w:ind w:left="1470" w:hanging="420"/>
        <w:rPr>
          <w:rFonts w:hAnsi="宋体"/>
          <w:color w:val="000000"/>
          <w:sz w:val="21"/>
          <w:szCs w:val="21"/>
        </w:rPr>
      </w:pPr>
      <w:bookmarkStart w:id="185" w:name="_Toc457019814"/>
      <w:bookmarkEnd w:id="185"/>
      <w:bookmarkStart w:id="186" w:name="_Toc70996672"/>
      <w:bookmarkEnd w:id="186"/>
      <w:bookmarkStart w:id="187" w:name="_Toc73416766"/>
      <w:bookmarkEnd w:id="187"/>
      <w:bookmarkStart w:id="188" w:name="_Toc143406405"/>
      <w:bookmarkEnd w:id="188"/>
      <w:bookmarkStart w:id="189" w:name="_Toc73415968"/>
      <w:bookmarkEnd w:id="189"/>
      <w:bookmarkStart w:id="190" w:name="_Toc69733305"/>
      <w:bookmarkEnd w:id="190"/>
      <w:bookmarkStart w:id="191" w:name="_Toc70996978"/>
      <w:bookmarkEnd w:id="191"/>
      <w:bookmarkStart w:id="192" w:name="_Toc73416613"/>
      <w:bookmarkEnd w:id="192"/>
      <w:bookmarkStart w:id="193" w:name="_Toc75871213"/>
      <w:bookmarkEnd w:id="193"/>
      <w:bookmarkStart w:id="194" w:name="_Toc457019811"/>
      <w:bookmarkEnd w:id="194"/>
      <w:bookmarkStart w:id="195" w:name="_Toc107985965"/>
      <w:r>
        <w:rPr>
          <w:rFonts w:hint="eastAsia" w:hAnsi="宋体"/>
          <w:color w:val="000000"/>
          <w:sz w:val="21"/>
          <w:szCs w:val="21"/>
        </w:rPr>
        <w:t>概述</w:t>
      </w:r>
      <w:bookmarkEnd w:id="195"/>
    </w:p>
    <w:p>
      <w:pPr>
        <w:spacing w:line="360" w:lineRule="auto"/>
        <w:ind w:left="840" w:leftChars="400"/>
        <w:rPr>
          <w:rFonts w:ascii="宋体" w:hAnsi="宋体"/>
          <w:szCs w:val="21"/>
        </w:rPr>
      </w:pPr>
      <w:r>
        <w:rPr>
          <w:rFonts w:hint="eastAsia" w:ascii="宋体" w:hAnsi="宋体"/>
          <w:szCs w:val="21"/>
        </w:rPr>
        <w:t>应提供外表美观、经批准的全封闭的钢壳体来安装电气设备。壳体应由坚固的自支承的钢板制成，并经整体热镀锌处理，配装有密封件和铰链、长度为柜全长的门。门的位置应能方便设备维修。壳体的每扇门应装有安全锁。</w:t>
      </w:r>
    </w:p>
    <w:p>
      <w:pPr>
        <w:spacing w:line="360" w:lineRule="auto"/>
        <w:ind w:left="840" w:leftChars="400"/>
        <w:rPr>
          <w:rFonts w:ascii="宋体" w:hAnsi="宋体"/>
          <w:szCs w:val="21"/>
        </w:rPr>
      </w:pPr>
      <w:r>
        <w:rPr>
          <w:rFonts w:hint="eastAsia" w:ascii="宋体" w:hAnsi="宋体"/>
          <w:szCs w:val="21"/>
        </w:rPr>
        <w:t>电气盘面板由不小于2.5mm的薄钢板制成，壳体钢板厚度不小于2mm，接入系统二次设备盘柜尺寸应为800X600X2260（宽X深X高，mm），服务器柜尺寸应为800X1000X2260（宽X深X高，mm），其中屏柜高包括60mm盘顶档板的高度，用于放置屏柜铭牌，门轴设在面对盘面正面的左侧。若为其它尺寸，则需经买方的批准，但排在一起的盘柜高度应一致。电气盘采用点焊固定在预埋的槽钢上（槽钢不属本供货范围）。</w:t>
      </w:r>
    </w:p>
    <w:p>
      <w:pPr>
        <w:spacing w:line="360" w:lineRule="auto"/>
        <w:ind w:left="840" w:leftChars="400"/>
        <w:rPr>
          <w:rFonts w:ascii="宋体" w:hAnsi="宋体"/>
          <w:szCs w:val="21"/>
        </w:rPr>
      </w:pPr>
      <w:r>
        <w:rPr>
          <w:rFonts w:hint="eastAsia" w:ascii="宋体" w:hAnsi="宋体"/>
          <w:szCs w:val="21"/>
        </w:rPr>
        <w:t>盘面应平整。至少应涂有两层底漆，面漆用半光泽漆，色标采用RAL7035，电气盘柜的防护等级不低于IP41。壳体内应有内安装板以便安装电气设备。</w:t>
      </w:r>
      <w:r>
        <w:rPr>
          <w:rFonts w:hint="eastAsia" w:ascii="宋体" w:hAnsi="宋体"/>
          <w:color w:val="000000"/>
        </w:rPr>
        <w:t>在设计联络会上，买方提供公司</w:t>
      </w:r>
      <w:r>
        <w:rPr>
          <w:rFonts w:ascii="宋体" w:hAnsi="宋体"/>
          <w:color w:val="000000"/>
        </w:rPr>
        <w:t>LOGO</w:t>
      </w:r>
      <w:r>
        <w:rPr>
          <w:rFonts w:hint="eastAsia" w:ascii="宋体" w:hAnsi="宋体"/>
          <w:color w:val="000000"/>
        </w:rPr>
        <w:t>、盘柜名称及其布置方案。在设计联络会上最终确定面漆颜色。</w:t>
      </w:r>
    </w:p>
    <w:p>
      <w:pPr>
        <w:numPr>
          <w:ilvl w:val="0"/>
          <w:numId w:val="39"/>
        </w:numPr>
        <w:adjustRightInd w:val="0"/>
        <w:spacing w:line="360" w:lineRule="auto"/>
        <w:textAlignment w:val="baseline"/>
        <w:rPr>
          <w:rFonts w:ascii="宋体" w:hAnsi="宋体"/>
          <w:szCs w:val="21"/>
        </w:rPr>
      </w:pPr>
      <w:r>
        <w:rPr>
          <w:rFonts w:hint="eastAsia" w:ascii="宋体" w:hAnsi="宋体"/>
          <w:szCs w:val="21"/>
        </w:rPr>
        <w:t>盘（柜、箱）体进线</w:t>
      </w:r>
    </w:p>
    <w:p>
      <w:pPr>
        <w:spacing w:line="360" w:lineRule="auto"/>
        <w:ind w:left="840" w:leftChars="400"/>
        <w:rPr>
          <w:rFonts w:ascii="宋体" w:hAnsi="宋体"/>
          <w:szCs w:val="21"/>
        </w:rPr>
      </w:pPr>
      <w:r>
        <w:rPr>
          <w:rFonts w:hint="eastAsia" w:ascii="宋体" w:hAnsi="宋体"/>
          <w:szCs w:val="21"/>
        </w:rPr>
        <w:t>所有电气盘（柜、箱）体的顶部为全封闭结构, 盘柜电缆孔应装有防止电缆割伤的防护胶条,应采用下进线，具体进线方式在设计联络会上确定。电气盘、柜、箱体内的电器元件应为进线电缆的布置、固定、标牌安装预留充足的空间。进线的电气盘（柜、箱）体内的电器元件距离盘（柜、箱）面板的距离应不少于300mm。卖方应提供电气盘（柜、箱）的面板及内部元器件布置图。布置在柜外部的空开应加防护罩。</w:t>
      </w:r>
    </w:p>
    <w:p>
      <w:pPr>
        <w:numPr>
          <w:ilvl w:val="0"/>
          <w:numId w:val="39"/>
        </w:numPr>
        <w:adjustRightInd w:val="0"/>
        <w:spacing w:line="360" w:lineRule="auto"/>
        <w:textAlignment w:val="baseline"/>
        <w:rPr>
          <w:rFonts w:ascii="宋体" w:hAnsi="宋体"/>
          <w:szCs w:val="21"/>
        </w:rPr>
      </w:pPr>
      <w:r>
        <w:rPr>
          <w:rFonts w:hint="eastAsia" w:ascii="宋体" w:hAnsi="宋体"/>
          <w:szCs w:val="21"/>
        </w:rPr>
        <w:t>百页窗</w:t>
      </w:r>
    </w:p>
    <w:p>
      <w:pPr>
        <w:spacing w:line="360" w:lineRule="auto"/>
        <w:ind w:left="840" w:leftChars="400"/>
        <w:rPr>
          <w:rFonts w:ascii="宋体" w:hAnsi="宋体"/>
          <w:szCs w:val="21"/>
        </w:rPr>
      </w:pPr>
      <w:r>
        <w:rPr>
          <w:rFonts w:hint="eastAsia" w:ascii="宋体" w:hAnsi="宋体"/>
          <w:szCs w:val="21"/>
        </w:rPr>
        <w:t>电气盘柜应设置必要的通风孔或通风窗。百页窗应设计成能防止昆虫进入，或者窗前装有格网。设有通风机的进风口要加防尘滤网。</w:t>
      </w:r>
    </w:p>
    <w:p>
      <w:pPr>
        <w:numPr>
          <w:ilvl w:val="0"/>
          <w:numId w:val="39"/>
        </w:numPr>
        <w:adjustRightInd w:val="0"/>
        <w:spacing w:line="360" w:lineRule="auto"/>
        <w:textAlignment w:val="baseline"/>
        <w:rPr>
          <w:rFonts w:ascii="宋体" w:hAnsi="宋体"/>
          <w:szCs w:val="21"/>
        </w:rPr>
      </w:pPr>
      <w:r>
        <w:rPr>
          <w:rFonts w:hint="eastAsia" w:ascii="宋体" w:hAnsi="宋体"/>
          <w:szCs w:val="21"/>
        </w:rPr>
        <w:t>墙上安装的壳体</w:t>
      </w:r>
    </w:p>
    <w:p>
      <w:pPr>
        <w:spacing w:line="360" w:lineRule="auto"/>
        <w:ind w:left="840" w:leftChars="400"/>
        <w:rPr>
          <w:rFonts w:ascii="宋体" w:hAnsi="宋体"/>
          <w:szCs w:val="21"/>
        </w:rPr>
      </w:pPr>
      <w:r>
        <w:rPr>
          <w:rFonts w:hint="eastAsia" w:ascii="宋体" w:hAnsi="宋体"/>
          <w:szCs w:val="21"/>
        </w:rPr>
        <w:t>墙上安装的壳体应具有恰当的支撑措施以便将它安装在混凝土墙面上。支持及固定壳体的五金件，应由卖方提供。</w:t>
      </w:r>
    </w:p>
    <w:p>
      <w:pPr>
        <w:numPr>
          <w:ilvl w:val="0"/>
          <w:numId w:val="39"/>
        </w:numPr>
        <w:adjustRightInd w:val="0"/>
        <w:spacing w:line="360" w:lineRule="auto"/>
        <w:textAlignment w:val="baseline"/>
        <w:rPr>
          <w:rFonts w:ascii="宋体" w:hAnsi="宋体"/>
          <w:szCs w:val="21"/>
        </w:rPr>
      </w:pPr>
      <w:r>
        <w:rPr>
          <w:rFonts w:hint="eastAsia" w:ascii="宋体" w:hAnsi="宋体"/>
          <w:szCs w:val="21"/>
        </w:rPr>
        <w:t>楼板上安装的壳体</w:t>
      </w:r>
    </w:p>
    <w:p>
      <w:pPr>
        <w:spacing w:line="360" w:lineRule="auto"/>
        <w:ind w:left="840" w:leftChars="400"/>
        <w:rPr>
          <w:rFonts w:ascii="宋体" w:hAnsi="宋体"/>
          <w:szCs w:val="21"/>
        </w:rPr>
      </w:pPr>
      <w:r>
        <w:rPr>
          <w:rFonts w:hint="eastAsia" w:ascii="宋体" w:hAnsi="宋体"/>
          <w:szCs w:val="21"/>
        </w:rPr>
        <w:t>提供将盘柜固定在预埋槽钢上的设施，预埋槽钢由其它卖方提供。当开关柜或控制柜不止一面而排成一列时，壳体间应用螺栓连成整齐的一列。所有壳体内的母线（含截面应不小于40mm×5mm的接地铜母线）和连接线应由卖方提供和安装。壳体间的母线和连线应由卖方提供并由其他卖方安装。</w:t>
      </w:r>
    </w:p>
    <w:p>
      <w:pPr>
        <w:numPr>
          <w:ilvl w:val="0"/>
          <w:numId w:val="39"/>
        </w:numPr>
        <w:adjustRightInd w:val="0"/>
        <w:spacing w:line="360" w:lineRule="auto"/>
        <w:textAlignment w:val="baseline"/>
        <w:rPr>
          <w:rFonts w:ascii="宋体" w:hAnsi="宋体"/>
          <w:szCs w:val="21"/>
        </w:rPr>
      </w:pPr>
      <w:r>
        <w:rPr>
          <w:rFonts w:hint="eastAsia" w:ascii="宋体" w:hAnsi="宋体"/>
          <w:szCs w:val="21"/>
        </w:rPr>
        <w:t>盘柜抗振及防松设计</w:t>
      </w:r>
    </w:p>
    <w:p>
      <w:pPr>
        <w:spacing w:line="360" w:lineRule="auto"/>
        <w:ind w:left="840" w:leftChars="400"/>
        <w:rPr>
          <w:rFonts w:ascii="宋体" w:hAnsi="宋体"/>
          <w:szCs w:val="21"/>
        </w:rPr>
      </w:pPr>
      <w:r>
        <w:rPr>
          <w:rFonts w:hint="eastAsia" w:ascii="宋体" w:hAnsi="宋体"/>
          <w:szCs w:val="21"/>
        </w:rPr>
        <w:t>控制盘柜与基座间安装隔振器，形成弹性支撑以改变振源与基座之间的阻抗，使振源振动得到有效隔离。工控机硬盘采用悬置机构、锁定的插头式连接器和固定卡支架以获得足够的抗振和抗冲击性。</w:t>
      </w:r>
    </w:p>
    <w:p>
      <w:pPr>
        <w:numPr>
          <w:ilvl w:val="0"/>
          <w:numId w:val="39"/>
        </w:numPr>
        <w:adjustRightInd w:val="0"/>
        <w:spacing w:line="360" w:lineRule="auto"/>
        <w:textAlignment w:val="baseline"/>
        <w:rPr>
          <w:rFonts w:ascii="宋体" w:hAnsi="宋体"/>
          <w:szCs w:val="21"/>
        </w:rPr>
      </w:pPr>
      <w:r>
        <w:rPr>
          <w:rFonts w:hint="eastAsia" w:ascii="宋体" w:hAnsi="宋体"/>
          <w:szCs w:val="21"/>
        </w:rPr>
        <w:t>加热器和智能型恒温控制器</w:t>
      </w:r>
    </w:p>
    <w:p>
      <w:pPr>
        <w:spacing w:line="360" w:lineRule="auto"/>
        <w:ind w:left="840" w:leftChars="400"/>
        <w:rPr>
          <w:rFonts w:ascii="宋体" w:hAnsi="宋体"/>
          <w:szCs w:val="21"/>
        </w:rPr>
      </w:pPr>
      <w:bookmarkStart w:id="196" w:name="_Toc398731208"/>
      <w:bookmarkEnd w:id="196"/>
      <w:r>
        <w:rPr>
          <w:rFonts w:hint="eastAsia" w:ascii="宋体" w:hAnsi="宋体"/>
          <w:szCs w:val="21"/>
        </w:rPr>
        <w:t>为控制柜内的温度和湿度，柜内应装有加热器、风扇、智能型恒温控制器。加热器和风扇的放置应确保空气循环流畅，并在过热状态时不会损坏设备。加热器和风扇额定电压应为单相交流220V。加热器、风扇和智能型恒温控制器应带有投入/切除开关。风扇带有独立的电源开关，风扇安装的位置应满足盘柜带电运行时更换风扇的要求</w:t>
      </w:r>
    </w:p>
    <w:p>
      <w:pPr>
        <w:numPr>
          <w:ilvl w:val="0"/>
          <w:numId w:val="39"/>
        </w:numPr>
        <w:adjustRightInd w:val="0"/>
        <w:spacing w:line="360" w:lineRule="auto"/>
        <w:textAlignment w:val="baseline"/>
        <w:rPr>
          <w:rFonts w:ascii="宋体" w:hAnsi="宋体"/>
          <w:szCs w:val="21"/>
        </w:rPr>
      </w:pPr>
      <w:r>
        <w:rPr>
          <w:rFonts w:hint="eastAsia" w:ascii="宋体" w:hAnsi="宋体"/>
          <w:szCs w:val="21"/>
        </w:rPr>
        <w:t>电缆及电缆管的连接</w:t>
      </w:r>
    </w:p>
    <w:p>
      <w:pPr>
        <w:spacing w:line="360" w:lineRule="auto"/>
        <w:ind w:left="840" w:leftChars="400"/>
        <w:rPr>
          <w:rFonts w:ascii="宋体" w:hAnsi="宋体"/>
          <w:szCs w:val="21"/>
        </w:rPr>
      </w:pPr>
      <w:r>
        <w:rPr>
          <w:rFonts w:hint="eastAsia" w:ascii="宋体" w:hAnsi="宋体"/>
          <w:szCs w:val="21"/>
        </w:rPr>
        <w:t>对墙上安装的壳体，其顶部或底部应有可拆卸的带密封垫的板，以利现场为电缆管开孔。对楼板上安装的壳体，其顶部应有可拆卸的带密封垫的板，其底部应预留电缆敲落孔，以利电缆的引入，并有固定电缆的设施。</w:t>
      </w:r>
    </w:p>
    <w:p>
      <w:pPr>
        <w:numPr>
          <w:ilvl w:val="0"/>
          <w:numId w:val="39"/>
        </w:numPr>
        <w:adjustRightInd w:val="0"/>
        <w:spacing w:line="360" w:lineRule="auto"/>
        <w:textAlignment w:val="baseline"/>
        <w:rPr>
          <w:rFonts w:ascii="宋体" w:hAnsi="宋体"/>
          <w:szCs w:val="21"/>
        </w:rPr>
      </w:pPr>
      <w:r>
        <w:rPr>
          <w:rFonts w:hint="eastAsia" w:ascii="宋体" w:hAnsi="宋体"/>
          <w:szCs w:val="21"/>
        </w:rPr>
        <w:t>灯和插座</w:t>
      </w:r>
    </w:p>
    <w:p>
      <w:pPr>
        <w:spacing w:line="360" w:lineRule="auto"/>
        <w:ind w:left="840" w:leftChars="400"/>
        <w:rPr>
          <w:rFonts w:ascii="宋体" w:hAnsi="宋体"/>
          <w:szCs w:val="21"/>
        </w:rPr>
      </w:pPr>
      <w:r>
        <w:rPr>
          <w:rFonts w:hint="eastAsia" w:ascii="宋体" w:hAnsi="宋体"/>
          <w:szCs w:val="21"/>
        </w:rPr>
        <w:t>对柜正面垂直面积大于1.0m</w:t>
      </w:r>
      <w:r>
        <w:rPr>
          <w:rFonts w:hint="eastAsia" w:ascii="宋体" w:hAnsi="宋体"/>
          <w:szCs w:val="21"/>
          <w:vertAlign w:val="superscript"/>
        </w:rPr>
        <w:t>2</w:t>
      </w:r>
      <w:r>
        <w:rPr>
          <w:rFonts w:hint="eastAsia" w:ascii="宋体" w:hAnsi="宋体"/>
          <w:szCs w:val="21"/>
        </w:rPr>
        <w:t>的壳体，其壳体内应装有1盏灯和1个插座，以方便运行和维修。灯应是节能型光源，灯具应带保护罩，并带有护线板和电源开关。插座应为双联（二孔和三孔）、10A、两极、三线式。灯和插座的动力电源为单相交流220V，插座回路开关带30mA漏电电流动作保护开关。插座和插板必须使用工业级产品，每个插口均需有单独开关控制。</w:t>
      </w:r>
    </w:p>
    <w:p>
      <w:pPr>
        <w:numPr>
          <w:ilvl w:val="0"/>
          <w:numId w:val="39"/>
        </w:numPr>
        <w:adjustRightInd w:val="0"/>
        <w:spacing w:line="360" w:lineRule="auto"/>
        <w:textAlignment w:val="baseline"/>
        <w:rPr>
          <w:rFonts w:ascii="宋体" w:hAnsi="宋体"/>
          <w:szCs w:val="21"/>
        </w:rPr>
      </w:pPr>
      <w:r>
        <w:rPr>
          <w:rFonts w:hint="eastAsia" w:ascii="宋体" w:hAnsi="宋体"/>
          <w:szCs w:val="21"/>
        </w:rPr>
        <w:t>接地</w:t>
      </w:r>
      <w:r>
        <w:rPr>
          <w:rFonts w:hint="eastAsia" w:ascii="宋体" w:hAnsi="宋体"/>
          <w:color w:val="000000"/>
          <w:szCs w:val="21"/>
        </w:rPr>
        <w:t>（应满足电网反措要求）</w:t>
      </w:r>
    </w:p>
    <w:p>
      <w:pPr>
        <w:numPr>
          <w:ilvl w:val="1"/>
          <w:numId w:val="40"/>
        </w:numPr>
        <w:adjustRightInd w:val="0"/>
        <w:spacing w:line="360" w:lineRule="auto"/>
        <w:textAlignment w:val="baseline"/>
        <w:rPr>
          <w:rFonts w:ascii="宋体" w:hAnsi="宋体"/>
          <w:szCs w:val="21"/>
        </w:rPr>
      </w:pPr>
      <w:r>
        <w:rPr>
          <w:rFonts w:hint="eastAsia" w:ascii="宋体" w:hAnsi="宋体"/>
          <w:szCs w:val="21"/>
        </w:rPr>
        <w:t>保护接地：柜内应装有保护接地铜母线，该铜母线截面应不小于100mm</w:t>
      </w:r>
      <w:r>
        <w:rPr>
          <w:rFonts w:hint="eastAsia" w:ascii="宋体" w:hAnsi="宋体"/>
          <w:szCs w:val="21"/>
          <w:vertAlign w:val="superscript"/>
        </w:rPr>
        <w:t>2</w:t>
      </w:r>
      <w:r>
        <w:rPr>
          <w:rFonts w:hint="eastAsia" w:ascii="宋体" w:hAnsi="宋体"/>
          <w:szCs w:val="21"/>
        </w:rPr>
        <w:t>并安装在柜的宽度方向上。柜的框架和所有设备的其它不载流金属部件都应和接地母线可靠连接，铜母线应装有连接接地导体的端子，并应采用良好的防锈措施。该接地母线应至少在两个位置与电站接地网相连，且铜质连接线的截面不小于100mm</w:t>
      </w:r>
      <w:r>
        <w:rPr>
          <w:rFonts w:hint="eastAsia" w:ascii="宋体" w:hAnsi="宋体"/>
          <w:szCs w:val="21"/>
          <w:vertAlign w:val="superscript"/>
        </w:rPr>
        <w:t>2</w:t>
      </w:r>
      <w:r>
        <w:rPr>
          <w:rFonts w:hint="eastAsia" w:ascii="宋体" w:hAnsi="宋体"/>
          <w:szCs w:val="21"/>
        </w:rPr>
        <w:t>。柜上还应提供每个屏蔽设备用的接地端子。</w:t>
      </w:r>
    </w:p>
    <w:p>
      <w:pPr>
        <w:numPr>
          <w:ilvl w:val="1"/>
          <w:numId w:val="40"/>
        </w:numPr>
        <w:adjustRightInd w:val="0"/>
        <w:spacing w:line="360" w:lineRule="auto"/>
        <w:textAlignment w:val="baseline"/>
        <w:rPr>
          <w:rFonts w:ascii="宋体" w:hAnsi="宋体"/>
          <w:szCs w:val="21"/>
        </w:rPr>
      </w:pPr>
      <w:r>
        <w:rPr>
          <w:rFonts w:hint="eastAsia" w:ascii="宋体" w:hAnsi="宋体"/>
          <w:szCs w:val="21"/>
        </w:rPr>
        <w:t>工作接地：柜内应装有工作接地铜母线，该铜母线截面应不小于100mm</w:t>
      </w:r>
      <w:r>
        <w:rPr>
          <w:rFonts w:hint="eastAsia" w:ascii="宋体" w:hAnsi="宋体"/>
          <w:szCs w:val="21"/>
          <w:vertAlign w:val="superscript"/>
        </w:rPr>
        <w:t>2</w:t>
      </w:r>
      <w:r>
        <w:rPr>
          <w:rFonts w:hint="eastAsia" w:ascii="宋体" w:hAnsi="宋体"/>
          <w:szCs w:val="21"/>
        </w:rPr>
        <w:t>，并使用小绝缘子架起（与柜体绝缘），安装在柜的宽度方向上。屏柜内装置的接地端子应采用截面不小于4mm</w:t>
      </w:r>
      <w:r>
        <w:rPr>
          <w:rFonts w:hint="eastAsia" w:ascii="宋体" w:hAnsi="宋体"/>
          <w:szCs w:val="21"/>
          <w:vertAlign w:val="superscript"/>
        </w:rPr>
        <w:t>2</w:t>
      </w:r>
      <w:r>
        <w:rPr>
          <w:rFonts w:hint="eastAsia" w:ascii="宋体" w:hAnsi="宋体"/>
          <w:szCs w:val="21"/>
        </w:rPr>
        <w:t>多股黄绿接地线和此接地铜排相连，屏柜内二次回路的电缆屏蔽层应采用不小于4mm</w:t>
      </w:r>
      <w:r>
        <w:rPr>
          <w:rFonts w:hint="eastAsia" w:ascii="宋体" w:hAnsi="宋体"/>
          <w:szCs w:val="21"/>
          <w:vertAlign w:val="superscript"/>
        </w:rPr>
        <w:t>2</w:t>
      </w:r>
      <w:r>
        <w:rPr>
          <w:rFonts w:hint="eastAsia" w:ascii="宋体" w:hAnsi="宋体"/>
          <w:szCs w:val="21"/>
        </w:rPr>
        <w:t>的多股铜线和此接地铜排相连，接地铜排应用截面不小于50mm</w:t>
      </w:r>
      <w:r>
        <w:rPr>
          <w:rFonts w:hint="eastAsia" w:ascii="宋体" w:hAnsi="宋体"/>
          <w:szCs w:val="21"/>
          <w:vertAlign w:val="superscript"/>
        </w:rPr>
        <w:t>2</w:t>
      </w:r>
      <w:r>
        <w:rPr>
          <w:rFonts w:hint="eastAsia" w:ascii="宋体" w:hAnsi="宋体"/>
          <w:szCs w:val="21"/>
        </w:rPr>
        <w:t>的铜缆与保护室内的等电位接地网相连。</w:t>
      </w:r>
    </w:p>
    <w:p>
      <w:pPr>
        <w:numPr>
          <w:ilvl w:val="1"/>
          <w:numId w:val="40"/>
        </w:numPr>
        <w:adjustRightInd w:val="0"/>
        <w:spacing w:line="360" w:lineRule="auto"/>
        <w:textAlignment w:val="baseline"/>
        <w:rPr>
          <w:rFonts w:ascii="宋体" w:hAnsi="宋体"/>
          <w:szCs w:val="21"/>
        </w:rPr>
      </w:pPr>
      <w:r>
        <w:rPr>
          <w:rFonts w:hint="eastAsia" w:ascii="宋体" w:hAnsi="宋体"/>
          <w:szCs w:val="21"/>
        </w:rPr>
        <w:t>每个屏柜背后方的基础两端外侧应配有一M12的接地跨接线连接镀锌螺栓，以便设备安装就位后屏柜有明显可见的接地跨接线，接地跨接线采用截面不小于40×5mm</w:t>
      </w:r>
      <w:r>
        <w:rPr>
          <w:rFonts w:hint="eastAsia" w:ascii="宋体" w:hAnsi="宋体"/>
          <w:szCs w:val="21"/>
          <w:vertAlign w:val="superscript"/>
        </w:rPr>
        <w:t>2</w:t>
      </w:r>
      <w:r>
        <w:rPr>
          <w:rFonts w:hint="eastAsia" w:ascii="宋体" w:hAnsi="宋体"/>
          <w:szCs w:val="21"/>
        </w:rPr>
        <w:t>的铜排，长度由本标承包商确定并提供。</w:t>
      </w:r>
    </w:p>
    <w:p>
      <w:pPr>
        <w:numPr>
          <w:ilvl w:val="0"/>
          <w:numId w:val="39"/>
        </w:numPr>
        <w:adjustRightInd w:val="0"/>
        <w:spacing w:line="360" w:lineRule="auto"/>
        <w:textAlignment w:val="baseline"/>
        <w:rPr>
          <w:rFonts w:ascii="宋体" w:hAnsi="宋体"/>
          <w:szCs w:val="21"/>
        </w:rPr>
      </w:pPr>
      <w:r>
        <w:rPr>
          <w:rFonts w:hint="eastAsia" w:ascii="宋体" w:hAnsi="宋体"/>
          <w:szCs w:val="21"/>
        </w:rPr>
        <w:t>标志</w:t>
      </w:r>
    </w:p>
    <w:p>
      <w:pPr>
        <w:spacing w:line="360" w:lineRule="auto"/>
        <w:ind w:left="840" w:leftChars="400"/>
        <w:rPr>
          <w:rFonts w:ascii="宋体" w:hAnsi="宋体"/>
          <w:szCs w:val="21"/>
        </w:rPr>
      </w:pPr>
      <w:r>
        <w:rPr>
          <w:rFonts w:hint="eastAsia" w:ascii="宋体" w:hAnsi="宋体"/>
          <w:szCs w:val="21"/>
        </w:rPr>
        <w:t>壳体内的电缆和电线端部应有粘性的、自层压型的标志加以识别。标志上应印有与卖方图纸相符的电缆或电线的编号。标志上应有透明的层压表层，该表层能耐油、耐磨擦和耐高温。</w:t>
      </w:r>
    </w:p>
    <w:p>
      <w:pPr>
        <w:pStyle w:val="120"/>
        <w:numPr>
          <w:ilvl w:val="0"/>
          <w:numId w:val="38"/>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组件布置</w:t>
      </w:r>
    </w:p>
    <w:p>
      <w:pPr>
        <w:spacing w:line="360" w:lineRule="auto"/>
        <w:ind w:left="840" w:leftChars="400"/>
        <w:rPr>
          <w:rFonts w:ascii="宋体" w:hAnsi="宋体"/>
          <w:szCs w:val="21"/>
        </w:rPr>
      </w:pPr>
      <w:r>
        <w:rPr>
          <w:rFonts w:hint="eastAsia" w:ascii="宋体" w:hAnsi="宋体"/>
          <w:szCs w:val="21"/>
        </w:rPr>
        <w:t>盘面组件的布置应均匀、整齐。尽可能对称，便于检修、操作和监视。不同电压等级的交流回路应分隔。面对电气盘正面，交流回路的组件相序排列从左到右或从上到下为A－B－C－N。</w:t>
      </w:r>
    </w:p>
    <w:p>
      <w:pPr>
        <w:pStyle w:val="120"/>
        <w:numPr>
          <w:ilvl w:val="0"/>
          <w:numId w:val="38"/>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盘内接线</w:t>
      </w:r>
    </w:p>
    <w:p>
      <w:pPr>
        <w:spacing w:line="360" w:lineRule="auto"/>
        <w:ind w:left="840" w:leftChars="400"/>
        <w:rPr>
          <w:rFonts w:ascii="宋体" w:hAnsi="宋体"/>
          <w:szCs w:val="21"/>
        </w:rPr>
      </w:pPr>
      <w:r>
        <w:rPr>
          <w:rFonts w:hint="eastAsia" w:ascii="宋体" w:hAnsi="宋体"/>
          <w:szCs w:val="21"/>
        </w:rPr>
        <w:t>每块盘的左、右两侧应设置端子排，以连接盘内、外的导线。每个端子的一端一般只连接1根导线。</w:t>
      </w:r>
    </w:p>
    <w:p>
      <w:pPr>
        <w:spacing w:line="360" w:lineRule="auto"/>
        <w:ind w:left="840" w:leftChars="400"/>
        <w:rPr>
          <w:rFonts w:ascii="宋体" w:hAnsi="宋体"/>
          <w:szCs w:val="21"/>
        </w:rPr>
      </w:pPr>
      <w:r>
        <w:rPr>
          <w:rFonts w:hint="eastAsia" w:ascii="宋体" w:hAnsi="宋体"/>
          <w:szCs w:val="21"/>
        </w:rPr>
        <w:t>柜内元器件电源接线不得采取并接方式，应单独从端子排引接。</w:t>
      </w:r>
    </w:p>
    <w:p>
      <w:pPr>
        <w:spacing w:line="360" w:lineRule="auto"/>
        <w:ind w:left="840" w:leftChars="400"/>
        <w:rPr>
          <w:rFonts w:ascii="宋体" w:hAnsi="宋体"/>
          <w:szCs w:val="21"/>
        </w:rPr>
      </w:pPr>
      <w:r>
        <w:rPr>
          <w:rFonts w:hint="eastAsia" w:ascii="宋体" w:hAnsi="宋体"/>
          <w:szCs w:val="21"/>
        </w:rPr>
        <w:t>盘内组件应用绝缘铜导线直接连接，不允许在中间搭接或“T”接。盘内导线应整齐排列并适当固定。</w:t>
      </w:r>
    </w:p>
    <w:p>
      <w:pPr>
        <w:spacing w:line="360" w:lineRule="auto"/>
        <w:ind w:left="840" w:leftChars="400"/>
        <w:rPr>
          <w:rFonts w:ascii="宋体" w:hAnsi="宋体"/>
          <w:szCs w:val="21"/>
        </w:rPr>
      </w:pPr>
      <w:r>
        <w:rPr>
          <w:rFonts w:hint="eastAsia" w:ascii="宋体" w:hAnsi="宋体"/>
          <w:szCs w:val="21"/>
        </w:rPr>
        <w:t>强电和弱电布线应分开，以免互相干扰，活动门上器具的连线应是用具有耐伸曲的软线。</w:t>
      </w:r>
    </w:p>
    <w:p>
      <w:pPr>
        <w:spacing w:line="360" w:lineRule="auto"/>
        <w:ind w:left="840" w:leftChars="400"/>
        <w:rPr>
          <w:rFonts w:ascii="宋体" w:hAnsi="宋体"/>
          <w:szCs w:val="21"/>
        </w:rPr>
      </w:pPr>
      <w:r>
        <w:rPr>
          <w:rFonts w:hint="eastAsia" w:ascii="宋体" w:hAnsi="宋体"/>
          <w:szCs w:val="21"/>
        </w:rPr>
        <w:t>组件和电缆应有防止电磁干扰和隔热的措施。所有其它组件与电子元件连接时，若组件的工作电压大于电子元件的开路电压时，应有相应的隔离措施。</w:t>
      </w:r>
    </w:p>
    <w:p>
      <w:pPr>
        <w:spacing w:line="360" w:lineRule="auto"/>
        <w:ind w:left="840" w:leftChars="400"/>
        <w:rPr>
          <w:rFonts w:ascii="宋体" w:hAnsi="宋体"/>
          <w:szCs w:val="21"/>
        </w:rPr>
      </w:pPr>
      <w:r>
        <w:rPr>
          <w:rFonts w:hint="eastAsia" w:ascii="宋体" w:hAnsi="宋体"/>
          <w:szCs w:val="21"/>
        </w:rPr>
        <w:t>面对电气盘正面，交流回路的导体相序从左到右、从上到下、从后到前，应为A－B－C－N；直流回路的导体极性从左到右、从上到下、从后到前为正－负。</w:t>
      </w:r>
    </w:p>
    <w:p>
      <w:pPr>
        <w:spacing w:line="360" w:lineRule="auto"/>
        <w:ind w:left="840" w:leftChars="400"/>
        <w:rPr>
          <w:rFonts w:ascii="宋体" w:hAnsi="宋体"/>
          <w:szCs w:val="21"/>
        </w:rPr>
      </w:pPr>
      <w:r>
        <w:rPr>
          <w:rFonts w:hint="eastAsia" w:ascii="宋体" w:hAnsi="宋体"/>
          <w:szCs w:val="21"/>
        </w:rPr>
        <w:t>盘内连接导体的颜色，交流回路A、B、C、N、PE电缆的颜色分别为黄、绿、红、浅蓝，接地线为黄底绿条；直流正极回路赭色，直流负极回路蓝色。</w:t>
      </w:r>
    </w:p>
    <w:p>
      <w:pPr>
        <w:spacing w:line="360" w:lineRule="auto"/>
        <w:ind w:left="840" w:leftChars="400"/>
        <w:rPr>
          <w:rFonts w:ascii="宋体" w:hAnsi="宋体"/>
          <w:szCs w:val="21"/>
        </w:rPr>
      </w:pPr>
      <w:r>
        <w:rPr>
          <w:rFonts w:hint="eastAsia" w:ascii="宋体" w:hAnsi="宋体"/>
          <w:szCs w:val="21"/>
        </w:rPr>
        <w:t>为保证漏电开关准确动作，该处盘柜内中性线N严禁接地。</w:t>
      </w:r>
    </w:p>
    <w:p>
      <w:pPr>
        <w:pStyle w:val="6"/>
        <w:widowControl w:val="0"/>
        <w:numPr>
          <w:ilvl w:val="1"/>
          <w:numId w:val="16"/>
        </w:numPr>
        <w:tabs>
          <w:tab w:val="left" w:pos="709"/>
          <w:tab w:val="clear" w:pos="964"/>
        </w:tabs>
        <w:snapToGrid/>
        <w:spacing w:before="93" w:beforeLines="30" w:after="93" w:afterLines="30" w:line="300" w:lineRule="auto"/>
        <w:jc w:val="both"/>
        <w:rPr>
          <w:rFonts w:ascii="宋体" w:hAnsi="宋体"/>
          <w:sz w:val="24"/>
          <w:szCs w:val="24"/>
        </w:rPr>
      </w:pPr>
      <w:bookmarkStart w:id="197" w:name="_Toc515872327"/>
      <w:bookmarkEnd w:id="197"/>
      <w:bookmarkStart w:id="198" w:name="_Toc57986329"/>
      <w:bookmarkStart w:id="199" w:name="_Toc72415697"/>
      <w:bookmarkStart w:id="200" w:name="_Toc143589469"/>
      <w:r>
        <w:rPr>
          <w:rFonts w:hint="eastAsia" w:ascii="宋体" w:hAnsi="宋体"/>
          <w:sz w:val="24"/>
          <w:szCs w:val="24"/>
        </w:rPr>
        <w:t>铭牌与标牌</w:t>
      </w:r>
      <w:bookmarkEnd w:id="198"/>
      <w:bookmarkEnd w:id="199"/>
      <w:bookmarkEnd w:id="200"/>
    </w:p>
    <w:p>
      <w:pPr>
        <w:pStyle w:val="7"/>
        <w:widowControl w:val="0"/>
        <w:numPr>
          <w:ilvl w:val="2"/>
          <w:numId w:val="41"/>
        </w:numPr>
        <w:overflowPunct w:val="0"/>
        <w:spacing w:line="360" w:lineRule="auto"/>
        <w:jc w:val="both"/>
        <w:rPr>
          <w:rFonts w:ascii="宋体" w:hAnsi="宋体"/>
          <w:b/>
          <w:bCs/>
          <w:color w:val="000000"/>
          <w:sz w:val="21"/>
          <w:szCs w:val="21"/>
        </w:rPr>
      </w:pPr>
      <w:bookmarkStart w:id="201" w:name="_Toc12378837"/>
      <w:bookmarkEnd w:id="201"/>
      <w:bookmarkStart w:id="202" w:name="_Toc57986330"/>
      <w:bookmarkEnd w:id="202"/>
      <w:bookmarkStart w:id="203" w:name="_Toc31720474"/>
      <w:r>
        <w:rPr>
          <w:rFonts w:hint="eastAsia" w:ascii="宋体" w:hAnsi="宋体"/>
          <w:b/>
          <w:bCs/>
          <w:color w:val="000000"/>
          <w:sz w:val="21"/>
          <w:szCs w:val="21"/>
        </w:rPr>
        <w:t>概述</w:t>
      </w:r>
      <w:bookmarkEnd w:id="203"/>
    </w:p>
    <w:p>
      <w:pPr>
        <w:adjustRightInd w:val="0"/>
        <w:snapToGrid w:val="0"/>
        <w:spacing w:line="360" w:lineRule="auto"/>
        <w:ind w:left="960"/>
        <w:rPr>
          <w:rFonts w:ascii="宋体" w:hAnsi="宋体"/>
          <w:color w:val="000000"/>
          <w:szCs w:val="21"/>
        </w:rPr>
      </w:pPr>
      <w:r>
        <w:rPr>
          <w:rFonts w:hint="eastAsia" w:ascii="宋体" w:hAnsi="宋体"/>
          <w:color w:val="000000"/>
          <w:szCs w:val="21"/>
        </w:rPr>
        <w:t>每一项主要的设备与辅助设备均应有一个永久固定的铭牌，铭牌应清楚标出序号、制造厂家的名称、规格、特性、重量、出厂日期以及其它有用的数据。刻度盘、表计和铭牌均应以国际制单位(SI)表示。为了工作人员操作的安全，应提供专门的标牌以表明主要的操作说明、注意事项或警告。另外，盘上装的每一个仪表、位置指示器、按钮、开关、灯或其它类似设备应有永久性的标牌以表明控制功能。电气接线和仪表(包括继电器)也应标有编号并与电气控制图上的编号相对应。</w:t>
      </w:r>
    </w:p>
    <w:p>
      <w:pPr>
        <w:pStyle w:val="7"/>
        <w:widowControl w:val="0"/>
        <w:numPr>
          <w:ilvl w:val="2"/>
          <w:numId w:val="41"/>
        </w:numPr>
        <w:overflowPunct w:val="0"/>
        <w:spacing w:line="360" w:lineRule="auto"/>
        <w:jc w:val="both"/>
        <w:rPr>
          <w:rFonts w:ascii="宋体" w:hAnsi="宋体"/>
          <w:b/>
          <w:bCs/>
          <w:color w:val="000000"/>
          <w:sz w:val="21"/>
          <w:szCs w:val="21"/>
        </w:rPr>
      </w:pPr>
      <w:bookmarkStart w:id="204" w:name="_Toc12378838"/>
      <w:bookmarkEnd w:id="204"/>
      <w:bookmarkStart w:id="205" w:name="_Toc31720475"/>
      <w:bookmarkEnd w:id="205"/>
      <w:bookmarkStart w:id="206" w:name="_Toc57986331"/>
      <w:r>
        <w:rPr>
          <w:rFonts w:hint="eastAsia" w:ascii="宋体" w:hAnsi="宋体"/>
          <w:b/>
          <w:bCs/>
          <w:color w:val="000000"/>
          <w:sz w:val="21"/>
          <w:szCs w:val="21"/>
        </w:rPr>
        <w:t>文字</w:t>
      </w:r>
      <w:bookmarkEnd w:id="206"/>
    </w:p>
    <w:p>
      <w:pPr>
        <w:adjustRightInd w:val="0"/>
        <w:snapToGrid w:val="0"/>
        <w:spacing w:line="360" w:lineRule="auto"/>
        <w:ind w:left="960"/>
        <w:rPr>
          <w:rFonts w:ascii="宋体" w:hAnsi="宋体"/>
          <w:color w:val="000000"/>
          <w:szCs w:val="21"/>
        </w:rPr>
      </w:pPr>
      <w:r>
        <w:rPr>
          <w:rFonts w:hint="eastAsia" w:ascii="宋体" w:hAnsi="宋体"/>
          <w:color w:val="000000"/>
          <w:szCs w:val="21"/>
        </w:rPr>
        <w:t>主要设备铭牌均应使用中文刻制，其它设备铭牌应使用中文刻制，并能抗气候的影响。所有的铭牌和标牌应永久性地安装在相应的设备上，其位置应清楚易见。刻制大写中文印刷体，字体应清晰可见。</w:t>
      </w:r>
    </w:p>
    <w:p>
      <w:pPr>
        <w:pStyle w:val="7"/>
        <w:widowControl w:val="0"/>
        <w:numPr>
          <w:ilvl w:val="2"/>
          <w:numId w:val="41"/>
        </w:numPr>
        <w:overflowPunct w:val="0"/>
        <w:spacing w:line="360" w:lineRule="auto"/>
        <w:jc w:val="both"/>
        <w:rPr>
          <w:rFonts w:ascii="宋体" w:hAnsi="宋体"/>
          <w:b/>
          <w:bCs/>
          <w:sz w:val="21"/>
          <w:szCs w:val="21"/>
        </w:rPr>
      </w:pPr>
      <w:bookmarkStart w:id="207" w:name="_Toc57986332"/>
      <w:bookmarkEnd w:id="207"/>
      <w:bookmarkStart w:id="208" w:name="_Toc12378839"/>
      <w:bookmarkEnd w:id="208"/>
      <w:bookmarkStart w:id="209" w:name="_Toc31720476"/>
      <w:r>
        <w:rPr>
          <w:rFonts w:hint="eastAsia" w:ascii="宋体" w:hAnsi="宋体"/>
          <w:b/>
          <w:bCs/>
          <w:color w:val="000000"/>
          <w:sz w:val="21"/>
          <w:szCs w:val="21"/>
        </w:rPr>
        <w:t>审批</w:t>
      </w:r>
      <w:bookmarkEnd w:id="209"/>
      <w:bookmarkStart w:id="210" w:name="_Toc12378840"/>
      <w:bookmarkEnd w:id="210"/>
    </w:p>
    <w:p>
      <w:pPr>
        <w:adjustRightInd w:val="0"/>
        <w:snapToGrid w:val="0"/>
        <w:spacing w:line="360" w:lineRule="auto"/>
        <w:ind w:left="960"/>
        <w:rPr>
          <w:rFonts w:ascii="宋体" w:hAnsi="宋体"/>
          <w:color w:val="000000"/>
          <w:szCs w:val="21"/>
        </w:rPr>
      </w:pPr>
      <w:r>
        <w:rPr>
          <w:rFonts w:hint="eastAsia" w:ascii="宋体" w:hAnsi="宋体"/>
          <w:color w:val="000000"/>
          <w:szCs w:val="21"/>
        </w:rPr>
        <w:t>装设在供货设备上的铭牌的清单及图样应提交买方审查。</w:t>
      </w:r>
    </w:p>
    <w:p>
      <w:pPr>
        <w:pStyle w:val="6"/>
        <w:widowControl w:val="0"/>
        <w:numPr>
          <w:ilvl w:val="1"/>
          <w:numId w:val="16"/>
        </w:numPr>
        <w:tabs>
          <w:tab w:val="left" w:pos="709"/>
          <w:tab w:val="clear" w:pos="964"/>
        </w:tabs>
        <w:snapToGrid/>
        <w:spacing w:before="93" w:beforeLines="30" w:after="93" w:afterLines="30" w:line="300" w:lineRule="auto"/>
        <w:jc w:val="both"/>
        <w:rPr>
          <w:rFonts w:ascii="宋体" w:hAnsi="宋体"/>
          <w:sz w:val="24"/>
          <w:szCs w:val="24"/>
        </w:rPr>
      </w:pPr>
      <w:bookmarkStart w:id="211" w:name="_Toc457019813"/>
      <w:bookmarkEnd w:id="211"/>
      <w:bookmarkStart w:id="212" w:name="_Toc70996979"/>
      <w:bookmarkEnd w:id="212"/>
      <w:bookmarkStart w:id="213" w:name="_Toc69733304"/>
      <w:bookmarkEnd w:id="213"/>
      <w:bookmarkStart w:id="214" w:name="_Toc75871214"/>
      <w:bookmarkEnd w:id="214"/>
      <w:bookmarkStart w:id="215" w:name="_Toc70996673"/>
      <w:bookmarkEnd w:id="215"/>
      <w:bookmarkStart w:id="216" w:name="_Toc73416767"/>
      <w:bookmarkEnd w:id="216"/>
      <w:bookmarkStart w:id="217" w:name="_Toc57986333"/>
      <w:bookmarkEnd w:id="217"/>
      <w:bookmarkStart w:id="218" w:name="_Toc143406409"/>
      <w:bookmarkEnd w:id="218"/>
      <w:bookmarkStart w:id="219" w:name="_Toc73416614"/>
      <w:bookmarkEnd w:id="219"/>
      <w:bookmarkStart w:id="220" w:name="_Toc515872328"/>
      <w:bookmarkEnd w:id="220"/>
      <w:bookmarkStart w:id="221" w:name="_Toc143589470"/>
      <w:bookmarkStart w:id="222" w:name="_Toc73415969"/>
      <w:bookmarkStart w:id="223" w:name="_Toc72415698"/>
      <w:r>
        <w:rPr>
          <w:rFonts w:hint="eastAsia" w:ascii="宋体" w:hAnsi="宋体"/>
          <w:sz w:val="24"/>
          <w:szCs w:val="24"/>
        </w:rPr>
        <w:t>吊具</w:t>
      </w:r>
      <w:bookmarkEnd w:id="221"/>
      <w:bookmarkEnd w:id="222"/>
      <w:bookmarkEnd w:id="223"/>
    </w:p>
    <w:p>
      <w:pPr>
        <w:spacing w:line="360" w:lineRule="auto"/>
        <w:ind w:left="960"/>
        <w:rPr>
          <w:rFonts w:ascii="宋体" w:hAnsi="宋体"/>
          <w:color w:val="000000"/>
          <w:szCs w:val="21"/>
        </w:rPr>
      </w:pPr>
      <w:r>
        <w:rPr>
          <w:rFonts w:hint="eastAsia" w:ascii="宋体" w:hAnsi="宋体"/>
          <w:color w:val="000000"/>
          <w:szCs w:val="21"/>
        </w:rPr>
        <w:t>设备的主要部件上均应设置与起吊装置联接的吊耳和吊孔等。卖方应提供在安装和拆卸设备期间用来把设备与桥机吊钩联接的全部吊具。</w:t>
      </w:r>
    </w:p>
    <w:p>
      <w:pPr>
        <w:pStyle w:val="6"/>
        <w:widowControl w:val="0"/>
        <w:numPr>
          <w:ilvl w:val="1"/>
          <w:numId w:val="16"/>
        </w:numPr>
        <w:tabs>
          <w:tab w:val="left" w:pos="709"/>
          <w:tab w:val="clear" w:pos="964"/>
        </w:tabs>
        <w:snapToGrid/>
        <w:spacing w:before="93" w:beforeLines="30" w:after="93" w:afterLines="30" w:line="300" w:lineRule="auto"/>
        <w:jc w:val="both"/>
        <w:rPr>
          <w:rFonts w:ascii="宋体" w:hAnsi="宋体"/>
          <w:sz w:val="24"/>
          <w:szCs w:val="24"/>
        </w:rPr>
      </w:pPr>
      <w:bookmarkStart w:id="224" w:name="_Toc57986334"/>
      <w:bookmarkEnd w:id="224"/>
      <w:bookmarkStart w:id="225" w:name="_Toc515872329"/>
      <w:bookmarkStart w:id="226" w:name="_Toc143589471"/>
      <w:bookmarkStart w:id="227" w:name="_Toc72415699"/>
      <w:r>
        <w:rPr>
          <w:rFonts w:hint="eastAsia" w:ascii="宋体" w:hAnsi="宋体"/>
          <w:sz w:val="24"/>
          <w:szCs w:val="24"/>
        </w:rPr>
        <w:t>备品备件</w:t>
      </w:r>
      <w:bookmarkEnd w:id="225"/>
      <w:bookmarkEnd w:id="226"/>
      <w:bookmarkEnd w:id="227"/>
    </w:p>
    <w:p>
      <w:pPr>
        <w:pStyle w:val="7"/>
        <w:widowControl w:val="0"/>
        <w:numPr>
          <w:ilvl w:val="2"/>
          <w:numId w:val="42"/>
        </w:numPr>
        <w:overflowPunct w:val="0"/>
        <w:snapToGrid/>
        <w:spacing w:after="100" w:afterAutospacing="1" w:line="360" w:lineRule="auto"/>
        <w:jc w:val="both"/>
        <w:rPr>
          <w:rFonts w:ascii="宋体" w:hAnsi="宋体"/>
          <w:b/>
          <w:bCs/>
          <w:color w:val="000000"/>
          <w:sz w:val="21"/>
          <w:szCs w:val="21"/>
        </w:rPr>
      </w:pPr>
      <w:bookmarkStart w:id="228" w:name="_Toc31720479"/>
      <w:bookmarkEnd w:id="228"/>
      <w:bookmarkStart w:id="229" w:name="_Toc57986335"/>
      <w:bookmarkEnd w:id="229"/>
      <w:bookmarkStart w:id="230" w:name="_Toc12378843"/>
      <w:r>
        <w:rPr>
          <w:rFonts w:hint="eastAsia" w:ascii="宋体" w:hAnsi="宋体"/>
          <w:b/>
          <w:bCs/>
          <w:color w:val="000000"/>
          <w:sz w:val="21"/>
          <w:szCs w:val="21"/>
        </w:rPr>
        <w:t>概述</w:t>
      </w:r>
      <w:bookmarkEnd w:id="230"/>
    </w:p>
    <w:p>
      <w:pPr>
        <w:spacing w:line="360" w:lineRule="auto"/>
        <w:ind w:left="960"/>
        <w:rPr>
          <w:rFonts w:ascii="宋体" w:hAnsi="宋体"/>
          <w:color w:val="000000"/>
          <w:szCs w:val="21"/>
        </w:rPr>
      </w:pPr>
      <w:r>
        <w:rPr>
          <w:rFonts w:hint="eastAsia" w:ascii="宋体" w:hAnsi="宋体"/>
          <w:color w:val="000000"/>
          <w:szCs w:val="21"/>
        </w:rPr>
        <w:t>备品备件应能与原设备互换，并有与原设备相同的材料和</w:t>
      </w:r>
      <w:r>
        <w:rPr>
          <w:rFonts w:hint="eastAsia" w:ascii="宋体" w:hAnsi="宋体"/>
          <w:color w:val="000000"/>
          <w:spacing w:val="-4"/>
          <w:szCs w:val="21"/>
        </w:rPr>
        <w:t>软件</w:t>
      </w:r>
      <w:r>
        <w:rPr>
          <w:rFonts w:hint="eastAsia" w:ascii="宋体" w:hAnsi="宋体"/>
          <w:color w:val="000000"/>
          <w:szCs w:val="21"/>
        </w:rPr>
        <w:t>。备品备件应按要求处理并必须与其它设备的部件分开装箱，以防止在贮藏时变质。箱上应有明显的标记，以便识别箱内所装的部件。电气线圈和其它精密的电气元件，必须包装在可靠、防潮的容器中或带干燥剂的塑料袋中，或用其它有效的方法包装。</w:t>
      </w:r>
    </w:p>
    <w:p>
      <w:pPr>
        <w:pStyle w:val="7"/>
        <w:widowControl w:val="0"/>
        <w:numPr>
          <w:ilvl w:val="2"/>
          <w:numId w:val="42"/>
        </w:numPr>
        <w:overflowPunct w:val="0"/>
        <w:snapToGrid/>
        <w:spacing w:after="100" w:afterAutospacing="1" w:line="360" w:lineRule="auto"/>
        <w:jc w:val="both"/>
        <w:rPr>
          <w:rFonts w:ascii="宋体" w:hAnsi="宋体"/>
          <w:b/>
          <w:bCs/>
          <w:color w:val="000000"/>
          <w:sz w:val="21"/>
          <w:szCs w:val="21"/>
        </w:rPr>
      </w:pPr>
      <w:bookmarkStart w:id="231" w:name="_Toc57986336"/>
      <w:bookmarkEnd w:id="231"/>
      <w:bookmarkStart w:id="232" w:name="_Toc31720480"/>
      <w:bookmarkEnd w:id="232"/>
      <w:bookmarkStart w:id="233" w:name="_Toc12378844"/>
      <w:r>
        <w:rPr>
          <w:rFonts w:hint="eastAsia" w:ascii="宋体" w:hAnsi="宋体"/>
          <w:b/>
          <w:bCs/>
          <w:color w:val="000000"/>
          <w:sz w:val="21"/>
          <w:szCs w:val="21"/>
        </w:rPr>
        <w:t>规定的备品备件</w:t>
      </w:r>
      <w:bookmarkEnd w:id="233"/>
    </w:p>
    <w:p>
      <w:pPr>
        <w:spacing w:line="360" w:lineRule="auto"/>
        <w:ind w:left="960"/>
        <w:rPr>
          <w:rFonts w:ascii="宋体" w:hAnsi="宋体"/>
          <w:color w:val="000000"/>
          <w:szCs w:val="21"/>
        </w:rPr>
      </w:pPr>
      <w:r>
        <w:rPr>
          <w:rFonts w:hint="eastAsia" w:ascii="宋体" w:hAnsi="宋体"/>
          <w:color w:val="000000"/>
          <w:szCs w:val="21"/>
        </w:rPr>
        <w:t>卖方应为接入系统提供如下规定的备品备件。</w:t>
      </w:r>
    </w:p>
    <w:p>
      <w:pPr>
        <w:spacing w:line="360" w:lineRule="auto"/>
        <w:ind w:left="960"/>
        <w:rPr>
          <w:rFonts w:ascii="宋体" w:hAnsi="宋体"/>
          <w:color w:val="000000"/>
          <w:szCs w:val="21"/>
        </w:rPr>
      </w:pPr>
      <w:r>
        <w:rPr>
          <w:rFonts w:hint="eastAsia" w:ascii="宋体" w:hAnsi="宋体"/>
          <w:color w:val="000000"/>
          <w:szCs w:val="21"/>
        </w:rPr>
        <w:t>卖方应随主设备按合同文件的规定为设备提供规定的备品备件，并分项列出详细价格，其总价计入设备总价内。备品备件应按要求涂保护层和装箱以适应长期保存。包装箱应标记清楚。</w:t>
      </w:r>
    </w:p>
    <w:p>
      <w:pPr>
        <w:pStyle w:val="7"/>
        <w:widowControl w:val="0"/>
        <w:numPr>
          <w:ilvl w:val="2"/>
          <w:numId w:val="42"/>
        </w:numPr>
        <w:overflowPunct w:val="0"/>
        <w:snapToGrid/>
        <w:spacing w:after="100" w:afterAutospacing="1" w:line="360" w:lineRule="auto"/>
        <w:jc w:val="both"/>
        <w:rPr>
          <w:rFonts w:ascii="宋体" w:hAnsi="宋体"/>
          <w:b/>
          <w:bCs/>
          <w:color w:val="000000"/>
          <w:sz w:val="21"/>
          <w:szCs w:val="21"/>
        </w:rPr>
      </w:pPr>
      <w:bookmarkStart w:id="234" w:name="_Toc31720481"/>
      <w:bookmarkEnd w:id="234"/>
      <w:bookmarkStart w:id="235" w:name="_Toc12378895"/>
      <w:bookmarkEnd w:id="235"/>
      <w:bookmarkStart w:id="236" w:name="_Toc57986337"/>
      <w:bookmarkEnd w:id="236"/>
      <w:bookmarkStart w:id="237" w:name="_Toc12378850"/>
      <w:bookmarkEnd w:id="237"/>
      <w:bookmarkStart w:id="238" w:name="_Toc12378875"/>
      <w:bookmarkEnd w:id="238"/>
      <w:bookmarkStart w:id="239" w:name="_Toc12378905"/>
      <w:bookmarkEnd w:id="239"/>
      <w:bookmarkStart w:id="240" w:name="_Toc12378870"/>
      <w:bookmarkEnd w:id="240"/>
      <w:bookmarkStart w:id="241" w:name="_Toc143406412"/>
      <w:bookmarkEnd w:id="241"/>
      <w:bookmarkStart w:id="242" w:name="_Toc12378880"/>
      <w:bookmarkEnd w:id="242"/>
      <w:bookmarkStart w:id="243" w:name="_Toc12378915"/>
      <w:bookmarkEnd w:id="243"/>
      <w:bookmarkStart w:id="244" w:name="_Toc12378855"/>
      <w:bookmarkEnd w:id="244"/>
      <w:bookmarkStart w:id="245" w:name="_Toc12378900"/>
      <w:bookmarkEnd w:id="245"/>
      <w:bookmarkStart w:id="246" w:name="_Toc12378890"/>
      <w:bookmarkEnd w:id="246"/>
      <w:bookmarkStart w:id="247" w:name="_Toc12378865"/>
      <w:bookmarkEnd w:id="247"/>
      <w:bookmarkStart w:id="248" w:name="_Toc12378860"/>
      <w:bookmarkEnd w:id="248"/>
      <w:bookmarkStart w:id="249" w:name="_Toc12378910"/>
      <w:bookmarkEnd w:id="249"/>
      <w:bookmarkStart w:id="250" w:name="_Toc12378885"/>
      <w:r>
        <w:rPr>
          <w:rFonts w:hint="eastAsia" w:ascii="宋体" w:hAnsi="宋体"/>
          <w:b/>
          <w:bCs/>
          <w:color w:val="000000"/>
          <w:sz w:val="21"/>
          <w:szCs w:val="21"/>
        </w:rPr>
        <w:t>卖方推荐的备品备件</w:t>
      </w:r>
      <w:bookmarkEnd w:id="250"/>
    </w:p>
    <w:p>
      <w:pPr>
        <w:spacing w:line="360" w:lineRule="auto"/>
        <w:ind w:left="960"/>
        <w:rPr>
          <w:rFonts w:ascii="宋体" w:hAnsi="宋体"/>
          <w:color w:val="000000"/>
          <w:szCs w:val="21"/>
        </w:rPr>
      </w:pPr>
      <w:r>
        <w:rPr>
          <w:rFonts w:hint="eastAsia" w:ascii="宋体" w:hAnsi="宋体"/>
          <w:color w:val="000000"/>
          <w:szCs w:val="21"/>
        </w:rPr>
        <w:t>除了本合同文件规定的备品备件外，卖方应提出商业运行10年所需的备品备件，并分项列出单价，计入设备总价内。</w:t>
      </w:r>
    </w:p>
    <w:p>
      <w:pPr>
        <w:pStyle w:val="7"/>
        <w:widowControl w:val="0"/>
        <w:numPr>
          <w:ilvl w:val="2"/>
          <w:numId w:val="42"/>
        </w:numPr>
        <w:overflowPunct w:val="0"/>
        <w:snapToGrid/>
        <w:spacing w:after="100" w:afterAutospacing="1" w:line="360" w:lineRule="auto"/>
        <w:jc w:val="both"/>
        <w:rPr>
          <w:rFonts w:ascii="宋体" w:hAnsi="宋体"/>
          <w:b/>
          <w:bCs/>
          <w:color w:val="000000"/>
          <w:sz w:val="21"/>
          <w:szCs w:val="21"/>
        </w:rPr>
      </w:pPr>
      <w:bookmarkStart w:id="251" w:name="_Toc31720482"/>
      <w:bookmarkEnd w:id="251"/>
      <w:bookmarkStart w:id="252" w:name="_Toc12378916"/>
      <w:bookmarkEnd w:id="252"/>
      <w:bookmarkStart w:id="253" w:name="_Toc57986338"/>
      <w:r>
        <w:rPr>
          <w:rFonts w:hint="eastAsia" w:ascii="宋体" w:hAnsi="宋体"/>
          <w:b/>
          <w:bCs/>
          <w:color w:val="000000"/>
          <w:sz w:val="21"/>
          <w:szCs w:val="21"/>
        </w:rPr>
        <w:t>卖方应提供在安装和现场试验过程中的易损件，这些易损件包括在合同价中，并应列出易损件的数目、名称。这些易损件不计算在规定的备品备件范围以内。</w:t>
      </w:r>
      <w:bookmarkEnd w:id="253"/>
    </w:p>
    <w:p>
      <w:pPr>
        <w:pStyle w:val="6"/>
        <w:widowControl w:val="0"/>
        <w:numPr>
          <w:ilvl w:val="1"/>
          <w:numId w:val="16"/>
        </w:numPr>
        <w:tabs>
          <w:tab w:val="left" w:pos="709"/>
          <w:tab w:val="clear" w:pos="964"/>
        </w:tabs>
        <w:snapToGrid/>
        <w:spacing w:before="93" w:beforeLines="30" w:after="93" w:afterLines="30" w:line="300" w:lineRule="auto"/>
        <w:jc w:val="both"/>
        <w:rPr>
          <w:rFonts w:ascii="宋体" w:hAnsi="宋体"/>
          <w:sz w:val="24"/>
          <w:szCs w:val="24"/>
        </w:rPr>
      </w:pPr>
      <w:bookmarkStart w:id="254" w:name="_Toc12378917"/>
      <w:bookmarkEnd w:id="254"/>
      <w:bookmarkStart w:id="255" w:name="_Toc31720483"/>
      <w:bookmarkEnd w:id="255"/>
      <w:bookmarkStart w:id="256" w:name="_Toc515872330"/>
      <w:bookmarkEnd w:id="256"/>
      <w:bookmarkStart w:id="257" w:name="_Ref45555523"/>
      <w:bookmarkEnd w:id="257"/>
      <w:bookmarkStart w:id="258" w:name="_Toc143589472"/>
      <w:bookmarkStart w:id="259" w:name="_Toc57986340"/>
      <w:bookmarkStart w:id="260" w:name="_Toc72415700"/>
      <w:r>
        <w:rPr>
          <w:rFonts w:hint="eastAsia" w:ascii="宋体" w:hAnsi="宋体"/>
          <w:sz w:val="24"/>
          <w:szCs w:val="24"/>
        </w:rPr>
        <w:t>专用工具</w:t>
      </w:r>
      <w:bookmarkEnd w:id="258"/>
      <w:bookmarkEnd w:id="259"/>
      <w:bookmarkEnd w:id="260"/>
    </w:p>
    <w:p>
      <w:pPr>
        <w:pStyle w:val="7"/>
        <w:widowControl w:val="0"/>
        <w:numPr>
          <w:ilvl w:val="2"/>
          <w:numId w:val="43"/>
        </w:numPr>
        <w:overflowPunct w:val="0"/>
        <w:snapToGrid/>
        <w:spacing w:after="100" w:afterAutospacing="1" w:line="360" w:lineRule="auto"/>
        <w:jc w:val="both"/>
        <w:rPr>
          <w:rFonts w:ascii="宋体" w:hAnsi="宋体"/>
          <w:b/>
          <w:bCs/>
          <w:color w:val="000000"/>
          <w:sz w:val="21"/>
          <w:szCs w:val="21"/>
        </w:rPr>
      </w:pPr>
      <w:bookmarkStart w:id="261" w:name="_Toc73415970"/>
      <w:bookmarkEnd w:id="261"/>
      <w:bookmarkStart w:id="262" w:name="_Toc461273992"/>
      <w:bookmarkEnd w:id="262"/>
      <w:bookmarkStart w:id="263" w:name="_Toc469198050"/>
      <w:bookmarkEnd w:id="263"/>
      <w:bookmarkStart w:id="264" w:name="_Toc70996980"/>
      <w:bookmarkEnd w:id="264"/>
      <w:bookmarkStart w:id="265" w:name="_Toc461353286"/>
      <w:bookmarkEnd w:id="265"/>
      <w:bookmarkStart w:id="266" w:name="_Toc143406414"/>
      <w:bookmarkEnd w:id="266"/>
      <w:bookmarkStart w:id="267" w:name="_Toc57986341"/>
      <w:bookmarkEnd w:id="267"/>
      <w:bookmarkStart w:id="268" w:name="_Toc461274163"/>
      <w:bookmarkEnd w:id="268"/>
      <w:bookmarkStart w:id="269" w:name="_Toc12378919"/>
      <w:bookmarkEnd w:id="269"/>
      <w:bookmarkStart w:id="270" w:name="_Toc457022285"/>
      <w:bookmarkEnd w:id="270"/>
      <w:bookmarkStart w:id="271" w:name="_Toc73416768"/>
      <w:bookmarkEnd w:id="271"/>
      <w:bookmarkStart w:id="272" w:name="_Toc461273631"/>
      <w:bookmarkEnd w:id="272"/>
      <w:bookmarkStart w:id="273" w:name="_Toc461351201"/>
      <w:bookmarkEnd w:id="273"/>
      <w:bookmarkStart w:id="274" w:name="_Toc70996674"/>
      <w:bookmarkEnd w:id="274"/>
      <w:bookmarkStart w:id="275" w:name="_Toc75871215"/>
      <w:bookmarkEnd w:id="275"/>
      <w:bookmarkStart w:id="276" w:name="_Toc462276982"/>
      <w:bookmarkEnd w:id="276"/>
      <w:bookmarkStart w:id="277" w:name="_Toc73416615"/>
      <w:bookmarkEnd w:id="277"/>
      <w:bookmarkStart w:id="278" w:name="_Toc461273319"/>
      <w:bookmarkEnd w:id="278"/>
      <w:bookmarkStart w:id="279" w:name="_Toc31720485"/>
      <w:r>
        <w:rPr>
          <w:rFonts w:hint="eastAsia" w:ascii="宋体" w:hAnsi="宋体"/>
          <w:b/>
          <w:bCs/>
          <w:color w:val="000000"/>
          <w:sz w:val="21"/>
          <w:szCs w:val="21"/>
        </w:rPr>
        <w:t>概</w:t>
      </w:r>
      <w:bookmarkEnd w:id="279"/>
      <w:r>
        <w:rPr>
          <w:rFonts w:hint="eastAsia" w:ascii="宋体" w:hAnsi="宋体"/>
          <w:b/>
          <w:bCs/>
          <w:color w:val="000000"/>
          <w:sz w:val="21"/>
          <w:szCs w:val="21"/>
        </w:rPr>
        <w:t>述</w:t>
      </w:r>
    </w:p>
    <w:p>
      <w:pPr>
        <w:pStyle w:val="120"/>
        <w:numPr>
          <w:ilvl w:val="0"/>
          <w:numId w:val="44"/>
        </w:numPr>
        <w:spacing w:before="0" w:after="0" w:line="360" w:lineRule="auto"/>
        <w:ind w:left="1470" w:hanging="420"/>
        <w:rPr>
          <w:rFonts w:hAnsi="宋体"/>
          <w:color w:val="000000"/>
          <w:sz w:val="21"/>
          <w:szCs w:val="21"/>
        </w:rPr>
      </w:pPr>
      <w:r>
        <w:rPr>
          <w:rFonts w:hint="eastAsia" w:hAnsi="宋体"/>
          <w:color w:val="000000"/>
          <w:sz w:val="21"/>
          <w:szCs w:val="21"/>
        </w:rPr>
        <w:t>卖方应提供系统长期安全稳定运行所需的正常维护和保养所需的专用工具，而在安装、调试和试运行阶段所需的各种工具和消耗品应由卖方提供，但不计本条所列的专用工具之中。</w:t>
      </w:r>
    </w:p>
    <w:p>
      <w:pPr>
        <w:pStyle w:val="120"/>
        <w:numPr>
          <w:ilvl w:val="0"/>
          <w:numId w:val="44"/>
        </w:numPr>
        <w:spacing w:before="0" w:after="0" w:line="360" w:lineRule="auto"/>
        <w:ind w:left="1470" w:hanging="420"/>
        <w:rPr>
          <w:rFonts w:hAnsi="宋体"/>
          <w:color w:val="000000"/>
          <w:sz w:val="21"/>
          <w:szCs w:val="21"/>
        </w:rPr>
      </w:pPr>
      <w:r>
        <w:rPr>
          <w:rFonts w:hint="eastAsia" w:hAnsi="宋体"/>
          <w:color w:val="000000"/>
          <w:sz w:val="21"/>
          <w:szCs w:val="21"/>
        </w:rPr>
        <w:t>在本节规定提供以及卖方推荐的所有工具和仪器所需的内部连接电缆、测量用电缆、电源线和其他专用工具、仪器的辅助设备应包括在供货范围内。</w:t>
      </w:r>
    </w:p>
    <w:p>
      <w:pPr>
        <w:pStyle w:val="7"/>
        <w:widowControl w:val="0"/>
        <w:numPr>
          <w:ilvl w:val="2"/>
          <w:numId w:val="43"/>
        </w:numPr>
        <w:overflowPunct w:val="0"/>
        <w:snapToGrid/>
        <w:spacing w:after="100" w:afterAutospacing="1" w:line="360" w:lineRule="auto"/>
        <w:jc w:val="both"/>
        <w:rPr>
          <w:rFonts w:ascii="宋体" w:hAnsi="宋体"/>
          <w:b/>
          <w:bCs/>
          <w:color w:val="000000"/>
          <w:sz w:val="21"/>
          <w:szCs w:val="21"/>
        </w:rPr>
      </w:pPr>
      <w:bookmarkStart w:id="280" w:name="_Toc461274164"/>
      <w:bookmarkEnd w:id="280"/>
      <w:bookmarkStart w:id="281" w:name="_Toc31720486"/>
      <w:bookmarkEnd w:id="281"/>
      <w:bookmarkStart w:id="282" w:name="_Toc461351202"/>
      <w:bookmarkEnd w:id="282"/>
      <w:bookmarkStart w:id="283" w:name="_Toc57986342"/>
      <w:bookmarkEnd w:id="283"/>
      <w:bookmarkStart w:id="284" w:name="_Toc461273993"/>
      <w:bookmarkEnd w:id="284"/>
      <w:bookmarkStart w:id="285" w:name="_Toc461273320"/>
      <w:bookmarkEnd w:id="285"/>
      <w:bookmarkStart w:id="286" w:name="_Toc12378920"/>
      <w:bookmarkEnd w:id="286"/>
      <w:bookmarkStart w:id="287" w:name="_Toc461273632"/>
      <w:bookmarkEnd w:id="287"/>
      <w:bookmarkStart w:id="288" w:name="_Toc461353287"/>
      <w:bookmarkEnd w:id="288"/>
      <w:bookmarkStart w:id="289" w:name="_Toc462276983"/>
      <w:r>
        <w:rPr>
          <w:rFonts w:hint="eastAsia" w:ascii="宋体" w:hAnsi="宋体"/>
          <w:b/>
          <w:bCs/>
          <w:color w:val="000000"/>
          <w:sz w:val="21"/>
          <w:szCs w:val="21"/>
        </w:rPr>
        <w:t>必需的专用工具</w:t>
      </w:r>
      <w:bookmarkEnd w:id="289"/>
    </w:p>
    <w:p>
      <w:pPr>
        <w:spacing w:line="360" w:lineRule="auto"/>
        <w:ind w:left="960"/>
        <w:rPr>
          <w:rFonts w:ascii="宋体" w:hAnsi="宋体"/>
          <w:color w:val="000000"/>
          <w:szCs w:val="21"/>
        </w:rPr>
      </w:pPr>
      <w:r>
        <w:rPr>
          <w:rFonts w:hint="eastAsia" w:ascii="宋体" w:hAnsi="宋体"/>
          <w:color w:val="000000"/>
          <w:szCs w:val="21"/>
        </w:rPr>
        <w:t>卖方至少应提供以下专用工具：</w:t>
      </w:r>
    </w:p>
    <w:p>
      <w:pPr>
        <w:spacing w:line="360" w:lineRule="auto"/>
        <w:ind w:left="960"/>
        <w:rPr>
          <w:rFonts w:ascii="宋体" w:hAnsi="宋体"/>
          <w:color w:val="000000"/>
          <w:szCs w:val="21"/>
        </w:rPr>
      </w:pPr>
      <w:r>
        <w:rPr>
          <w:rFonts w:hint="eastAsia" w:ascii="宋体" w:hAnsi="宋体"/>
          <w:color w:val="000000"/>
          <w:szCs w:val="21"/>
        </w:rPr>
        <w:t>卖方应根据合同规定提供保证接入系统设备安装、运行、维修所需的专用工器具。专用工器具应与其它设备的部件分开装箱，与合同设备一起发货。箱上应有明显的标记，以便识别箱内所装的部件。若工器具因质量问题发生损坏，卖方应无偿补齐。</w:t>
      </w:r>
    </w:p>
    <w:p>
      <w:pPr>
        <w:pStyle w:val="7"/>
        <w:widowControl w:val="0"/>
        <w:numPr>
          <w:ilvl w:val="2"/>
          <w:numId w:val="43"/>
        </w:numPr>
        <w:overflowPunct w:val="0"/>
        <w:snapToGrid/>
        <w:spacing w:after="100" w:afterAutospacing="1" w:line="360" w:lineRule="auto"/>
        <w:jc w:val="both"/>
        <w:rPr>
          <w:rFonts w:ascii="宋体" w:hAnsi="宋体"/>
          <w:b/>
          <w:bCs/>
          <w:color w:val="000000"/>
          <w:sz w:val="21"/>
          <w:szCs w:val="21"/>
        </w:rPr>
      </w:pPr>
      <w:bookmarkStart w:id="290" w:name="_Toc12378921"/>
      <w:bookmarkEnd w:id="290"/>
      <w:bookmarkStart w:id="291" w:name="_Toc12378922"/>
      <w:bookmarkEnd w:id="291"/>
      <w:bookmarkStart w:id="292" w:name="_Toc12378923"/>
      <w:bookmarkEnd w:id="292"/>
      <w:bookmarkStart w:id="293" w:name="_Toc31720487"/>
      <w:bookmarkEnd w:id="293"/>
      <w:bookmarkStart w:id="294" w:name="_Toc57986343"/>
      <w:r>
        <w:rPr>
          <w:rFonts w:hint="eastAsia" w:ascii="宋体" w:hAnsi="宋体"/>
          <w:b/>
          <w:bCs/>
          <w:color w:val="000000"/>
          <w:sz w:val="21"/>
          <w:szCs w:val="21"/>
        </w:rPr>
        <w:t>卖方推荐的专用工具（不包括上述专用工具）：</w:t>
      </w:r>
      <w:bookmarkEnd w:id="294"/>
    </w:p>
    <w:p>
      <w:pPr>
        <w:spacing w:line="360" w:lineRule="auto"/>
        <w:ind w:left="960"/>
        <w:rPr>
          <w:rFonts w:ascii="宋体" w:hAnsi="宋体"/>
          <w:color w:val="000000"/>
          <w:szCs w:val="21"/>
        </w:rPr>
      </w:pPr>
      <w:r>
        <w:rPr>
          <w:rFonts w:hint="eastAsia" w:ascii="宋体" w:hAnsi="宋体"/>
          <w:color w:val="000000"/>
          <w:szCs w:val="21"/>
        </w:rPr>
        <w:t>提出推荐的专用工具一览表，并分项列出单价，计入设备总价内。</w:t>
      </w:r>
    </w:p>
    <w:p>
      <w:pPr>
        <w:pStyle w:val="6"/>
        <w:widowControl w:val="0"/>
        <w:numPr>
          <w:ilvl w:val="1"/>
          <w:numId w:val="16"/>
        </w:numPr>
        <w:tabs>
          <w:tab w:val="left" w:pos="709"/>
          <w:tab w:val="clear" w:pos="964"/>
        </w:tabs>
        <w:snapToGrid/>
        <w:spacing w:before="93" w:beforeLines="30" w:after="93" w:afterLines="30" w:line="300" w:lineRule="auto"/>
        <w:jc w:val="both"/>
        <w:rPr>
          <w:rFonts w:ascii="宋体" w:hAnsi="宋体"/>
          <w:sz w:val="24"/>
          <w:szCs w:val="24"/>
        </w:rPr>
      </w:pPr>
      <w:bookmarkStart w:id="295" w:name="_Toc515872331"/>
      <w:bookmarkEnd w:id="295"/>
      <w:bookmarkStart w:id="296" w:name="_Toc57986344"/>
      <w:bookmarkStart w:id="297" w:name="_Toc72415701"/>
      <w:bookmarkStart w:id="298" w:name="_Toc143589473"/>
      <w:r>
        <w:rPr>
          <w:rFonts w:hint="eastAsia" w:ascii="宋体" w:hAnsi="宋体"/>
          <w:sz w:val="24"/>
          <w:szCs w:val="24"/>
        </w:rPr>
        <w:t>互换性</w:t>
      </w:r>
      <w:bookmarkEnd w:id="296"/>
      <w:bookmarkEnd w:id="297"/>
      <w:bookmarkEnd w:id="298"/>
    </w:p>
    <w:p>
      <w:pPr>
        <w:spacing w:line="360" w:lineRule="auto"/>
        <w:ind w:left="960"/>
        <w:rPr>
          <w:rFonts w:ascii="宋体" w:hAnsi="宋体"/>
          <w:color w:val="000000"/>
          <w:szCs w:val="21"/>
        </w:rPr>
      </w:pPr>
      <w:r>
        <w:rPr>
          <w:rFonts w:hint="eastAsia" w:ascii="宋体" w:hAnsi="宋体"/>
          <w:color w:val="000000"/>
          <w:szCs w:val="21"/>
        </w:rPr>
        <w:t>卖方提供的合同设备的相同部件，其尺寸和公差应完全相同，以保证各设备部件之间的互换性。所有的备品备件的材料和质量应与原设备相同。</w:t>
      </w:r>
    </w:p>
    <w:p>
      <w:pPr>
        <w:pStyle w:val="6"/>
        <w:widowControl w:val="0"/>
        <w:numPr>
          <w:ilvl w:val="1"/>
          <w:numId w:val="16"/>
        </w:numPr>
        <w:tabs>
          <w:tab w:val="left" w:pos="709"/>
          <w:tab w:val="clear" w:pos="964"/>
        </w:tabs>
        <w:snapToGrid/>
        <w:spacing w:before="93" w:beforeLines="30" w:after="93" w:afterLines="30" w:line="300" w:lineRule="auto"/>
        <w:jc w:val="both"/>
        <w:rPr>
          <w:rFonts w:ascii="宋体" w:hAnsi="宋体"/>
          <w:sz w:val="24"/>
          <w:szCs w:val="24"/>
        </w:rPr>
      </w:pPr>
      <w:bookmarkStart w:id="299" w:name="_Toc515872332"/>
      <w:bookmarkEnd w:id="299"/>
      <w:bookmarkStart w:id="300" w:name="_Toc143589474"/>
      <w:bookmarkStart w:id="301" w:name="_Toc57986345"/>
      <w:bookmarkStart w:id="302" w:name="_Toc72415702"/>
      <w:r>
        <w:rPr>
          <w:rFonts w:hint="eastAsia" w:ascii="宋体" w:hAnsi="宋体"/>
          <w:sz w:val="24"/>
          <w:szCs w:val="24"/>
        </w:rPr>
        <w:t>设计联络会</w:t>
      </w:r>
      <w:bookmarkEnd w:id="300"/>
      <w:bookmarkEnd w:id="301"/>
      <w:bookmarkEnd w:id="302"/>
    </w:p>
    <w:p>
      <w:pPr>
        <w:pStyle w:val="7"/>
        <w:widowControl w:val="0"/>
        <w:numPr>
          <w:ilvl w:val="2"/>
          <w:numId w:val="45"/>
        </w:numPr>
        <w:overflowPunct w:val="0"/>
        <w:snapToGrid/>
        <w:spacing w:after="100" w:afterAutospacing="1" w:line="360" w:lineRule="auto"/>
        <w:jc w:val="both"/>
        <w:rPr>
          <w:rFonts w:ascii="宋体" w:hAnsi="宋体"/>
          <w:b/>
          <w:bCs/>
          <w:color w:val="000000"/>
          <w:sz w:val="21"/>
          <w:szCs w:val="21"/>
        </w:rPr>
      </w:pPr>
      <w:bookmarkStart w:id="303" w:name="_Toc31720490"/>
      <w:bookmarkEnd w:id="303"/>
      <w:bookmarkStart w:id="304" w:name="_Toc12378926"/>
      <w:bookmarkEnd w:id="304"/>
      <w:bookmarkStart w:id="305" w:name="_Toc57986346"/>
      <w:r>
        <w:rPr>
          <w:rFonts w:hint="eastAsia" w:ascii="宋体" w:hAnsi="宋体"/>
          <w:b/>
          <w:bCs/>
          <w:color w:val="000000"/>
          <w:sz w:val="21"/>
          <w:szCs w:val="21"/>
        </w:rPr>
        <w:t>设计联络会的规定</w:t>
      </w:r>
      <w:bookmarkEnd w:id="305"/>
    </w:p>
    <w:p>
      <w:pPr>
        <w:pStyle w:val="8"/>
        <w:numPr>
          <w:ilvl w:val="3"/>
          <w:numId w:val="45"/>
        </w:numPr>
        <w:overflowPunct w:val="0"/>
        <w:spacing w:before="100" w:beforeAutospacing="1" w:after="100" w:afterAutospacing="1" w:line="360" w:lineRule="auto"/>
        <w:rPr>
          <w:rFonts w:ascii="宋体" w:hAnsi="宋体"/>
          <w:b/>
          <w:color w:val="000000"/>
          <w:szCs w:val="21"/>
        </w:rPr>
      </w:pPr>
      <w:r>
        <w:rPr>
          <w:rFonts w:hint="eastAsia" w:ascii="宋体" w:hAnsi="宋体"/>
          <w:color w:val="000000"/>
          <w:szCs w:val="21"/>
        </w:rPr>
        <w:t>联络会会议地点为卖方工厂，会务工作（包括会议技术文件准备、用具、准备会议纪要等）由卖方负责。买方代表包括买方相关专业人员、工程设计相关专业人员、监控厂家等参加，设计联络会召开</w:t>
      </w:r>
      <w:r>
        <w:rPr>
          <w:rFonts w:ascii="宋体" w:hAnsi="宋体"/>
          <w:color w:val="000000"/>
          <w:szCs w:val="21"/>
        </w:rPr>
        <w:t>1</w:t>
      </w:r>
      <w:r>
        <w:rPr>
          <w:rFonts w:hint="eastAsia" w:ascii="宋体" w:hAnsi="宋体"/>
          <w:color w:val="000000"/>
          <w:szCs w:val="21"/>
        </w:rPr>
        <w:t>次，各次设计联络会的组织、实施以及所发生的一切费用（包括往返交通费、会议食宿、资料等）均包括在合同总价中。</w:t>
      </w:r>
    </w:p>
    <w:p>
      <w:pPr>
        <w:pStyle w:val="8"/>
        <w:numPr>
          <w:ilvl w:val="3"/>
          <w:numId w:val="45"/>
        </w:numPr>
        <w:overflowPunct w:val="0"/>
        <w:spacing w:before="100" w:beforeAutospacing="1" w:after="100" w:afterAutospacing="1" w:line="360" w:lineRule="auto"/>
        <w:rPr>
          <w:rFonts w:ascii="宋体" w:hAnsi="宋体"/>
          <w:b/>
          <w:color w:val="000000"/>
          <w:szCs w:val="21"/>
        </w:rPr>
      </w:pPr>
      <w:r>
        <w:rPr>
          <w:rFonts w:hint="eastAsia" w:ascii="宋体" w:hAnsi="宋体"/>
          <w:color w:val="000000"/>
          <w:szCs w:val="21"/>
        </w:rPr>
        <w:t>合同双方应在设计联络会上讨论设计方案、有关技术问题，协调与土建安装工程和其它方面的工作与衔接、合同设备与其它系统设备的接口、资料交换、工作进度等。</w:t>
      </w:r>
    </w:p>
    <w:p>
      <w:pPr>
        <w:pStyle w:val="8"/>
        <w:numPr>
          <w:ilvl w:val="3"/>
          <w:numId w:val="45"/>
        </w:numPr>
        <w:overflowPunct w:val="0"/>
        <w:spacing w:before="100" w:beforeAutospacing="1" w:after="100" w:afterAutospacing="1" w:line="360" w:lineRule="auto"/>
        <w:rPr>
          <w:rFonts w:ascii="宋体" w:hAnsi="宋体"/>
          <w:b/>
          <w:color w:val="000000"/>
          <w:szCs w:val="21"/>
        </w:rPr>
      </w:pPr>
      <w:r>
        <w:rPr>
          <w:rFonts w:hint="eastAsia" w:ascii="宋体" w:hAnsi="宋体"/>
          <w:color w:val="000000"/>
          <w:szCs w:val="21"/>
        </w:rPr>
        <w:t>卖方应在设计联络会前</w:t>
      </w:r>
      <w:r>
        <w:rPr>
          <w:rFonts w:ascii="宋体" w:hAnsi="宋体"/>
          <w:color w:val="000000"/>
          <w:szCs w:val="21"/>
        </w:rPr>
        <w:t>15</w:t>
      </w:r>
      <w:r>
        <w:rPr>
          <w:rFonts w:hint="eastAsia" w:ascii="宋体" w:hAnsi="宋体"/>
          <w:color w:val="000000"/>
          <w:szCs w:val="21"/>
        </w:rPr>
        <w:t>天，向买方提供设计联络会上需讨论的技术资料，讨论议程和计划，设计联络会提供的资料应包含上次设计联络会确认的资料。</w:t>
      </w:r>
    </w:p>
    <w:p>
      <w:pPr>
        <w:pStyle w:val="8"/>
        <w:numPr>
          <w:ilvl w:val="3"/>
          <w:numId w:val="45"/>
        </w:numPr>
        <w:overflowPunct w:val="0"/>
        <w:spacing w:before="100" w:beforeAutospacing="1" w:after="100" w:afterAutospacing="1" w:line="360" w:lineRule="auto"/>
        <w:rPr>
          <w:rFonts w:ascii="宋体" w:hAnsi="宋体"/>
          <w:b/>
          <w:color w:val="000000"/>
          <w:szCs w:val="21"/>
        </w:rPr>
      </w:pPr>
      <w:r>
        <w:rPr>
          <w:rFonts w:hint="eastAsia" w:ascii="宋体" w:hAnsi="宋体"/>
          <w:color w:val="000000"/>
          <w:szCs w:val="21"/>
        </w:rPr>
        <w:t>在设计联络会期间，卖方应采取必要措施以保证买方技术人员的安全。</w:t>
      </w:r>
    </w:p>
    <w:p>
      <w:pPr>
        <w:pStyle w:val="8"/>
        <w:numPr>
          <w:ilvl w:val="3"/>
          <w:numId w:val="45"/>
        </w:numPr>
        <w:overflowPunct w:val="0"/>
        <w:spacing w:before="100" w:beforeAutospacing="1" w:after="100" w:afterAutospacing="1" w:line="360" w:lineRule="auto"/>
        <w:rPr>
          <w:rFonts w:ascii="宋体" w:hAnsi="宋体"/>
          <w:b/>
          <w:color w:val="000000"/>
          <w:szCs w:val="21"/>
        </w:rPr>
      </w:pPr>
      <w:r>
        <w:rPr>
          <w:rFonts w:hint="eastAsia" w:ascii="宋体" w:hAnsi="宋体"/>
          <w:color w:val="000000"/>
          <w:szCs w:val="21"/>
        </w:rPr>
        <w:t>如果发生意外事故，卖方应采取所有必要措施，最大可能地照顾买方人员，费用应由买方承担。若意外事故是由卖方造成的，费用则应由卖方承担。</w:t>
      </w:r>
    </w:p>
    <w:p>
      <w:pPr>
        <w:pStyle w:val="8"/>
        <w:numPr>
          <w:ilvl w:val="3"/>
          <w:numId w:val="45"/>
        </w:numPr>
        <w:overflowPunct w:val="0"/>
        <w:spacing w:before="100" w:beforeAutospacing="1" w:after="100" w:afterAutospacing="1" w:line="360" w:lineRule="auto"/>
        <w:rPr>
          <w:rFonts w:ascii="宋体" w:hAnsi="宋体"/>
          <w:b/>
          <w:color w:val="000000"/>
          <w:szCs w:val="21"/>
        </w:rPr>
      </w:pPr>
      <w:r>
        <w:rPr>
          <w:rFonts w:hint="eastAsia" w:ascii="宋体" w:hAnsi="宋体"/>
          <w:color w:val="000000"/>
          <w:szCs w:val="21"/>
        </w:rPr>
        <w:t>为便于买方技术人员更好地理解与合同设备的设计和运行有关的各种技术问题，卖方应尽力安排买方人员参观工厂。</w:t>
      </w:r>
    </w:p>
    <w:p>
      <w:pPr>
        <w:pStyle w:val="8"/>
        <w:numPr>
          <w:ilvl w:val="3"/>
          <w:numId w:val="45"/>
        </w:numPr>
        <w:overflowPunct w:val="0"/>
        <w:spacing w:before="100" w:beforeAutospacing="1" w:after="100" w:afterAutospacing="1" w:line="360" w:lineRule="auto"/>
        <w:rPr>
          <w:rFonts w:ascii="宋体" w:hAnsi="宋体"/>
          <w:b/>
          <w:color w:val="000000"/>
          <w:szCs w:val="21"/>
        </w:rPr>
      </w:pPr>
      <w:r>
        <w:rPr>
          <w:rFonts w:hint="eastAsia" w:ascii="宋体" w:hAnsi="宋体"/>
          <w:color w:val="000000"/>
          <w:szCs w:val="21"/>
        </w:rPr>
        <w:t>依据技术要求和程序，应进行1次设计联络会，卖方应制定相应详细的设计联络会计划和日程。</w:t>
      </w:r>
    </w:p>
    <w:p>
      <w:pPr>
        <w:pStyle w:val="8"/>
        <w:numPr>
          <w:ilvl w:val="3"/>
          <w:numId w:val="45"/>
        </w:numPr>
        <w:overflowPunct w:val="0"/>
        <w:spacing w:before="100" w:beforeAutospacing="1" w:after="100" w:afterAutospacing="1" w:line="360" w:lineRule="auto"/>
        <w:rPr>
          <w:rFonts w:ascii="宋体" w:hAnsi="宋体"/>
          <w:b/>
          <w:color w:val="000000"/>
          <w:szCs w:val="21"/>
        </w:rPr>
      </w:pPr>
      <w:r>
        <w:rPr>
          <w:rFonts w:hint="eastAsia" w:ascii="宋体" w:hAnsi="宋体"/>
          <w:color w:val="000000"/>
          <w:szCs w:val="21"/>
        </w:rPr>
        <w:t>除联络会议外，由任一方提出的所有有关合同设备设计的修改和/或变更都应经双方讨论并书面同意。任一方接到需批复的文件或图纸后28天内，应将书面的批复或意见返还问题提出方。</w:t>
      </w:r>
    </w:p>
    <w:p>
      <w:pPr>
        <w:pStyle w:val="8"/>
        <w:numPr>
          <w:ilvl w:val="3"/>
          <w:numId w:val="45"/>
        </w:numPr>
        <w:overflowPunct w:val="0"/>
        <w:spacing w:before="100" w:beforeAutospacing="1" w:after="100" w:afterAutospacing="1" w:line="360" w:lineRule="auto"/>
        <w:rPr>
          <w:rFonts w:ascii="宋体" w:hAnsi="宋体"/>
          <w:b/>
          <w:color w:val="000000"/>
          <w:szCs w:val="21"/>
        </w:rPr>
      </w:pPr>
      <w:r>
        <w:rPr>
          <w:rFonts w:hint="eastAsia" w:ascii="宋体" w:hAnsi="宋体"/>
          <w:color w:val="000000"/>
          <w:szCs w:val="21"/>
        </w:rPr>
        <w:t>在设计联络会中，买方对卖方设计的任何审查，均不能因此而免除卖方按本合同规定应承担的任何义务和责任。</w:t>
      </w:r>
    </w:p>
    <w:p>
      <w:pPr>
        <w:pStyle w:val="8"/>
        <w:numPr>
          <w:ilvl w:val="3"/>
          <w:numId w:val="45"/>
        </w:numPr>
        <w:overflowPunct w:val="0"/>
        <w:spacing w:before="100" w:beforeAutospacing="1" w:after="100" w:afterAutospacing="1" w:line="360" w:lineRule="auto"/>
        <w:rPr>
          <w:rFonts w:ascii="宋体" w:hAnsi="宋体"/>
          <w:b/>
          <w:color w:val="000000"/>
          <w:szCs w:val="21"/>
        </w:rPr>
      </w:pPr>
      <w:r>
        <w:rPr>
          <w:rFonts w:hint="eastAsia" w:ascii="宋体" w:hAnsi="宋体"/>
          <w:color w:val="000000"/>
          <w:szCs w:val="21"/>
        </w:rPr>
        <w:t>在设计联络会期间，买方或买方代表人员有权就合同设备的技术方案、性能、参数、试验、工作与工程及其它系统设备的接口等方面的问题，进一步提出改进意见或对合同设备设计、试验和结构布置等补充技术条件和要求，卖方应认真考虑并研究改进、予以满足。</w:t>
      </w:r>
    </w:p>
    <w:p>
      <w:pPr>
        <w:pStyle w:val="8"/>
        <w:numPr>
          <w:ilvl w:val="3"/>
          <w:numId w:val="45"/>
        </w:numPr>
        <w:overflowPunct w:val="0"/>
        <w:spacing w:before="100" w:beforeAutospacing="1" w:after="100" w:afterAutospacing="1" w:line="360" w:lineRule="auto"/>
        <w:rPr>
          <w:rFonts w:ascii="宋体" w:hAnsi="宋体"/>
          <w:b/>
          <w:color w:val="000000"/>
          <w:szCs w:val="21"/>
        </w:rPr>
      </w:pPr>
      <w:r>
        <w:rPr>
          <w:rFonts w:hint="eastAsia" w:ascii="宋体" w:hAnsi="宋体"/>
          <w:color w:val="000000"/>
          <w:szCs w:val="21"/>
        </w:rPr>
        <w:t>设计联络会将以会议纪要的形式确认双方协定的内容，卖方应接受设计联络会的意见、建议或要求，并在合同执行中遵守。设计联络会的会议纪要由卖方起草，经会议双方代表签字后生效。在设计联络会期间如对合同条款、技术规范有重大修改时，或涉及合同额外费用时，须经过双方授权代表签字同意。设计联络会均不免除或减轻卖方对本合同应承担的责任与义务。</w:t>
      </w:r>
    </w:p>
    <w:p>
      <w:pPr>
        <w:pStyle w:val="8"/>
        <w:numPr>
          <w:ilvl w:val="3"/>
          <w:numId w:val="45"/>
        </w:numPr>
        <w:overflowPunct w:val="0"/>
        <w:spacing w:before="100" w:beforeAutospacing="1" w:after="100" w:afterAutospacing="1" w:line="360" w:lineRule="auto"/>
        <w:rPr>
          <w:rFonts w:ascii="宋体" w:hAnsi="宋体"/>
          <w:b/>
          <w:color w:val="000000"/>
          <w:szCs w:val="21"/>
        </w:rPr>
      </w:pPr>
      <w:r>
        <w:rPr>
          <w:rFonts w:hint="eastAsia" w:ascii="宋体" w:hAnsi="宋体"/>
          <w:color w:val="000000"/>
          <w:szCs w:val="21"/>
        </w:rPr>
        <w:t>设计联络会的有关规定详见本合同文件《商务部分》的相关条款。</w:t>
      </w:r>
    </w:p>
    <w:p>
      <w:pPr>
        <w:pStyle w:val="7"/>
        <w:widowControl w:val="0"/>
        <w:numPr>
          <w:ilvl w:val="2"/>
          <w:numId w:val="45"/>
        </w:numPr>
        <w:overflowPunct w:val="0"/>
        <w:spacing w:line="360" w:lineRule="auto"/>
        <w:ind w:left="968" w:hanging="968" w:hangingChars="459"/>
        <w:jc w:val="both"/>
        <w:rPr>
          <w:rFonts w:ascii="宋体" w:hAnsi="宋体"/>
          <w:b/>
          <w:bCs/>
          <w:color w:val="000000"/>
          <w:sz w:val="21"/>
          <w:szCs w:val="21"/>
        </w:rPr>
      </w:pPr>
      <w:bookmarkStart w:id="306" w:name="_Toc31720491"/>
      <w:bookmarkEnd w:id="306"/>
      <w:bookmarkStart w:id="307" w:name="_Toc57986347"/>
      <w:bookmarkEnd w:id="307"/>
      <w:bookmarkStart w:id="308" w:name="_Toc12378927"/>
      <w:r>
        <w:rPr>
          <w:rFonts w:hint="eastAsia" w:ascii="宋体" w:hAnsi="宋体"/>
          <w:b/>
          <w:bCs/>
          <w:color w:val="000000"/>
          <w:sz w:val="21"/>
          <w:szCs w:val="21"/>
        </w:rPr>
        <w:t>设计联络会地点和主要内容</w:t>
      </w:r>
      <w:bookmarkEnd w:id="308"/>
    </w:p>
    <w:p>
      <w:pPr>
        <w:pStyle w:val="8"/>
        <w:overflowPunct w:val="0"/>
        <w:snapToGrid w:val="0"/>
        <w:spacing w:before="0" w:after="0" w:line="360" w:lineRule="auto"/>
        <w:rPr>
          <w:rFonts w:ascii="宋体" w:hAnsi="宋体"/>
          <w:b/>
          <w:color w:val="000000"/>
          <w:szCs w:val="21"/>
        </w:rPr>
      </w:pPr>
      <w:r>
        <w:rPr>
          <w:rFonts w:ascii="宋体" w:hAnsi="宋体"/>
          <w:color w:val="000000"/>
          <w:szCs w:val="21"/>
        </w:rPr>
        <w:t>1</w:t>
      </w:r>
      <w:r>
        <w:rPr>
          <w:rFonts w:hint="eastAsia" w:ascii="宋体" w:hAnsi="宋体"/>
          <w:color w:val="000000"/>
          <w:szCs w:val="21"/>
        </w:rPr>
        <w:t>.13.2.1设计联络会</w:t>
      </w:r>
    </w:p>
    <w:p>
      <w:pPr>
        <w:spacing w:line="360" w:lineRule="auto"/>
        <w:ind w:left="960"/>
        <w:rPr>
          <w:rFonts w:ascii="宋体" w:hAnsi="宋体"/>
          <w:color w:val="000000"/>
          <w:szCs w:val="21"/>
        </w:rPr>
      </w:pPr>
      <w:r>
        <w:rPr>
          <w:rFonts w:hint="eastAsia" w:ascii="宋体" w:hAnsi="宋体"/>
          <w:color w:val="000000"/>
          <w:szCs w:val="21"/>
        </w:rPr>
        <w:t>在合同生效</w:t>
      </w:r>
      <w:r>
        <w:rPr>
          <w:rFonts w:ascii="宋体" w:hAnsi="宋体"/>
          <w:color w:val="000000"/>
          <w:szCs w:val="21"/>
        </w:rPr>
        <w:t>30</w:t>
      </w:r>
      <w:r>
        <w:rPr>
          <w:rFonts w:hint="eastAsia" w:ascii="宋体" w:hAnsi="宋体"/>
          <w:color w:val="000000"/>
          <w:szCs w:val="21"/>
        </w:rPr>
        <w:t>天后在卖方所在地举行设计联络会。会议议题如下，但不限于此：</w:t>
      </w:r>
    </w:p>
    <w:p>
      <w:pPr>
        <w:pStyle w:val="120"/>
        <w:numPr>
          <w:ilvl w:val="0"/>
          <w:numId w:val="46"/>
        </w:numPr>
        <w:spacing w:before="0" w:after="0" w:line="360" w:lineRule="auto"/>
        <w:ind w:left="1470" w:hanging="420"/>
        <w:rPr>
          <w:rFonts w:hAnsi="宋体"/>
          <w:color w:val="000000"/>
          <w:sz w:val="21"/>
          <w:szCs w:val="21"/>
        </w:rPr>
      </w:pPr>
      <w:r>
        <w:rPr>
          <w:rFonts w:hint="eastAsia" w:hAnsi="宋体"/>
          <w:color w:val="000000"/>
          <w:sz w:val="21"/>
          <w:szCs w:val="21"/>
        </w:rPr>
        <w:t>接入系统系统总体设计方案；</w:t>
      </w:r>
    </w:p>
    <w:p>
      <w:pPr>
        <w:pStyle w:val="120"/>
        <w:numPr>
          <w:ilvl w:val="0"/>
          <w:numId w:val="46"/>
        </w:numPr>
        <w:spacing w:before="0" w:after="0" w:line="360" w:lineRule="auto"/>
        <w:ind w:left="1470" w:hanging="420"/>
        <w:rPr>
          <w:rFonts w:hAnsi="宋体"/>
          <w:color w:val="000000"/>
          <w:sz w:val="21"/>
          <w:szCs w:val="21"/>
        </w:rPr>
      </w:pPr>
      <w:r>
        <w:rPr>
          <w:rFonts w:hint="eastAsia" w:hAnsi="宋体"/>
          <w:color w:val="000000"/>
          <w:sz w:val="21"/>
          <w:szCs w:val="21"/>
        </w:rPr>
        <w:t>接入系统系统详细设计图纸及技术资料；</w:t>
      </w:r>
    </w:p>
    <w:p>
      <w:pPr>
        <w:pStyle w:val="120"/>
        <w:numPr>
          <w:ilvl w:val="0"/>
          <w:numId w:val="46"/>
        </w:numPr>
        <w:spacing w:before="0" w:after="0" w:line="360" w:lineRule="auto"/>
        <w:ind w:left="1470" w:hanging="420"/>
        <w:rPr>
          <w:rFonts w:hAnsi="宋体"/>
          <w:color w:val="000000"/>
          <w:sz w:val="21"/>
          <w:szCs w:val="21"/>
        </w:rPr>
      </w:pPr>
      <w:r>
        <w:rPr>
          <w:rFonts w:hint="eastAsia" w:hAnsi="宋体"/>
          <w:color w:val="000000"/>
          <w:sz w:val="21"/>
          <w:szCs w:val="21"/>
        </w:rPr>
        <w:t>接入系统系统详细设备清单；</w:t>
      </w:r>
    </w:p>
    <w:p>
      <w:pPr>
        <w:pStyle w:val="120"/>
        <w:numPr>
          <w:ilvl w:val="0"/>
          <w:numId w:val="46"/>
        </w:numPr>
        <w:spacing w:before="0" w:after="0" w:line="360" w:lineRule="auto"/>
        <w:ind w:left="1470" w:hanging="420"/>
        <w:rPr>
          <w:rFonts w:hAnsi="宋体"/>
          <w:color w:val="000000"/>
          <w:sz w:val="21"/>
          <w:szCs w:val="21"/>
        </w:rPr>
      </w:pPr>
      <w:r>
        <w:rPr>
          <w:rFonts w:hint="eastAsia" w:hAnsi="宋体"/>
          <w:color w:val="000000"/>
          <w:sz w:val="21"/>
          <w:szCs w:val="21"/>
        </w:rPr>
        <w:t>接入系统系统主要元器件；</w:t>
      </w:r>
    </w:p>
    <w:p>
      <w:pPr>
        <w:pStyle w:val="120"/>
        <w:numPr>
          <w:ilvl w:val="0"/>
          <w:numId w:val="46"/>
        </w:numPr>
        <w:spacing w:before="0" w:after="0" w:line="360" w:lineRule="auto"/>
        <w:ind w:left="1470" w:hanging="420"/>
        <w:rPr>
          <w:rFonts w:hAnsi="宋体"/>
          <w:color w:val="000000"/>
          <w:sz w:val="21"/>
          <w:szCs w:val="21"/>
        </w:rPr>
      </w:pPr>
      <w:r>
        <w:rPr>
          <w:rFonts w:hint="eastAsia" w:hAnsi="宋体"/>
          <w:color w:val="000000"/>
          <w:sz w:val="21"/>
          <w:szCs w:val="21"/>
        </w:rPr>
        <w:t>接入系统系统性能参数；</w:t>
      </w:r>
    </w:p>
    <w:p>
      <w:pPr>
        <w:pStyle w:val="120"/>
        <w:numPr>
          <w:ilvl w:val="0"/>
          <w:numId w:val="46"/>
        </w:numPr>
        <w:spacing w:before="0" w:after="0" w:line="360" w:lineRule="auto"/>
        <w:ind w:left="1470" w:hanging="420"/>
        <w:rPr>
          <w:rFonts w:hAnsi="宋体"/>
          <w:color w:val="000000"/>
          <w:sz w:val="21"/>
          <w:szCs w:val="21"/>
        </w:rPr>
      </w:pPr>
      <w:r>
        <w:rPr>
          <w:rFonts w:hint="eastAsia" w:hAnsi="宋体"/>
          <w:color w:val="000000"/>
          <w:sz w:val="21"/>
          <w:szCs w:val="21"/>
        </w:rPr>
        <w:t>接入系统系统的设备布置及对电站土建的要求等；</w:t>
      </w:r>
    </w:p>
    <w:p>
      <w:pPr>
        <w:pStyle w:val="120"/>
        <w:numPr>
          <w:ilvl w:val="0"/>
          <w:numId w:val="46"/>
        </w:numPr>
        <w:spacing w:before="0" w:after="0" w:line="360" w:lineRule="auto"/>
        <w:ind w:left="1470" w:hanging="420"/>
        <w:rPr>
          <w:rFonts w:hAnsi="宋体"/>
          <w:color w:val="000000"/>
          <w:sz w:val="21"/>
          <w:szCs w:val="21"/>
        </w:rPr>
      </w:pPr>
      <w:r>
        <w:rPr>
          <w:rFonts w:hint="eastAsia" w:hAnsi="宋体"/>
          <w:color w:val="000000"/>
          <w:sz w:val="21"/>
          <w:szCs w:val="21"/>
        </w:rPr>
        <w:t>接入系统系统与其他系统的接口；</w:t>
      </w:r>
    </w:p>
    <w:p>
      <w:pPr>
        <w:pStyle w:val="120"/>
        <w:numPr>
          <w:ilvl w:val="0"/>
          <w:numId w:val="46"/>
        </w:numPr>
        <w:spacing w:before="0" w:after="0" w:line="360" w:lineRule="auto"/>
        <w:ind w:left="1470" w:hanging="420"/>
        <w:rPr>
          <w:rFonts w:hAnsi="宋体"/>
          <w:color w:val="000000"/>
          <w:sz w:val="21"/>
          <w:szCs w:val="21"/>
        </w:rPr>
      </w:pPr>
      <w:r>
        <w:rPr>
          <w:rFonts w:hint="eastAsia" w:hAnsi="宋体"/>
          <w:color w:val="000000"/>
          <w:sz w:val="21"/>
          <w:szCs w:val="21"/>
        </w:rPr>
        <w:t>合同设备的型式试验报告和设计制造质量保证文件；</w:t>
      </w:r>
    </w:p>
    <w:p>
      <w:pPr>
        <w:pStyle w:val="120"/>
        <w:numPr>
          <w:ilvl w:val="0"/>
          <w:numId w:val="46"/>
        </w:numPr>
        <w:spacing w:before="0" w:after="0" w:line="360" w:lineRule="auto"/>
        <w:ind w:left="1470" w:hanging="420"/>
        <w:rPr>
          <w:rFonts w:hAnsi="宋体"/>
          <w:color w:val="000000"/>
          <w:sz w:val="21"/>
          <w:szCs w:val="21"/>
        </w:rPr>
      </w:pPr>
      <w:r>
        <w:rPr>
          <w:rFonts w:hint="eastAsia" w:hAnsi="宋体"/>
          <w:color w:val="000000"/>
          <w:sz w:val="21"/>
          <w:szCs w:val="21"/>
        </w:rPr>
        <w:t>合同设备制造详细进度计划；</w:t>
      </w:r>
    </w:p>
    <w:p>
      <w:pPr>
        <w:pStyle w:val="120"/>
        <w:numPr>
          <w:ilvl w:val="0"/>
          <w:numId w:val="46"/>
        </w:numPr>
        <w:spacing w:before="0" w:after="0" w:line="360" w:lineRule="auto"/>
        <w:ind w:left="1470" w:hanging="420"/>
        <w:rPr>
          <w:rFonts w:hAnsi="宋体"/>
          <w:color w:val="000000"/>
          <w:sz w:val="21"/>
          <w:szCs w:val="21"/>
        </w:rPr>
      </w:pPr>
      <w:r>
        <w:rPr>
          <w:rFonts w:hint="eastAsia" w:hAnsi="宋体"/>
          <w:color w:val="000000"/>
          <w:sz w:val="21"/>
          <w:szCs w:val="21"/>
        </w:rPr>
        <w:t>合同设备的交货、运输、组装、安装、试运行和验收试验；</w:t>
      </w:r>
    </w:p>
    <w:p>
      <w:pPr>
        <w:pStyle w:val="120"/>
        <w:numPr>
          <w:ilvl w:val="0"/>
          <w:numId w:val="46"/>
        </w:numPr>
        <w:spacing w:before="0" w:after="0" w:line="360" w:lineRule="auto"/>
        <w:ind w:left="1470" w:hanging="420"/>
        <w:rPr>
          <w:rFonts w:hAnsi="宋体"/>
          <w:color w:val="000000"/>
          <w:sz w:val="21"/>
          <w:szCs w:val="21"/>
        </w:rPr>
      </w:pPr>
      <w:r>
        <w:rPr>
          <w:rFonts w:hint="eastAsia" w:hAnsi="宋体"/>
          <w:color w:val="000000"/>
          <w:sz w:val="21"/>
          <w:szCs w:val="21"/>
        </w:rPr>
        <w:t>买方工厂培训计划；</w:t>
      </w:r>
    </w:p>
    <w:p>
      <w:pPr>
        <w:pStyle w:val="120"/>
        <w:numPr>
          <w:ilvl w:val="0"/>
          <w:numId w:val="46"/>
        </w:numPr>
        <w:spacing w:before="0" w:after="0" w:line="360" w:lineRule="auto"/>
        <w:ind w:left="1470" w:hanging="420"/>
        <w:rPr>
          <w:rFonts w:hAnsi="宋体"/>
          <w:color w:val="000000"/>
          <w:sz w:val="21"/>
          <w:szCs w:val="21"/>
        </w:rPr>
      </w:pPr>
      <w:r>
        <w:rPr>
          <w:rFonts w:hint="eastAsia" w:hAnsi="宋体"/>
          <w:color w:val="000000"/>
          <w:sz w:val="21"/>
          <w:szCs w:val="21"/>
        </w:rPr>
        <w:t>卖方应提供的图纸资料清单和提交计划；</w:t>
      </w:r>
    </w:p>
    <w:p>
      <w:pPr>
        <w:pStyle w:val="120"/>
        <w:numPr>
          <w:ilvl w:val="0"/>
          <w:numId w:val="46"/>
        </w:numPr>
        <w:spacing w:before="0" w:after="0" w:line="360" w:lineRule="auto"/>
        <w:ind w:left="1470" w:hanging="420"/>
        <w:rPr>
          <w:rFonts w:hAnsi="宋体"/>
          <w:color w:val="000000"/>
          <w:sz w:val="21"/>
          <w:szCs w:val="21"/>
        </w:rPr>
      </w:pPr>
      <w:r>
        <w:rPr>
          <w:rFonts w:hint="eastAsia" w:hAnsi="宋体"/>
          <w:color w:val="000000"/>
          <w:sz w:val="21"/>
          <w:szCs w:val="21"/>
        </w:rPr>
        <w:t>双方关心的其它技术问题。</w:t>
      </w:r>
    </w:p>
    <w:p>
      <w:pPr>
        <w:pStyle w:val="8"/>
        <w:overflowPunct w:val="0"/>
        <w:snapToGrid w:val="0"/>
        <w:spacing w:before="0" w:after="0" w:line="360" w:lineRule="auto"/>
        <w:ind w:left="991" w:hanging="991" w:hangingChars="472"/>
        <w:rPr>
          <w:rFonts w:ascii="宋体" w:hAnsi="宋体"/>
          <w:color w:val="000000"/>
          <w:szCs w:val="21"/>
        </w:rPr>
      </w:pPr>
      <w:r>
        <w:rPr>
          <w:rFonts w:ascii="宋体" w:hAnsi="宋体"/>
          <w:color w:val="000000"/>
          <w:szCs w:val="21"/>
        </w:rPr>
        <w:t>1</w:t>
      </w:r>
      <w:r>
        <w:rPr>
          <w:rFonts w:hint="eastAsia" w:ascii="宋体" w:hAnsi="宋体"/>
          <w:color w:val="000000"/>
          <w:szCs w:val="21"/>
        </w:rPr>
        <w:t>.13.2.2在本合同有效期内，卖方应及时回答买方提出的技术文件范围内的有关设计和技术问题。同样，买方也应配合卖方工作。</w:t>
      </w:r>
    </w:p>
    <w:p>
      <w:pPr>
        <w:pStyle w:val="8"/>
        <w:overflowPunct w:val="0"/>
        <w:snapToGrid w:val="0"/>
        <w:spacing w:before="0" w:after="0" w:line="360" w:lineRule="auto"/>
        <w:ind w:left="991" w:hanging="991" w:hangingChars="472"/>
        <w:rPr>
          <w:rFonts w:ascii="宋体" w:hAnsi="宋体"/>
          <w:b/>
          <w:color w:val="000000"/>
          <w:szCs w:val="21"/>
        </w:rPr>
      </w:pPr>
      <w:r>
        <w:rPr>
          <w:rFonts w:ascii="宋体" w:hAnsi="宋体"/>
          <w:color w:val="000000"/>
          <w:szCs w:val="21"/>
        </w:rPr>
        <w:t>1</w:t>
      </w:r>
      <w:r>
        <w:rPr>
          <w:rFonts w:hint="eastAsia" w:ascii="宋体" w:hAnsi="宋体"/>
          <w:color w:val="000000"/>
          <w:szCs w:val="21"/>
        </w:rPr>
        <w:t>.13.2.3根据工程的需要，卖方应按买方的要求，派项目负责人参加由买方召开的协调会。</w:t>
      </w:r>
      <w:bookmarkStart w:id="309" w:name="_Toc515872334"/>
      <w:bookmarkEnd w:id="309"/>
    </w:p>
    <w:p>
      <w:pPr>
        <w:pStyle w:val="6"/>
        <w:widowControl w:val="0"/>
        <w:numPr>
          <w:ilvl w:val="1"/>
          <w:numId w:val="16"/>
        </w:numPr>
        <w:tabs>
          <w:tab w:val="left" w:pos="709"/>
          <w:tab w:val="clear" w:pos="964"/>
        </w:tabs>
        <w:snapToGrid/>
        <w:spacing w:before="93" w:beforeLines="30" w:after="93" w:afterLines="30" w:line="300" w:lineRule="auto"/>
        <w:jc w:val="both"/>
        <w:rPr>
          <w:rFonts w:ascii="宋体" w:hAnsi="宋体"/>
          <w:sz w:val="24"/>
          <w:szCs w:val="24"/>
        </w:rPr>
      </w:pPr>
      <w:bookmarkStart w:id="310" w:name="_Toc57986348"/>
      <w:bookmarkEnd w:id="310"/>
      <w:bookmarkStart w:id="311" w:name="_Toc72415703"/>
      <w:bookmarkStart w:id="312" w:name="_Toc143589475"/>
      <w:bookmarkStart w:id="313" w:name="_Toc279240714"/>
      <w:r>
        <w:rPr>
          <w:rFonts w:hint="eastAsia" w:ascii="宋体" w:hAnsi="宋体"/>
          <w:sz w:val="24"/>
          <w:szCs w:val="24"/>
        </w:rPr>
        <w:t>技术培训</w:t>
      </w:r>
      <w:bookmarkEnd w:id="311"/>
      <w:bookmarkEnd w:id="312"/>
      <w:bookmarkEnd w:id="313"/>
    </w:p>
    <w:p>
      <w:pPr>
        <w:pStyle w:val="7"/>
        <w:widowControl w:val="0"/>
        <w:numPr>
          <w:ilvl w:val="2"/>
          <w:numId w:val="47"/>
        </w:numPr>
        <w:overflowPunct w:val="0"/>
        <w:snapToGrid/>
        <w:spacing w:after="100" w:afterAutospacing="1" w:line="360" w:lineRule="auto"/>
        <w:jc w:val="both"/>
        <w:rPr>
          <w:rFonts w:ascii="宋体" w:hAnsi="宋体"/>
          <w:b/>
          <w:bCs/>
          <w:color w:val="000000"/>
          <w:sz w:val="21"/>
          <w:szCs w:val="21"/>
        </w:rPr>
      </w:pPr>
      <w:bookmarkStart w:id="314" w:name="_Toc12378929"/>
      <w:bookmarkEnd w:id="314"/>
      <w:bookmarkStart w:id="315" w:name="_Toc57986349"/>
      <w:bookmarkEnd w:id="315"/>
      <w:bookmarkStart w:id="316" w:name="_Toc31720494"/>
      <w:bookmarkEnd w:id="316"/>
      <w:bookmarkStart w:id="317" w:name="_Toc12378930"/>
      <w:bookmarkEnd w:id="317"/>
      <w:bookmarkStart w:id="318" w:name="_Toc57986350"/>
      <w:r>
        <w:rPr>
          <w:rFonts w:hint="eastAsia" w:ascii="宋体" w:hAnsi="宋体"/>
          <w:b/>
          <w:bCs/>
          <w:color w:val="000000"/>
          <w:sz w:val="21"/>
          <w:szCs w:val="21"/>
        </w:rPr>
        <w:t>现场培训</w:t>
      </w:r>
      <w:bookmarkEnd w:id="318"/>
    </w:p>
    <w:p>
      <w:pPr>
        <w:spacing w:line="360" w:lineRule="auto"/>
        <w:ind w:left="960"/>
        <w:rPr>
          <w:rFonts w:ascii="宋体" w:hAnsi="宋体"/>
          <w:color w:val="000000"/>
          <w:szCs w:val="21"/>
        </w:rPr>
      </w:pPr>
      <w:r>
        <w:rPr>
          <w:rFonts w:hint="eastAsia" w:ascii="宋体" w:hAnsi="宋体"/>
          <w:color w:val="000000"/>
          <w:szCs w:val="21"/>
        </w:rPr>
        <w:t>卖方应指派熟练、称职的工程技术人员到双江航电枢纽现场，对买方技术人员免费提供现场技术培训和指导。以保证买方技术人员在不同岗位工作的人员能够了解和掌握接入系统设备的工作原理、运行、操作、检验、调试、修理和维护等知识、技术和技能。</w:t>
      </w:r>
    </w:p>
    <w:p>
      <w:pPr>
        <w:spacing w:line="360" w:lineRule="auto"/>
        <w:ind w:left="960"/>
        <w:rPr>
          <w:rFonts w:ascii="宋体" w:hAnsi="宋体"/>
          <w:color w:val="000000"/>
          <w:szCs w:val="21"/>
        </w:rPr>
      </w:pPr>
      <w:r>
        <w:rPr>
          <w:rFonts w:hint="eastAsia" w:ascii="宋体" w:hAnsi="宋体"/>
          <w:color w:val="000000"/>
          <w:szCs w:val="21"/>
        </w:rPr>
        <w:t>卖方应在培训开始之前1个月提供一份对买方技术人员现场培训的大纲（包括培训计划、培训内容和要求等）供买方审查。</w:t>
      </w:r>
    </w:p>
    <w:p>
      <w:pPr>
        <w:spacing w:line="360" w:lineRule="auto"/>
        <w:ind w:left="960"/>
        <w:rPr>
          <w:rFonts w:ascii="宋体" w:hAnsi="宋体"/>
          <w:color w:val="000000"/>
          <w:szCs w:val="21"/>
        </w:rPr>
      </w:pPr>
      <w:r>
        <w:rPr>
          <w:rFonts w:hint="eastAsia" w:ascii="宋体" w:hAnsi="宋体"/>
          <w:color w:val="000000"/>
          <w:szCs w:val="21"/>
        </w:rPr>
        <w:t>卖方应免费提供现场培训需要的技术文件、图纸、参考资料和培训有关的必需品。</w:t>
      </w:r>
    </w:p>
    <w:p>
      <w:pPr>
        <w:pStyle w:val="6"/>
        <w:widowControl w:val="0"/>
        <w:numPr>
          <w:ilvl w:val="1"/>
          <w:numId w:val="16"/>
        </w:numPr>
        <w:tabs>
          <w:tab w:val="left" w:pos="709"/>
          <w:tab w:val="clear" w:pos="964"/>
        </w:tabs>
        <w:snapToGrid/>
        <w:spacing w:before="93" w:beforeLines="30" w:after="93" w:afterLines="30" w:line="300" w:lineRule="auto"/>
        <w:jc w:val="both"/>
        <w:rPr>
          <w:rFonts w:ascii="宋体" w:hAnsi="宋体"/>
          <w:sz w:val="24"/>
          <w:szCs w:val="24"/>
        </w:rPr>
      </w:pPr>
      <w:bookmarkStart w:id="319" w:name="_Toc267388221"/>
      <w:bookmarkEnd w:id="319"/>
      <w:bookmarkStart w:id="320" w:name="_Toc57986351"/>
      <w:bookmarkStart w:id="321" w:name="_Toc72415704"/>
      <w:bookmarkStart w:id="322" w:name="_Toc143589476"/>
      <w:r>
        <w:rPr>
          <w:rFonts w:hint="eastAsia" w:ascii="宋体" w:hAnsi="宋体"/>
          <w:sz w:val="24"/>
          <w:szCs w:val="24"/>
        </w:rPr>
        <w:t>工厂试验</w:t>
      </w:r>
      <w:bookmarkEnd w:id="320"/>
      <w:bookmarkEnd w:id="321"/>
      <w:bookmarkEnd w:id="322"/>
    </w:p>
    <w:p>
      <w:pPr>
        <w:spacing w:line="360" w:lineRule="auto"/>
        <w:ind w:left="960"/>
        <w:rPr>
          <w:rFonts w:ascii="宋体" w:hAnsi="宋体"/>
          <w:color w:val="000000"/>
          <w:szCs w:val="21"/>
        </w:rPr>
      </w:pPr>
      <w:r>
        <w:rPr>
          <w:rFonts w:hint="eastAsia" w:ascii="宋体" w:hAnsi="宋体"/>
          <w:color w:val="000000"/>
          <w:szCs w:val="21"/>
        </w:rPr>
        <w:t>设备出厂时应进行检查、试验，以验证设备性能是否达到了合同规定的保证值。卖方应按相关规程规范、合同文件及产品图纸的要求，对产品的质量进行检验，只有检验合格后，才准予出厂。</w:t>
      </w:r>
    </w:p>
    <w:p>
      <w:pPr>
        <w:spacing w:line="360" w:lineRule="auto"/>
        <w:ind w:left="960"/>
        <w:rPr>
          <w:rFonts w:ascii="宋体" w:hAnsi="宋体"/>
          <w:color w:val="000000"/>
          <w:szCs w:val="21"/>
        </w:rPr>
      </w:pPr>
      <w:r>
        <w:rPr>
          <w:rFonts w:hint="eastAsia" w:ascii="宋体" w:hAnsi="宋体"/>
          <w:color w:val="000000"/>
          <w:szCs w:val="21"/>
        </w:rPr>
        <w:t>在工厂进行各项设备试验后，卖方应向买方提供试验报告，报告应包括试验方法、适用仪器的精度、计算公式、试验结果、适当的曲线和图表及照片和录象标准硬盘。报告经买方审批后，设备才能发运。报告将作为交货时的质量基准，但并不认为已最终符合质量、技术规范、数量的要求。</w:t>
      </w:r>
    </w:p>
    <w:p>
      <w:pPr>
        <w:pStyle w:val="6"/>
        <w:widowControl w:val="0"/>
        <w:numPr>
          <w:ilvl w:val="1"/>
          <w:numId w:val="16"/>
        </w:numPr>
        <w:tabs>
          <w:tab w:val="left" w:pos="709"/>
          <w:tab w:val="clear" w:pos="964"/>
        </w:tabs>
        <w:snapToGrid/>
        <w:spacing w:before="93" w:beforeLines="30" w:after="93" w:afterLines="30" w:line="300" w:lineRule="auto"/>
        <w:jc w:val="both"/>
        <w:rPr>
          <w:rFonts w:ascii="宋体" w:hAnsi="宋体"/>
          <w:sz w:val="24"/>
          <w:szCs w:val="24"/>
        </w:rPr>
      </w:pPr>
      <w:bookmarkStart w:id="323" w:name="_Toc265434269"/>
      <w:bookmarkEnd w:id="323"/>
      <w:bookmarkStart w:id="324" w:name="_Toc265434270"/>
      <w:bookmarkEnd w:id="324"/>
      <w:bookmarkStart w:id="325" w:name="_Toc265434268"/>
      <w:bookmarkEnd w:id="325"/>
      <w:bookmarkStart w:id="326" w:name="_Toc57986352"/>
      <w:bookmarkEnd w:id="326"/>
      <w:bookmarkStart w:id="327" w:name="_Toc515872335"/>
      <w:bookmarkEnd w:id="327"/>
      <w:bookmarkStart w:id="328" w:name="_Toc265434264"/>
      <w:bookmarkEnd w:id="328"/>
      <w:bookmarkStart w:id="329" w:name="_Toc265434265"/>
      <w:bookmarkEnd w:id="329"/>
      <w:bookmarkStart w:id="330" w:name="_Toc265434267"/>
      <w:bookmarkEnd w:id="330"/>
      <w:bookmarkStart w:id="331" w:name="_Toc265434263"/>
      <w:bookmarkEnd w:id="331"/>
      <w:bookmarkStart w:id="332" w:name="_Toc143589477"/>
      <w:bookmarkStart w:id="333" w:name="_Toc265434266"/>
      <w:bookmarkStart w:id="334" w:name="_Toc72415705"/>
      <w:r>
        <w:rPr>
          <w:rFonts w:hint="eastAsia" w:ascii="宋体" w:hAnsi="宋体"/>
          <w:sz w:val="24"/>
          <w:szCs w:val="24"/>
        </w:rPr>
        <w:t>安装、调试及现场试验的技术服务</w:t>
      </w:r>
      <w:bookmarkEnd w:id="332"/>
      <w:bookmarkEnd w:id="333"/>
      <w:bookmarkEnd w:id="334"/>
    </w:p>
    <w:p>
      <w:pPr>
        <w:pStyle w:val="7"/>
        <w:widowControl w:val="0"/>
        <w:numPr>
          <w:ilvl w:val="2"/>
          <w:numId w:val="15"/>
        </w:numPr>
        <w:overflowPunct w:val="0"/>
        <w:spacing w:line="360" w:lineRule="auto"/>
        <w:jc w:val="both"/>
        <w:rPr>
          <w:rFonts w:ascii="宋体" w:hAnsi="宋体"/>
          <w:b/>
          <w:bCs/>
          <w:color w:val="000000"/>
          <w:sz w:val="21"/>
          <w:szCs w:val="21"/>
        </w:rPr>
      </w:pPr>
      <w:bookmarkStart w:id="335" w:name="_Toc31720497"/>
      <w:bookmarkEnd w:id="335"/>
      <w:bookmarkStart w:id="336" w:name="_Toc57986353"/>
      <w:bookmarkEnd w:id="336"/>
      <w:bookmarkStart w:id="337" w:name="_Toc12378933"/>
      <w:r>
        <w:rPr>
          <w:rFonts w:hint="eastAsia" w:ascii="宋体" w:hAnsi="宋体"/>
          <w:b/>
          <w:bCs/>
          <w:color w:val="000000"/>
          <w:sz w:val="21"/>
          <w:szCs w:val="21"/>
        </w:rPr>
        <w:t>概述</w:t>
      </w:r>
      <w:bookmarkEnd w:id="337"/>
    </w:p>
    <w:p>
      <w:pPr>
        <w:adjustRightInd w:val="0"/>
        <w:snapToGrid w:val="0"/>
        <w:spacing w:line="360" w:lineRule="auto"/>
        <w:ind w:left="840" w:leftChars="400"/>
        <w:rPr>
          <w:rFonts w:ascii="宋体" w:hAnsi="宋体"/>
          <w:szCs w:val="21"/>
        </w:rPr>
      </w:pPr>
      <w:r>
        <w:rPr>
          <w:rFonts w:hint="eastAsia" w:ascii="宋体" w:hAnsi="宋体"/>
          <w:color w:val="000000"/>
          <w:szCs w:val="21"/>
        </w:rPr>
        <w:t>接入系统</w:t>
      </w:r>
      <w:r>
        <w:rPr>
          <w:rFonts w:hint="eastAsia" w:ascii="宋体" w:hAnsi="宋体"/>
          <w:szCs w:val="21"/>
        </w:rPr>
        <w:t>设备将由其他承包商安装，卖方应派遣技术人员到工地指导安装工作。卖方技术人员对合同设备的现场就位、检查、安装、试验的技术指导负责，对系统调试（含与徐家湾变电站线路保护、故障解列装置的调试）、试运行和在商业运行前的最终调试负有指导和配合责任。</w:t>
      </w:r>
    </w:p>
    <w:p>
      <w:pPr>
        <w:adjustRightInd w:val="0"/>
        <w:snapToGrid w:val="0"/>
        <w:spacing w:line="360" w:lineRule="auto"/>
        <w:ind w:left="840" w:leftChars="400"/>
        <w:rPr>
          <w:rFonts w:ascii="宋体" w:hAnsi="宋体"/>
          <w:szCs w:val="21"/>
        </w:rPr>
      </w:pPr>
      <w:r>
        <w:rPr>
          <w:rFonts w:hint="eastAsia" w:ascii="宋体" w:hAnsi="宋体"/>
          <w:szCs w:val="21"/>
        </w:rPr>
        <w:t>卖方为完成合同设备现场服务的全部费用包含在合同总价中，不因现场服务的实际人日数的增减或现场加班而变化。</w:t>
      </w:r>
    </w:p>
    <w:p>
      <w:pPr>
        <w:adjustRightInd w:val="0"/>
        <w:snapToGrid w:val="0"/>
        <w:spacing w:line="360" w:lineRule="auto"/>
        <w:ind w:left="840" w:leftChars="400"/>
        <w:rPr>
          <w:rFonts w:ascii="宋体" w:hAnsi="宋体"/>
          <w:szCs w:val="21"/>
        </w:rPr>
      </w:pPr>
      <w:r>
        <w:rPr>
          <w:rFonts w:hint="eastAsia" w:ascii="宋体" w:hAnsi="宋体"/>
          <w:szCs w:val="21"/>
        </w:rPr>
        <w:t>双方应该根据工地施工的实际工作进展，通过协商决定卖方技术人员的准确专业、人员数量、服务的持续时间、以及到达和离开工地的日期。如果安装出现拖期，是否需要卖方技术人员的服务，则可根据买方的要求，卖方技术人员返回本部或仍留在工地，但费用不调整。</w:t>
      </w:r>
    </w:p>
    <w:p>
      <w:pPr>
        <w:adjustRightInd w:val="0"/>
        <w:snapToGrid w:val="0"/>
        <w:spacing w:line="360" w:lineRule="auto"/>
        <w:ind w:left="840" w:leftChars="400"/>
        <w:rPr>
          <w:rFonts w:ascii="宋体" w:hAnsi="宋体"/>
          <w:szCs w:val="21"/>
        </w:rPr>
      </w:pPr>
      <w:r>
        <w:rPr>
          <w:rFonts w:hint="eastAsia" w:ascii="宋体" w:hAnsi="宋体"/>
          <w:szCs w:val="21"/>
        </w:rPr>
        <w:t>卖方应该编制详尽的安装调试时间表并提交给买方，指明安装调试所需时间，并列出所需的人员和工具的类型和数量。在设备安装前提供安装、调试、试验程序及验收表格。</w:t>
      </w:r>
    </w:p>
    <w:p>
      <w:pPr>
        <w:pStyle w:val="7"/>
        <w:widowControl w:val="0"/>
        <w:numPr>
          <w:ilvl w:val="2"/>
          <w:numId w:val="15"/>
        </w:numPr>
        <w:overflowPunct w:val="0"/>
        <w:spacing w:line="360" w:lineRule="auto"/>
        <w:ind w:left="843" w:hanging="843" w:hangingChars="400"/>
        <w:jc w:val="both"/>
        <w:rPr>
          <w:rFonts w:ascii="宋体" w:hAnsi="宋体"/>
          <w:b/>
          <w:bCs/>
          <w:color w:val="000000"/>
          <w:sz w:val="21"/>
          <w:szCs w:val="21"/>
        </w:rPr>
      </w:pPr>
      <w:bookmarkStart w:id="338" w:name="_Toc31720498"/>
      <w:bookmarkEnd w:id="338"/>
      <w:bookmarkStart w:id="339" w:name="_Toc57986354"/>
      <w:bookmarkEnd w:id="339"/>
      <w:bookmarkStart w:id="340" w:name="_Toc12378934"/>
      <w:r>
        <w:rPr>
          <w:rFonts w:hint="eastAsia" w:ascii="宋体" w:hAnsi="宋体"/>
          <w:b/>
          <w:bCs/>
          <w:color w:val="000000"/>
          <w:sz w:val="21"/>
          <w:szCs w:val="21"/>
        </w:rPr>
        <w:t>卖方技术服务</w:t>
      </w:r>
      <w:bookmarkEnd w:id="340"/>
    </w:p>
    <w:p>
      <w:pPr>
        <w:adjustRightInd w:val="0"/>
        <w:snapToGrid w:val="0"/>
        <w:spacing w:line="360" w:lineRule="auto"/>
        <w:ind w:left="840" w:leftChars="400"/>
        <w:rPr>
          <w:rFonts w:ascii="宋体" w:hAnsi="宋体"/>
          <w:color w:val="000000"/>
          <w:szCs w:val="21"/>
        </w:rPr>
      </w:pPr>
      <w:r>
        <w:rPr>
          <w:rFonts w:hint="eastAsia" w:ascii="宋体" w:hAnsi="宋体"/>
          <w:color w:val="000000"/>
          <w:szCs w:val="21"/>
        </w:rPr>
        <w:t>卖方应及时提供与本合同设备有关的安装（包括现场组装）、试验等相应的技术指导、现场培训等全过程的服务并参加验收。</w:t>
      </w:r>
    </w:p>
    <w:p>
      <w:pPr>
        <w:pStyle w:val="7"/>
        <w:widowControl w:val="0"/>
        <w:numPr>
          <w:ilvl w:val="2"/>
          <w:numId w:val="15"/>
        </w:numPr>
        <w:overflowPunct w:val="0"/>
        <w:spacing w:line="360" w:lineRule="auto"/>
        <w:ind w:left="843" w:hanging="843" w:hangingChars="400"/>
        <w:jc w:val="both"/>
        <w:rPr>
          <w:rFonts w:ascii="宋体" w:hAnsi="宋体"/>
          <w:b/>
          <w:bCs/>
          <w:color w:val="000000"/>
          <w:sz w:val="21"/>
          <w:szCs w:val="21"/>
        </w:rPr>
      </w:pPr>
      <w:bookmarkStart w:id="341" w:name="_Toc57986355"/>
      <w:bookmarkEnd w:id="341"/>
      <w:bookmarkStart w:id="342" w:name="_Toc31720499"/>
      <w:bookmarkEnd w:id="342"/>
      <w:bookmarkStart w:id="343" w:name="_Toc12378935"/>
      <w:r>
        <w:rPr>
          <w:rFonts w:hint="eastAsia" w:ascii="宋体" w:hAnsi="宋体"/>
          <w:b/>
          <w:bCs/>
          <w:color w:val="000000"/>
          <w:sz w:val="21"/>
          <w:szCs w:val="21"/>
        </w:rPr>
        <w:t>卖方现场技术指导</w:t>
      </w:r>
      <w:bookmarkEnd w:id="343"/>
    </w:p>
    <w:p>
      <w:pPr>
        <w:adjustRightInd w:val="0"/>
        <w:snapToGrid w:val="0"/>
        <w:spacing w:line="360" w:lineRule="auto"/>
        <w:ind w:left="840" w:leftChars="400"/>
        <w:rPr>
          <w:rFonts w:ascii="宋体" w:hAnsi="宋体"/>
          <w:color w:val="000000"/>
          <w:szCs w:val="21"/>
        </w:rPr>
      </w:pPr>
      <w:r>
        <w:rPr>
          <w:rFonts w:hint="eastAsia" w:ascii="宋体" w:hAnsi="宋体"/>
          <w:color w:val="000000"/>
          <w:szCs w:val="21"/>
        </w:rPr>
        <w:t>卖方需派代表到现场进行技术服务，指导安装单位按卖方的技术资料进行安装（包括现场组装）、调试、现场试验，对安装单位就工艺、方法、程序和注意事项提出要求，使其符合有关技术和标准的要求，并负责解决合同设备在安装、现场试验中发现的制造质量及性能等有关问题。</w:t>
      </w:r>
    </w:p>
    <w:p>
      <w:pPr>
        <w:pStyle w:val="7"/>
        <w:widowControl w:val="0"/>
        <w:numPr>
          <w:ilvl w:val="2"/>
          <w:numId w:val="15"/>
        </w:numPr>
        <w:overflowPunct w:val="0"/>
        <w:spacing w:line="360" w:lineRule="auto"/>
        <w:ind w:left="843" w:hanging="843" w:hangingChars="400"/>
        <w:jc w:val="both"/>
        <w:rPr>
          <w:rFonts w:ascii="宋体" w:hAnsi="宋体"/>
          <w:b/>
          <w:bCs/>
          <w:color w:val="000000"/>
          <w:sz w:val="21"/>
          <w:szCs w:val="21"/>
        </w:rPr>
      </w:pPr>
      <w:bookmarkStart w:id="344" w:name="_Toc31720500"/>
      <w:bookmarkEnd w:id="344"/>
      <w:bookmarkStart w:id="345" w:name="_Toc57986356"/>
      <w:bookmarkEnd w:id="345"/>
      <w:bookmarkStart w:id="346" w:name="_Toc12378936"/>
      <w:r>
        <w:rPr>
          <w:rFonts w:hint="eastAsia" w:ascii="宋体" w:hAnsi="宋体"/>
          <w:b/>
          <w:bCs/>
          <w:color w:val="000000"/>
          <w:sz w:val="21"/>
          <w:szCs w:val="21"/>
        </w:rPr>
        <w:t>卖方技术人员的资质</w:t>
      </w:r>
      <w:bookmarkEnd w:id="346"/>
    </w:p>
    <w:p>
      <w:pPr>
        <w:adjustRightInd w:val="0"/>
        <w:snapToGrid w:val="0"/>
        <w:spacing w:line="360" w:lineRule="auto"/>
        <w:ind w:left="840" w:leftChars="400"/>
        <w:rPr>
          <w:rFonts w:ascii="宋体" w:hAnsi="宋体"/>
          <w:color w:val="000000"/>
          <w:szCs w:val="21"/>
        </w:rPr>
      </w:pPr>
      <w:r>
        <w:rPr>
          <w:rFonts w:hint="eastAsia" w:ascii="宋体" w:hAnsi="宋体"/>
          <w:color w:val="000000"/>
          <w:szCs w:val="21"/>
        </w:rPr>
        <w:t>卖方派到现场服务的技术人员应是有实践经验、可胜任此项工作的人员。卖方派到现场服务的技术人员在本合同生效后2个月内提交买方予以确认。买方有权提出更换不符合要求的卖方现场服务人员，卖方应根据现场需要，重新选派买方认可的服务人员，如果买方在书面提出该项要求10天内卖方没有答复，将按本合同有关规定视为延误工期等同处理。</w:t>
      </w:r>
    </w:p>
    <w:p>
      <w:pPr>
        <w:pStyle w:val="7"/>
        <w:widowControl w:val="0"/>
        <w:numPr>
          <w:ilvl w:val="2"/>
          <w:numId w:val="15"/>
        </w:numPr>
        <w:overflowPunct w:val="0"/>
        <w:spacing w:line="360" w:lineRule="auto"/>
        <w:ind w:left="843" w:hanging="843" w:hangingChars="400"/>
        <w:jc w:val="both"/>
        <w:rPr>
          <w:rFonts w:ascii="宋体" w:hAnsi="宋体"/>
          <w:b/>
          <w:bCs/>
          <w:color w:val="000000"/>
          <w:sz w:val="21"/>
          <w:szCs w:val="21"/>
        </w:rPr>
      </w:pPr>
      <w:bookmarkStart w:id="347" w:name="_Toc31720501"/>
      <w:bookmarkEnd w:id="347"/>
      <w:bookmarkStart w:id="348" w:name="_Toc12378937"/>
      <w:bookmarkEnd w:id="348"/>
      <w:bookmarkStart w:id="349" w:name="_Toc57986357"/>
      <w:r>
        <w:rPr>
          <w:rFonts w:hint="eastAsia" w:ascii="宋体" w:hAnsi="宋体"/>
          <w:b/>
          <w:bCs/>
          <w:color w:val="000000"/>
          <w:sz w:val="21"/>
          <w:szCs w:val="21"/>
        </w:rPr>
        <w:t>卖方技术指导的责任</w:t>
      </w:r>
      <w:bookmarkEnd w:id="349"/>
    </w:p>
    <w:p>
      <w:pPr>
        <w:adjustRightInd w:val="0"/>
        <w:snapToGrid w:val="0"/>
        <w:spacing w:line="360" w:lineRule="auto"/>
        <w:ind w:left="840" w:leftChars="400"/>
        <w:rPr>
          <w:rFonts w:ascii="宋体" w:hAnsi="宋体"/>
          <w:color w:val="000000"/>
          <w:szCs w:val="21"/>
        </w:rPr>
      </w:pPr>
      <w:r>
        <w:rPr>
          <w:rFonts w:hint="eastAsia" w:ascii="宋体" w:hAnsi="宋体"/>
          <w:color w:val="000000"/>
          <w:szCs w:val="21"/>
        </w:rPr>
        <w:t>由于卖方技术服务人员对安装（包括现场组装）、现场试验的技术指导的疏忽和错误以及卖方未按要求派人指导而造成的损失应由卖方承担相应的责任。</w:t>
      </w:r>
    </w:p>
    <w:p>
      <w:pPr>
        <w:pStyle w:val="7"/>
        <w:widowControl w:val="0"/>
        <w:numPr>
          <w:ilvl w:val="2"/>
          <w:numId w:val="15"/>
        </w:numPr>
        <w:overflowPunct w:val="0"/>
        <w:spacing w:line="360" w:lineRule="auto"/>
        <w:ind w:left="843" w:hanging="843" w:hangingChars="400"/>
        <w:jc w:val="both"/>
        <w:rPr>
          <w:rFonts w:ascii="宋体" w:hAnsi="宋体"/>
          <w:b/>
          <w:bCs/>
          <w:color w:val="000000"/>
          <w:sz w:val="21"/>
          <w:szCs w:val="21"/>
        </w:rPr>
      </w:pPr>
      <w:bookmarkStart w:id="350" w:name="_Toc57986358"/>
      <w:bookmarkEnd w:id="350"/>
      <w:bookmarkStart w:id="351" w:name="_Toc12378938"/>
      <w:bookmarkEnd w:id="351"/>
      <w:bookmarkStart w:id="352" w:name="_Toc31720502"/>
      <w:r>
        <w:rPr>
          <w:rFonts w:hint="eastAsia" w:ascii="宋体" w:hAnsi="宋体"/>
          <w:b/>
          <w:bCs/>
          <w:color w:val="000000"/>
          <w:sz w:val="21"/>
          <w:szCs w:val="21"/>
        </w:rPr>
        <w:t>卖方现场服务人员的职责</w:t>
      </w:r>
      <w:bookmarkEnd w:id="352"/>
    </w:p>
    <w:p>
      <w:pPr>
        <w:pStyle w:val="8"/>
        <w:numPr>
          <w:ilvl w:val="3"/>
          <w:numId w:val="15"/>
        </w:numPr>
        <w:overflowPunct w:val="0"/>
        <w:snapToGrid w:val="0"/>
        <w:spacing w:before="100" w:beforeAutospacing="1" w:after="0" w:line="360" w:lineRule="auto"/>
        <w:rPr>
          <w:rFonts w:ascii="宋体" w:hAnsi="宋体"/>
          <w:color w:val="000000"/>
          <w:szCs w:val="21"/>
        </w:rPr>
      </w:pPr>
      <w:r>
        <w:rPr>
          <w:rFonts w:hint="eastAsia" w:ascii="宋体" w:hAnsi="宋体"/>
          <w:color w:val="000000"/>
          <w:szCs w:val="21"/>
        </w:rPr>
        <w:t>卖方现场服务人员的任务主要包括设备催交、设备到货清点、工地开箱检验、设备质量问题的处理、指导安装和试验、参加验收。</w:t>
      </w:r>
    </w:p>
    <w:p>
      <w:pPr>
        <w:pStyle w:val="8"/>
        <w:numPr>
          <w:ilvl w:val="3"/>
          <w:numId w:val="15"/>
        </w:numPr>
        <w:overflowPunct w:val="0"/>
        <w:snapToGrid w:val="0"/>
        <w:spacing w:before="100" w:beforeAutospacing="1" w:after="0" w:line="360" w:lineRule="auto"/>
        <w:rPr>
          <w:rFonts w:ascii="宋体" w:hAnsi="宋体"/>
          <w:b/>
          <w:color w:val="000000"/>
          <w:szCs w:val="21"/>
        </w:rPr>
      </w:pPr>
      <w:r>
        <w:rPr>
          <w:rFonts w:hint="eastAsia" w:ascii="宋体" w:hAnsi="宋体"/>
          <w:color w:val="000000"/>
          <w:szCs w:val="21"/>
        </w:rPr>
        <w:t>在安装和调试前，卖方技术服务人员应向买方进行技术交底、讲解和示范将要进行的程序和方法。对重要工序，卖方技术人员要对施工情况进行确认和签证，否则买方不能进行下一道工序。经卖方确认和签证的工序如因卖方技术服务人员指导错误而发生问题，卖方负全部责任。</w:t>
      </w:r>
    </w:p>
    <w:p>
      <w:pPr>
        <w:pStyle w:val="8"/>
        <w:numPr>
          <w:ilvl w:val="3"/>
          <w:numId w:val="15"/>
        </w:numPr>
        <w:overflowPunct w:val="0"/>
        <w:snapToGrid w:val="0"/>
        <w:spacing w:before="100" w:beforeAutospacing="1" w:after="0" w:line="360" w:lineRule="auto"/>
        <w:rPr>
          <w:rFonts w:ascii="宋体" w:hAnsi="宋体"/>
          <w:b/>
          <w:color w:val="000000"/>
          <w:szCs w:val="21"/>
        </w:rPr>
      </w:pPr>
      <w:r>
        <w:rPr>
          <w:rFonts w:hint="eastAsia" w:ascii="宋体" w:hAnsi="宋体"/>
          <w:color w:val="000000"/>
          <w:szCs w:val="21"/>
        </w:rPr>
        <w:t>卖方现场服务人员应有权代表卖方全权处理现场出现的一切技术和商务问题。如现场发生质量问题，卖方现场人员要在买方规定的时间内处理解决。</w:t>
      </w:r>
    </w:p>
    <w:p>
      <w:pPr>
        <w:pStyle w:val="8"/>
        <w:numPr>
          <w:ilvl w:val="3"/>
          <w:numId w:val="15"/>
        </w:numPr>
        <w:overflowPunct w:val="0"/>
        <w:snapToGrid w:val="0"/>
        <w:spacing w:before="100" w:beforeAutospacing="1" w:after="0" w:line="360" w:lineRule="auto"/>
        <w:rPr>
          <w:rFonts w:ascii="宋体" w:hAnsi="宋体"/>
          <w:b/>
          <w:color w:val="000000"/>
          <w:szCs w:val="21"/>
        </w:rPr>
      </w:pPr>
      <w:r>
        <w:rPr>
          <w:rFonts w:hint="eastAsia" w:ascii="宋体" w:hAnsi="宋体"/>
          <w:color w:val="000000"/>
          <w:szCs w:val="21"/>
        </w:rPr>
        <w:t>卖方对其现场服务人员的一切行为负全部责任。</w:t>
      </w:r>
    </w:p>
    <w:p>
      <w:pPr>
        <w:pStyle w:val="7"/>
        <w:widowControl w:val="0"/>
        <w:numPr>
          <w:ilvl w:val="2"/>
          <w:numId w:val="15"/>
        </w:numPr>
        <w:overflowPunct w:val="0"/>
        <w:spacing w:line="360" w:lineRule="auto"/>
        <w:ind w:left="843" w:hanging="843" w:hangingChars="400"/>
        <w:jc w:val="both"/>
        <w:rPr>
          <w:rFonts w:ascii="宋体" w:hAnsi="宋体"/>
          <w:b/>
          <w:bCs/>
          <w:color w:val="000000"/>
          <w:sz w:val="21"/>
          <w:szCs w:val="21"/>
        </w:rPr>
      </w:pPr>
      <w:bookmarkStart w:id="353" w:name="_Toc12378939"/>
      <w:bookmarkEnd w:id="353"/>
      <w:bookmarkStart w:id="354" w:name="_Toc57986359"/>
      <w:bookmarkEnd w:id="354"/>
      <w:bookmarkStart w:id="355" w:name="_Toc31720503"/>
      <w:r>
        <w:rPr>
          <w:rFonts w:hint="eastAsia" w:ascii="宋体" w:hAnsi="宋体"/>
          <w:b/>
          <w:bCs/>
          <w:color w:val="000000"/>
          <w:sz w:val="21"/>
          <w:szCs w:val="21"/>
        </w:rPr>
        <w:t>买方的义务</w:t>
      </w:r>
      <w:bookmarkEnd w:id="355"/>
    </w:p>
    <w:p>
      <w:pPr>
        <w:adjustRightInd w:val="0"/>
        <w:snapToGrid w:val="0"/>
        <w:spacing w:line="360" w:lineRule="auto"/>
        <w:ind w:left="989" w:leftChars="471"/>
        <w:rPr>
          <w:rFonts w:ascii="宋体" w:hAnsi="宋体"/>
          <w:color w:val="000000"/>
          <w:szCs w:val="21"/>
        </w:rPr>
      </w:pPr>
      <w:r>
        <w:rPr>
          <w:rFonts w:hint="eastAsia" w:ascii="宋体" w:hAnsi="宋体"/>
          <w:color w:val="000000"/>
          <w:szCs w:val="21"/>
        </w:rPr>
        <w:t>买方要配合卖方现场服务人员的工作，并在生活、交通和通信上提供方便，其所需费用由卖方自理。</w:t>
      </w:r>
    </w:p>
    <w:p>
      <w:pPr>
        <w:pStyle w:val="5"/>
        <w:widowControl w:val="0"/>
        <w:snapToGrid/>
        <w:spacing w:before="93" w:beforeLines="30" w:after="93" w:afterLines="30" w:line="300" w:lineRule="auto"/>
        <w:rPr>
          <w:rFonts w:ascii="宋体" w:hAnsi="宋体" w:cs="Arial"/>
          <w:sz w:val="24"/>
          <w:szCs w:val="24"/>
        </w:rPr>
      </w:pPr>
      <w:bookmarkStart w:id="356" w:name="_Toc73415978"/>
      <w:bookmarkEnd w:id="356"/>
      <w:bookmarkStart w:id="357" w:name="_Toc70996681"/>
      <w:bookmarkEnd w:id="357"/>
      <w:bookmarkStart w:id="358" w:name="_Toc143406457"/>
      <w:bookmarkEnd w:id="358"/>
      <w:bookmarkStart w:id="359" w:name="_Toc457019815"/>
      <w:bookmarkEnd w:id="359"/>
      <w:bookmarkStart w:id="360" w:name="_Toc75871224"/>
      <w:bookmarkEnd w:id="360"/>
      <w:bookmarkStart w:id="361" w:name="_Toc413679744"/>
      <w:bookmarkEnd w:id="361"/>
      <w:bookmarkStart w:id="362" w:name="_Toc70996987"/>
      <w:bookmarkEnd w:id="362"/>
      <w:bookmarkStart w:id="363" w:name="_Toc69733306"/>
      <w:bookmarkEnd w:id="363"/>
      <w:bookmarkStart w:id="364" w:name="_Toc73416623"/>
      <w:bookmarkEnd w:id="364"/>
      <w:bookmarkStart w:id="365" w:name="_Toc73416777"/>
      <w:bookmarkStart w:id="366" w:name="_Toc72415706"/>
      <w:r>
        <w:rPr>
          <w:rFonts w:ascii="宋体" w:hAnsi="宋体" w:eastAsia="宋体"/>
          <w:sz w:val="28"/>
          <w:szCs w:val="28"/>
        </w:rPr>
        <w:br w:type="page"/>
      </w:r>
      <w:bookmarkStart w:id="367" w:name="_Toc143589478"/>
      <w:r>
        <w:rPr>
          <w:rFonts w:hint="eastAsia" w:ascii="宋体" w:hAnsi="宋体" w:eastAsia="宋体"/>
          <w:sz w:val="28"/>
          <w:szCs w:val="28"/>
        </w:rPr>
        <w:t>专用技术条款</w:t>
      </w:r>
      <w:bookmarkEnd w:id="365"/>
      <w:bookmarkEnd w:id="366"/>
      <w:bookmarkEnd w:id="367"/>
      <w:bookmarkStart w:id="368" w:name="_Toc267384546"/>
      <w:bookmarkEnd w:id="368"/>
      <w:bookmarkStart w:id="369" w:name="_Toc107985959"/>
      <w:bookmarkEnd w:id="369"/>
      <w:bookmarkStart w:id="370" w:name="_Toc515872337"/>
      <w:bookmarkEnd w:id="370"/>
      <w:bookmarkStart w:id="371" w:name="_Toc57986366"/>
      <w:bookmarkEnd w:id="371"/>
      <w:bookmarkStart w:id="372" w:name="_Toc278981742"/>
      <w:bookmarkStart w:id="373" w:name="_Toc72415707"/>
    </w:p>
    <w:p>
      <w:pPr>
        <w:pStyle w:val="6"/>
        <w:widowControl w:val="0"/>
        <w:numPr>
          <w:ilvl w:val="1"/>
          <w:numId w:val="48"/>
        </w:numPr>
        <w:tabs>
          <w:tab w:val="left" w:pos="851"/>
          <w:tab w:val="clear" w:pos="1106"/>
        </w:tabs>
        <w:snapToGrid/>
        <w:spacing w:after="72" w:line="300" w:lineRule="auto"/>
        <w:ind w:left="709" w:hanging="709"/>
        <w:jc w:val="both"/>
        <w:rPr>
          <w:rFonts w:ascii="宋体" w:hAnsi="宋体" w:cs="Arial"/>
          <w:color w:val="000000"/>
          <w:sz w:val="24"/>
          <w:szCs w:val="24"/>
        </w:rPr>
      </w:pPr>
      <w:bookmarkStart w:id="374" w:name="_Toc143589479"/>
      <w:r>
        <w:rPr>
          <w:rFonts w:hint="eastAsia" w:ascii="宋体" w:hAnsi="宋体" w:cs="Arial"/>
          <w:sz w:val="24"/>
          <w:szCs w:val="24"/>
        </w:rPr>
        <w:t>概述</w:t>
      </w:r>
      <w:bookmarkEnd w:id="372"/>
      <w:bookmarkEnd w:id="373"/>
      <w:bookmarkEnd w:id="374"/>
    </w:p>
    <w:p>
      <w:pPr>
        <w:pStyle w:val="7"/>
        <w:widowControl w:val="0"/>
        <w:numPr>
          <w:ilvl w:val="2"/>
          <w:numId w:val="48"/>
        </w:numPr>
        <w:overflowPunct w:val="0"/>
        <w:snapToGrid/>
        <w:spacing w:after="100" w:afterAutospacing="1" w:line="300" w:lineRule="auto"/>
        <w:jc w:val="both"/>
        <w:rPr>
          <w:rFonts w:ascii="宋体" w:hAnsi="宋体"/>
          <w:bCs/>
          <w:sz w:val="21"/>
          <w:szCs w:val="21"/>
        </w:rPr>
      </w:pPr>
      <w:bookmarkStart w:id="375" w:name="_Toc31720511"/>
      <w:bookmarkEnd w:id="375"/>
      <w:bookmarkStart w:id="376" w:name="_Toc12378947"/>
      <w:bookmarkEnd w:id="376"/>
      <w:bookmarkStart w:id="377" w:name="_Toc57986367"/>
      <w:r>
        <w:rPr>
          <w:rFonts w:hint="eastAsia" w:ascii="宋体" w:hAnsi="宋体"/>
          <w:bCs/>
          <w:sz w:val="21"/>
          <w:szCs w:val="21"/>
        </w:rPr>
        <w:t>本技术条款包括了对接入系统设备的设计、制造、试验方面的具体技术要求，以及按本招标文件的要求应提供备品备件及维护设备。接入系统的现场安装、试运行和验收的工作由其它承包商负责，卖方负责安装技术指导服务并提供安装技术指导的记录。卖方还应负责现场试验。</w:t>
      </w:r>
      <w:bookmarkEnd w:id="377"/>
    </w:p>
    <w:p>
      <w:pPr>
        <w:pStyle w:val="7"/>
        <w:widowControl w:val="0"/>
        <w:numPr>
          <w:ilvl w:val="2"/>
          <w:numId w:val="48"/>
        </w:numPr>
        <w:overflowPunct w:val="0"/>
        <w:snapToGrid/>
        <w:spacing w:after="100" w:afterAutospacing="1" w:line="300" w:lineRule="auto"/>
        <w:jc w:val="both"/>
        <w:rPr>
          <w:rFonts w:ascii="宋体" w:hAnsi="宋体"/>
          <w:bCs/>
          <w:sz w:val="21"/>
          <w:szCs w:val="21"/>
        </w:rPr>
      </w:pPr>
      <w:bookmarkStart w:id="378" w:name="_Toc12378948"/>
      <w:bookmarkEnd w:id="378"/>
      <w:bookmarkStart w:id="379" w:name="_Toc31720512"/>
      <w:bookmarkEnd w:id="379"/>
      <w:bookmarkStart w:id="380" w:name="_Toc57986368"/>
      <w:r>
        <w:rPr>
          <w:rFonts w:hint="eastAsia" w:ascii="宋体" w:hAnsi="宋体"/>
          <w:bCs/>
          <w:sz w:val="21"/>
          <w:szCs w:val="21"/>
        </w:rPr>
        <w:t>本技术条款提出的是最低限度的技术要求，并未对一切技术细节作出规定，也未充分引述有关标准和规范的条文。卖方需仔细阅读招标文件中的全部条款，卖方提供的设备应满足本技术条款所规定的要求。应保证提供符合本技术条款和国家标准的优质产品。</w:t>
      </w:r>
      <w:bookmarkEnd w:id="380"/>
    </w:p>
    <w:p>
      <w:pPr>
        <w:pStyle w:val="7"/>
        <w:widowControl w:val="0"/>
        <w:numPr>
          <w:ilvl w:val="2"/>
          <w:numId w:val="48"/>
        </w:numPr>
        <w:overflowPunct w:val="0"/>
        <w:snapToGrid/>
        <w:spacing w:after="100" w:afterAutospacing="1" w:line="300" w:lineRule="auto"/>
        <w:jc w:val="both"/>
        <w:rPr>
          <w:rFonts w:ascii="宋体" w:hAnsi="宋体"/>
          <w:bCs/>
          <w:sz w:val="21"/>
          <w:szCs w:val="21"/>
        </w:rPr>
      </w:pPr>
      <w:bookmarkStart w:id="381" w:name="_Toc31720513"/>
      <w:bookmarkEnd w:id="381"/>
      <w:bookmarkStart w:id="382" w:name="_Toc12378949"/>
      <w:bookmarkEnd w:id="382"/>
      <w:bookmarkStart w:id="383" w:name="_Toc57986369"/>
      <w:r>
        <w:rPr>
          <w:rFonts w:hint="eastAsia" w:ascii="宋体" w:hAnsi="宋体"/>
          <w:bCs/>
          <w:sz w:val="21"/>
          <w:szCs w:val="21"/>
        </w:rPr>
        <w:t>如果卖方没有以书面形式对本规范的条文提出异议，则意味着卖方提供的设备完全符合本规范的要求。如有异议，不管多么微小，都应按本招标文件商务部分的相关条款规定在投标书中加以详细描述。</w:t>
      </w:r>
      <w:bookmarkEnd w:id="383"/>
    </w:p>
    <w:p>
      <w:pPr>
        <w:pStyle w:val="7"/>
        <w:widowControl w:val="0"/>
        <w:numPr>
          <w:ilvl w:val="2"/>
          <w:numId w:val="48"/>
        </w:numPr>
        <w:overflowPunct w:val="0"/>
        <w:snapToGrid/>
        <w:spacing w:after="100" w:afterAutospacing="1" w:line="300" w:lineRule="auto"/>
        <w:jc w:val="both"/>
        <w:rPr>
          <w:rFonts w:ascii="宋体" w:hAnsi="宋体"/>
          <w:bCs/>
          <w:sz w:val="21"/>
          <w:szCs w:val="21"/>
        </w:rPr>
      </w:pPr>
      <w:bookmarkStart w:id="384" w:name="_Toc57986370"/>
      <w:bookmarkEnd w:id="384"/>
      <w:bookmarkStart w:id="385" w:name="_Toc31720514"/>
      <w:bookmarkEnd w:id="385"/>
      <w:bookmarkStart w:id="386" w:name="_Toc12378950"/>
      <w:r>
        <w:rPr>
          <w:rFonts w:hint="eastAsia" w:ascii="宋体" w:hAnsi="宋体"/>
          <w:bCs/>
          <w:sz w:val="21"/>
          <w:szCs w:val="21"/>
        </w:rPr>
        <w:t>卖方提供的所有技术文件、图纸、资料，文字说明均应采用中文文字。</w:t>
      </w:r>
      <w:bookmarkEnd w:id="386"/>
    </w:p>
    <w:p>
      <w:pPr>
        <w:pStyle w:val="7"/>
        <w:widowControl w:val="0"/>
        <w:numPr>
          <w:ilvl w:val="2"/>
          <w:numId w:val="48"/>
        </w:numPr>
        <w:overflowPunct w:val="0"/>
        <w:snapToGrid/>
        <w:spacing w:after="100" w:afterAutospacing="1" w:line="300" w:lineRule="auto"/>
        <w:jc w:val="both"/>
        <w:rPr>
          <w:rFonts w:ascii="宋体" w:hAnsi="宋体"/>
          <w:bCs/>
          <w:sz w:val="21"/>
          <w:szCs w:val="21"/>
        </w:rPr>
      </w:pPr>
      <w:bookmarkStart w:id="387" w:name="_Toc12402312"/>
      <w:bookmarkEnd w:id="387"/>
      <w:r>
        <w:rPr>
          <w:rFonts w:hint="eastAsia" w:ascii="宋体" w:hAnsi="宋体"/>
          <w:bCs/>
          <w:sz w:val="21"/>
          <w:szCs w:val="21"/>
        </w:rPr>
        <w:t>电站主要技术参数</w:t>
      </w:r>
    </w:p>
    <w:p>
      <w:pPr>
        <w:spacing w:before="93" w:beforeLines="30" w:after="93" w:afterLines="30" w:line="300" w:lineRule="auto"/>
        <w:ind w:left="840" w:leftChars="400" w:firstLine="294" w:firstLineChars="140"/>
        <w:rPr>
          <w:rFonts w:ascii="宋体" w:hAnsi="宋体"/>
          <w:color w:val="000000"/>
          <w:szCs w:val="21"/>
        </w:rPr>
      </w:pPr>
      <w:r>
        <w:rPr>
          <w:rFonts w:hint="eastAsia" w:ascii="宋体" w:hAnsi="宋体"/>
          <w:color w:val="000000"/>
          <w:szCs w:val="21"/>
        </w:rPr>
        <w:t>CT参数：CT二次侧额定电流</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1A</w:t>
      </w:r>
    </w:p>
    <w:p>
      <w:pPr>
        <w:spacing w:before="93" w:beforeLines="30" w:after="93" w:afterLines="30" w:line="300" w:lineRule="auto"/>
        <w:ind w:left="840" w:leftChars="400" w:firstLine="294" w:firstLineChars="140"/>
        <w:rPr>
          <w:rFonts w:ascii="宋体" w:hAnsi="宋体"/>
          <w:color w:val="000000"/>
          <w:szCs w:val="21"/>
        </w:rPr>
      </w:pPr>
      <w:r>
        <w:rPr>
          <w:rFonts w:hint="eastAsia" w:ascii="宋体" w:hAnsi="宋体"/>
          <w:color w:val="000000"/>
          <w:szCs w:val="21"/>
        </w:rPr>
        <w:t>PT参数：PT二次侧额定电压</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100V，57.7V</w:t>
      </w:r>
    </w:p>
    <w:p>
      <w:pPr>
        <w:spacing w:before="93" w:beforeLines="30" w:after="93" w:afterLines="30" w:line="300" w:lineRule="auto"/>
        <w:ind w:left="840" w:leftChars="400" w:firstLine="294" w:firstLineChars="140"/>
        <w:rPr>
          <w:rFonts w:ascii="宋体" w:hAnsi="宋体"/>
          <w:color w:val="000000"/>
          <w:szCs w:val="21"/>
        </w:rPr>
      </w:pPr>
      <w:r>
        <w:rPr>
          <w:rFonts w:hint="eastAsia" w:ascii="宋体" w:hAnsi="宋体"/>
          <w:color w:val="000000"/>
          <w:szCs w:val="21"/>
        </w:rPr>
        <w:t>模拟量输入交流电流额定值：</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1A，50Hz</w:t>
      </w:r>
    </w:p>
    <w:p>
      <w:pPr>
        <w:spacing w:before="93" w:beforeLines="30" w:after="93" w:afterLines="30" w:line="300" w:lineRule="auto"/>
        <w:ind w:left="840" w:leftChars="400" w:firstLine="294" w:firstLineChars="140"/>
        <w:rPr>
          <w:rFonts w:ascii="宋体" w:hAnsi="宋体"/>
          <w:color w:val="000000"/>
          <w:szCs w:val="21"/>
        </w:rPr>
      </w:pPr>
      <w:r>
        <w:rPr>
          <w:rFonts w:hint="eastAsia" w:ascii="宋体" w:hAnsi="宋体"/>
          <w:color w:val="000000"/>
          <w:szCs w:val="21"/>
        </w:rPr>
        <w:t>模拟量输入相电压额定值：</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57.7V，50Hz</w:t>
      </w:r>
    </w:p>
    <w:p>
      <w:pPr>
        <w:spacing w:before="93" w:beforeLines="30" w:after="93" w:afterLines="30" w:line="300" w:lineRule="auto"/>
        <w:ind w:left="840" w:leftChars="400" w:firstLine="294" w:firstLineChars="140"/>
        <w:rPr>
          <w:rFonts w:ascii="宋体" w:hAnsi="宋体"/>
          <w:color w:val="000000"/>
          <w:szCs w:val="21"/>
        </w:rPr>
      </w:pPr>
      <w:r>
        <w:rPr>
          <w:rFonts w:hint="eastAsia" w:ascii="宋体" w:hAnsi="宋体"/>
          <w:color w:val="000000"/>
          <w:szCs w:val="21"/>
        </w:rPr>
        <w:t>模拟量输入开口三角形电压额定值：</w:t>
      </w:r>
      <w:r>
        <w:rPr>
          <w:rFonts w:hint="eastAsia" w:ascii="宋体" w:hAnsi="宋体"/>
          <w:color w:val="000000"/>
          <w:szCs w:val="21"/>
        </w:rPr>
        <w:tab/>
      </w:r>
      <w:r>
        <w:rPr>
          <w:rFonts w:hint="eastAsia" w:ascii="宋体" w:hAnsi="宋体"/>
          <w:color w:val="000000"/>
          <w:szCs w:val="21"/>
        </w:rPr>
        <w:t>100V或100/3V，50Hz</w:t>
      </w:r>
    </w:p>
    <w:p>
      <w:pPr>
        <w:pStyle w:val="6"/>
        <w:widowControl w:val="0"/>
        <w:numPr>
          <w:ilvl w:val="1"/>
          <w:numId w:val="48"/>
        </w:numPr>
        <w:tabs>
          <w:tab w:val="left" w:pos="851"/>
          <w:tab w:val="clear" w:pos="1106"/>
        </w:tabs>
        <w:snapToGrid/>
        <w:spacing w:after="72" w:line="300" w:lineRule="auto"/>
        <w:ind w:left="709" w:hanging="709"/>
        <w:jc w:val="both"/>
        <w:rPr>
          <w:rFonts w:ascii="宋体" w:hAnsi="宋体" w:cs="Arial"/>
          <w:sz w:val="24"/>
          <w:szCs w:val="24"/>
        </w:rPr>
      </w:pPr>
      <w:bookmarkStart w:id="388" w:name="_Toc404807829"/>
      <w:bookmarkEnd w:id="388"/>
      <w:bookmarkStart w:id="389" w:name="_Toc404807749"/>
      <w:bookmarkEnd w:id="389"/>
      <w:bookmarkStart w:id="390" w:name="_Toc404807741"/>
      <w:bookmarkEnd w:id="390"/>
      <w:bookmarkStart w:id="391" w:name="_Toc404808053"/>
      <w:bookmarkEnd w:id="391"/>
      <w:bookmarkStart w:id="392" w:name="_Toc404807491"/>
      <w:bookmarkEnd w:id="392"/>
      <w:bookmarkStart w:id="393" w:name="_Toc404807483"/>
      <w:bookmarkEnd w:id="393"/>
      <w:bookmarkStart w:id="394" w:name="_Toc404807837"/>
      <w:bookmarkEnd w:id="394"/>
      <w:bookmarkStart w:id="395" w:name="_Toc404807411"/>
      <w:bookmarkEnd w:id="395"/>
      <w:bookmarkStart w:id="396" w:name="_Toc404808036"/>
      <w:bookmarkEnd w:id="396"/>
      <w:bookmarkStart w:id="397" w:name="_Toc404807757"/>
      <w:bookmarkEnd w:id="397"/>
      <w:bookmarkStart w:id="398" w:name="_Toc404807435"/>
      <w:bookmarkEnd w:id="398"/>
      <w:bookmarkStart w:id="399" w:name="_Toc404807805"/>
      <w:bookmarkEnd w:id="399"/>
      <w:bookmarkStart w:id="400" w:name="_Toc404808141"/>
      <w:bookmarkEnd w:id="400"/>
      <w:bookmarkStart w:id="401" w:name="_Toc404807781"/>
      <w:bookmarkEnd w:id="401"/>
      <w:bookmarkStart w:id="402" w:name="_Toc404808045"/>
      <w:bookmarkEnd w:id="402"/>
      <w:bookmarkStart w:id="403" w:name="_Toc404807797"/>
      <w:bookmarkEnd w:id="403"/>
      <w:bookmarkStart w:id="404" w:name="_Toc404807716"/>
      <w:bookmarkEnd w:id="404"/>
      <w:bookmarkStart w:id="405" w:name="_Toc404808061"/>
      <w:bookmarkEnd w:id="405"/>
      <w:bookmarkStart w:id="406" w:name="_Toc404807419"/>
      <w:bookmarkEnd w:id="406"/>
      <w:bookmarkStart w:id="407" w:name="_Toc404807427"/>
      <w:bookmarkEnd w:id="407"/>
      <w:bookmarkStart w:id="408" w:name="_Toc404808117"/>
      <w:bookmarkEnd w:id="408"/>
      <w:bookmarkStart w:id="409" w:name="_Toc404807773"/>
      <w:bookmarkEnd w:id="409"/>
      <w:bookmarkStart w:id="410" w:name="_Toc404807725"/>
      <w:bookmarkEnd w:id="410"/>
      <w:bookmarkStart w:id="411" w:name="_Toc404807733"/>
      <w:bookmarkEnd w:id="411"/>
      <w:bookmarkStart w:id="412" w:name="_Toc404807507"/>
      <w:bookmarkEnd w:id="412"/>
      <w:bookmarkStart w:id="413" w:name="_Toc404808093"/>
      <w:bookmarkEnd w:id="413"/>
      <w:bookmarkStart w:id="414" w:name="_Toc404807451"/>
      <w:bookmarkEnd w:id="414"/>
      <w:bookmarkStart w:id="415" w:name="_Toc404808133"/>
      <w:bookmarkEnd w:id="415"/>
      <w:bookmarkStart w:id="416" w:name="_Toc404807475"/>
      <w:bookmarkEnd w:id="416"/>
      <w:bookmarkStart w:id="417" w:name="_Toc404807789"/>
      <w:bookmarkEnd w:id="417"/>
      <w:bookmarkStart w:id="418" w:name="_Toc387619542"/>
      <w:bookmarkEnd w:id="418"/>
      <w:bookmarkStart w:id="419" w:name="_Toc404808149"/>
      <w:bookmarkEnd w:id="419"/>
      <w:bookmarkStart w:id="420" w:name="_Toc404807813"/>
      <w:bookmarkEnd w:id="420"/>
      <w:bookmarkStart w:id="421" w:name="_Toc404808125"/>
      <w:bookmarkEnd w:id="421"/>
      <w:bookmarkStart w:id="422" w:name="_Toc404807443"/>
      <w:bookmarkEnd w:id="422"/>
      <w:bookmarkStart w:id="423" w:name="_Toc404808077"/>
      <w:bookmarkEnd w:id="423"/>
      <w:bookmarkStart w:id="424" w:name="_Toc387619381"/>
      <w:bookmarkEnd w:id="424"/>
      <w:bookmarkStart w:id="425" w:name="_Toc387619541"/>
      <w:bookmarkEnd w:id="425"/>
      <w:bookmarkStart w:id="426" w:name="_Toc387619380"/>
      <w:bookmarkEnd w:id="426"/>
      <w:bookmarkStart w:id="427" w:name="_Toc404807765"/>
      <w:bookmarkEnd w:id="427"/>
      <w:bookmarkStart w:id="428" w:name="_Toc387619703"/>
      <w:bookmarkEnd w:id="428"/>
      <w:bookmarkStart w:id="429" w:name="_Toc387619540"/>
      <w:bookmarkEnd w:id="429"/>
      <w:bookmarkStart w:id="430" w:name="_Toc387619379"/>
      <w:bookmarkEnd w:id="430"/>
      <w:bookmarkStart w:id="431" w:name="_Toc387619376"/>
      <w:bookmarkEnd w:id="431"/>
      <w:bookmarkStart w:id="432" w:name="_Toc387619545"/>
      <w:bookmarkEnd w:id="432"/>
      <w:bookmarkStart w:id="433" w:name="_Toc387619375"/>
      <w:bookmarkEnd w:id="433"/>
      <w:bookmarkStart w:id="434" w:name="_Toc404808165"/>
      <w:bookmarkEnd w:id="434"/>
      <w:bookmarkStart w:id="435" w:name="_Toc387619544"/>
      <w:bookmarkEnd w:id="435"/>
      <w:bookmarkStart w:id="436" w:name="_Toc387619704"/>
      <w:bookmarkEnd w:id="436"/>
      <w:bookmarkStart w:id="437" w:name="_Toc404807467"/>
      <w:bookmarkEnd w:id="437"/>
      <w:bookmarkStart w:id="438" w:name="_Toc404808109"/>
      <w:bookmarkEnd w:id="438"/>
      <w:bookmarkStart w:id="439" w:name="_Toc404807499"/>
      <w:bookmarkEnd w:id="439"/>
      <w:bookmarkStart w:id="440" w:name="_Toc400906836"/>
      <w:bookmarkEnd w:id="440"/>
      <w:bookmarkStart w:id="441" w:name="_Toc404808101"/>
      <w:bookmarkEnd w:id="441"/>
      <w:bookmarkStart w:id="442" w:name="_Toc404808085"/>
      <w:bookmarkEnd w:id="442"/>
      <w:bookmarkStart w:id="443" w:name="_Toc387619538"/>
      <w:bookmarkEnd w:id="443"/>
      <w:bookmarkStart w:id="444" w:name="_Toc404807821"/>
      <w:bookmarkEnd w:id="444"/>
      <w:bookmarkStart w:id="445" w:name="_Toc404807459"/>
      <w:bookmarkEnd w:id="445"/>
      <w:bookmarkStart w:id="446" w:name="_Toc404807515"/>
      <w:bookmarkEnd w:id="446"/>
      <w:bookmarkStart w:id="447" w:name="_Toc387619539"/>
      <w:bookmarkEnd w:id="447"/>
      <w:bookmarkStart w:id="448" w:name="_Toc404807523"/>
      <w:bookmarkEnd w:id="448"/>
      <w:bookmarkStart w:id="449" w:name="_Toc404808157"/>
      <w:bookmarkEnd w:id="449"/>
      <w:bookmarkStart w:id="450" w:name="_Toc387619388"/>
      <w:bookmarkEnd w:id="450"/>
      <w:bookmarkStart w:id="451" w:name="_Toc387619378"/>
      <w:bookmarkEnd w:id="451"/>
      <w:bookmarkStart w:id="452" w:name="_Toc387619701"/>
      <w:bookmarkEnd w:id="452"/>
      <w:bookmarkStart w:id="453" w:name="_Toc387619707"/>
      <w:bookmarkEnd w:id="453"/>
      <w:bookmarkStart w:id="454" w:name="_Toc387619721"/>
      <w:bookmarkEnd w:id="454"/>
      <w:bookmarkStart w:id="455" w:name="_Toc387619708"/>
      <w:bookmarkEnd w:id="455"/>
      <w:bookmarkStart w:id="456" w:name="_Toc387619705"/>
      <w:bookmarkEnd w:id="456"/>
      <w:bookmarkStart w:id="457" w:name="_Toc387619395"/>
      <w:bookmarkEnd w:id="457"/>
      <w:bookmarkStart w:id="458" w:name="_Toc387619553"/>
      <w:bookmarkEnd w:id="458"/>
      <w:bookmarkStart w:id="459" w:name="_Toc387619549"/>
      <w:bookmarkEnd w:id="459"/>
      <w:bookmarkStart w:id="460" w:name="_Toc387619552"/>
      <w:bookmarkEnd w:id="460"/>
      <w:bookmarkStart w:id="461" w:name="_Toc387619702"/>
      <w:bookmarkEnd w:id="461"/>
      <w:bookmarkStart w:id="462" w:name="_Toc387619716"/>
      <w:bookmarkEnd w:id="462"/>
      <w:bookmarkStart w:id="463" w:name="_Toc387619394"/>
      <w:bookmarkEnd w:id="463"/>
      <w:bookmarkStart w:id="464" w:name="_Toc387619547"/>
      <w:bookmarkEnd w:id="464"/>
      <w:bookmarkStart w:id="465" w:name="_Toc387619546"/>
      <w:bookmarkEnd w:id="465"/>
      <w:bookmarkStart w:id="466" w:name="_Toc387619554"/>
      <w:bookmarkEnd w:id="466"/>
      <w:bookmarkStart w:id="467" w:name="_Toc387619710"/>
      <w:bookmarkEnd w:id="467"/>
      <w:bookmarkStart w:id="468" w:name="_Toc387619550"/>
      <w:bookmarkEnd w:id="468"/>
      <w:bookmarkStart w:id="469" w:name="_Toc387619374"/>
      <w:bookmarkEnd w:id="469"/>
      <w:bookmarkStart w:id="470" w:name="_Toc387619377"/>
      <w:bookmarkEnd w:id="470"/>
      <w:bookmarkStart w:id="471" w:name="_Toc387619709"/>
      <w:bookmarkEnd w:id="471"/>
      <w:bookmarkStart w:id="472" w:name="_Toc387619382"/>
      <w:bookmarkEnd w:id="472"/>
      <w:bookmarkStart w:id="473" w:name="_Toc387619543"/>
      <w:bookmarkEnd w:id="473"/>
      <w:bookmarkStart w:id="474" w:name="_Toc404807845"/>
      <w:bookmarkEnd w:id="474"/>
      <w:bookmarkStart w:id="475" w:name="_Toc387619559"/>
      <w:bookmarkEnd w:id="475"/>
      <w:bookmarkStart w:id="476" w:name="_Toc387619385"/>
      <w:bookmarkEnd w:id="476"/>
      <w:bookmarkStart w:id="477" w:name="_Toc387619706"/>
      <w:bookmarkEnd w:id="477"/>
      <w:bookmarkStart w:id="478" w:name="_Toc387619391"/>
      <w:bookmarkEnd w:id="478"/>
      <w:bookmarkStart w:id="479" w:name="_Toc387619383"/>
      <w:bookmarkEnd w:id="479"/>
      <w:bookmarkStart w:id="480" w:name="_Toc387619404"/>
      <w:bookmarkEnd w:id="480"/>
      <w:bookmarkStart w:id="481" w:name="_Toc387619396"/>
      <w:bookmarkEnd w:id="481"/>
      <w:bookmarkStart w:id="482" w:name="_Toc387619568"/>
      <w:bookmarkEnd w:id="482"/>
      <w:bookmarkStart w:id="483" w:name="_Toc387619561"/>
      <w:bookmarkEnd w:id="483"/>
      <w:bookmarkStart w:id="484" w:name="_Toc387619562"/>
      <w:bookmarkEnd w:id="484"/>
      <w:bookmarkStart w:id="485" w:name="_Toc387619718"/>
      <w:bookmarkEnd w:id="485"/>
      <w:bookmarkStart w:id="486" w:name="_Toc387619722"/>
      <w:bookmarkEnd w:id="486"/>
      <w:bookmarkStart w:id="487" w:name="_Toc387619397"/>
      <w:bookmarkEnd w:id="487"/>
      <w:bookmarkStart w:id="488" w:name="_Toc387619725"/>
      <w:bookmarkEnd w:id="488"/>
      <w:bookmarkStart w:id="489" w:name="_Toc387619401"/>
      <w:bookmarkEnd w:id="489"/>
      <w:bookmarkStart w:id="490" w:name="_Toc387619393"/>
      <w:bookmarkEnd w:id="490"/>
      <w:bookmarkStart w:id="491" w:name="_Toc387619713"/>
      <w:bookmarkEnd w:id="491"/>
      <w:bookmarkStart w:id="492" w:name="_Toc387619712"/>
      <w:bookmarkEnd w:id="492"/>
      <w:bookmarkStart w:id="493" w:name="_Toc387619406"/>
      <w:bookmarkEnd w:id="493"/>
      <w:bookmarkStart w:id="494" w:name="_Toc387619402"/>
      <w:bookmarkEnd w:id="494"/>
      <w:bookmarkStart w:id="495" w:name="_Toc387619726"/>
      <w:bookmarkEnd w:id="495"/>
      <w:bookmarkStart w:id="496" w:name="_Toc387619557"/>
      <w:bookmarkEnd w:id="496"/>
      <w:bookmarkStart w:id="497" w:name="_Toc387619720"/>
      <w:bookmarkEnd w:id="497"/>
      <w:bookmarkStart w:id="498" w:name="_Toc387619384"/>
      <w:bookmarkEnd w:id="498"/>
      <w:bookmarkStart w:id="499" w:name="_Toc387619548"/>
      <w:bookmarkEnd w:id="499"/>
      <w:bookmarkStart w:id="500" w:name="_Toc387619400"/>
      <w:bookmarkEnd w:id="500"/>
      <w:bookmarkStart w:id="501" w:name="_Toc387619558"/>
      <w:bookmarkEnd w:id="501"/>
      <w:bookmarkStart w:id="502" w:name="_Toc387619555"/>
      <w:bookmarkEnd w:id="502"/>
      <w:bookmarkStart w:id="503" w:name="_Toc387619389"/>
      <w:bookmarkEnd w:id="503"/>
      <w:bookmarkStart w:id="504" w:name="_Toc387619715"/>
      <w:bookmarkEnd w:id="504"/>
      <w:bookmarkStart w:id="505" w:name="_Toc387619390"/>
      <w:bookmarkEnd w:id="505"/>
      <w:bookmarkStart w:id="506" w:name="_Toc387619711"/>
      <w:bookmarkEnd w:id="506"/>
      <w:bookmarkStart w:id="507" w:name="_Toc387619732"/>
      <w:bookmarkEnd w:id="507"/>
      <w:bookmarkStart w:id="508" w:name="_Toc387619727"/>
      <w:bookmarkEnd w:id="508"/>
      <w:bookmarkStart w:id="509" w:name="_Toc387619560"/>
      <w:bookmarkEnd w:id="509"/>
      <w:bookmarkStart w:id="510" w:name="_Toc387619386"/>
      <w:bookmarkEnd w:id="510"/>
      <w:bookmarkStart w:id="511" w:name="_Toc387619717"/>
      <w:bookmarkEnd w:id="511"/>
      <w:bookmarkStart w:id="512" w:name="_Toc387619566"/>
      <w:bookmarkEnd w:id="512"/>
      <w:bookmarkStart w:id="513" w:name="_Toc387619661"/>
      <w:bookmarkEnd w:id="513"/>
      <w:bookmarkStart w:id="514" w:name="_Toc387619403"/>
      <w:bookmarkEnd w:id="514"/>
      <w:bookmarkStart w:id="515" w:name="_Toc387619731"/>
      <w:bookmarkEnd w:id="515"/>
      <w:bookmarkStart w:id="516" w:name="_Toc387619723"/>
      <w:bookmarkEnd w:id="516"/>
      <w:bookmarkStart w:id="517" w:name="_Toc387619565"/>
      <w:bookmarkEnd w:id="517"/>
      <w:bookmarkStart w:id="518" w:name="_Toc387619734"/>
      <w:bookmarkEnd w:id="518"/>
      <w:bookmarkStart w:id="519" w:name="_Toc387619729"/>
      <w:bookmarkEnd w:id="519"/>
      <w:bookmarkStart w:id="520" w:name="_Toc387619408"/>
      <w:bookmarkEnd w:id="520"/>
      <w:bookmarkStart w:id="521" w:name="_Toc387619571"/>
      <w:bookmarkEnd w:id="521"/>
      <w:bookmarkStart w:id="522" w:name="_Toc404808190"/>
      <w:bookmarkEnd w:id="522"/>
      <w:bookmarkStart w:id="523" w:name="_Toc390352728"/>
      <w:bookmarkEnd w:id="523"/>
      <w:bookmarkStart w:id="524" w:name="_Toc57986371"/>
      <w:bookmarkEnd w:id="524"/>
      <w:bookmarkStart w:id="525" w:name="_Toc387619497"/>
      <w:bookmarkEnd w:id="525"/>
      <w:bookmarkStart w:id="526" w:name="_Toc404808069"/>
      <w:bookmarkEnd w:id="526"/>
      <w:bookmarkStart w:id="527" w:name="_Toc387619730"/>
      <w:bookmarkEnd w:id="527"/>
      <w:bookmarkStart w:id="528" w:name="_Toc387619728"/>
      <w:bookmarkEnd w:id="528"/>
      <w:bookmarkStart w:id="529" w:name="_Toc387619572"/>
      <w:bookmarkEnd w:id="529"/>
      <w:bookmarkStart w:id="530" w:name="_Toc387619570"/>
      <w:bookmarkEnd w:id="530"/>
      <w:bookmarkStart w:id="531" w:name="_Toc387619724"/>
      <w:bookmarkEnd w:id="531"/>
      <w:bookmarkStart w:id="532" w:name="_Toc387619398"/>
      <w:bookmarkEnd w:id="532"/>
      <w:bookmarkStart w:id="533" w:name="_Toc387619399"/>
      <w:bookmarkEnd w:id="533"/>
      <w:bookmarkStart w:id="534" w:name="_Toc387619564"/>
      <w:bookmarkEnd w:id="534"/>
      <w:bookmarkStart w:id="535" w:name="_Toc387619563"/>
      <w:bookmarkEnd w:id="535"/>
      <w:bookmarkStart w:id="536" w:name="_Toc387619405"/>
      <w:bookmarkEnd w:id="536"/>
      <w:bookmarkStart w:id="537" w:name="_Toc387619569"/>
      <w:bookmarkEnd w:id="537"/>
      <w:bookmarkStart w:id="538" w:name="_Toc387619567"/>
      <w:bookmarkEnd w:id="538"/>
      <w:bookmarkStart w:id="539" w:name="_Toc387619735"/>
      <w:bookmarkEnd w:id="539"/>
      <w:bookmarkStart w:id="540" w:name="_Toc387619824"/>
      <w:bookmarkEnd w:id="540"/>
      <w:bookmarkStart w:id="541" w:name="_Toc387619407"/>
      <w:bookmarkEnd w:id="541"/>
      <w:bookmarkStart w:id="542" w:name="_Toc387619733"/>
      <w:bookmarkEnd w:id="542"/>
      <w:bookmarkStart w:id="543" w:name="_Toc390352729"/>
      <w:bookmarkEnd w:id="543"/>
      <w:bookmarkStart w:id="544" w:name="_Toc404807394"/>
      <w:bookmarkEnd w:id="544"/>
      <w:bookmarkStart w:id="545" w:name="_Toc143589480"/>
      <w:bookmarkStart w:id="546" w:name="_Toc72415708"/>
      <w:bookmarkStart w:id="547" w:name="_Toc404807403"/>
      <w:r>
        <w:rPr>
          <w:rFonts w:hint="eastAsia" w:ascii="宋体" w:hAnsi="宋体" w:cs="Arial"/>
          <w:sz w:val="24"/>
          <w:szCs w:val="24"/>
        </w:rPr>
        <w:t>调度自动化系统技术要求</w:t>
      </w:r>
      <w:bookmarkEnd w:id="545"/>
      <w:bookmarkEnd w:id="546"/>
      <w:bookmarkEnd w:id="547"/>
    </w:p>
    <w:p>
      <w:pPr>
        <w:pStyle w:val="7"/>
        <w:widowControl w:val="0"/>
        <w:numPr>
          <w:ilvl w:val="2"/>
          <w:numId w:val="48"/>
        </w:numPr>
        <w:tabs>
          <w:tab w:val="left" w:pos="851"/>
          <w:tab w:val="clear" w:pos="964"/>
        </w:tabs>
        <w:overflowPunct w:val="0"/>
        <w:snapToGrid/>
        <w:spacing w:after="100" w:afterAutospacing="1" w:line="300" w:lineRule="auto"/>
        <w:jc w:val="both"/>
        <w:rPr>
          <w:rFonts w:ascii="宋体" w:hAnsi="宋体"/>
          <w:b/>
          <w:bCs/>
          <w:sz w:val="21"/>
          <w:szCs w:val="21"/>
        </w:rPr>
      </w:pPr>
      <w:bookmarkStart w:id="548" w:name="_Toc31720516"/>
      <w:bookmarkEnd w:id="548"/>
      <w:bookmarkStart w:id="549" w:name="_Toc57986372"/>
      <w:r>
        <w:rPr>
          <w:rFonts w:hint="eastAsia" w:ascii="宋体" w:hAnsi="宋体"/>
          <w:b/>
          <w:bCs/>
          <w:sz w:val="21"/>
          <w:szCs w:val="21"/>
        </w:rPr>
        <w:t>概述</w:t>
      </w:r>
      <w:bookmarkEnd w:id="549"/>
    </w:p>
    <w:p>
      <w:pPr>
        <w:snapToGrid w:val="0"/>
        <w:spacing w:before="72" w:after="72" w:line="300" w:lineRule="auto"/>
        <w:ind w:left="840" w:leftChars="400"/>
        <w:rPr>
          <w:rFonts w:ascii="宋体" w:hAnsi="宋体"/>
          <w:szCs w:val="21"/>
        </w:rPr>
      </w:pPr>
      <w:r>
        <w:rPr>
          <w:rFonts w:hint="eastAsia" w:ascii="宋体" w:hAnsi="宋体"/>
          <w:szCs w:val="21"/>
        </w:rPr>
        <w:t>根据《渝电潼函（2</w:t>
      </w:r>
      <w:r>
        <w:rPr>
          <w:rFonts w:ascii="宋体" w:hAnsi="宋体"/>
          <w:szCs w:val="21"/>
        </w:rPr>
        <w:t>022</w:t>
      </w:r>
      <w:r>
        <w:rPr>
          <w:rFonts w:hint="eastAsia" w:ascii="宋体" w:hAnsi="宋体"/>
          <w:szCs w:val="21"/>
        </w:rPr>
        <w:t>）4号-国网重庆市电力公司潼南供电分公司关于涪江干流梯级双江航电枢纽工程接入系统方案的函》，双江航电枢纽按照接入重庆市调调度设计，控制命令由重庆市调直接下达给双江航电枢纽。双江航电枢纽的相关信息也应送往重庆市调、北碚地调和集控中心。</w:t>
      </w:r>
    </w:p>
    <w:p>
      <w:pPr>
        <w:pStyle w:val="7"/>
        <w:widowControl w:val="0"/>
        <w:numPr>
          <w:ilvl w:val="2"/>
          <w:numId w:val="48"/>
        </w:numPr>
        <w:tabs>
          <w:tab w:val="left" w:pos="851"/>
          <w:tab w:val="clear" w:pos="964"/>
        </w:tabs>
        <w:overflowPunct w:val="0"/>
        <w:snapToGrid/>
        <w:spacing w:after="100" w:afterAutospacing="1" w:line="300" w:lineRule="auto"/>
        <w:jc w:val="both"/>
        <w:rPr>
          <w:rFonts w:ascii="宋体" w:hAnsi="宋体"/>
          <w:b/>
          <w:bCs/>
          <w:sz w:val="21"/>
          <w:szCs w:val="21"/>
        </w:rPr>
      </w:pPr>
      <w:bookmarkStart w:id="550" w:name="_Toc57986373"/>
      <w:bookmarkEnd w:id="550"/>
      <w:bookmarkStart w:id="551" w:name="_Toc31720517"/>
      <w:r>
        <w:rPr>
          <w:rFonts w:hint="eastAsia" w:ascii="宋体" w:hAnsi="宋体"/>
          <w:b/>
          <w:bCs/>
          <w:sz w:val="21"/>
          <w:szCs w:val="21"/>
        </w:rPr>
        <w:t>电站远动系统</w:t>
      </w:r>
      <w:bookmarkEnd w:id="551"/>
    </w:p>
    <w:p>
      <w:pPr>
        <w:pStyle w:val="8"/>
        <w:numPr>
          <w:ilvl w:val="3"/>
          <w:numId w:val="48"/>
        </w:numPr>
        <w:tabs>
          <w:tab w:val="left" w:pos="993"/>
          <w:tab w:val="clear" w:pos="1531"/>
        </w:tabs>
        <w:overflowPunct w:val="0"/>
        <w:spacing w:before="72" w:after="72" w:line="300" w:lineRule="auto"/>
        <w:ind w:hanging="1389"/>
        <w:rPr>
          <w:rFonts w:ascii="宋体" w:hAnsi="宋体"/>
          <w:b/>
          <w:szCs w:val="21"/>
        </w:rPr>
      </w:pPr>
      <w:r>
        <w:rPr>
          <w:rFonts w:hint="eastAsia" w:ascii="宋体" w:hAnsi="宋体"/>
          <w:szCs w:val="21"/>
        </w:rPr>
        <w:t>远动信息组织与协调</w:t>
      </w:r>
    </w:p>
    <w:p>
      <w:pPr>
        <w:snapToGrid w:val="0"/>
        <w:spacing w:before="72" w:after="72" w:line="300" w:lineRule="auto"/>
        <w:ind w:left="840" w:leftChars="400"/>
        <w:rPr>
          <w:rFonts w:ascii="宋体" w:hAnsi="宋体"/>
          <w:szCs w:val="21"/>
        </w:rPr>
      </w:pPr>
      <w:r>
        <w:rPr>
          <w:rFonts w:hint="eastAsia" w:ascii="宋体" w:hAnsi="宋体"/>
          <w:szCs w:val="21"/>
        </w:rPr>
        <w:t>该系统设置两台专用远动通信工作站，通过这两台专用通信工作站与上级调度进行通信，将双江航电枢纽的远动信息直接送到上级调度，即直采直送方式，上级调度对双江航电枢纽的控制和调节命令也通过该远动通信工作站直接发到各现地控制单元LCU，由现地控制单元完成其控制任务。</w:t>
      </w:r>
    </w:p>
    <w:p>
      <w:pPr>
        <w:snapToGrid w:val="0"/>
        <w:spacing w:before="72" w:after="72" w:line="300" w:lineRule="auto"/>
        <w:ind w:left="840" w:leftChars="400"/>
        <w:rPr>
          <w:rFonts w:ascii="宋体" w:hAnsi="宋体"/>
          <w:szCs w:val="21"/>
        </w:rPr>
      </w:pPr>
      <w:r>
        <w:rPr>
          <w:rFonts w:hint="eastAsia" w:ascii="宋体" w:hAnsi="宋体"/>
          <w:szCs w:val="21"/>
        </w:rPr>
        <w:t>电站远动信息的组织方向是重庆市调，远动通信方式本期采用常规远动专用通道为主用传输方式，并预留调度数据网接口，</w:t>
      </w:r>
      <w:r>
        <w:rPr>
          <w:rFonts w:ascii="宋体" w:hAnsi="宋体"/>
          <w:szCs w:val="21"/>
        </w:rPr>
        <w:t>厂站端与调度端电能量信息交互应采用DL/T 719-2000规约</w:t>
      </w:r>
      <w:r>
        <w:rPr>
          <w:rFonts w:hint="eastAsia" w:ascii="宋体" w:hAnsi="宋体"/>
          <w:szCs w:val="21"/>
        </w:rPr>
        <w:t>，向集控中心传输数据采用集控数据网通道方式。</w:t>
      </w:r>
    </w:p>
    <w:p>
      <w:pPr>
        <w:snapToGrid w:val="0"/>
        <w:spacing w:before="72" w:after="72" w:line="300" w:lineRule="auto"/>
        <w:ind w:left="840" w:leftChars="400"/>
        <w:rPr>
          <w:rFonts w:ascii="宋体" w:hAnsi="宋体"/>
          <w:szCs w:val="21"/>
        </w:rPr>
      </w:pPr>
      <w:r>
        <w:rPr>
          <w:rFonts w:hint="eastAsia" w:ascii="宋体" w:hAnsi="宋体"/>
          <w:szCs w:val="21"/>
        </w:rPr>
        <w:t>卖方应与双江航电枢纽计算机监控系统设备生产厂商进行协调，确保实现与上级调度通讯的正常。</w:t>
      </w:r>
    </w:p>
    <w:p>
      <w:pPr>
        <w:pStyle w:val="8"/>
        <w:numPr>
          <w:ilvl w:val="3"/>
          <w:numId w:val="48"/>
        </w:numPr>
        <w:tabs>
          <w:tab w:val="left" w:pos="993"/>
          <w:tab w:val="clear" w:pos="1531"/>
        </w:tabs>
        <w:overflowPunct w:val="0"/>
        <w:spacing w:before="72" w:after="72" w:line="300" w:lineRule="auto"/>
        <w:ind w:hanging="1389"/>
        <w:rPr>
          <w:rFonts w:ascii="宋体" w:hAnsi="宋体"/>
          <w:szCs w:val="21"/>
        </w:rPr>
      </w:pPr>
      <w:r>
        <w:rPr>
          <w:rFonts w:hint="eastAsia" w:ascii="宋体" w:hAnsi="宋体"/>
          <w:szCs w:val="21"/>
        </w:rPr>
        <w:t>远动信息内容</w:t>
      </w:r>
    </w:p>
    <w:p>
      <w:pPr>
        <w:numPr>
          <w:ilvl w:val="0"/>
          <w:numId w:val="49"/>
        </w:numPr>
        <w:tabs>
          <w:tab w:val="left" w:pos="851"/>
          <w:tab w:val="clear" w:pos="1200"/>
        </w:tabs>
        <w:adjustRightInd w:val="0"/>
        <w:spacing w:line="300" w:lineRule="auto"/>
        <w:textAlignment w:val="baseline"/>
        <w:rPr>
          <w:rFonts w:ascii="宋体" w:hAnsi="宋体"/>
          <w:szCs w:val="21"/>
        </w:rPr>
      </w:pPr>
      <w:r>
        <w:rPr>
          <w:rFonts w:hint="eastAsia" w:ascii="宋体" w:hAnsi="宋体"/>
          <w:szCs w:val="21"/>
        </w:rPr>
        <w:t>遥测量</w:t>
      </w:r>
    </w:p>
    <w:p>
      <w:pPr>
        <w:pStyle w:val="120"/>
        <w:numPr>
          <w:ilvl w:val="2"/>
          <w:numId w:val="50"/>
        </w:numPr>
        <w:spacing w:before="0" w:after="0" w:line="300" w:lineRule="auto"/>
        <w:ind w:left="1470" w:hanging="420"/>
        <w:rPr>
          <w:rFonts w:hAnsi="宋体"/>
          <w:color w:val="000000"/>
          <w:sz w:val="21"/>
          <w:szCs w:val="21"/>
        </w:rPr>
      </w:pPr>
      <w:r>
        <w:rPr>
          <w:rFonts w:hint="eastAsia" w:hAnsi="宋体"/>
          <w:color w:val="000000"/>
          <w:sz w:val="21"/>
          <w:szCs w:val="21"/>
        </w:rPr>
        <w:t>发电机单机有功功率、无功功率；</w:t>
      </w:r>
    </w:p>
    <w:p>
      <w:pPr>
        <w:pStyle w:val="120"/>
        <w:numPr>
          <w:ilvl w:val="2"/>
          <w:numId w:val="50"/>
        </w:numPr>
        <w:spacing w:before="0" w:after="0" w:line="300" w:lineRule="auto"/>
        <w:ind w:left="1470" w:hanging="420"/>
        <w:rPr>
          <w:rFonts w:hAnsi="宋体"/>
          <w:color w:val="000000"/>
          <w:sz w:val="21"/>
          <w:szCs w:val="21"/>
        </w:rPr>
      </w:pPr>
      <w:r>
        <w:rPr>
          <w:rFonts w:hAnsi="宋体"/>
          <w:color w:val="000000"/>
          <w:sz w:val="21"/>
          <w:szCs w:val="21"/>
        </w:rPr>
        <w:t>11</w:t>
      </w:r>
      <w:r>
        <w:rPr>
          <w:rFonts w:hint="eastAsia" w:hAnsi="宋体"/>
          <w:color w:val="000000"/>
          <w:sz w:val="21"/>
          <w:szCs w:val="21"/>
        </w:rPr>
        <w:t>0kV 线路有功功率、无功功率；</w:t>
      </w:r>
    </w:p>
    <w:p>
      <w:pPr>
        <w:pStyle w:val="120"/>
        <w:numPr>
          <w:ilvl w:val="2"/>
          <w:numId w:val="50"/>
        </w:numPr>
        <w:spacing w:before="0" w:after="0" w:line="300" w:lineRule="auto"/>
        <w:ind w:left="1470" w:hanging="420"/>
        <w:rPr>
          <w:rFonts w:hAnsi="宋体"/>
          <w:color w:val="000000"/>
          <w:sz w:val="21"/>
          <w:szCs w:val="21"/>
        </w:rPr>
      </w:pPr>
      <w:r>
        <w:rPr>
          <w:rFonts w:hAnsi="宋体"/>
          <w:color w:val="000000"/>
          <w:sz w:val="21"/>
          <w:szCs w:val="21"/>
        </w:rPr>
        <w:t>11</w:t>
      </w:r>
      <w:r>
        <w:rPr>
          <w:rFonts w:hint="eastAsia" w:hAnsi="宋体"/>
          <w:color w:val="000000"/>
          <w:sz w:val="21"/>
          <w:szCs w:val="21"/>
        </w:rPr>
        <w:t>0kV 母线电压及频率；</w:t>
      </w:r>
    </w:p>
    <w:p>
      <w:pPr>
        <w:pStyle w:val="120"/>
        <w:numPr>
          <w:ilvl w:val="2"/>
          <w:numId w:val="50"/>
        </w:numPr>
        <w:spacing w:before="0" w:after="0" w:line="300" w:lineRule="auto"/>
        <w:ind w:left="1470" w:hanging="420"/>
        <w:rPr>
          <w:rFonts w:hAnsi="宋体"/>
          <w:color w:val="000000"/>
          <w:sz w:val="21"/>
          <w:szCs w:val="21"/>
        </w:rPr>
      </w:pPr>
      <w:r>
        <w:rPr>
          <w:rFonts w:hint="eastAsia" w:hAnsi="宋体"/>
          <w:color w:val="000000"/>
          <w:sz w:val="21"/>
          <w:szCs w:val="21"/>
        </w:rPr>
        <w:t>各发电机出口电压；</w:t>
      </w:r>
    </w:p>
    <w:p>
      <w:pPr>
        <w:pStyle w:val="120"/>
        <w:numPr>
          <w:ilvl w:val="2"/>
          <w:numId w:val="50"/>
        </w:numPr>
        <w:spacing w:before="0" w:after="0" w:line="300" w:lineRule="auto"/>
        <w:ind w:left="1470" w:hanging="420"/>
        <w:rPr>
          <w:rFonts w:hAnsi="宋体"/>
          <w:color w:val="000000"/>
          <w:sz w:val="21"/>
          <w:szCs w:val="21"/>
        </w:rPr>
      </w:pPr>
      <w:r>
        <w:rPr>
          <w:rFonts w:hint="eastAsia" w:hAnsi="宋体"/>
          <w:color w:val="000000"/>
          <w:sz w:val="21"/>
          <w:szCs w:val="21"/>
        </w:rPr>
        <w:t>主变高压侧有功功率、无功功率；</w:t>
      </w:r>
    </w:p>
    <w:p>
      <w:pPr>
        <w:pStyle w:val="120"/>
        <w:numPr>
          <w:ilvl w:val="2"/>
          <w:numId w:val="50"/>
        </w:numPr>
        <w:spacing w:before="72" w:after="72" w:line="300" w:lineRule="auto"/>
        <w:ind w:left="1470" w:hanging="420"/>
        <w:rPr>
          <w:rFonts w:hAnsi="宋体"/>
          <w:color w:val="000000"/>
          <w:sz w:val="21"/>
          <w:szCs w:val="21"/>
        </w:rPr>
      </w:pPr>
      <w:r>
        <w:rPr>
          <w:rFonts w:hint="eastAsia" w:hAnsi="宋体"/>
          <w:color w:val="000000"/>
          <w:sz w:val="21"/>
          <w:szCs w:val="21"/>
        </w:rPr>
        <w:t>其它。</w:t>
      </w:r>
    </w:p>
    <w:p>
      <w:pPr>
        <w:numPr>
          <w:ilvl w:val="0"/>
          <w:numId w:val="49"/>
        </w:numPr>
        <w:tabs>
          <w:tab w:val="left" w:pos="851"/>
          <w:tab w:val="clear" w:pos="1200"/>
        </w:tabs>
        <w:adjustRightInd w:val="0"/>
        <w:spacing w:line="300" w:lineRule="auto"/>
        <w:textAlignment w:val="baseline"/>
        <w:rPr>
          <w:rFonts w:ascii="宋体" w:hAnsi="宋体"/>
          <w:szCs w:val="21"/>
        </w:rPr>
      </w:pPr>
      <w:r>
        <w:rPr>
          <w:rFonts w:hint="eastAsia" w:ascii="宋体" w:hAnsi="宋体"/>
          <w:szCs w:val="21"/>
        </w:rPr>
        <w:t>遥信量</w:t>
      </w:r>
    </w:p>
    <w:p>
      <w:pPr>
        <w:pStyle w:val="120"/>
        <w:numPr>
          <w:ilvl w:val="2"/>
          <w:numId w:val="50"/>
        </w:numPr>
        <w:spacing w:before="72" w:after="72" w:line="300" w:lineRule="auto"/>
        <w:ind w:left="1470" w:hanging="420"/>
        <w:rPr>
          <w:rFonts w:hAnsi="宋体"/>
          <w:color w:val="000000"/>
          <w:sz w:val="21"/>
          <w:szCs w:val="21"/>
        </w:rPr>
      </w:pPr>
      <w:r>
        <w:rPr>
          <w:rFonts w:hint="eastAsia" w:hAnsi="宋体"/>
          <w:color w:val="000000"/>
          <w:sz w:val="21"/>
          <w:szCs w:val="21"/>
        </w:rPr>
        <w:t>所有断路器位置信号；</w:t>
      </w:r>
    </w:p>
    <w:p>
      <w:pPr>
        <w:pStyle w:val="120"/>
        <w:numPr>
          <w:ilvl w:val="2"/>
          <w:numId w:val="50"/>
        </w:numPr>
        <w:spacing w:before="72" w:after="72" w:line="300" w:lineRule="auto"/>
        <w:ind w:left="1470" w:hanging="420"/>
        <w:rPr>
          <w:rFonts w:hAnsi="宋体"/>
          <w:color w:val="000000"/>
          <w:sz w:val="21"/>
          <w:szCs w:val="21"/>
        </w:rPr>
      </w:pPr>
      <w:r>
        <w:rPr>
          <w:rFonts w:hint="eastAsia" w:hAnsi="宋体"/>
          <w:color w:val="000000"/>
          <w:sz w:val="21"/>
          <w:szCs w:val="21"/>
        </w:rPr>
        <w:t>所有隔离开关和接地开关位置信号；</w:t>
      </w:r>
    </w:p>
    <w:p>
      <w:pPr>
        <w:pStyle w:val="120"/>
        <w:numPr>
          <w:ilvl w:val="2"/>
          <w:numId w:val="50"/>
        </w:numPr>
        <w:spacing w:before="72" w:after="72" w:line="300" w:lineRule="auto"/>
        <w:ind w:left="1470" w:hanging="420"/>
        <w:rPr>
          <w:rFonts w:hAnsi="宋体"/>
          <w:color w:val="000000"/>
          <w:sz w:val="21"/>
          <w:szCs w:val="21"/>
        </w:rPr>
      </w:pPr>
      <w:r>
        <w:rPr>
          <w:rFonts w:hint="eastAsia" w:hAnsi="宋体"/>
          <w:color w:val="000000"/>
          <w:sz w:val="21"/>
          <w:szCs w:val="21"/>
        </w:rPr>
        <w:t>110kV 线路保护及重合闸动作信号；</w:t>
      </w:r>
    </w:p>
    <w:p>
      <w:pPr>
        <w:pStyle w:val="120"/>
        <w:numPr>
          <w:ilvl w:val="2"/>
          <w:numId w:val="50"/>
        </w:numPr>
        <w:spacing w:before="72" w:after="72" w:line="300" w:lineRule="auto"/>
        <w:ind w:left="1470" w:hanging="420"/>
        <w:rPr>
          <w:rFonts w:hAnsi="宋体"/>
          <w:color w:val="000000"/>
          <w:sz w:val="21"/>
          <w:szCs w:val="21"/>
        </w:rPr>
      </w:pPr>
      <w:r>
        <w:rPr>
          <w:rFonts w:hint="eastAsia" w:hAnsi="宋体"/>
          <w:color w:val="000000"/>
          <w:sz w:val="21"/>
          <w:szCs w:val="21"/>
        </w:rPr>
        <w:t>110kV 母线保护动作信号；</w:t>
      </w:r>
    </w:p>
    <w:p>
      <w:pPr>
        <w:pStyle w:val="120"/>
        <w:numPr>
          <w:ilvl w:val="2"/>
          <w:numId w:val="50"/>
        </w:numPr>
        <w:spacing w:before="72" w:after="72" w:line="300" w:lineRule="auto"/>
        <w:ind w:left="1470" w:hanging="420"/>
        <w:rPr>
          <w:rFonts w:hAnsi="宋体"/>
          <w:color w:val="000000"/>
          <w:sz w:val="21"/>
          <w:szCs w:val="21"/>
        </w:rPr>
      </w:pPr>
      <w:r>
        <w:rPr>
          <w:rFonts w:hint="eastAsia" w:hAnsi="宋体"/>
          <w:color w:val="000000"/>
          <w:sz w:val="21"/>
          <w:szCs w:val="21"/>
        </w:rPr>
        <w:t>其它。</w:t>
      </w:r>
    </w:p>
    <w:p>
      <w:pPr>
        <w:numPr>
          <w:ilvl w:val="0"/>
          <w:numId w:val="49"/>
        </w:numPr>
        <w:tabs>
          <w:tab w:val="left" w:pos="851"/>
          <w:tab w:val="clear" w:pos="1200"/>
        </w:tabs>
        <w:adjustRightInd w:val="0"/>
        <w:spacing w:line="300" w:lineRule="auto"/>
        <w:textAlignment w:val="baseline"/>
        <w:rPr>
          <w:rFonts w:ascii="宋体" w:hAnsi="宋体"/>
          <w:szCs w:val="21"/>
        </w:rPr>
      </w:pPr>
      <w:r>
        <w:rPr>
          <w:rFonts w:hint="eastAsia" w:ascii="宋体" w:hAnsi="宋体"/>
          <w:szCs w:val="21"/>
        </w:rPr>
        <w:t>遥控量</w:t>
      </w:r>
    </w:p>
    <w:p>
      <w:pPr>
        <w:pStyle w:val="120"/>
        <w:numPr>
          <w:ilvl w:val="2"/>
          <w:numId w:val="50"/>
        </w:numPr>
        <w:spacing w:before="72" w:after="72" w:line="300" w:lineRule="auto"/>
        <w:ind w:left="1470" w:hanging="420"/>
        <w:rPr>
          <w:rFonts w:hAnsi="宋体"/>
          <w:color w:val="000000"/>
          <w:sz w:val="21"/>
          <w:szCs w:val="21"/>
        </w:rPr>
      </w:pPr>
      <w:r>
        <w:rPr>
          <w:rFonts w:hint="eastAsia" w:hAnsi="宋体"/>
          <w:sz w:val="21"/>
          <w:szCs w:val="21"/>
        </w:rPr>
        <w:t>水电站 AGC 控制</w:t>
      </w:r>
      <w:r>
        <w:rPr>
          <w:rFonts w:hint="eastAsia" w:hAnsi="宋体"/>
          <w:color w:val="000000"/>
          <w:sz w:val="21"/>
          <w:szCs w:val="21"/>
        </w:rPr>
        <w:t>；</w:t>
      </w:r>
    </w:p>
    <w:p>
      <w:pPr>
        <w:pStyle w:val="120"/>
        <w:numPr>
          <w:ilvl w:val="2"/>
          <w:numId w:val="50"/>
        </w:numPr>
        <w:spacing w:before="72" w:after="72" w:line="300" w:lineRule="auto"/>
        <w:ind w:left="1470" w:hanging="420"/>
        <w:rPr>
          <w:rFonts w:hAnsi="宋体"/>
          <w:color w:val="000000"/>
          <w:sz w:val="21"/>
          <w:szCs w:val="21"/>
        </w:rPr>
      </w:pPr>
      <w:r>
        <w:rPr>
          <w:rFonts w:hint="eastAsia" w:hAnsi="宋体"/>
          <w:sz w:val="21"/>
          <w:szCs w:val="21"/>
        </w:rPr>
        <w:t>水电站 AVC 控制</w:t>
      </w:r>
      <w:r>
        <w:rPr>
          <w:rFonts w:hint="eastAsia" w:hAnsi="宋体"/>
          <w:color w:val="000000"/>
          <w:sz w:val="21"/>
          <w:szCs w:val="21"/>
        </w:rPr>
        <w:t>。</w:t>
      </w:r>
    </w:p>
    <w:p>
      <w:pPr>
        <w:pStyle w:val="6"/>
        <w:widowControl w:val="0"/>
        <w:numPr>
          <w:ilvl w:val="1"/>
          <w:numId w:val="48"/>
        </w:numPr>
        <w:tabs>
          <w:tab w:val="left" w:pos="709"/>
          <w:tab w:val="clear" w:pos="1106"/>
        </w:tabs>
        <w:snapToGrid/>
        <w:spacing w:before="156" w:beforeLines="50" w:after="72" w:line="300" w:lineRule="auto"/>
        <w:ind w:left="814" w:hanging="814" w:hangingChars="338"/>
        <w:jc w:val="both"/>
        <w:rPr>
          <w:rFonts w:ascii="宋体" w:hAnsi="宋体" w:cs="Arial"/>
          <w:sz w:val="24"/>
          <w:szCs w:val="24"/>
        </w:rPr>
      </w:pPr>
      <w:bookmarkStart w:id="552" w:name="_Toc404808196"/>
      <w:bookmarkEnd w:id="552"/>
      <w:bookmarkStart w:id="553" w:name="_Toc404808191"/>
      <w:bookmarkEnd w:id="553"/>
      <w:bookmarkStart w:id="554" w:name="_Toc72415710"/>
      <w:bookmarkStart w:id="555" w:name="_Toc143589481"/>
      <w:bookmarkStart w:id="556" w:name="_Toc57986384"/>
      <w:r>
        <w:rPr>
          <w:rFonts w:hint="eastAsia" w:ascii="宋体" w:hAnsi="宋体" w:cs="Arial"/>
          <w:sz w:val="24"/>
          <w:szCs w:val="24"/>
        </w:rPr>
        <w:t>调度数据专网建设</w:t>
      </w:r>
      <w:bookmarkEnd w:id="554"/>
      <w:bookmarkEnd w:id="555"/>
      <w:bookmarkEnd w:id="556"/>
    </w:p>
    <w:p>
      <w:pPr>
        <w:pStyle w:val="7"/>
        <w:widowControl w:val="0"/>
        <w:numPr>
          <w:ilvl w:val="2"/>
          <w:numId w:val="48"/>
        </w:numPr>
        <w:tabs>
          <w:tab w:val="left" w:pos="709"/>
          <w:tab w:val="clear" w:pos="964"/>
        </w:tabs>
        <w:overflowPunct w:val="0"/>
        <w:snapToGrid/>
        <w:spacing w:after="100" w:afterAutospacing="1" w:line="300" w:lineRule="auto"/>
        <w:jc w:val="both"/>
        <w:rPr>
          <w:rFonts w:ascii="宋体" w:hAnsi="宋体"/>
          <w:b/>
          <w:bCs/>
          <w:sz w:val="21"/>
          <w:szCs w:val="21"/>
        </w:rPr>
      </w:pPr>
      <w:bookmarkStart w:id="557" w:name="_Toc31720529"/>
      <w:bookmarkEnd w:id="557"/>
      <w:bookmarkStart w:id="558" w:name="_Toc57986385"/>
      <w:r>
        <w:rPr>
          <w:rFonts w:hint="eastAsia" w:ascii="宋体" w:hAnsi="宋体"/>
          <w:b/>
          <w:bCs/>
          <w:sz w:val="21"/>
          <w:szCs w:val="21"/>
        </w:rPr>
        <w:t>概述</w:t>
      </w:r>
      <w:bookmarkEnd w:id="558"/>
    </w:p>
    <w:p>
      <w:pPr>
        <w:snapToGrid w:val="0"/>
        <w:spacing w:before="72" w:after="72" w:line="300" w:lineRule="auto"/>
        <w:ind w:left="708" w:leftChars="337" w:firstLine="1"/>
        <w:rPr>
          <w:rFonts w:ascii="宋体" w:hAnsi="宋体"/>
          <w:szCs w:val="21"/>
        </w:rPr>
      </w:pPr>
      <w:r>
        <w:rPr>
          <w:rFonts w:hint="eastAsia" w:ascii="宋体" w:hAnsi="宋体"/>
          <w:szCs w:val="21"/>
        </w:rPr>
        <w:t>根据重庆市调要求，在站内配置2套调度数据网络接入设备，实现远动信息的调度数据网络传输。</w:t>
      </w:r>
    </w:p>
    <w:p>
      <w:pPr>
        <w:snapToGrid w:val="0"/>
        <w:spacing w:before="72" w:after="72" w:line="300" w:lineRule="auto"/>
        <w:ind w:left="708" w:leftChars="337" w:firstLine="1"/>
        <w:rPr>
          <w:rFonts w:ascii="宋体" w:hAnsi="宋体"/>
          <w:szCs w:val="21"/>
        </w:rPr>
      </w:pPr>
      <w:r>
        <w:rPr>
          <w:rFonts w:hint="eastAsia" w:ascii="宋体" w:hAnsi="宋体"/>
          <w:szCs w:val="21"/>
        </w:rPr>
        <w:t>每套调度数据网设备配置2台三层交换机作为CE，接入到本地PE路由器上，两台交换机为站端应用系统分别提供实时VPN（安全区一）和非实时VPN（安全区二）的可靠接入，各应用系统根据所属安全区的不同，分别接入实时VPN（VPN1）或非实时VPN（VPN2）的交换机。</w:t>
      </w:r>
    </w:p>
    <w:p>
      <w:pPr>
        <w:pStyle w:val="7"/>
        <w:widowControl w:val="0"/>
        <w:numPr>
          <w:ilvl w:val="2"/>
          <w:numId w:val="48"/>
        </w:numPr>
        <w:tabs>
          <w:tab w:val="left" w:pos="709"/>
          <w:tab w:val="clear" w:pos="964"/>
        </w:tabs>
        <w:overflowPunct w:val="0"/>
        <w:snapToGrid/>
        <w:spacing w:after="100" w:afterAutospacing="1" w:line="300" w:lineRule="auto"/>
        <w:jc w:val="both"/>
        <w:rPr>
          <w:rFonts w:ascii="宋体" w:hAnsi="宋体"/>
          <w:b/>
          <w:bCs/>
          <w:sz w:val="21"/>
          <w:szCs w:val="21"/>
        </w:rPr>
      </w:pPr>
      <w:bookmarkStart w:id="559" w:name="_Toc31720530"/>
      <w:bookmarkEnd w:id="559"/>
      <w:bookmarkStart w:id="560" w:name="_Toc57986386"/>
      <w:r>
        <w:rPr>
          <w:rFonts w:hint="eastAsia" w:ascii="宋体" w:hAnsi="宋体"/>
          <w:b/>
          <w:bCs/>
          <w:sz w:val="21"/>
          <w:szCs w:val="21"/>
        </w:rPr>
        <w:t>总体要求</w:t>
      </w:r>
      <w:bookmarkEnd w:id="560"/>
    </w:p>
    <w:p>
      <w:pPr>
        <w:snapToGrid w:val="0"/>
        <w:spacing w:before="72" w:after="72" w:line="300" w:lineRule="auto"/>
        <w:ind w:left="708" w:leftChars="337" w:firstLine="1"/>
        <w:rPr>
          <w:rFonts w:ascii="宋体" w:hAnsi="宋体"/>
          <w:szCs w:val="21"/>
        </w:rPr>
      </w:pPr>
      <w:r>
        <w:rPr>
          <w:rFonts w:hint="eastAsia" w:ascii="宋体" w:hAnsi="宋体"/>
          <w:szCs w:val="21"/>
        </w:rPr>
        <w:t>标准化和开放性：采用的网络技术应符合国际标准及国内标准，满足信息准确、安全、可靠地交换传输。网络设备应有开放的接口，拥有良好的维护、测量及管理手段，实现统一网管。</w:t>
      </w:r>
    </w:p>
    <w:p>
      <w:pPr>
        <w:snapToGrid w:val="0"/>
        <w:spacing w:before="72" w:after="72" w:line="300" w:lineRule="auto"/>
        <w:ind w:left="708" w:leftChars="337" w:firstLine="1"/>
        <w:rPr>
          <w:rFonts w:ascii="宋体" w:hAnsi="宋体"/>
          <w:szCs w:val="21"/>
        </w:rPr>
      </w:pPr>
      <w:r>
        <w:rPr>
          <w:rFonts w:hint="eastAsia" w:ascii="宋体" w:hAnsi="宋体"/>
          <w:szCs w:val="21"/>
        </w:rPr>
        <w:t xml:space="preserve">业务管理能力：网络需向用户提供不同类型的服务，应有良好的业务管理能力。 </w:t>
      </w:r>
    </w:p>
    <w:p>
      <w:pPr>
        <w:snapToGrid w:val="0"/>
        <w:spacing w:before="72" w:after="72" w:line="300" w:lineRule="auto"/>
        <w:ind w:left="708" w:leftChars="337" w:firstLine="1"/>
        <w:rPr>
          <w:rFonts w:ascii="宋体" w:hAnsi="宋体"/>
          <w:szCs w:val="21"/>
        </w:rPr>
      </w:pPr>
      <w:r>
        <w:rPr>
          <w:rFonts w:hint="eastAsia" w:ascii="宋体" w:hAnsi="宋体"/>
          <w:szCs w:val="21"/>
        </w:rPr>
        <w:t>统一网管：网络采用统一的分级、分权管理能力的网管系统。</w:t>
      </w:r>
    </w:p>
    <w:p>
      <w:pPr>
        <w:snapToGrid w:val="0"/>
        <w:spacing w:before="72" w:after="72" w:line="300" w:lineRule="auto"/>
        <w:ind w:left="708" w:leftChars="337" w:firstLine="1"/>
        <w:rPr>
          <w:rFonts w:ascii="宋体" w:hAnsi="宋体"/>
          <w:szCs w:val="21"/>
        </w:rPr>
      </w:pPr>
      <w:r>
        <w:rPr>
          <w:rFonts w:hint="eastAsia" w:ascii="宋体" w:hAnsi="宋体"/>
          <w:szCs w:val="21"/>
        </w:rPr>
        <w:t>扩展性：考虑到用户数量和业务种类的变化，网络要建成完整统一、组网灵活、易于扩展的网络平台，能随需求变化而扩展。</w:t>
      </w:r>
    </w:p>
    <w:p>
      <w:pPr>
        <w:snapToGrid w:val="0"/>
        <w:spacing w:before="72" w:after="72" w:line="300" w:lineRule="auto"/>
        <w:ind w:left="708" w:leftChars="337" w:firstLine="1"/>
        <w:rPr>
          <w:rFonts w:ascii="宋体" w:hAnsi="宋体"/>
          <w:szCs w:val="21"/>
        </w:rPr>
      </w:pPr>
      <w:r>
        <w:rPr>
          <w:rFonts w:hint="eastAsia" w:ascii="宋体" w:hAnsi="宋体"/>
          <w:szCs w:val="21"/>
        </w:rPr>
        <w:t>安全可靠性：整个网络要安全稳定，支持网络节点的备份和线路保护，提供网络安全防范措施。</w:t>
      </w:r>
    </w:p>
    <w:p>
      <w:pPr>
        <w:snapToGrid w:val="0"/>
        <w:spacing w:before="72" w:after="72" w:line="300" w:lineRule="auto"/>
        <w:ind w:left="708" w:leftChars="337" w:firstLine="1"/>
        <w:rPr>
          <w:rFonts w:ascii="宋体" w:hAnsi="宋体"/>
          <w:szCs w:val="21"/>
        </w:rPr>
      </w:pPr>
      <w:r>
        <w:rPr>
          <w:rFonts w:hint="eastAsia" w:ascii="宋体" w:hAnsi="宋体"/>
          <w:szCs w:val="21"/>
        </w:rPr>
        <w:t>实时性：网络应满足调度业务实时性要求。</w:t>
      </w:r>
    </w:p>
    <w:p>
      <w:pPr>
        <w:pStyle w:val="7"/>
        <w:widowControl w:val="0"/>
        <w:numPr>
          <w:ilvl w:val="2"/>
          <w:numId w:val="48"/>
        </w:numPr>
        <w:tabs>
          <w:tab w:val="left" w:pos="709"/>
          <w:tab w:val="clear" w:pos="964"/>
        </w:tabs>
        <w:overflowPunct w:val="0"/>
        <w:snapToGrid/>
        <w:spacing w:after="100" w:afterAutospacing="1" w:line="300" w:lineRule="auto"/>
        <w:jc w:val="both"/>
        <w:rPr>
          <w:rFonts w:ascii="宋体" w:hAnsi="宋体"/>
          <w:b/>
          <w:bCs/>
          <w:sz w:val="21"/>
          <w:szCs w:val="21"/>
        </w:rPr>
      </w:pPr>
      <w:bookmarkStart w:id="561" w:name="_Toc31720531"/>
      <w:bookmarkEnd w:id="561"/>
      <w:bookmarkStart w:id="562" w:name="_Toc57986387"/>
      <w:r>
        <w:rPr>
          <w:rFonts w:hint="eastAsia" w:ascii="宋体" w:hAnsi="宋体"/>
          <w:b/>
          <w:bCs/>
          <w:sz w:val="21"/>
          <w:szCs w:val="21"/>
        </w:rPr>
        <w:t>总体方案</w:t>
      </w:r>
      <w:bookmarkEnd w:id="562"/>
    </w:p>
    <w:p>
      <w:pPr>
        <w:snapToGrid w:val="0"/>
        <w:spacing w:before="72" w:after="72" w:line="300" w:lineRule="auto"/>
        <w:ind w:left="708" w:leftChars="337" w:firstLine="1"/>
        <w:rPr>
          <w:rFonts w:ascii="宋体" w:hAnsi="宋体"/>
          <w:szCs w:val="21"/>
        </w:rPr>
      </w:pPr>
      <w:bookmarkStart w:id="563" w:name="_Toc211250542"/>
      <w:bookmarkEnd w:id="563"/>
      <w:r>
        <w:rPr>
          <w:rFonts w:hint="eastAsia" w:ascii="宋体" w:hAnsi="宋体"/>
          <w:szCs w:val="21"/>
        </w:rPr>
        <w:t>根据重庆市调要求，在站内配置2套调度数据网络接入设备，实现远动信息的调度数据网络传输。</w:t>
      </w:r>
    </w:p>
    <w:p>
      <w:pPr>
        <w:snapToGrid w:val="0"/>
        <w:spacing w:before="72" w:after="72" w:line="300" w:lineRule="auto"/>
        <w:ind w:left="708" w:leftChars="337" w:firstLine="1"/>
        <w:rPr>
          <w:rFonts w:ascii="宋体" w:hAnsi="宋体"/>
          <w:szCs w:val="21"/>
        </w:rPr>
      </w:pPr>
      <w:r>
        <w:rPr>
          <w:rFonts w:hint="eastAsia" w:ascii="宋体" w:hAnsi="宋体"/>
          <w:szCs w:val="21"/>
        </w:rPr>
        <w:t>每套调度数据网设备配置2台三层交换机作为CE，接入到本地PE路由器上，两台交换机为站端应用系统分别提供实时VPN（安全区一）和非实时VPN（安全区二）的可靠接入，各应用系统根据所属安全区的不同，分别接入实时VPN（VPN1）或非实时VPN（VPN2）的交换机。</w:t>
      </w:r>
    </w:p>
    <w:p>
      <w:pPr>
        <w:snapToGrid w:val="0"/>
        <w:spacing w:before="72" w:after="72" w:line="300" w:lineRule="auto"/>
        <w:ind w:left="708" w:leftChars="337" w:firstLine="1"/>
        <w:rPr>
          <w:rFonts w:ascii="宋体" w:hAnsi="宋体"/>
          <w:szCs w:val="21"/>
        </w:rPr>
      </w:pPr>
      <w:r>
        <w:rPr>
          <w:rFonts w:hint="eastAsia" w:ascii="宋体" w:hAnsi="宋体"/>
          <w:szCs w:val="21"/>
        </w:rPr>
        <w:t>电站2套调度数据网设备接入方案相同，各自接入不同的平面，在水电站接入节点配置一台接入路由器及 2 台三层交换机，采用 VLAN 技术和CE-VRF 技术，每个 VPN 接入一台三层交换机，两台三层交换机接入路由器。</w:t>
      </w:r>
    </w:p>
    <w:p>
      <w:pPr>
        <w:pStyle w:val="8"/>
        <w:numPr>
          <w:ilvl w:val="3"/>
          <w:numId w:val="48"/>
        </w:numPr>
        <w:tabs>
          <w:tab w:val="left" w:pos="851"/>
          <w:tab w:val="clear" w:pos="1531"/>
        </w:tabs>
        <w:overflowPunct w:val="0"/>
        <w:spacing w:before="72" w:after="72" w:line="300" w:lineRule="auto"/>
        <w:ind w:left="964"/>
        <w:rPr>
          <w:rFonts w:ascii="宋体" w:hAnsi="宋体" w:cs="Arial"/>
          <w:szCs w:val="21"/>
        </w:rPr>
      </w:pPr>
      <w:r>
        <w:rPr>
          <w:rFonts w:hint="eastAsia" w:ascii="宋体" w:hAnsi="宋体"/>
          <w:szCs w:val="21"/>
        </w:rPr>
        <w:t>业务接入范围</w:t>
      </w:r>
    </w:p>
    <w:p>
      <w:pPr>
        <w:snapToGrid w:val="0"/>
        <w:spacing w:before="72" w:after="72" w:line="300" w:lineRule="auto"/>
        <w:ind w:left="708" w:leftChars="337" w:firstLine="1"/>
        <w:rPr>
          <w:rFonts w:ascii="宋体" w:hAnsi="宋体"/>
          <w:szCs w:val="21"/>
        </w:rPr>
      </w:pPr>
      <w:r>
        <w:rPr>
          <w:rFonts w:hint="eastAsia" w:ascii="宋体" w:hAnsi="宋体"/>
          <w:szCs w:val="21"/>
        </w:rPr>
        <w:t>双江航电枢纽接入重庆市调综合自动化系统的业务范围及安全分区如下：</w:t>
      </w:r>
    </w:p>
    <w:tbl>
      <w:tblPr>
        <w:tblStyle w:val="71"/>
        <w:tblW w:w="4694" w:type="pct"/>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0" w:type="dxa"/>
          <w:bottom w:w="0" w:type="dxa"/>
          <w:right w:w="0" w:type="dxa"/>
        </w:tblCellMar>
      </w:tblPr>
      <w:tblGrid>
        <w:gridCol w:w="561"/>
        <w:gridCol w:w="2502"/>
        <w:gridCol w:w="3453"/>
        <w:gridCol w:w="214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cantSplit/>
          <w:trHeight w:val="268" w:hRule="atLeast"/>
          <w:jc w:val="center"/>
        </w:trPr>
        <w:tc>
          <w:tcPr>
            <w:tcW w:w="324" w:type="pct"/>
            <w:vMerge w:val="restart"/>
            <w:tcBorders>
              <w:top w:val="single" w:color="auto" w:sz="18" w:space="0"/>
              <w:left w:val="single" w:color="auto" w:sz="18" w:space="0"/>
              <w:bottom w:val="single" w:color="auto" w:sz="6" w:space="0"/>
              <w:right w:val="single" w:color="auto" w:sz="6" w:space="0"/>
            </w:tcBorders>
            <w:vAlign w:val="center"/>
          </w:tcPr>
          <w:p>
            <w:pPr>
              <w:adjustRightInd w:val="0"/>
              <w:spacing w:line="360" w:lineRule="atLeast"/>
              <w:jc w:val="center"/>
              <w:textAlignment w:val="baseline"/>
              <w:rPr>
                <w:rFonts w:ascii="宋体" w:hAnsi="宋体"/>
                <w:b/>
                <w:bCs/>
                <w:szCs w:val="21"/>
              </w:rPr>
            </w:pPr>
            <w:r>
              <w:rPr>
                <w:rFonts w:hint="eastAsia" w:ascii="宋体" w:hAnsi="宋体"/>
                <w:b/>
                <w:bCs/>
                <w:szCs w:val="21"/>
              </w:rPr>
              <w:t>序号</w:t>
            </w:r>
          </w:p>
        </w:tc>
        <w:tc>
          <w:tcPr>
            <w:tcW w:w="3437" w:type="pct"/>
            <w:gridSpan w:val="2"/>
            <w:tcBorders>
              <w:top w:val="single" w:color="auto" w:sz="18" w:space="0"/>
              <w:left w:val="single" w:color="auto" w:sz="6" w:space="0"/>
              <w:bottom w:val="single" w:color="auto" w:sz="6" w:space="0"/>
              <w:right w:val="single" w:color="auto" w:sz="6" w:space="0"/>
            </w:tcBorders>
            <w:shd w:val="clear" w:color="auto" w:fill="FF0000"/>
            <w:noWrap/>
            <w:vAlign w:val="center"/>
          </w:tcPr>
          <w:p>
            <w:pPr>
              <w:adjustRightInd w:val="0"/>
              <w:spacing w:line="360" w:lineRule="atLeast"/>
              <w:jc w:val="center"/>
              <w:textAlignment w:val="baseline"/>
              <w:rPr>
                <w:rFonts w:ascii="宋体" w:hAnsi="宋体"/>
                <w:b/>
                <w:bCs/>
                <w:szCs w:val="21"/>
              </w:rPr>
            </w:pPr>
            <w:r>
              <w:rPr>
                <w:rFonts w:hint="eastAsia" w:ascii="宋体" w:hAnsi="宋体"/>
                <w:b/>
                <w:bCs/>
                <w:szCs w:val="21"/>
              </w:rPr>
              <w:t>生产控制大区</w:t>
            </w:r>
          </w:p>
        </w:tc>
        <w:tc>
          <w:tcPr>
            <w:tcW w:w="1238" w:type="pct"/>
            <w:vMerge w:val="restart"/>
            <w:tcBorders>
              <w:top w:val="single" w:color="auto" w:sz="18" w:space="0"/>
              <w:left w:val="single" w:color="auto" w:sz="6" w:space="0"/>
              <w:bottom w:val="single" w:color="auto" w:sz="6" w:space="0"/>
              <w:right w:val="single" w:color="auto" w:sz="18" w:space="0"/>
            </w:tcBorders>
            <w:shd w:val="clear" w:color="auto" w:fill="00CCFF"/>
            <w:noWrap/>
            <w:vAlign w:val="center"/>
          </w:tcPr>
          <w:p>
            <w:pPr>
              <w:adjustRightInd w:val="0"/>
              <w:spacing w:line="360" w:lineRule="atLeast"/>
              <w:jc w:val="center"/>
              <w:textAlignment w:val="baseline"/>
              <w:rPr>
                <w:rFonts w:ascii="宋体" w:hAnsi="宋体"/>
                <w:b/>
                <w:bCs/>
                <w:szCs w:val="21"/>
              </w:rPr>
            </w:pPr>
            <w:r>
              <w:rPr>
                <w:rFonts w:hint="eastAsia" w:ascii="宋体" w:hAnsi="宋体"/>
                <w:b/>
                <w:bCs/>
                <w:szCs w:val="21"/>
              </w:rPr>
              <w:t>管理信息大区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cantSplit/>
          <w:trHeight w:val="268" w:hRule="atLeast"/>
          <w:jc w:val="center"/>
        </w:trPr>
        <w:tc>
          <w:tcPr>
            <w:tcW w:w="0" w:type="auto"/>
            <w:vMerge w:val="continue"/>
            <w:tcBorders>
              <w:top w:val="single" w:color="auto" w:sz="18" w:space="0"/>
              <w:left w:val="single" w:color="auto" w:sz="18" w:space="0"/>
              <w:bottom w:val="single" w:color="auto" w:sz="6" w:space="0"/>
              <w:right w:val="single" w:color="auto" w:sz="6" w:space="0"/>
            </w:tcBorders>
            <w:vAlign w:val="center"/>
          </w:tcPr>
          <w:p>
            <w:pPr>
              <w:widowControl/>
              <w:jc w:val="left"/>
              <w:rPr>
                <w:rFonts w:ascii="宋体" w:hAnsi="宋体"/>
                <w:b/>
                <w:bCs/>
                <w:szCs w:val="21"/>
              </w:rPr>
            </w:pPr>
          </w:p>
        </w:tc>
        <w:tc>
          <w:tcPr>
            <w:tcW w:w="1444" w:type="pct"/>
            <w:tcBorders>
              <w:top w:val="single" w:color="auto" w:sz="6" w:space="0"/>
              <w:left w:val="single" w:color="auto" w:sz="6" w:space="0"/>
              <w:bottom w:val="single" w:color="auto" w:sz="6" w:space="0"/>
              <w:right w:val="single" w:color="auto" w:sz="6" w:space="0"/>
            </w:tcBorders>
            <w:shd w:val="clear" w:color="auto" w:fill="FF0000"/>
            <w:noWrap/>
            <w:vAlign w:val="center"/>
          </w:tcPr>
          <w:p>
            <w:pPr>
              <w:jc w:val="center"/>
              <w:rPr>
                <w:rFonts w:ascii="宋体" w:hAnsi="宋体"/>
                <w:b/>
                <w:bCs/>
                <w:szCs w:val="21"/>
              </w:rPr>
            </w:pPr>
            <w:r>
              <w:rPr>
                <w:rFonts w:hint="eastAsia" w:ascii="宋体" w:hAnsi="宋体"/>
                <w:b/>
                <w:bCs/>
                <w:szCs w:val="21"/>
              </w:rPr>
              <w:t>控制区</w:t>
            </w:r>
          </w:p>
          <w:p>
            <w:pPr>
              <w:adjustRightInd w:val="0"/>
              <w:spacing w:line="360" w:lineRule="atLeast"/>
              <w:jc w:val="center"/>
              <w:textAlignment w:val="baseline"/>
              <w:rPr>
                <w:rFonts w:ascii="宋体" w:hAnsi="宋体"/>
                <w:b/>
                <w:bCs/>
                <w:szCs w:val="21"/>
              </w:rPr>
            </w:pPr>
            <w:r>
              <w:rPr>
                <w:rFonts w:hint="eastAsia" w:ascii="宋体" w:hAnsi="宋体"/>
                <w:b/>
                <w:bCs/>
                <w:szCs w:val="21"/>
              </w:rPr>
              <w:t>（安全区I）</w:t>
            </w:r>
          </w:p>
        </w:tc>
        <w:tc>
          <w:tcPr>
            <w:tcW w:w="1993" w:type="pct"/>
            <w:tcBorders>
              <w:top w:val="single" w:color="auto" w:sz="6" w:space="0"/>
              <w:left w:val="single" w:color="auto" w:sz="6" w:space="0"/>
              <w:bottom w:val="single" w:color="auto" w:sz="6" w:space="0"/>
              <w:right w:val="single" w:color="auto" w:sz="6" w:space="0"/>
            </w:tcBorders>
            <w:shd w:val="clear" w:color="auto" w:fill="FFFF00"/>
            <w:noWrap/>
            <w:vAlign w:val="center"/>
          </w:tcPr>
          <w:p>
            <w:pPr>
              <w:jc w:val="center"/>
              <w:rPr>
                <w:rFonts w:ascii="宋体" w:hAnsi="宋体"/>
                <w:b/>
                <w:bCs/>
                <w:szCs w:val="21"/>
              </w:rPr>
            </w:pPr>
            <w:r>
              <w:rPr>
                <w:rFonts w:hint="eastAsia" w:ascii="宋体" w:hAnsi="宋体"/>
                <w:b/>
                <w:bCs/>
                <w:szCs w:val="21"/>
              </w:rPr>
              <w:t>非控制区</w:t>
            </w:r>
          </w:p>
          <w:p>
            <w:pPr>
              <w:adjustRightInd w:val="0"/>
              <w:spacing w:line="360" w:lineRule="atLeast"/>
              <w:jc w:val="center"/>
              <w:textAlignment w:val="baseline"/>
              <w:rPr>
                <w:rFonts w:ascii="宋体" w:hAnsi="宋体"/>
                <w:b/>
                <w:bCs/>
                <w:szCs w:val="21"/>
              </w:rPr>
            </w:pPr>
            <w:r>
              <w:rPr>
                <w:rFonts w:hint="eastAsia" w:ascii="宋体" w:hAnsi="宋体"/>
                <w:b/>
                <w:bCs/>
                <w:szCs w:val="21"/>
              </w:rPr>
              <w:t>（安全区II）</w:t>
            </w:r>
          </w:p>
        </w:tc>
        <w:tc>
          <w:tcPr>
            <w:tcW w:w="0" w:type="auto"/>
            <w:vMerge w:val="continue"/>
            <w:tcBorders>
              <w:top w:val="single" w:color="auto" w:sz="18" w:space="0"/>
              <w:left w:val="single" w:color="auto" w:sz="6" w:space="0"/>
              <w:bottom w:val="single" w:color="auto" w:sz="6" w:space="0"/>
              <w:right w:val="single" w:color="auto" w:sz="18" w:space="0"/>
            </w:tcBorders>
            <w:vAlign w:val="center"/>
          </w:tcPr>
          <w:p>
            <w:pPr>
              <w:widowControl/>
              <w:jc w:val="left"/>
              <w:rPr>
                <w:rFonts w:ascii="宋体" w:hAnsi="宋体"/>
                <w:b/>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282" w:hRule="atLeast"/>
          <w:jc w:val="center"/>
        </w:trPr>
        <w:tc>
          <w:tcPr>
            <w:tcW w:w="324" w:type="pct"/>
            <w:tcBorders>
              <w:top w:val="single" w:color="auto" w:sz="6" w:space="0"/>
              <w:left w:val="single" w:color="auto" w:sz="18" w:space="0"/>
              <w:bottom w:val="single" w:color="auto" w:sz="6" w:space="0"/>
              <w:right w:val="single" w:color="auto" w:sz="6" w:space="0"/>
            </w:tcBorders>
            <w:noWrap/>
            <w:vAlign w:val="center"/>
          </w:tcPr>
          <w:p>
            <w:pPr>
              <w:adjustRightInd w:val="0"/>
              <w:spacing w:line="360" w:lineRule="atLeast"/>
              <w:jc w:val="center"/>
              <w:textAlignment w:val="baseline"/>
              <w:rPr>
                <w:rFonts w:ascii="宋体" w:hAnsi="宋体"/>
                <w:szCs w:val="21"/>
              </w:rPr>
            </w:pPr>
            <w:r>
              <w:rPr>
                <w:rFonts w:hint="eastAsia" w:ascii="宋体" w:hAnsi="宋体"/>
                <w:szCs w:val="21"/>
              </w:rPr>
              <w:t>1</w:t>
            </w:r>
          </w:p>
        </w:tc>
        <w:tc>
          <w:tcPr>
            <w:tcW w:w="1444" w:type="pct"/>
            <w:tcBorders>
              <w:top w:val="single" w:color="auto" w:sz="6" w:space="0"/>
              <w:left w:val="single" w:color="auto" w:sz="6" w:space="0"/>
              <w:bottom w:val="single" w:color="auto" w:sz="6" w:space="0"/>
              <w:right w:val="single" w:color="auto" w:sz="6" w:space="0"/>
            </w:tcBorders>
            <w:noWrap/>
            <w:vAlign w:val="center"/>
          </w:tcPr>
          <w:p>
            <w:pPr>
              <w:adjustRightInd w:val="0"/>
              <w:spacing w:line="360" w:lineRule="atLeast"/>
              <w:textAlignment w:val="baseline"/>
              <w:rPr>
                <w:rFonts w:ascii="宋体" w:hAnsi="宋体"/>
                <w:szCs w:val="21"/>
              </w:rPr>
            </w:pPr>
            <w:r>
              <w:rPr>
                <w:rFonts w:hint="eastAsia" w:ascii="宋体" w:hAnsi="宋体"/>
                <w:szCs w:val="21"/>
              </w:rPr>
              <w:t>计算机监控系统</w:t>
            </w:r>
          </w:p>
        </w:tc>
        <w:tc>
          <w:tcPr>
            <w:tcW w:w="1993" w:type="pct"/>
            <w:tcBorders>
              <w:top w:val="single" w:color="auto" w:sz="6" w:space="0"/>
              <w:left w:val="single" w:color="auto" w:sz="6" w:space="0"/>
              <w:bottom w:val="single" w:color="auto" w:sz="6" w:space="0"/>
              <w:right w:val="single" w:color="auto" w:sz="6" w:space="0"/>
            </w:tcBorders>
            <w:noWrap/>
            <w:vAlign w:val="center"/>
          </w:tcPr>
          <w:p>
            <w:pPr>
              <w:adjustRightInd w:val="0"/>
              <w:spacing w:line="360" w:lineRule="atLeast"/>
              <w:textAlignment w:val="baseline"/>
              <w:rPr>
                <w:rFonts w:ascii="宋体" w:hAnsi="宋体"/>
                <w:szCs w:val="21"/>
              </w:rPr>
            </w:pPr>
            <w:r>
              <w:rPr>
                <w:rFonts w:hint="eastAsia" w:ascii="宋体" w:hAnsi="宋体"/>
                <w:szCs w:val="21"/>
              </w:rPr>
              <w:t>电能量采集系统</w:t>
            </w:r>
          </w:p>
        </w:tc>
        <w:tc>
          <w:tcPr>
            <w:tcW w:w="1238" w:type="pct"/>
            <w:tcBorders>
              <w:top w:val="single" w:color="auto" w:sz="6" w:space="0"/>
              <w:left w:val="single" w:color="auto" w:sz="6" w:space="0"/>
              <w:bottom w:val="single" w:color="auto" w:sz="6" w:space="0"/>
              <w:right w:val="single" w:color="auto" w:sz="18" w:space="0"/>
            </w:tcBorders>
            <w:vAlign w:val="center"/>
          </w:tcPr>
          <w:p>
            <w:pPr>
              <w:adjustRightInd w:val="0"/>
              <w:spacing w:line="360" w:lineRule="atLeast"/>
              <w:textAlignment w:val="baseline"/>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324" w:type="pct"/>
            <w:tcBorders>
              <w:top w:val="single" w:color="auto" w:sz="6" w:space="0"/>
              <w:left w:val="single" w:color="auto" w:sz="18" w:space="0"/>
              <w:bottom w:val="single" w:color="auto" w:sz="6" w:space="0"/>
              <w:right w:val="single" w:color="auto" w:sz="6" w:space="0"/>
            </w:tcBorders>
            <w:noWrap/>
            <w:vAlign w:val="center"/>
          </w:tcPr>
          <w:p>
            <w:pPr>
              <w:adjustRightInd w:val="0"/>
              <w:spacing w:line="360" w:lineRule="atLeast"/>
              <w:jc w:val="center"/>
              <w:textAlignment w:val="baseline"/>
              <w:rPr>
                <w:rFonts w:ascii="宋体" w:hAnsi="宋体"/>
                <w:szCs w:val="21"/>
              </w:rPr>
            </w:pPr>
            <w:r>
              <w:rPr>
                <w:rFonts w:hint="eastAsia" w:ascii="宋体" w:hAnsi="宋体"/>
                <w:szCs w:val="21"/>
              </w:rPr>
              <w:t>2</w:t>
            </w:r>
          </w:p>
        </w:tc>
        <w:tc>
          <w:tcPr>
            <w:tcW w:w="1444" w:type="pct"/>
            <w:tcBorders>
              <w:top w:val="single" w:color="auto" w:sz="6" w:space="0"/>
              <w:left w:val="single" w:color="auto" w:sz="6" w:space="0"/>
              <w:bottom w:val="single" w:color="auto" w:sz="6" w:space="0"/>
              <w:right w:val="single" w:color="auto" w:sz="6" w:space="0"/>
            </w:tcBorders>
            <w:noWrap/>
            <w:vAlign w:val="center"/>
          </w:tcPr>
          <w:p>
            <w:pPr>
              <w:adjustRightInd w:val="0"/>
              <w:spacing w:line="360" w:lineRule="atLeast"/>
              <w:textAlignment w:val="baseline"/>
              <w:rPr>
                <w:rFonts w:ascii="宋体" w:hAnsi="宋体"/>
                <w:szCs w:val="21"/>
              </w:rPr>
            </w:pPr>
            <w:r>
              <w:rPr>
                <w:rFonts w:hint="eastAsia" w:ascii="宋体" w:hAnsi="宋体"/>
                <w:szCs w:val="21"/>
              </w:rPr>
              <w:t>PMU</w:t>
            </w:r>
          </w:p>
        </w:tc>
        <w:tc>
          <w:tcPr>
            <w:tcW w:w="1993" w:type="pct"/>
            <w:tcBorders>
              <w:top w:val="single" w:color="auto" w:sz="6" w:space="0"/>
              <w:left w:val="single" w:color="auto" w:sz="6" w:space="0"/>
              <w:bottom w:val="single" w:color="auto" w:sz="6" w:space="0"/>
              <w:right w:val="single" w:color="auto" w:sz="6" w:space="0"/>
            </w:tcBorders>
            <w:noWrap/>
            <w:vAlign w:val="center"/>
          </w:tcPr>
          <w:p>
            <w:pPr>
              <w:adjustRightInd w:val="0"/>
              <w:spacing w:line="360" w:lineRule="atLeast"/>
              <w:textAlignment w:val="baseline"/>
              <w:rPr>
                <w:rFonts w:ascii="宋体" w:hAnsi="宋体"/>
                <w:szCs w:val="21"/>
              </w:rPr>
            </w:pPr>
            <w:r>
              <w:rPr>
                <w:rFonts w:hint="eastAsia" w:ascii="宋体" w:hAnsi="宋体"/>
                <w:szCs w:val="21"/>
              </w:rPr>
              <w:t>继电保护和故障录波信息管理系统</w:t>
            </w:r>
          </w:p>
        </w:tc>
        <w:tc>
          <w:tcPr>
            <w:tcW w:w="1238" w:type="pct"/>
            <w:tcBorders>
              <w:top w:val="single" w:color="auto" w:sz="6" w:space="0"/>
              <w:left w:val="single" w:color="auto" w:sz="6" w:space="0"/>
              <w:bottom w:val="single" w:color="auto" w:sz="6" w:space="0"/>
              <w:right w:val="single" w:color="auto" w:sz="18" w:space="0"/>
            </w:tcBorders>
            <w:vAlign w:val="center"/>
          </w:tcPr>
          <w:p>
            <w:pPr>
              <w:adjustRightInd w:val="0"/>
              <w:spacing w:line="360" w:lineRule="atLeast"/>
              <w:textAlignment w:val="baseline"/>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268" w:hRule="atLeast"/>
          <w:jc w:val="center"/>
        </w:trPr>
        <w:tc>
          <w:tcPr>
            <w:tcW w:w="324" w:type="pct"/>
            <w:tcBorders>
              <w:top w:val="single" w:color="auto" w:sz="6" w:space="0"/>
              <w:left w:val="single" w:color="auto" w:sz="18" w:space="0"/>
              <w:bottom w:val="single" w:color="auto" w:sz="6" w:space="0"/>
              <w:right w:val="single" w:color="auto" w:sz="6" w:space="0"/>
            </w:tcBorders>
            <w:noWrap/>
            <w:vAlign w:val="center"/>
          </w:tcPr>
          <w:p>
            <w:pPr>
              <w:adjustRightInd w:val="0"/>
              <w:spacing w:line="360" w:lineRule="atLeast"/>
              <w:jc w:val="center"/>
              <w:textAlignment w:val="baseline"/>
              <w:rPr>
                <w:rFonts w:ascii="宋体" w:hAnsi="宋体"/>
                <w:szCs w:val="21"/>
              </w:rPr>
            </w:pPr>
            <w:r>
              <w:rPr>
                <w:rFonts w:hint="eastAsia" w:ascii="宋体" w:hAnsi="宋体"/>
                <w:szCs w:val="21"/>
              </w:rPr>
              <w:t>3</w:t>
            </w:r>
          </w:p>
        </w:tc>
        <w:tc>
          <w:tcPr>
            <w:tcW w:w="1444" w:type="pct"/>
            <w:tcBorders>
              <w:top w:val="single" w:color="auto" w:sz="6" w:space="0"/>
              <w:left w:val="single" w:color="auto" w:sz="6" w:space="0"/>
              <w:bottom w:val="single" w:color="auto" w:sz="6" w:space="0"/>
              <w:right w:val="single" w:color="auto" w:sz="6" w:space="0"/>
            </w:tcBorders>
            <w:noWrap/>
            <w:vAlign w:val="center"/>
          </w:tcPr>
          <w:p>
            <w:pPr>
              <w:adjustRightInd w:val="0"/>
              <w:spacing w:line="360" w:lineRule="atLeast"/>
              <w:textAlignment w:val="baseline"/>
              <w:rPr>
                <w:rFonts w:ascii="宋体" w:hAnsi="宋体"/>
                <w:szCs w:val="21"/>
              </w:rPr>
            </w:pPr>
            <w:r>
              <w:rPr>
                <w:rFonts w:hint="eastAsia" w:ascii="宋体" w:hAnsi="宋体"/>
                <w:szCs w:val="21"/>
              </w:rPr>
              <w:t>故障解列装置</w:t>
            </w:r>
          </w:p>
        </w:tc>
        <w:tc>
          <w:tcPr>
            <w:tcW w:w="1993" w:type="pct"/>
            <w:tcBorders>
              <w:top w:val="single" w:color="auto" w:sz="6" w:space="0"/>
              <w:left w:val="single" w:color="auto" w:sz="6" w:space="0"/>
              <w:bottom w:val="single" w:color="auto" w:sz="6" w:space="0"/>
              <w:right w:val="single" w:color="auto" w:sz="6" w:space="0"/>
            </w:tcBorders>
            <w:noWrap/>
            <w:vAlign w:val="center"/>
          </w:tcPr>
          <w:p>
            <w:pPr>
              <w:adjustRightInd w:val="0"/>
              <w:spacing w:line="360" w:lineRule="atLeast"/>
              <w:textAlignment w:val="baseline"/>
              <w:rPr>
                <w:rFonts w:ascii="宋体" w:hAnsi="宋体"/>
                <w:szCs w:val="21"/>
              </w:rPr>
            </w:pPr>
          </w:p>
        </w:tc>
        <w:tc>
          <w:tcPr>
            <w:tcW w:w="1238" w:type="pct"/>
            <w:tcBorders>
              <w:top w:val="single" w:color="auto" w:sz="6" w:space="0"/>
              <w:left w:val="single" w:color="auto" w:sz="6" w:space="0"/>
              <w:bottom w:val="single" w:color="auto" w:sz="6" w:space="0"/>
              <w:right w:val="single" w:color="auto" w:sz="18" w:space="0"/>
            </w:tcBorders>
            <w:vAlign w:val="center"/>
          </w:tcPr>
          <w:p>
            <w:pPr>
              <w:adjustRightInd w:val="0"/>
              <w:spacing w:line="360" w:lineRule="atLeast"/>
              <w:textAlignment w:val="baseline"/>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268" w:hRule="atLeast"/>
          <w:jc w:val="center"/>
        </w:trPr>
        <w:tc>
          <w:tcPr>
            <w:tcW w:w="324" w:type="pct"/>
            <w:tcBorders>
              <w:top w:val="single" w:color="auto" w:sz="6" w:space="0"/>
              <w:left w:val="single" w:color="auto" w:sz="18" w:space="0"/>
              <w:bottom w:val="single" w:color="auto" w:sz="18" w:space="0"/>
              <w:right w:val="single" w:color="auto" w:sz="6" w:space="0"/>
            </w:tcBorders>
            <w:noWrap/>
            <w:vAlign w:val="center"/>
          </w:tcPr>
          <w:p>
            <w:pPr>
              <w:adjustRightInd w:val="0"/>
              <w:spacing w:line="360" w:lineRule="atLeast"/>
              <w:jc w:val="center"/>
              <w:textAlignment w:val="baseline"/>
              <w:rPr>
                <w:rFonts w:ascii="宋体" w:hAnsi="宋体"/>
                <w:szCs w:val="21"/>
              </w:rPr>
            </w:pPr>
            <w:r>
              <w:rPr>
                <w:rFonts w:hint="eastAsia" w:ascii="宋体" w:hAnsi="宋体"/>
                <w:szCs w:val="21"/>
              </w:rPr>
              <w:t>4</w:t>
            </w:r>
          </w:p>
        </w:tc>
        <w:tc>
          <w:tcPr>
            <w:tcW w:w="1444" w:type="pct"/>
            <w:tcBorders>
              <w:top w:val="single" w:color="auto" w:sz="6" w:space="0"/>
              <w:left w:val="single" w:color="auto" w:sz="6" w:space="0"/>
              <w:bottom w:val="single" w:color="auto" w:sz="18" w:space="0"/>
              <w:right w:val="single" w:color="auto" w:sz="6" w:space="0"/>
            </w:tcBorders>
            <w:noWrap/>
            <w:vAlign w:val="center"/>
          </w:tcPr>
          <w:p>
            <w:pPr>
              <w:adjustRightInd w:val="0"/>
              <w:spacing w:line="360" w:lineRule="atLeast"/>
              <w:textAlignment w:val="baseline"/>
              <w:rPr>
                <w:rFonts w:ascii="宋体" w:hAnsi="宋体"/>
                <w:color w:val="FF0000"/>
                <w:szCs w:val="21"/>
                <w:highlight w:val="yellow"/>
              </w:rPr>
            </w:pPr>
          </w:p>
        </w:tc>
        <w:tc>
          <w:tcPr>
            <w:tcW w:w="1993" w:type="pct"/>
            <w:tcBorders>
              <w:top w:val="single" w:color="auto" w:sz="6" w:space="0"/>
              <w:left w:val="single" w:color="auto" w:sz="6" w:space="0"/>
              <w:bottom w:val="single" w:color="auto" w:sz="18" w:space="0"/>
              <w:right w:val="single" w:color="auto" w:sz="6" w:space="0"/>
            </w:tcBorders>
            <w:noWrap/>
            <w:vAlign w:val="center"/>
          </w:tcPr>
          <w:p>
            <w:pPr>
              <w:adjustRightInd w:val="0"/>
              <w:spacing w:line="360" w:lineRule="atLeast"/>
              <w:textAlignment w:val="baseline"/>
              <w:rPr>
                <w:rFonts w:ascii="宋体" w:hAnsi="宋体"/>
                <w:color w:val="FF0000"/>
                <w:szCs w:val="21"/>
              </w:rPr>
            </w:pPr>
          </w:p>
        </w:tc>
        <w:tc>
          <w:tcPr>
            <w:tcW w:w="1238" w:type="pct"/>
            <w:tcBorders>
              <w:top w:val="single" w:color="auto" w:sz="6" w:space="0"/>
              <w:left w:val="single" w:color="auto" w:sz="6" w:space="0"/>
              <w:bottom w:val="single" w:color="auto" w:sz="18" w:space="0"/>
              <w:right w:val="single" w:color="auto" w:sz="18" w:space="0"/>
            </w:tcBorders>
            <w:vAlign w:val="center"/>
          </w:tcPr>
          <w:p>
            <w:pPr>
              <w:adjustRightInd w:val="0"/>
              <w:spacing w:line="360" w:lineRule="atLeast"/>
              <w:textAlignment w:val="baseline"/>
              <w:rPr>
                <w:rFonts w:ascii="宋体" w:hAnsi="宋体"/>
                <w:color w:val="FF0000"/>
                <w:szCs w:val="21"/>
              </w:rPr>
            </w:pPr>
          </w:p>
        </w:tc>
      </w:tr>
    </w:tbl>
    <w:p>
      <w:pPr>
        <w:pStyle w:val="8"/>
        <w:numPr>
          <w:ilvl w:val="3"/>
          <w:numId w:val="48"/>
        </w:numPr>
        <w:tabs>
          <w:tab w:val="left" w:pos="851"/>
          <w:tab w:val="clear" w:pos="1531"/>
        </w:tabs>
        <w:overflowPunct w:val="0"/>
        <w:spacing w:before="72" w:after="72" w:line="300" w:lineRule="auto"/>
        <w:ind w:left="964"/>
        <w:rPr>
          <w:rFonts w:ascii="宋体" w:hAnsi="宋体"/>
          <w:kern w:val="2"/>
          <w:szCs w:val="21"/>
        </w:rPr>
      </w:pPr>
      <w:r>
        <w:rPr>
          <w:rFonts w:hint="eastAsia" w:ascii="宋体" w:hAnsi="宋体"/>
          <w:szCs w:val="21"/>
        </w:rPr>
        <w:t>网络拓扑结构</w:t>
      </w:r>
    </w:p>
    <w:p>
      <w:pPr>
        <w:snapToGrid w:val="0"/>
        <w:spacing w:before="72" w:after="72" w:line="300" w:lineRule="auto"/>
        <w:ind w:left="708" w:leftChars="337" w:firstLine="1"/>
        <w:rPr>
          <w:rFonts w:ascii="宋体" w:hAnsi="宋体"/>
          <w:szCs w:val="21"/>
        </w:rPr>
      </w:pPr>
      <w:r>
        <w:rPr>
          <w:rFonts w:hint="eastAsia" w:ascii="宋体" w:hAnsi="宋体"/>
          <w:szCs w:val="21"/>
        </w:rPr>
        <w:t>电站的调度数据专网均冗余配置，每套调度数据专网由2台业务汇集交换机、2台纵向加密认证装置、1台接入路由器组成，I区的业务通过I区交换机、纵向加密认证装置和路由器接入调度数据网，II区的业务通过II区交换机、纵向加密认证装置和路由器接入调度数据网。</w:t>
      </w:r>
    </w:p>
    <w:p>
      <w:pPr>
        <w:pStyle w:val="8"/>
        <w:numPr>
          <w:ilvl w:val="3"/>
          <w:numId w:val="48"/>
        </w:numPr>
        <w:tabs>
          <w:tab w:val="left" w:pos="851"/>
          <w:tab w:val="clear" w:pos="1531"/>
        </w:tabs>
        <w:overflowPunct w:val="0"/>
        <w:spacing w:before="72" w:after="72" w:line="300" w:lineRule="auto"/>
        <w:ind w:left="964"/>
        <w:rPr>
          <w:rFonts w:ascii="宋体" w:hAnsi="宋体"/>
          <w:szCs w:val="21"/>
        </w:rPr>
      </w:pPr>
      <w:r>
        <w:rPr>
          <w:rFonts w:hint="eastAsia" w:ascii="宋体" w:hAnsi="宋体"/>
          <w:szCs w:val="21"/>
        </w:rPr>
        <w:t>设备技术参数</w:t>
      </w:r>
    </w:p>
    <w:p>
      <w:pPr>
        <w:numPr>
          <w:ilvl w:val="0"/>
          <w:numId w:val="51"/>
        </w:numPr>
        <w:tabs>
          <w:tab w:val="left" w:pos="851"/>
          <w:tab w:val="clear" w:pos="1004"/>
        </w:tabs>
        <w:adjustRightInd w:val="0"/>
        <w:spacing w:line="300" w:lineRule="auto"/>
        <w:textAlignment w:val="baseline"/>
        <w:rPr>
          <w:rFonts w:ascii="宋体" w:hAnsi="宋体"/>
          <w:szCs w:val="21"/>
        </w:rPr>
      </w:pPr>
      <w:r>
        <w:rPr>
          <w:rFonts w:hint="eastAsia" w:ascii="宋体" w:hAnsi="宋体"/>
          <w:color w:val="000000"/>
          <w:szCs w:val="21"/>
        </w:rPr>
        <w:t>交换机</w:t>
      </w:r>
    </w:p>
    <w:p>
      <w:pPr>
        <w:snapToGrid w:val="0"/>
        <w:spacing w:before="72" w:after="72" w:line="300" w:lineRule="auto"/>
        <w:ind w:left="840" w:leftChars="400"/>
        <w:rPr>
          <w:rFonts w:ascii="宋体" w:hAnsi="宋体"/>
          <w:bCs/>
          <w:szCs w:val="21"/>
        </w:rPr>
      </w:pPr>
      <w:r>
        <w:rPr>
          <w:rFonts w:hint="eastAsia" w:ascii="宋体" w:hAnsi="宋体"/>
          <w:szCs w:val="21"/>
        </w:rPr>
        <w:t>交换机应采用</w:t>
      </w:r>
      <w:r>
        <w:rPr>
          <w:rFonts w:hint="eastAsia" w:ascii="宋体" w:hAnsi="宋体"/>
          <w:bCs/>
          <w:szCs w:val="21"/>
        </w:rPr>
        <w:t>自主可控安全产品，所有交换机品牌应统一，且应满足重庆电网公司的要求。</w:t>
      </w:r>
    </w:p>
    <w:p>
      <w:pPr>
        <w:snapToGrid w:val="0"/>
        <w:spacing w:before="72" w:after="72" w:line="300" w:lineRule="auto"/>
        <w:ind w:left="840" w:leftChars="400"/>
        <w:rPr>
          <w:bCs/>
          <w:szCs w:val="21"/>
        </w:rPr>
      </w:pPr>
      <w:r>
        <w:rPr>
          <w:rFonts w:hint="eastAsia" w:ascii="宋体" w:hAnsi="宋体"/>
          <w:bCs/>
          <w:szCs w:val="21"/>
        </w:rPr>
        <w:t>交换机技术参数表如下，交换机</w:t>
      </w:r>
      <w:r>
        <w:rPr>
          <w:bCs/>
          <w:szCs w:val="21"/>
        </w:rPr>
        <w:t>应满足重庆市调度的要求</w:t>
      </w:r>
      <w:r>
        <w:rPr>
          <w:rFonts w:hint="eastAsia"/>
          <w:bCs/>
          <w:szCs w:val="21"/>
        </w:rPr>
        <w:t>：</w:t>
      </w:r>
    </w:p>
    <w:tbl>
      <w:tblPr>
        <w:tblStyle w:val="71"/>
        <w:tblW w:w="801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1"/>
        <w:gridCol w:w="1055"/>
        <w:gridCol w:w="1766"/>
        <w:gridCol w:w="45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序号</w:t>
            </w:r>
          </w:p>
        </w:tc>
        <w:tc>
          <w:tcPr>
            <w:tcW w:w="2821" w:type="dxa"/>
            <w:gridSpan w:val="2"/>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项目</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技术参数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661"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1</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整机性能及功能</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系统架构</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体系结构描述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交换容量</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 8G</w:t>
            </w:r>
            <w:r>
              <w:rPr>
                <w:rFonts w:hint="eastAsia" w:ascii="宋体" w:hAnsi="宋体"/>
                <w:szCs w:val="21"/>
              </w:rPr>
              <w:t>（全双工状态）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整机包转发能力</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 6Mpps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机架、功耗、电源</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交、直流，标出功耗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661"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2</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szCs w:val="21"/>
              </w:rPr>
            </w:pPr>
            <w:r>
              <w:rPr>
                <w:rFonts w:hint="eastAsia" w:ascii="宋体" w:hAnsi="宋体"/>
                <w:szCs w:val="21"/>
              </w:rPr>
              <w:t>配置要求</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基本配置</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交流电源,要求配置至少24个10/100M电口，2个1000M电口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光口配置</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不需配置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661" w:type="dxa"/>
            <w:tcBorders>
              <w:top w:val="single" w:color="auto" w:sz="8" w:space="0"/>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3</w:t>
            </w:r>
          </w:p>
        </w:tc>
        <w:tc>
          <w:tcPr>
            <w:tcW w:w="1055" w:type="dxa"/>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szCs w:val="21"/>
              </w:rPr>
            </w:pPr>
            <w:r>
              <w:rPr>
                <w:rFonts w:hint="eastAsia" w:ascii="宋体" w:hAnsi="宋体"/>
                <w:szCs w:val="21"/>
              </w:rPr>
              <w:t>协议</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路由协议</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szCs w:val="21"/>
              </w:rPr>
            </w:pPr>
            <w:r>
              <w:rPr>
                <w:rFonts w:hint="eastAsia" w:ascii="宋体" w:hAnsi="宋体"/>
                <w:szCs w:val="21"/>
              </w:rPr>
              <w:t>静态路由、OSPF动态路由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661"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4</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szCs w:val="21"/>
              </w:rPr>
            </w:pPr>
            <w:r>
              <w:rPr>
                <w:rFonts w:hint="eastAsia" w:ascii="宋体" w:hAnsi="宋体"/>
                <w:szCs w:val="21"/>
              </w:rPr>
              <w:t>三层交换功能</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VLAN支持</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szCs w:val="21"/>
              </w:rPr>
            </w:pPr>
            <w:r>
              <w:rPr>
                <w:rFonts w:hint="eastAsia" w:ascii="宋体" w:hAnsi="宋体"/>
                <w:szCs w:val="21"/>
              </w:rPr>
              <w:t>支持基于协议VLAN，端口VLAN，承包商应提供支持VLAN的最大数目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生成树协议</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支持802.1d、802.1w和802.1s生成树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基本功能</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端口镜像；优先权/802.1p；端口聚集/802.3ad；远程端口镜像；端口聚合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组播协议</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支持组播能力，IGMP, 并有能够限制组播/广播带宽能力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7" w:hRule="atLeast"/>
          <w:jc w:val="center"/>
        </w:trPr>
        <w:tc>
          <w:tcPr>
            <w:tcW w:w="661"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5</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QoS</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队列</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支持IEEE 802.1p优先，支持DiffServ(RFC 2474和2475), IP ToS优先，并支持802.1p到DiffServ的映射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QoS</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支持针对于TOS、COS、DSCP的不同位加标记，可以针对标记进行保障带宽、限制带宽等QoS保障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661"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6</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安全可靠性</w:t>
            </w:r>
          </w:p>
        </w:tc>
        <w:tc>
          <w:tcPr>
            <w:tcW w:w="1766"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安全</w:t>
            </w: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分级命令保护机制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支持ACL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532"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802.1X、DHCP Snooping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可靠性</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电源告警监视、电压监视和环境温度监视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2" w:hRule="atLeast"/>
          <w:jc w:val="center"/>
        </w:trPr>
        <w:tc>
          <w:tcPr>
            <w:tcW w:w="661" w:type="dxa"/>
            <w:vMerge w:val="restart"/>
            <w:tcBorders>
              <w:top w:val="nil"/>
              <w:left w:val="single" w:color="auto" w:sz="8" w:space="0"/>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7</w:t>
            </w:r>
          </w:p>
        </w:tc>
        <w:tc>
          <w:tcPr>
            <w:tcW w:w="1055"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管理</w:t>
            </w:r>
          </w:p>
        </w:tc>
        <w:tc>
          <w:tcPr>
            <w:tcW w:w="1766"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网络管理</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SNMPV3、兼容SNMP V1、SNMP V2、RMON II、Syslog、命令行分级保护、MIB；是否能够提供配套的网管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能够被第三方网管管理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Console/Telnet/SSH等方式管理（全部符合或列出符合部分）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8</w:t>
            </w:r>
          </w:p>
        </w:tc>
        <w:tc>
          <w:tcPr>
            <w:tcW w:w="1055" w:type="dxa"/>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兼容性</w:t>
            </w:r>
          </w:p>
        </w:tc>
        <w:tc>
          <w:tcPr>
            <w:tcW w:w="1766"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兼容性</w:t>
            </w:r>
          </w:p>
        </w:tc>
        <w:tc>
          <w:tcPr>
            <w:tcW w:w="45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承包商应提供与其他网络设备厂商的网络设备兼容性列表</w:t>
            </w:r>
          </w:p>
        </w:tc>
      </w:tr>
    </w:tbl>
    <w:p>
      <w:pPr>
        <w:numPr>
          <w:ilvl w:val="0"/>
          <w:numId w:val="51"/>
        </w:numPr>
        <w:tabs>
          <w:tab w:val="left" w:pos="851"/>
          <w:tab w:val="clear" w:pos="1004"/>
        </w:tabs>
        <w:adjustRightInd w:val="0"/>
        <w:spacing w:before="156" w:beforeLines="50" w:line="300" w:lineRule="auto"/>
        <w:textAlignment w:val="baseline"/>
        <w:rPr>
          <w:rFonts w:ascii="宋体" w:hAnsi="宋体"/>
          <w:szCs w:val="21"/>
        </w:rPr>
      </w:pPr>
      <w:r>
        <w:rPr>
          <w:rFonts w:hint="eastAsia" w:ascii="宋体" w:hAnsi="宋体"/>
          <w:color w:val="000000"/>
          <w:szCs w:val="21"/>
        </w:rPr>
        <w:t>路由器</w:t>
      </w:r>
    </w:p>
    <w:p>
      <w:pPr>
        <w:snapToGrid w:val="0"/>
        <w:spacing w:before="72" w:after="72" w:line="300" w:lineRule="auto"/>
        <w:ind w:left="840" w:leftChars="400"/>
        <w:rPr>
          <w:rFonts w:ascii="宋体" w:hAnsi="宋体"/>
          <w:szCs w:val="21"/>
        </w:rPr>
      </w:pPr>
      <w:r>
        <w:rPr>
          <w:rFonts w:hint="eastAsia" w:ascii="宋体" w:hAnsi="宋体"/>
          <w:szCs w:val="21"/>
        </w:rPr>
        <w:t>接入路由器技术参数表如下，</w:t>
      </w:r>
      <w:r>
        <w:rPr>
          <w:b/>
          <w:bCs/>
          <w:szCs w:val="21"/>
        </w:rPr>
        <w:t>路由器应满足重庆市调度的要求</w:t>
      </w:r>
      <w:r>
        <w:rPr>
          <w:rFonts w:hint="eastAsia" w:ascii="宋体" w:hAnsi="宋体"/>
          <w:szCs w:val="21"/>
        </w:rPr>
        <w:t>：</w:t>
      </w:r>
    </w:p>
    <w:tbl>
      <w:tblPr>
        <w:tblStyle w:val="71"/>
        <w:tblW w:w="834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20"/>
        <w:gridCol w:w="1232"/>
        <w:gridCol w:w="1780"/>
        <w:gridCol w:w="47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620" w:type="dxa"/>
            <w:tcBorders>
              <w:top w:val="single" w:color="auto" w:sz="8" w:space="0"/>
              <w:left w:val="single" w:color="auto" w:sz="8" w:space="0"/>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序号</w:t>
            </w:r>
          </w:p>
        </w:tc>
        <w:tc>
          <w:tcPr>
            <w:tcW w:w="3012" w:type="dxa"/>
            <w:gridSpan w:val="2"/>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项目</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b/>
                <w:bCs/>
                <w:color w:val="000000"/>
                <w:szCs w:val="21"/>
              </w:rPr>
            </w:pPr>
            <w:r>
              <w:rPr>
                <w:rFonts w:hint="eastAsia" w:ascii="宋体" w:hAnsi="宋体"/>
                <w:b/>
                <w:bCs/>
                <w:color w:val="000000"/>
                <w:szCs w:val="21"/>
              </w:rPr>
              <w:t>买方要求值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1</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整机性能和功能</w:t>
            </w: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系统架构</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体系结构描述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整机包转发能力</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≥400Kpps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机架、功耗、电源</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交、直流，标出功耗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2</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接口</w:t>
            </w: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可支持接口类型</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10/100/1000BaseT、E1、异步串口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端口绑定</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提供绑定接口情况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7"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3</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配置要求</w:t>
            </w: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基本配置</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机箱，配置冗余交流电源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业务板配置</w:t>
            </w:r>
          </w:p>
        </w:tc>
        <w:tc>
          <w:tcPr>
            <w:tcW w:w="4711" w:type="dxa"/>
            <w:tcBorders>
              <w:top w:val="single" w:color="auto" w:sz="8" w:space="0"/>
              <w:left w:val="nil"/>
              <w:bottom w:val="single" w:color="auto" w:sz="8" w:space="0"/>
              <w:right w:val="single" w:color="auto" w:sz="8" w:space="0"/>
            </w:tcBorders>
            <w:vAlign w:val="center"/>
          </w:tcPr>
          <w:p>
            <w:pPr>
              <w:widowControl/>
              <w:rPr>
                <w:rFonts w:ascii="宋体" w:hAnsi="宋体"/>
                <w:color w:val="000000"/>
                <w:szCs w:val="21"/>
              </w:rPr>
            </w:pPr>
            <w:r>
              <w:rPr>
                <w:rFonts w:hint="eastAsia" w:ascii="宋体" w:hAnsi="宋体"/>
                <w:color w:val="000000"/>
                <w:szCs w:val="21"/>
              </w:rPr>
              <w:t>端口配置总数：6个E1端口（（2×2M卡）×3），16个10/100Base-T端口，8个RS232异步串口；</w:t>
            </w:r>
          </w:p>
          <w:p>
            <w:pPr>
              <w:widowControl/>
              <w:rPr>
                <w:rFonts w:ascii="宋体" w:hAnsi="宋体"/>
                <w:color w:val="000000"/>
                <w:szCs w:val="21"/>
              </w:rPr>
            </w:pPr>
            <w:r>
              <w:rPr>
                <w:rFonts w:hint="eastAsia" w:ascii="宋体" w:hAnsi="宋体"/>
                <w:color w:val="000000"/>
                <w:szCs w:val="21"/>
              </w:rPr>
              <w:t>板卡配置要求：除RS232异步串口外，针对其他各类型端口，至少配置2块相同业务板卡且安装在不同的机箱物理槽位上；</w:t>
            </w:r>
          </w:p>
          <w:p>
            <w:pPr>
              <w:widowControl/>
              <w:rPr>
                <w:rFonts w:ascii="宋体" w:hAnsi="宋体"/>
                <w:color w:val="000000"/>
                <w:szCs w:val="21"/>
              </w:rPr>
            </w:pPr>
            <w:r>
              <w:rPr>
                <w:rFonts w:hint="eastAsia" w:ascii="宋体" w:hAnsi="宋体"/>
                <w:color w:val="000000"/>
                <w:szCs w:val="21"/>
              </w:rPr>
              <w:t>引擎、母卡、机箱等自带的各类型端口不计入上述端口配置总数；</w:t>
            </w:r>
          </w:p>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除RS232异步串口卡外，其他板卡配置应满足冗余的要求，无单故障点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4</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协议</w:t>
            </w: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网络协议</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OSPF、BGP v4、BGP4 Extension、RIP v2、IS-IS等常用协议；IP、ATM、Frame Relay、PPP</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路由表容量(可变长子网)</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承包商应提供具体的路由和转发表容量，以及各路由协议的表容量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路由协议-组播</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PIM-SM/DM、IGMP、MBGP、MSDP、MPLS VPN组播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5" w:hRule="atLeast"/>
          <w:jc w:val="center"/>
        </w:trPr>
        <w:tc>
          <w:tcPr>
            <w:tcW w:w="620" w:type="dxa"/>
            <w:tcBorders>
              <w:top w:val="single" w:color="auto" w:sz="8" w:space="0"/>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5</w:t>
            </w:r>
          </w:p>
        </w:tc>
        <w:tc>
          <w:tcPr>
            <w:tcW w:w="1232" w:type="dxa"/>
            <w:tcBorders>
              <w:top w:val="single" w:color="auto" w:sz="8" w:space="0"/>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IPv6</w:t>
            </w:r>
          </w:p>
        </w:tc>
        <w:tc>
          <w:tcPr>
            <w:tcW w:w="1780" w:type="dxa"/>
            <w:tcBorders>
              <w:top w:val="single" w:color="auto" w:sz="8" w:space="0"/>
              <w:left w:val="nil"/>
              <w:bottom w:val="single" w:color="auto" w:sz="8" w:space="0"/>
              <w:right w:val="single" w:color="auto" w:sz="8" w:space="0"/>
            </w:tcBorders>
            <w:noWrap/>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IPv6</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全面支持IPv4和IPv6双协议栈；支持IPv4向IPv6的基本过渡技术：支持IPv6静态路由，支持BGP4+、RIPng、OSPFv3、IS-ISv6等动态路由协议；支持ICMPv6、UDPv6、TCPv6、IPv6等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6</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QoS</w:t>
            </w: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服务质量</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流量分类、流量监管、流量整形、拥塞管理、拥塞避免等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业务分类和标识策略，请分别报出QoS队列数量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7</w:t>
            </w:r>
          </w:p>
        </w:tc>
        <w:tc>
          <w:tcPr>
            <w:tcW w:w="1232" w:type="dxa"/>
            <w:vMerge w:val="restart"/>
            <w:tcBorders>
              <w:top w:val="nil"/>
              <w:left w:val="nil"/>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MPLS</w:t>
            </w: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MPLS</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LDP，MP-BGP ，MPLS QoS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支持的标签数（总量、公网、私网）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MPLS VPN</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三层VPN（RFC2547），BGP MPLS VPN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能够实现分布式MPLS VPN处理，每块线卡必须能够本地化处理MPLS VPN业务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adjustRightInd w:val="0"/>
              <w:spacing w:line="360" w:lineRule="atLeast"/>
              <w:textAlignment w:val="baseline"/>
              <w:rPr>
                <w:rFonts w:ascii="宋体" w:hAnsi="宋体"/>
                <w:color w:val="000000"/>
                <w:szCs w:val="21"/>
              </w:rPr>
            </w:pPr>
            <w:r>
              <w:rPr>
                <w:rFonts w:hint="eastAsia" w:ascii="宋体" w:hAnsi="宋体"/>
                <w:color w:val="000000"/>
                <w:szCs w:val="21"/>
              </w:rPr>
              <w:t>支持MPLS VPN跨域互联OptionA、B、C三种方式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adjustRightInd w:val="0"/>
              <w:spacing w:line="360" w:lineRule="atLeast"/>
              <w:textAlignment w:val="baseline"/>
              <w:rPr>
                <w:rFonts w:ascii="宋体" w:hAnsi="宋体"/>
                <w:color w:val="000000"/>
                <w:szCs w:val="21"/>
              </w:rPr>
            </w:pPr>
            <w:r>
              <w:rPr>
                <w:rFonts w:hint="eastAsia" w:ascii="宋体" w:hAnsi="宋体"/>
                <w:color w:val="000000"/>
                <w:szCs w:val="21"/>
              </w:rPr>
              <w:t>承包商应提供支持的VRF 数量、私网路由数量（总量和单个VRF）</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流量工程</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MPLS/ TE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7"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8</w:t>
            </w:r>
          </w:p>
        </w:tc>
        <w:tc>
          <w:tcPr>
            <w:tcW w:w="1232" w:type="dxa"/>
            <w:vMerge w:val="restart"/>
            <w:tcBorders>
              <w:top w:val="nil"/>
              <w:left w:val="nil"/>
              <w:bottom w:val="single" w:color="auto" w:sz="8" w:space="0"/>
              <w:right w:val="single" w:color="auto" w:sz="8" w:space="0"/>
            </w:tcBorders>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安全可靠性</w:t>
            </w: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网络安全</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RADIUS、CHAP验证、PAP验证、LOGIN验证、包过滤、访问控制列表、NAT、IPSec、IKE、URPF、SSHV2，承包商应提供具体NAT Session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承包商应提供ACL最大配置数，提供每个的规则数和在线速条件下最大的规则数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vMerge w:val="restart"/>
            <w:tcBorders>
              <w:top w:val="nil"/>
              <w:left w:val="nil"/>
              <w:bottom w:val="single" w:color="auto" w:sz="8" w:space="0"/>
              <w:right w:val="single" w:color="auto" w:sz="8" w:space="0"/>
            </w:tcBorders>
            <w:vAlign w:val="center"/>
          </w:tcPr>
          <w:p>
            <w:pPr>
              <w:adjustRightInd w:val="0"/>
              <w:spacing w:line="360" w:lineRule="atLeast"/>
              <w:textAlignment w:val="baseline"/>
              <w:rPr>
                <w:rFonts w:ascii="宋体" w:hAnsi="宋体"/>
                <w:color w:val="000000"/>
                <w:szCs w:val="21"/>
              </w:rPr>
            </w:pPr>
            <w:r>
              <w:rPr>
                <w:rFonts w:hint="eastAsia" w:ascii="宋体" w:hAnsi="宋体"/>
                <w:color w:val="000000"/>
                <w:szCs w:val="21"/>
              </w:rPr>
              <w:t>可靠性</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平均无故障间隔时间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电源告警监视、电压监视和环境温度监视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BFD功能支持情况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网流分析</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缺省提供网流分析功能，无需额外配置硬件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支持1:1的采样比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提供网流原始数据基本统计功能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620" w:type="dxa"/>
            <w:vMerge w:val="restart"/>
            <w:tcBorders>
              <w:top w:val="nil"/>
              <w:left w:val="single" w:color="auto" w:sz="8" w:space="0"/>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9</w:t>
            </w:r>
          </w:p>
        </w:tc>
        <w:tc>
          <w:tcPr>
            <w:tcW w:w="1232" w:type="dxa"/>
            <w:vMerge w:val="restart"/>
            <w:tcBorders>
              <w:top w:val="nil"/>
              <w:left w:val="nil"/>
              <w:bottom w:val="single" w:color="auto" w:sz="8" w:space="0"/>
              <w:right w:val="single" w:color="auto" w:sz="8" w:space="0"/>
            </w:tcBorders>
            <w:noWrap/>
            <w:vAlign w:val="center"/>
          </w:tcPr>
          <w:p>
            <w:pPr>
              <w:widowControl/>
              <w:adjustRightInd w:val="0"/>
              <w:spacing w:line="360" w:lineRule="atLeast"/>
              <w:jc w:val="center"/>
              <w:textAlignment w:val="baseline"/>
              <w:rPr>
                <w:rFonts w:ascii="宋体" w:hAnsi="宋体"/>
                <w:color w:val="000000"/>
                <w:szCs w:val="21"/>
              </w:rPr>
            </w:pPr>
            <w:r>
              <w:rPr>
                <w:rFonts w:hint="eastAsia" w:ascii="宋体" w:hAnsi="宋体"/>
                <w:color w:val="000000"/>
                <w:szCs w:val="21"/>
              </w:rPr>
              <w:t>管理</w:t>
            </w: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网络管理</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SNMPV3、兼容SNMP V1、SNMP V2、RMON II、Syslog、命令行分级保护、MIB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支持被第三方网管管理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Console/Telnet/SSH等方式管理（全部符合或列出符合部分）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支持基于端口、数据链路层信息以及IP五元组等条件，对包数、字节数等信息进行统计的功能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1780" w:type="dxa"/>
            <w:vMerge w:val="restart"/>
            <w:tcBorders>
              <w:top w:val="nil"/>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MPLS管理</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支持相关的MPLS LSP和TE隧道管理功能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支持MPLS VPN及QOS管理功能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color w:val="000000"/>
                <w:szCs w:val="21"/>
              </w:rPr>
            </w:pP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支持MPLS OAM和Ethernet OAM功能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620" w:type="dxa"/>
            <w:tcBorders>
              <w:top w:val="single" w:color="auto" w:sz="8" w:space="0"/>
              <w:left w:val="single" w:color="auto" w:sz="8" w:space="0"/>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10</w:t>
            </w:r>
          </w:p>
        </w:tc>
        <w:tc>
          <w:tcPr>
            <w:tcW w:w="1232"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兼容性</w:t>
            </w:r>
          </w:p>
        </w:tc>
        <w:tc>
          <w:tcPr>
            <w:tcW w:w="1780"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兼容性</w:t>
            </w:r>
          </w:p>
        </w:tc>
        <w:tc>
          <w:tcPr>
            <w:tcW w:w="4711" w:type="dxa"/>
            <w:tcBorders>
              <w:top w:val="single" w:color="auto" w:sz="8" w:space="0"/>
              <w:left w:val="nil"/>
              <w:bottom w:val="single" w:color="auto" w:sz="8" w:space="0"/>
              <w:right w:val="single" w:color="auto" w:sz="8" w:space="0"/>
            </w:tcBorders>
            <w:vAlign w:val="center"/>
          </w:tcPr>
          <w:p>
            <w:pPr>
              <w:widowControl/>
              <w:adjustRightInd w:val="0"/>
              <w:spacing w:line="360" w:lineRule="atLeast"/>
              <w:textAlignment w:val="baseline"/>
              <w:rPr>
                <w:rFonts w:ascii="宋体" w:hAnsi="宋体"/>
                <w:color w:val="000000"/>
                <w:szCs w:val="21"/>
              </w:rPr>
            </w:pPr>
            <w:r>
              <w:rPr>
                <w:rFonts w:hint="eastAsia" w:ascii="宋体" w:hAnsi="宋体"/>
                <w:color w:val="000000"/>
                <w:szCs w:val="21"/>
              </w:rPr>
              <w:t>承包商应提供与其他网络设备厂商的网络设备兼容性列表</w:t>
            </w:r>
          </w:p>
        </w:tc>
      </w:tr>
    </w:tbl>
    <w:p>
      <w:pPr>
        <w:spacing w:line="300" w:lineRule="auto"/>
        <w:ind w:firstLine="850" w:firstLineChars="403"/>
        <w:rPr>
          <w:rFonts w:ascii="宋体" w:hAnsi="宋体"/>
          <w:b/>
          <w:szCs w:val="21"/>
        </w:rPr>
      </w:pPr>
      <w:r>
        <w:rPr>
          <w:rFonts w:hint="eastAsia" w:ascii="宋体" w:hAnsi="宋体"/>
          <w:b/>
          <w:szCs w:val="21"/>
        </w:rPr>
        <w:t>路由器的E1口外接通信设备的同轴电缆，应支持至少80米的距离。</w:t>
      </w:r>
    </w:p>
    <w:p>
      <w:pPr>
        <w:numPr>
          <w:ilvl w:val="0"/>
          <w:numId w:val="51"/>
        </w:numPr>
        <w:tabs>
          <w:tab w:val="left" w:pos="851"/>
          <w:tab w:val="clear" w:pos="1004"/>
        </w:tabs>
        <w:adjustRightInd w:val="0"/>
        <w:spacing w:line="300" w:lineRule="auto"/>
        <w:textAlignment w:val="baseline"/>
        <w:rPr>
          <w:rFonts w:ascii="宋体" w:hAnsi="宋体"/>
          <w:szCs w:val="21"/>
        </w:rPr>
      </w:pPr>
      <w:r>
        <w:rPr>
          <w:rFonts w:hint="eastAsia" w:ascii="宋体" w:hAnsi="宋体"/>
          <w:szCs w:val="21"/>
        </w:rPr>
        <w:t>纵向加密认证装置，</w:t>
      </w:r>
      <w:r>
        <w:rPr>
          <w:rFonts w:hint="eastAsia"/>
          <w:b/>
          <w:bCs/>
          <w:szCs w:val="21"/>
        </w:rPr>
        <w:t>纵向加密认证装置</w:t>
      </w:r>
      <w:r>
        <w:rPr>
          <w:b/>
          <w:bCs/>
          <w:szCs w:val="21"/>
        </w:rPr>
        <w:t>应满足重庆市调度的要求</w:t>
      </w:r>
      <w:r>
        <w:rPr>
          <w:rFonts w:hint="eastAsia"/>
          <w:b/>
          <w:bCs/>
          <w:szCs w:val="21"/>
        </w:rPr>
        <w:t>。</w:t>
      </w:r>
    </w:p>
    <w:p>
      <w:pPr>
        <w:snapToGrid w:val="0"/>
        <w:spacing w:before="72" w:after="72" w:line="300" w:lineRule="auto"/>
        <w:ind w:left="840" w:leftChars="400"/>
        <w:rPr>
          <w:rFonts w:ascii="宋体" w:hAnsi="宋体"/>
          <w:szCs w:val="21"/>
        </w:rPr>
      </w:pPr>
      <w:r>
        <w:rPr>
          <w:rFonts w:hint="eastAsia" w:ascii="宋体" w:hAnsi="宋体"/>
          <w:szCs w:val="21"/>
        </w:rPr>
        <w:t>根据发改委第14号令《电力监控系统安全防护规定》、国能安全[2015]36号文《国家能源局关于印发电力监控系统安全防护总体方案等安全防护方案和评估规范的通知》等安全防护方案的规定和要求，对双江航电枢纽调度自动化接入系统所涉及的设备均应具备高可靠性的自身安全防护措施，以抵御病毒、黑客等通过各种形式对系统发起的恶意破坏和攻击，以保护调度数据网络的安全。</w:t>
      </w:r>
    </w:p>
    <w:p>
      <w:pPr>
        <w:snapToGrid w:val="0"/>
        <w:spacing w:before="72" w:after="72" w:line="300" w:lineRule="auto"/>
        <w:ind w:left="840" w:leftChars="400"/>
        <w:rPr>
          <w:rFonts w:ascii="宋体" w:hAnsi="宋体"/>
          <w:szCs w:val="21"/>
        </w:rPr>
      </w:pPr>
      <w:r>
        <w:rPr>
          <w:rFonts w:hint="eastAsia" w:ascii="宋体" w:hAnsi="宋体"/>
          <w:szCs w:val="21"/>
        </w:rPr>
        <w:t>双江航电枢纽的各类业务按安全等级划分为2个区，要求建立2个VPN分别进行信息交换：安全区I是生产控制区，凡是具有实时监控功能的系统或其中的监控功能部分均属于安全区I，如水电站监控系统远动系统、相量测量系统；安全区II是非生产控制区，原则上不具备控制功能的生产业务和系统中不进行控制的部分均属于安全区II，包括电能量计量系统、保护信息及故障录波信息系统等。</w:t>
      </w:r>
    </w:p>
    <w:p>
      <w:pPr>
        <w:snapToGrid w:val="0"/>
        <w:spacing w:before="72" w:after="72" w:line="300" w:lineRule="auto"/>
        <w:ind w:left="840" w:leftChars="400"/>
        <w:rPr>
          <w:rFonts w:ascii="宋体" w:hAnsi="宋体"/>
          <w:szCs w:val="21"/>
        </w:rPr>
      </w:pPr>
      <w:r>
        <w:rPr>
          <w:rFonts w:hint="eastAsia" w:ascii="宋体" w:hAnsi="宋体"/>
          <w:szCs w:val="21"/>
        </w:rPr>
        <w:t>电力监控系统纵向安全防护在电力控制系统的内部局域网与电力调度数据网络的路由器之间，用来保障电力调度系统纵向数据传输过程中的数据机密性、完整性和真实性。同时满足电力专用应用层通信协议转换功能，以便于实现厂站端到省调端的选择性保护。</w:t>
      </w:r>
    </w:p>
    <w:p>
      <w:pPr>
        <w:snapToGrid w:val="0"/>
        <w:spacing w:before="72" w:after="72" w:line="300" w:lineRule="auto"/>
        <w:ind w:left="840" w:leftChars="400"/>
        <w:rPr>
          <w:rFonts w:ascii="宋体" w:hAnsi="宋体"/>
          <w:szCs w:val="21"/>
        </w:rPr>
      </w:pPr>
      <w:r>
        <w:rPr>
          <w:rFonts w:hint="eastAsia" w:ascii="宋体" w:hAnsi="宋体"/>
          <w:szCs w:val="21"/>
        </w:rPr>
        <w:t>纵向加密认证装置，主要技术要求如下：</w:t>
      </w:r>
    </w:p>
    <w:p>
      <w:pPr>
        <w:numPr>
          <w:ilvl w:val="0"/>
          <w:numId w:val="52"/>
        </w:numPr>
        <w:adjustRightInd w:val="0"/>
        <w:spacing w:line="300" w:lineRule="auto"/>
        <w:textAlignment w:val="baseline"/>
        <w:rPr>
          <w:rFonts w:ascii="宋体" w:hAnsi="宋体" w:cs="Arial"/>
          <w:szCs w:val="21"/>
        </w:rPr>
      </w:pPr>
      <w:r>
        <w:rPr>
          <w:rFonts w:hint="eastAsia" w:ascii="宋体" w:hAnsi="宋体" w:cs="Arial"/>
          <w:szCs w:val="21"/>
        </w:rPr>
        <w:t>纵向加密认证装置必须使用经过国家指定部门检测认证的电力专用纵向加密认证装置。</w:t>
      </w:r>
    </w:p>
    <w:p>
      <w:pPr>
        <w:numPr>
          <w:ilvl w:val="0"/>
          <w:numId w:val="52"/>
        </w:numPr>
        <w:adjustRightInd w:val="0"/>
        <w:spacing w:line="300" w:lineRule="auto"/>
        <w:textAlignment w:val="baseline"/>
        <w:rPr>
          <w:rFonts w:ascii="宋体" w:hAnsi="宋体" w:cs="Arial"/>
          <w:szCs w:val="21"/>
        </w:rPr>
      </w:pPr>
      <w:r>
        <w:rPr>
          <w:rFonts w:hint="eastAsia" w:ascii="宋体" w:hAnsi="宋体" w:cs="Arial"/>
          <w:szCs w:val="21"/>
        </w:rPr>
        <w:t>纵向加密认证装置能为电力调度数据网通信提供具有认证、与加密功能的VPN，实现数据传输的机密性、完整性保护。</w:t>
      </w:r>
    </w:p>
    <w:p>
      <w:pPr>
        <w:numPr>
          <w:ilvl w:val="0"/>
          <w:numId w:val="52"/>
        </w:numPr>
        <w:adjustRightInd w:val="0"/>
        <w:spacing w:line="300" w:lineRule="auto"/>
        <w:textAlignment w:val="baseline"/>
        <w:rPr>
          <w:rFonts w:ascii="宋体" w:hAnsi="宋体" w:cs="Arial"/>
          <w:szCs w:val="21"/>
        </w:rPr>
      </w:pPr>
      <w:r>
        <w:rPr>
          <w:rFonts w:hint="eastAsia" w:ascii="宋体" w:hAnsi="宋体" w:cs="Arial"/>
          <w:szCs w:val="21"/>
        </w:rPr>
        <w:t>满足电力专用通信协议（IEC870-5-104等）转换和应用过滤功能。</w:t>
      </w:r>
    </w:p>
    <w:p>
      <w:pPr>
        <w:numPr>
          <w:ilvl w:val="0"/>
          <w:numId w:val="52"/>
        </w:numPr>
        <w:adjustRightInd w:val="0"/>
        <w:spacing w:line="300" w:lineRule="auto"/>
        <w:textAlignment w:val="baseline"/>
        <w:rPr>
          <w:rFonts w:ascii="宋体" w:hAnsi="宋体" w:cs="Arial"/>
          <w:szCs w:val="21"/>
        </w:rPr>
      </w:pPr>
      <w:r>
        <w:rPr>
          <w:rFonts w:hint="eastAsia" w:ascii="宋体" w:hAnsi="宋体" w:cs="Arial"/>
          <w:szCs w:val="21"/>
        </w:rPr>
        <w:t>采用电力专用分组密码算法和公钥密码算法，支持身份鉴别，信息加密，数字签名和密钥生成与保护。</w:t>
      </w:r>
    </w:p>
    <w:p>
      <w:pPr>
        <w:numPr>
          <w:ilvl w:val="0"/>
          <w:numId w:val="52"/>
        </w:numPr>
        <w:adjustRightInd w:val="0"/>
        <w:spacing w:line="300" w:lineRule="auto"/>
        <w:textAlignment w:val="baseline"/>
        <w:rPr>
          <w:rFonts w:ascii="宋体" w:hAnsi="宋体" w:cs="Arial"/>
          <w:szCs w:val="21"/>
        </w:rPr>
      </w:pPr>
      <w:r>
        <w:rPr>
          <w:rFonts w:hint="eastAsia" w:ascii="宋体" w:hAnsi="宋体" w:cs="Arial"/>
          <w:szCs w:val="21"/>
        </w:rPr>
        <w:t>提供基于RSA公私密钥对的数字签名和采用专用加密算法进行数字加密的功能。</w:t>
      </w:r>
    </w:p>
    <w:p>
      <w:pPr>
        <w:numPr>
          <w:ilvl w:val="0"/>
          <w:numId w:val="52"/>
        </w:numPr>
        <w:adjustRightInd w:val="0"/>
        <w:spacing w:line="300" w:lineRule="auto"/>
        <w:textAlignment w:val="baseline"/>
        <w:rPr>
          <w:rFonts w:ascii="宋体" w:hAnsi="宋体" w:cs="Arial"/>
          <w:szCs w:val="21"/>
        </w:rPr>
      </w:pPr>
      <w:r>
        <w:rPr>
          <w:rFonts w:hint="eastAsia" w:ascii="宋体" w:hAnsi="宋体" w:cs="Arial"/>
          <w:szCs w:val="21"/>
        </w:rPr>
        <w:t>采用专用嵌入式安全操作系统，系统无TCP/IP协议栈。</w:t>
      </w:r>
    </w:p>
    <w:p>
      <w:pPr>
        <w:numPr>
          <w:ilvl w:val="0"/>
          <w:numId w:val="52"/>
        </w:numPr>
        <w:adjustRightInd w:val="0"/>
        <w:spacing w:line="300" w:lineRule="auto"/>
        <w:textAlignment w:val="baseline"/>
        <w:rPr>
          <w:rFonts w:ascii="宋体" w:hAnsi="宋体" w:cs="Arial"/>
          <w:szCs w:val="21"/>
        </w:rPr>
      </w:pPr>
      <w:r>
        <w:rPr>
          <w:rFonts w:hint="eastAsia" w:ascii="宋体" w:hAnsi="宋体" w:cs="Arial"/>
          <w:szCs w:val="21"/>
        </w:rPr>
        <w:t>支持明通和密文传输，支持标准的802.1Q VLAN封装协议，可以实现不同网段应用无缝透明接入。</w:t>
      </w:r>
    </w:p>
    <w:p>
      <w:pPr>
        <w:numPr>
          <w:ilvl w:val="0"/>
          <w:numId w:val="52"/>
        </w:numPr>
        <w:adjustRightInd w:val="0"/>
        <w:spacing w:line="300" w:lineRule="auto"/>
        <w:textAlignment w:val="baseline"/>
        <w:rPr>
          <w:rFonts w:ascii="宋体" w:hAnsi="宋体" w:cs="Arial"/>
          <w:szCs w:val="21"/>
        </w:rPr>
      </w:pPr>
      <w:r>
        <w:rPr>
          <w:rFonts w:hint="eastAsia" w:ascii="宋体" w:hAnsi="宋体" w:cs="Arial"/>
          <w:szCs w:val="21"/>
        </w:rPr>
        <w:t>具有应用层通信协议转换功能。</w:t>
      </w:r>
    </w:p>
    <w:p>
      <w:pPr>
        <w:numPr>
          <w:ilvl w:val="0"/>
          <w:numId w:val="52"/>
        </w:numPr>
        <w:adjustRightInd w:val="0"/>
        <w:spacing w:line="300" w:lineRule="auto"/>
        <w:textAlignment w:val="baseline"/>
        <w:rPr>
          <w:rFonts w:ascii="宋体" w:hAnsi="宋体" w:cs="Arial"/>
          <w:szCs w:val="21"/>
        </w:rPr>
      </w:pPr>
      <w:r>
        <w:rPr>
          <w:rFonts w:hint="eastAsia" w:ascii="宋体" w:hAnsi="宋体" w:cs="Arial"/>
          <w:spacing w:val="-1"/>
          <w:szCs w:val="21"/>
        </w:rPr>
        <w:t>日志审计功能、支持双机热备、基于数字证书的图形化界面。</w:t>
      </w:r>
    </w:p>
    <w:p>
      <w:pPr>
        <w:numPr>
          <w:ilvl w:val="0"/>
          <w:numId w:val="52"/>
        </w:numPr>
        <w:adjustRightInd w:val="0"/>
        <w:spacing w:line="300" w:lineRule="auto"/>
        <w:textAlignment w:val="baseline"/>
        <w:rPr>
          <w:rFonts w:ascii="宋体" w:hAnsi="宋体" w:cs="Arial"/>
          <w:szCs w:val="21"/>
        </w:rPr>
      </w:pPr>
      <w:r>
        <w:rPr>
          <w:rFonts w:hint="eastAsia" w:ascii="宋体" w:hAnsi="宋体" w:cs="Arial"/>
          <w:szCs w:val="21"/>
        </w:rPr>
        <w:t>应通过国家指定部门检测认证。</w:t>
      </w:r>
    </w:p>
    <w:p>
      <w:pPr>
        <w:numPr>
          <w:ilvl w:val="0"/>
          <w:numId w:val="52"/>
        </w:numPr>
        <w:adjustRightInd w:val="0"/>
        <w:spacing w:line="300" w:lineRule="auto"/>
        <w:textAlignment w:val="baseline"/>
        <w:rPr>
          <w:rFonts w:ascii="宋体" w:hAnsi="宋体" w:cs="Arial"/>
          <w:szCs w:val="21"/>
        </w:rPr>
      </w:pPr>
      <w:r>
        <w:rPr>
          <w:rFonts w:hint="eastAsia" w:ascii="宋体" w:hAnsi="宋体" w:cs="Arial"/>
          <w:szCs w:val="21"/>
        </w:rPr>
        <w:t>应充分考虑与对侧（各级调度）纵向加密认证装置的配合，满足接入需求。</w:t>
      </w:r>
    </w:p>
    <w:p>
      <w:pPr>
        <w:numPr>
          <w:ilvl w:val="0"/>
          <w:numId w:val="52"/>
        </w:numPr>
        <w:adjustRightInd w:val="0"/>
        <w:spacing w:line="300" w:lineRule="auto"/>
        <w:textAlignment w:val="baseline"/>
        <w:rPr>
          <w:rFonts w:ascii="宋体" w:hAnsi="宋体" w:cs="Arial"/>
          <w:szCs w:val="21"/>
        </w:rPr>
      </w:pPr>
      <w:r>
        <w:rPr>
          <w:rFonts w:hint="eastAsia" w:ascii="宋体" w:hAnsi="宋体" w:cs="Arial"/>
          <w:szCs w:val="21"/>
        </w:rPr>
        <w:t>安全防护实施方案须经过上级信息安全主管部门和相应电力调度机构的审核和验收。</w:t>
      </w:r>
    </w:p>
    <w:p>
      <w:pPr>
        <w:numPr>
          <w:ilvl w:val="0"/>
          <w:numId w:val="51"/>
        </w:numPr>
        <w:tabs>
          <w:tab w:val="left" w:pos="851"/>
          <w:tab w:val="clear" w:pos="1004"/>
        </w:tabs>
        <w:adjustRightInd w:val="0"/>
        <w:spacing w:line="300" w:lineRule="auto"/>
        <w:textAlignment w:val="baseline"/>
        <w:rPr>
          <w:rFonts w:ascii="宋体" w:hAnsi="宋体"/>
          <w:szCs w:val="21"/>
        </w:rPr>
      </w:pPr>
      <w:r>
        <w:rPr>
          <w:rFonts w:hint="eastAsia" w:ascii="宋体" w:hAnsi="宋体"/>
          <w:color w:val="000000"/>
          <w:szCs w:val="21"/>
        </w:rPr>
        <w:t>其它</w:t>
      </w:r>
    </w:p>
    <w:p>
      <w:pPr>
        <w:snapToGrid w:val="0"/>
        <w:spacing w:before="72" w:after="72" w:line="300" w:lineRule="auto"/>
        <w:ind w:left="840" w:leftChars="400"/>
        <w:rPr>
          <w:rFonts w:ascii="宋体" w:hAnsi="宋体"/>
          <w:szCs w:val="21"/>
        </w:rPr>
      </w:pPr>
      <w:r>
        <w:rPr>
          <w:rFonts w:hint="eastAsia" w:ascii="宋体" w:hAnsi="宋体"/>
          <w:szCs w:val="21"/>
        </w:rPr>
        <w:t>调度数据专网设备单独组屏，每套调度数据专网设备应按设备的实际需求配置单独的电源开关，并应将电源监视的信息以硬接点的方式上送计算机监控系统。</w:t>
      </w:r>
    </w:p>
    <w:p>
      <w:pPr>
        <w:pStyle w:val="8"/>
        <w:numPr>
          <w:ilvl w:val="3"/>
          <w:numId w:val="48"/>
        </w:numPr>
        <w:tabs>
          <w:tab w:val="left" w:pos="851"/>
          <w:tab w:val="clear" w:pos="1531"/>
        </w:tabs>
        <w:overflowPunct w:val="0"/>
        <w:spacing w:before="72" w:after="72" w:line="300" w:lineRule="auto"/>
        <w:ind w:left="964"/>
        <w:rPr>
          <w:rFonts w:ascii="宋体" w:hAnsi="宋体"/>
          <w:szCs w:val="21"/>
        </w:rPr>
      </w:pPr>
      <w:r>
        <w:rPr>
          <w:rFonts w:hint="eastAsia" w:ascii="宋体" w:hAnsi="宋体"/>
          <w:szCs w:val="21"/>
        </w:rPr>
        <w:t>专项验收技术服务工作</w:t>
      </w:r>
    </w:p>
    <w:p>
      <w:pPr>
        <w:snapToGrid w:val="0"/>
        <w:spacing w:before="72" w:after="72" w:line="300" w:lineRule="auto"/>
        <w:ind w:left="840" w:leftChars="400"/>
        <w:rPr>
          <w:rFonts w:ascii="宋体" w:hAnsi="宋体"/>
          <w:szCs w:val="21"/>
        </w:rPr>
      </w:pPr>
      <w:r>
        <w:rPr>
          <w:rFonts w:hint="eastAsia" w:ascii="宋体" w:hAnsi="宋体"/>
          <w:szCs w:val="21"/>
        </w:rPr>
        <w:t>为满足双江航电枢纽接入重庆市调，需要国家电网重庆分公司相关专业进行必要的专项验收及承办相应会务等技术服务工作，所涉及的费用含在合同总价内。</w:t>
      </w:r>
    </w:p>
    <w:p>
      <w:pPr>
        <w:pStyle w:val="8"/>
        <w:numPr>
          <w:ilvl w:val="3"/>
          <w:numId w:val="48"/>
        </w:numPr>
        <w:tabs>
          <w:tab w:val="left" w:pos="851"/>
          <w:tab w:val="clear" w:pos="1531"/>
        </w:tabs>
        <w:overflowPunct w:val="0"/>
        <w:spacing w:before="72" w:after="72" w:line="300" w:lineRule="auto"/>
        <w:ind w:left="964"/>
        <w:rPr>
          <w:rFonts w:ascii="宋体" w:hAnsi="宋体"/>
          <w:bCs/>
          <w:color w:val="000000"/>
          <w:szCs w:val="21"/>
        </w:rPr>
      </w:pPr>
      <w:r>
        <w:rPr>
          <w:rFonts w:hint="eastAsia" w:ascii="宋体" w:hAnsi="宋体"/>
          <w:color w:val="000000"/>
          <w:szCs w:val="21"/>
        </w:rPr>
        <w:t>供货设备</w:t>
      </w:r>
    </w:p>
    <w:p>
      <w:pPr>
        <w:pStyle w:val="120"/>
        <w:numPr>
          <w:ilvl w:val="0"/>
          <w:numId w:val="53"/>
        </w:numPr>
        <w:spacing w:before="72" w:after="72" w:line="300" w:lineRule="auto"/>
        <w:ind w:left="1470" w:hanging="420"/>
        <w:rPr>
          <w:rFonts w:hAnsi="宋体"/>
          <w:color w:val="000000"/>
          <w:sz w:val="21"/>
          <w:szCs w:val="21"/>
        </w:rPr>
      </w:pPr>
      <w:r>
        <w:rPr>
          <w:rFonts w:hint="eastAsia" w:hAnsi="宋体"/>
          <w:color w:val="000000"/>
          <w:sz w:val="21"/>
          <w:szCs w:val="21"/>
        </w:rPr>
        <w:t>设备</w:t>
      </w:r>
    </w:p>
    <w:tbl>
      <w:tblPr>
        <w:tblStyle w:val="7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65"/>
        <w:gridCol w:w="1843"/>
        <w:gridCol w:w="700"/>
        <w:gridCol w:w="1413"/>
        <w:gridCol w:w="711"/>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序号</w:t>
            </w:r>
            <w:bookmarkStart w:id="564" w:name="_Toc404807556"/>
            <w:bookmarkEnd w:id="564"/>
          </w:p>
        </w:tc>
        <w:tc>
          <w:tcPr>
            <w:tcW w:w="2165"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color w:val="000000"/>
                <w:kern w:val="15"/>
                <w:szCs w:val="21"/>
              </w:rPr>
            </w:pPr>
            <w:r>
              <w:rPr>
                <w:rFonts w:hint="eastAsia" w:ascii="宋体" w:hAnsi="宋体"/>
                <w:color w:val="000000"/>
                <w:kern w:val="15"/>
                <w:szCs w:val="21"/>
              </w:rPr>
              <w:t>设备名称</w:t>
            </w:r>
            <w:bookmarkStart w:id="565" w:name="_Toc404808199"/>
            <w:bookmarkEnd w:id="565"/>
          </w:p>
        </w:tc>
        <w:tc>
          <w:tcPr>
            <w:tcW w:w="1843"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规格型号</w:t>
            </w:r>
            <w:bookmarkStart w:id="566" w:name="_Toc404808200"/>
            <w:bookmarkEnd w:id="566"/>
          </w:p>
        </w:tc>
        <w:tc>
          <w:tcPr>
            <w:tcW w:w="700"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产地</w:t>
            </w:r>
            <w:bookmarkStart w:id="567" w:name="_Toc404808201"/>
            <w:bookmarkEnd w:id="567"/>
          </w:p>
        </w:tc>
        <w:tc>
          <w:tcPr>
            <w:tcW w:w="1413"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生产厂家</w:t>
            </w:r>
            <w:bookmarkStart w:id="568" w:name="_Toc404807882"/>
            <w:bookmarkEnd w:id="568"/>
          </w:p>
        </w:tc>
        <w:tc>
          <w:tcPr>
            <w:tcW w:w="711"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单位</w:t>
            </w:r>
            <w:bookmarkStart w:id="569" w:name="_Toc404807561"/>
            <w:bookmarkEnd w:id="569"/>
          </w:p>
        </w:tc>
        <w:tc>
          <w:tcPr>
            <w:tcW w:w="775"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数量</w:t>
            </w:r>
            <w:bookmarkStart w:id="570" w:name="_Toc404808204"/>
            <w:bookmarkEnd w:id="5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numPr>
                <w:ilvl w:val="0"/>
                <w:numId w:val="54"/>
              </w:numPr>
              <w:adjustRightInd w:val="0"/>
              <w:spacing w:before="60" w:after="60"/>
              <w:jc w:val="center"/>
              <w:textAlignment w:val="baseline"/>
              <w:rPr>
                <w:rFonts w:ascii="宋体" w:hAnsi="宋体"/>
                <w:b/>
                <w:bCs/>
                <w:color w:val="000000"/>
                <w:szCs w:val="21"/>
              </w:rPr>
            </w:pPr>
          </w:p>
        </w:tc>
        <w:tc>
          <w:tcPr>
            <w:tcW w:w="2165"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
                <w:bCs/>
                <w:color w:val="000000"/>
                <w:szCs w:val="21"/>
              </w:rPr>
            </w:pPr>
            <w:r>
              <w:rPr>
                <w:rFonts w:hint="eastAsia" w:ascii="宋体" w:hAnsi="宋体"/>
                <w:b/>
                <w:bCs/>
                <w:color w:val="000000"/>
                <w:szCs w:val="21"/>
              </w:rPr>
              <w:t>调度数据专网柜（每套至少包含以下设备）</w:t>
            </w:r>
            <w:bookmarkStart w:id="571" w:name="_Toc404808207"/>
            <w:bookmarkEnd w:id="571"/>
          </w:p>
        </w:tc>
        <w:tc>
          <w:tcPr>
            <w:tcW w:w="1843"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r>
              <w:rPr>
                <w:rFonts w:ascii="宋体" w:hAnsi="宋体"/>
                <w:bCs/>
                <w:color w:val="000000"/>
                <w:szCs w:val="21"/>
              </w:rPr>
              <w:t>600X1000X2260</w:t>
            </w:r>
            <w:bookmarkStart w:id="572" w:name="_Toc404807888"/>
            <w:bookmarkEnd w:id="572"/>
          </w:p>
        </w:tc>
        <w:tc>
          <w:tcPr>
            <w:tcW w:w="700"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bookmarkStart w:id="573" w:name="_Toc404807567"/>
            <w:bookmarkEnd w:id="573"/>
          </w:p>
        </w:tc>
        <w:tc>
          <w:tcPr>
            <w:tcW w:w="1413"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bookmarkStart w:id="574" w:name="_Toc404808210"/>
            <w:bookmarkEnd w:id="574"/>
          </w:p>
        </w:tc>
        <w:tc>
          <w:tcPr>
            <w:tcW w:w="711"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bookmarkStart w:id="575" w:name="_Toc404807891"/>
            <w:bookmarkEnd w:id="575"/>
            <w:r>
              <w:rPr>
                <w:rFonts w:hint="eastAsia" w:ascii="宋体" w:hAnsi="宋体"/>
                <w:bCs/>
                <w:color w:val="000000"/>
                <w:szCs w:val="21"/>
              </w:rPr>
              <w:t>套</w:t>
            </w:r>
          </w:p>
        </w:tc>
        <w:tc>
          <w:tcPr>
            <w:tcW w:w="775"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bookmarkStart w:id="576" w:name="_Toc404808212"/>
            <w:bookmarkEnd w:id="576"/>
            <w:r>
              <w:rPr>
                <w:rFonts w:ascii="宋体" w:hAnsi="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numPr>
                <w:ilvl w:val="1"/>
                <w:numId w:val="54"/>
              </w:numPr>
              <w:adjustRightInd w:val="0"/>
              <w:spacing w:before="60" w:after="60"/>
              <w:jc w:val="center"/>
              <w:textAlignment w:val="baseline"/>
              <w:rPr>
                <w:rFonts w:ascii="宋体" w:hAnsi="宋体" w:cs="Arial"/>
                <w:bCs/>
                <w:color w:val="000000"/>
                <w:szCs w:val="21"/>
              </w:rPr>
            </w:pPr>
          </w:p>
        </w:tc>
        <w:tc>
          <w:tcPr>
            <w:tcW w:w="2165"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路由器</w:t>
            </w:r>
            <w:bookmarkStart w:id="577" w:name="_Toc404807573"/>
            <w:bookmarkEnd w:id="577"/>
          </w:p>
        </w:tc>
        <w:tc>
          <w:tcPr>
            <w:tcW w:w="1843" w:type="dxa"/>
            <w:tcBorders>
              <w:top w:val="single" w:color="auto" w:sz="4" w:space="0"/>
              <w:left w:val="nil"/>
              <w:bottom w:val="single" w:color="auto" w:sz="4" w:space="0"/>
              <w:right w:val="single" w:color="auto" w:sz="4" w:space="0"/>
            </w:tcBorders>
          </w:tcPr>
          <w:p>
            <w:pPr>
              <w:adjustRightInd w:val="0"/>
              <w:jc w:val="center"/>
              <w:textAlignment w:val="baseline"/>
              <w:rPr>
                <w:rFonts w:ascii="宋体" w:hAnsi="宋体"/>
                <w:bCs/>
                <w:color w:val="000000"/>
                <w:spacing w:val="20"/>
                <w:szCs w:val="21"/>
              </w:rPr>
            </w:pPr>
            <w:bookmarkStart w:id="578" w:name="_Toc404807896"/>
            <w:bookmarkEnd w:id="578"/>
          </w:p>
        </w:tc>
        <w:tc>
          <w:tcPr>
            <w:tcW w:w="700" w:type="dxa"/>
            <w:tcBorders>
              <w:top w:val="single" w:color="auto" w:sz="4" w:space="0"/>
              <w:left w:val="nil"/>
              <w:bottom w:val="single" w:color="auto" w:sz="4" w:space="0"/>
              <w:right w:val="single" w:color="auto" w:sz="4" w:space="0"/>
            </w:tcBorders>
          </w:tcPr>
          <w:p>
            <w:pPr>
              <w:adjustRightInd w:val="0"/>
              <w:jc w:val="center"/>
              <w:textAlignment w:val="baseline"/>
              <w:rPr>
                <w:rFonts w:ascii="宋体" w:hAnsi="宋体"/>
                <w:bCs/>
                <w:color w:val="000000"/>
                <w:spacing w:val="20"/>
                <w:szCs w:val="21"/>
              </w:rPr>
            </w:pPr>
            <w:bookmarkStart w:id="579" w:name="_Toc404807897"/>
            <w:bookmarkEnd w:id="579"/>
          </w:p>
        </w:tc>
        <w:tc>
          <w:tcPr>
            <w:tcW w:w="1413" w:type="dxa"/>
            <w:tcBorders>
              <w:top w:val="single" w:color="auto" w:sz="4" w:space="0"/>
              <w:left w:val="nil"/>
              <w:bottom w:val="single" w:color="auto" w:sz="4" w:space="0"/>
              <w:right w:val="single" w:color="auto" w:sz="4" w:space="0"/>
            </w:tcBorders>
          </w:tcPr>
          <w:p>
            <w:pPr>
              <w:adjustRightInd w:val="0"/>
              <w:jc w:val="center"/>
              <w:textAlignment w:val="baseline"/>
              <w:rPr>
                <w:rFonts w:ascii="宋体" w:hAnsi="宋体"/>
                <w:bCs/>
                <w:color w:val="000000"/>
                <w:spacing w:val="20"/>
                <w:szCs w:val="21"/>
              </w:rPr>
            </w:pPr>
            <w:bookmarkStart w:id="580" w:name="_Toc404808218"/>
            <w:bookmarkEnd w:id="580"/>
          </w:p>
        </w:tc>
        <w:tc>
          <w:tcPr>
            <w:tcW w:w="711"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pacing w:val="20"/>
                <w:szCs w:val="21"/>
              </w:rPr>
            </w:pPr>
            <w:r>
              <w:rPr>
                <w:rFonts w:hint="eastAsia" w:ascii="宋体" w:hAnsi="宋体"/>
                <w:bCs/>
                <w:color w:val="000000"/>
                <w:szCs w:val="21"/>
              </w:rPr>
              <w:t>台</w:t>
            </w:r>
          </w:p>
        </w:tc>
        <w:tc>
          <w:tcPr>
            <w:tcW w:w="775"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pacing w:val="20"/>
                <w:szCs w:val="21"/>
              </w:rPr>
            </w:pPr>
            <w:bookmarkStart w:id="581" w:name="_Toc404807578"/>
            <w:bookmarkEnd w:id="581"/>
            <w:r>
              <w:rPr>
                <w:rFonts w:ascii="宋体" w:hAnsi="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numPr>
                <w:ilvl w:val="1"/>
                <w:numId w:val="54"/>
              </w:numPr>
              <w:adjustRightInd w:val="0"/>
              <w:spacing w:before="60" w:after="60"/>
              <w:jc w:val="center"/>
              <w:textAlignment w:val="baseline"/>
              <w:rPr>
                <w:rFonts w:ascii="宋体" w:hAnsi="宋体" w:cs="Arial"/>
                <w:bCs/>
                <w:color w:val="000000"/>
                <w:szCs w:val="21"/>
              </w:rPr>
            </w:pPr>
          </w:p>
        </w:tc>
        <w:tc>
          <w:tcPr>
            <w:tcW w:w="2165"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光纤终端盒</w:t>
            </w:r>
            <w:bookmarkStart w:id="582" w:name="_Toc404808231"/>
            <w:bookmarkEnd w:id="582"/>
          </w:p>
        </w:tc>
        <w:tc>
          <w:tcPr>
            <w:tcW w:w="1843" w:type="dxa"/>
            <w:tcBorders>
              <w:top w:val="single" w:color="auto" w:sz="4" w:space="0"/>
              <w:left w:val="nil"/>
              <w:bottom w:val="single" w:color="auto" w:sz="4" w:space="0"/>
              <w:right w:val="single" w:color="auto" w:sz="4" w:space="0"/>
            </w:tcBorders>
          </w:tcPr>
          <w:p>
            <w:pPr>
              <w:adjustRightInd w:val="0"/>
              <w:jc w:val="center"/>
              <w:textAlignment w:val="baseline"/>
              <w:rPr>
                <w:rFonts w:ascii="宋体" w:hAnsi="宋体" w:cs="Arial"/>
                <w:szCs w:val="21"/>
              </w:rPr>
            </w:pPr>
            <w:bookmarkStart w:id="583" w:name="_Toc404807590"/>
            <w:bookmarkEnd w:id="583"/>
          </w:p>
        </w:tc>
        <w:tc>
          <w:tcPr>
            <w:tcW w:w="700" w:type="dxa"/>
            <w:tcBorders>
              <w:top w:val="single" w:color="auto" w:sz="4" w:space="0"/>
              <w:left w:val="nil"/>
              <w:bottom w:val="single" w:color="auto" w:sz="4" w:space="0"/>
              <w:right w:val="single" w:color="auto" w:sz="4" w:space="0"/>
            </w:tcBorders>
          </w:tcPr>
          <w:p>
            <w:pPr>
              <w:adjustRightInd w:val="0"/>
              <w:jc w:val="center"/>
              <w:textAlignment w:val="baseline"/>
              <w:rPr>
                <w:rFonts w:ascii="宋体" w:hAnsi="宋体"/>
                <w:szCs w:val="21"/>
              </w:rPr>
            </w:pPr>
            <w:bookmarkStart w:id="584" w:name="_Toc404807913"/>
            <w:bookmarkEnd w:id="584"/>
          </w:p>
        </w:tc>
        <w:tc>
          <w:tcPr>
            <w:tcW w:w="1413" w:type="dxa"/>
            <w:tcBorders>
              <w:top w:val="single" w:color="auto" w:sz="4" w:space="0"/>
              <w:left w:val="nil"/>
              <w:bottom w:val="single" w:color="auto" w:sz="4" w:space="0"/>
              <w:right w:val="single" w:color="auto" w:sz="4" w:space="0"/>
            </w:tcBorders>
          </w:tcPr>
          <w:p>
            <w:pPr>
              <w:adjustRightInd w:val="0"/>
              <w:jc w:val="center"/>
              <w:textAlignment w:val="baseline"/>
              <w:rPr>
                <w:rFonts w:ascii="宋体" w:hAnsi="宋体"/>
                <w:szCs w:val="21"/>
              </w:rPr>
            </w:pPr>
            <w:bookmarkStart w:id="585" w:name="_Toc404807914"/>
            <w:bookmarkEnd w:id="585"/>
          </w:p>
        </w:tc>
        <w:tc>
          <w:tcPr>
            <w:tcW w:w="711"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zCs w:val="21"/>
              </w:rPr>
            </w:pPr>
            <w:r>
              <w:rPr>
                <w:rFonts w:hint="eastAsia" w:ascii="宋体" w:hAnsi="宋体"/>
                <w:bCs/>
                <w:color w:val="000000"/>
                <w:szCs w:val="21"/>
              </w:rPr>
              <w:t>只</w:t>
            </w:r>
            <w:bookmarkStart w:id="586" w:name="_Toc404807593"/>
            <w:bookmarkEnd w:id="586"/>
          </w:p>
        </w:tc>
        <w:tc>
          <w:tcPr>
            <w:tcW w:w="775"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zCs w:val="21"/>
              </w:rPr>
            </w:pPr>
            <w:bookmarkStart w:id="587" w:name="_Toc404808236"/>
            <w:bookmarkEnd w:id="587"/>
            <w:r>
              <w:rPr>
                <w:rFonts w:ascii="宋体" w:hAnsi="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numPr>
                <w:ilvl w:val="1"/>
                <w:numId w:val="54"/>
              </w:numPr>
              <w:adjustRightInd w:val="0"/>
              <w:spacing w:before="60" w:after="60"/>
              <w:jc w:val="center"/>
              <w:textAlignment w:val="baseline"/>
              <w:rPr>
                <w:rFonts w:ascii="宋体" w:hAnsi="宋体" w:cs="Arial"/>
                <w:bCs/>
                <w:color w:val="000000"/>
                <w:szCs w:val="21"/>
              </w:rPr>
            </w:pPr>
          </w:p>
        </w:tc>
        <w:tc>
          <w:tcPr>
            <w:tcW w:w="2165"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电力系统专用纵向加密认证装置</w:t>
            </w:r>
            <w:bookmarkStart w:id="588" w:name="_Toc404807605"/>
            <w:bookmarkEnd w:id="588"/>
          </w:p>
        </w:tc>
        <w:tc>
          <w:tcPr>
            <w:tcW w:w="1843"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zCs w:val="21"/>
              </w:rPr>
            </w:pPr>
            <w:bookmarkStart w:id="589" w:name="_Toc404807606"/>
            <w:bookmarkEnd w:id="589"/>
          </w:p>
        </w:tc>
        <w:tc>
          <w:tcPr>
            <w:tcW w:w="700"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zCs w:val="21"/>
              </w:rPr>
            </w:pPr>
            <w:bookmarkStart w:id="590" w:name="_Toc404807929"/>
            <w:bookmarkEnd w:id="590"/>
          </w:p>
        </w:tc>
        <w:tc>
          <w:tcPr>
            <w:tcW w:w="1413"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zCs w:val="21"/>
              </w:rPr>
            </w:pPr>
            <w:bookmarkStart w:id="591" w:name="_Toc404807608"/>
            <w:bookmarkEnd w:id="591"/>
          </w:p>
        </w:tc>
        <w:tc>
          <w:tcPr>
            <w:tcW w:w="711"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zCs w:val="21"/>
              </w:rPr>
            </w:pPr>
            <w:r>
              <w:rPr>
                <w:rFonts w:hint="eastAsia" w:ascii="宋体" w:hAnsi="宋体"/>
                <w:bCs/>
                <w:color w:val="000000"/>
                <w:szCs w:val="21"/>
              </w:rPr>
              <w:t>台</w:t>
            </w:r>
            <w:bookmarkStart w:id="592" w:name="_Toc404808251"/>
            <w:bookmarkEnd w:id="592"/>
          </w:p>
        </w:tc>
        <w:tc>
          <w:tcPr>
            <w:tcW w:w="775"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pacing w:val="20"/>
                <w:szCs w:val="21"/>
              </w:rPr>
            </w:pPr>
            <w:r>
              <w:rPr>
                <w:rFonts w:ascii="宋体" w:hAnsi="宋体"/>
                <w:bCs/>
                <w:color w:val="000000"/>
                <w:szCs w:val="21"/>
              </w:rPr>
              <w:t>2</w:t>
            </w:r>
            <w:bookmarkStart w:id="593" w:name="_Toc404808252"/>
            <w:bookmarkEnd w:id="5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numPr>
                <w:ilvl w:val="1"/>
                <w:numId w:val="54"/>
              </w:numPr>
              <w:adjustRightInd w:val="0"/>
              <w:spacing w:before="60" w:after="60"/>
              <w:jc w:val="center"/>
              <w:textAlignment w:val="baseline"/>
              <w:rPr>
                <w:rFonts w:ascii="宋体" w:hAnsi="宋体" w:cs="Arial"/>
                <w:bCs/>
                <w:color w:val="000000"/>
                <w:szCs w:val="21"/>
              </w:rPr>
            </w:pPr>
          </w:p>
        </w:tc>
        <w:tc>
          <w:tcPr>
            <w:tcW w:w="2165"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三层交换机</w:t>
            </w:r>
            <w:bookmarkStart w:id="594" w:name="_Toc404807613"/>
            <w:bookmarkEnd w:id="594"/>
          </w:p>
        </w:tc>
        <w:tc>
          <w:tcPr>
            <w:tcW w:w="1843"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szCs w:val="21"/>
              </w:rPr>
            </w:pPr>
            <w:bookmarkStart w:id="595" w:name="_Toc404807614"/>
            <w:bookmarkEnd w:id="595"/>
          </w:p>
        </w:tc>
        <w:tc>
          <w:tcPr>
            <w:tcW w:w="700"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szCs w:val="21"/>
              </w:rPr>
            </w:pPr>
            <w:bookmarkStart w:id="596" w:name="_Toc404808257"/>
            <w:bookmarkEnd w:id="596"/>
          </w:p>
        </w:tc>
        <w:tc>
          <w:tcPr>
            <w:tcW w:w="1413"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szCs w:val="21"/>
              </w:rPr>
            </w:pPr>
            <w:bookmarkStart w:id="597" w:name="_Toc404807616"/>
            <w:bookmarkEnd w:id="597"/>
          </w:p>
        </w:tc>
        <w:tc>
          <w:tcPr>
            <w:tcW w:w="711"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zCs w:val="21"/>
              </w:rPr>
            </w:pPr>
            <w:r>
              <w:rPr>
                <w:rFonts w:hint="eastAsia" w:ascii="宋体" w:hAnsi="宋体"/>
                <w:bCs/>
                <w:color w:val="000000"/>
                <w:szCs w:val="21"/>
              </w:rPr>
              <w:t>台</w:t>
            </w:r>
          </w:p>
        </w:tc>
        <w:tc>
          <w:tcPr>
            <w:tcW w:w="775"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zCs w:val="21"/>
              </w:rPr>
            </w:pPr>
            <w:bookmarkStart w:id="598" w:name="_Toc404807618"/>
            <w:bookmarkEnd w:id="598"/>
            <w:r>
              <w:rPr>
                <w:rFonts w:ascii="宋体" w:hAnsi="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numPr>
                <w:ilvl w:val="1"/>
                <w:numId w:val="54"/>
              </w:numPr>
              <w:adjustRightInd w:val="0"/>
              <w:spacing w:before="60" w:after="60"/>
              <w:jc w:val="center"/>
              <w:textAlignment w:val="baseline"/>
              <w:rPr>
                <w:rFonts w:ascii="宋体" w:hAnsi="宋体" w:cs="Arial"/>
                <w:bCs/>
                <w:color w:val="000000"/>
                <w:szCs w:val="21"/>
              </w:rPr>
            </w:pPr>
          </w:p>
        </w:tc>
        <w:tc>
          <w:tcPr>
            <w:tcW w:w="2165"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szCs w:val="21"/>
              </w:rPr>
              <w:t>线缆</w:t>
            </w:r>
            <w:bookmarkStart w:id="599" w:name="_Toc404808271"/>
            <w:bookmarkEnd w:id="599"/>
          </w:p>
        </w:tc>
        <w:tc>
          <w:tcPr>
            <w:tcW w:w="1843"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szCs w:val="21"/>
              </w:rPr>
            </w:pPr>
            <w:bookmarkStart w:id="600" w:name="_Toc404807630"/>
            <w:bookmarkEnd w:id="600"/>
          </w:p>
        </w:tc>
        <w:tc>
          <w:tcPr>
            <w:tcW w:w="700"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szCs w:val="21"/>
              </w:rPr>
            </w:pPr>
            <w:bookmarkStart w:id="601" w:name="_Toc404808273"/>
            <w:bookmarkEnd w:id="601"/>
          </w:p>
        </w:tc>
        <w:tc>
          <w:tcPr>
            <w:tcW w:w="1413"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szCs w:val="21"/>
              </w:rPr>
            </w:pPr>
            <w:bookmarkStart w:id="602" w:name="_Toc404807954"/>
            <w:bookmarkEnd w:id="602"/>
          </w:p>
        </w:tc>
        <w:tc>
          <w:tcPr>
            <w:tcW w:w="711"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zCs w:val="21"/>
              </w:rPr>
            </w:pPr>
            <w:r>
              <w:rPr>
                <w:rFonts w:hint="eastAsia" w:ascii="宋体" w:hAnsi="宋体"/>
                <w:bCs/>
                <w:szCs w:val="21"/>
              </w:rPr>
              <w:t>套</w:t>
            </w:r>
            <w:bookmarkStart w:id="603" w:name="_Toc404807955"/>
            <w:bookmarkEnd w:id="603"/>
          </w:p>
        </w:tc>
        <w:tc>
          <w:tcPr>
            <w:tcW w:w="775"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zCs w:val="21"/>
              </w:rPr>
            </w:pPr>
            <w:r>
              <w:rPr>
                <w:rFonts w:hint="eastAsia" w:ascii="宋体" w:hAnsi="宋体"/>
                <w:bCs/>
                <w:szCs w:val="21"/>
              </w:rPr>
              <w:t>1</w:t>
            </w:r>
            <w:bookmarkStart w:id="604" w:name="_Toc404808276"/>
            <w:bookmarkEnd w:id="6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numPr>
                <w:ilvl w:val="1"/>
                <w:numId w:val="54"/>
              </w:numPr>
              <w:adjustRightInd w:val="0"/>
              <w:spacing w:before="60" w:after="60"/>
              <w:jc w:val="center"/>
              <w:textAlignment w:val="baseline"/>
              <w:rPr>
                <w:rFonts w:ascii="宋体" w:hAnsi="宋体" w:cs="Arial"/>
                <w:bCs/>
                <w:color w:val="000000"/>
                <w:szCs w:val="21"/>
              </w:rPr>
            </w:pPr>
          </w:p>
        </w:tc>
        <w:tc>
          <w:tcPr>
            <w:tcW w:w="2165"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szCs w:val="21"/>
              </w:rPr>
              <w:t>柜体及其附属设备</w:t>
            </w:r>
            <w:bookmarkStart w:id="605" w:name="_Toc404807637"/>
            <w:bookmarkEnd w:id="605"/>
          </w:p>
        </w:tc>
        <w:tc>
          <w:tcPr>
            <w:tcW w:w="1843"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szCs w:val="21"/>
              </w:rPr>
            </w:pPr>
            <w:bookmarkStart w:id="606" w:name="_Toc404808280"/>
            <w:bookmarkEnd w:id="606"/>
          </w:p>
        </w:tc>
        <w:tc>
          <w:tcPr>
            <w:tcW w:w="700"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szCs w:val="21"/>
              </w:rPr>
            </w:pPr>
            <w:bookmarkStart w:id="607" w:name="_Toc404808281"/>
            <w:bookmarkEnd w:id="607"/>
          </w:p>
        </w:tc>
        <w:tc>
          <w:tcPr>
            <w:tcW w:w="1413"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szCs w:val="21"/>
              </w:rPr>
            </w:pPr>
            <w:bookmarkStart w:id="608" w:name="_Toc404807640"/>
            <w:bookmarkEnd w:id="608"/>
          </w:p>
        </w:tc>
        <w:tc>
          <w:tcPr>
            <w:tcW w:w="711" w:type="dxa"/>
            <w:tcBorders>
              <w:top w:val="single" w:color="auto" w:sz="4" w:space="0"/>
              <w:left w:val="nil"/>
              <w:bottom w:val="single" w:color="auto" w:sz="4" w:space="0"/>
              <w:right w:val="single" w:color="auto" w:sz="4" w:space="0"/>
            </w:tcBorders>
          </w:tcPr>
          <w:p>
            <w:pPr>
              <w:adjustRightInd w:val="0"/>
              <w:jc w:val="center"/>
              <w:textAlignment w:val="baseline"/>
              <w:rPr>
                <w:rFonts w:ascii="宋体" w:hAnsi="宋体"/>
                <w:bCs/>
                <w:color w:val="000000"/>
                <w:szCs w:val="21"/>
              </w:rPr>
            </w:pPr>
            <w:r>
              <w:rPr>
                <w:rFonts w:hint="eastAsia" w:ascii="宋体" w:hAnsi="宋体"/>
                <w:bCs/>
                <w:szCs w:val="21"/>
              </w:rPr>
              <w:t>面</w:t>
            </w:r>
            <w:bookmarkStart w:id="609" w:name="_Toc404807641"/>
            <w:bookmarkEnd w:id="609"/>
          </w:p>
        </w:tc>
        <w:tc>
          <w:tcPr>
            <w:tcW w:w="775" w:type="dxa"/>
            <w:tcBorders>
              <w:top w:val="single" w:color="auto" w:sz="4" w:space="0"/>
              <w:left w:val="nil"/>
              <w:bottom w:val="single" w:color="auto" w:sz="4" w:space="0"/>
              <w:right w:val="single" w:color="auto" w:sz="4" w:space="0"/>
            </w:tcBorders>
          </w:tcPr>
          <w:p>
            <w:pPr>
              <w:adjustRightInd w:val="0"/>
              <w:jc w:val="center"/>
              <w:textAlignment w:val="baseline"/>
              <w:rPr>
                <w:rFonts w:ascii="宋体" w:hAnsi="宋体"/>
                <w:bCs/>
                <w:color w:val="000000"/>
                <w:szCs w:val="21"/>
              </w:rPr>
            </w:pPr>
            <w:bookmarkStart w:id="610" w:name="_Toc404807642"/>
            <w:bookmarkEnd w:id="610"/>
            <w:r>
              <w:rPr>
                <w:rFonts w:ascii="宋体" w:hAnsi="宋体"/>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numPr>
                <w:ilvl w:val="1"/>
                <w:numId w:val="54"/>
              </w:numPr>
              <w:adjustRightInd w:val="0"/>
              <w:spacing w:before="60" w:after="60"/>
              <w:jc w:val="center"/>
              <w:textAlignment w:val="baseline"/>
              <w:rPr>
                <w:rFonts w:ascii="宋体" w:hAnsi="宋体" w:cs="Arial"/>
                <w:bCs/>
                <w:color w:val="000000"/>
                <w:szCs w:val="21"/>
              </w:rPr>
            </w:pPr>
          </w:p>
        </w:tc>
        <w:tc>
          <w:tcPr>
            <w:tcW w:w="2165"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szCs w:val="21"/>
              </w:rPr>
              <w:t>其它</w:t>
            </w:r>
            <w:bookmarkStart w:id="611" w:name="_Toc404808287"/>
            <w:bookmarkEnd w:id="611"/>
          </w:p>
        </w:tc>
        <w:tc>
          <w:tcPr>
            <w:tcW w:w="1843"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szCs w:val="21"/>
              </w:rPr>
            </w:pPr>
            <w:bookmarkStart w:id="612" w:name="_Toc404807646"/>
            <w:bookmarkEnd w:id="612"/>
          </w:p>
        </w:tc>
        <w:tc>
          <w:tcPr>
            <w:tcW w:w="700"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szCs w:val="21"/>
              </w:rPr>
            </w:pPr>
            <w:bookmarkStart w:id="613" w:name="_Toc404807647"/>
            <w:bookmarkEnd w:id="613"/>
          </w:p>
        </w:tc>
        <w:tc>
          <w:tcPr>
            <w:tcW w:w="1413"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szCs w:val="21"/>
              </w:rPr>
            </w:pPr>
            <w:bookmarkStart w:id="614" w:name="_Toc404807970"/>
            <w:bookmarkEnd w:id="614"/>
          </w:p>
        </w:tc>
        <w:tc>
          <w:tcPr>
            <w:tcW w:w="711" w:type="dxa"/>
            <w:tcBorders>
              <w:top w:val="single" w:color="auto" w:sz="4" w:space="0"/>
              <w:left w:val="nil"/>
              <w:bottom w:val="single" w:color="auto" w:sz="4" w:space="0"/>
              <w:right w:val="single" w:color="auto" w:sz="4" w:space="0"/>
            </w:tcBorders>
          </w:tcPr>
          <w:p>
            <w:pPr>
              <w:adjustRightInd w:val="0"/>
              <w:jc w:val="center"/>
              <w:textAlignment w:val="baseline"/>
              <w:rPr>
                <w:rFonts w:ascii="宋体" w:hAnsi="宋体"/>
                <w:bCs/>
                <w:color w:val="000000"/>
                <w:szCs w:val="21"/>
              </w:rPr>
            </w:pPr>
            <w:bookmarkStart w:id="615" w:name="_Toc404807971"/>
            <w:bookmarkEnd w:id="615"/>
          </w:p>
        </w:tc>
        <w:tc>
          <w:tcPr>
            <w:tcW w:w="775" w:type="dxa"/>
            <w:tcBorders>
              <w:top w:val="single" w:color="auto" w:sz="4" w:space="0"/>
              <w:left w:val="nil"/>
              <w:bottom w:val="single" w:color="auto" w:sz="4" w:space="0"/>
              <w:right w:val="single" w:color="auto" w:sz="4" w:space="0"/>
            </w:tcBorders>
          </w:tcPr>
          <w:p>
            <w:pPr>
              <w:adjustRightInd w:val="0"/>
              <w:jc w:val="center"/>
              <w:textAlignment w:val="baseline"/>
              <w:rPr>
                <w:rFonts w:ascii="宋体" w:hAnsi="宋体"/>
                <w:bCs/>
                <w:color w:val="000000"/>
                <w:szCs w:val="21"/>
              </w:rPr>
            </w:pPr>
            <w:bookmarkStart w:id="616" w:name="_Toc404807650"/>
            <w:bookmarkEnd w:id="616"/>
          </w:p>
        </w:tc>
      </w:tr>
    </w:tbl>
    <w:p>
      <w:pPr>
        <w:pStyle w:val="120"/>
        <w:numPr>
          <w:ilvl w:val="0"/>
          <w:numId w:val="53"/>
        </w:numPr>
        <w:spacing w:before="72" w:after="72" w:line="300" w:lineRule="auto"/>
        <w:ind w:left="1470" w:hanging="420"/>
        <w:rPr>
          <w:rFonts w:hAnsi="宋体"/>
          <w:color w:val="000000"/>
          <w:sz w:val="21"/>
          <w:szCs w:val="21"/>
        </w:rPr>
      </w:pPr>
      <w:r>
        <w:rPr>
          <w:rFonts w:hint="eastAsia" w:hAnsi="宋体"/>
          <w:color w:val="000000"/>
          <w:sz w:val="21"/>
          <w:szCs w:val="21"/>
        </w:rPr>
        <w:t>备品备件</w:t>
      </w:r>
    </w:p>
    <w:tbl>
      <w:tblPr>
        <w:tblStyle w:val="7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65"/>
        <w:gridCol w:w="1843"/>
        <w:gridCol w:w="700"/>
        <w:gridCol w:w="1413"/>
        <w:gridCol w:w="711"/>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序号</w:t>
            </w:r>
            <w:bookmarkStart w:id="617" w:name="_Toc404807976"/>
            <w:bookmarkEnd w:id="617"/>
          </w:p>
        </w:tc>
        <w:tc>
          <w:tcPr>
            <w:tcW w:w="2165"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color w:val="000000"/>
                <w:kern w:val="15"/>
                <w:szCs w:val="21"/>
              </w:rPr>
            </w:pPr>
            <w:r>
              <w:rPr>
                <w:rFonts w:hint="eastAsia" w:ascii="宋体" w:hAnsi="宋体"/>
                <w:color w:val="000000"/>
                <w:kern w:val="15"/>
                <w:szCs w:val="21"/>
              </w:rPr>
              <w:t>设备名称</w:t>
            </w:r>
            <w:bookmarkStart w:id="618" w:name="_Toc404807977"/>
            <w:bookmarkEnd w:id="618"/>
          </w:p>
        </w:tc>
        <w:tc>
          <w:tcPr>
            <w:tcW w:w="1843"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规格型号</w:t>
            </w:r>
            <w:bookmarkStart w:id="619" w:name="_Toc404807978"/>
            <w:bookmarkEnd w:id="619"/>
          </w:p>
        </w:tc>
        <w:tc>
          <w:tcPr>
            <w:tcW w:w="700"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产地</w:t>
            </w:r>
            <w:bookmarkStart w:id="620" w:name="_Toc404807979"/>
            <w:bookmarkEnd w:id="620"/>
          </w:p>
        </w:tc>
        <w:tc>
          <w:tcPr>
            <w:tcW w:w="1413"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生产厂家</w:t>
            </w:r>
            <w:bookmarkStart w:id="621" w:name="_Toc404807980"/>
            <w:bookmarkEnd w:id="621"/>
          </w:p>
        </w:tc>
        <w:tc>
          <w:tcPr>
            <w:tcW w:w="711"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单位</w:t>
            </w:r>
            <w:bookmarkStart w:id="622" w:name="_Toc404808301"/>
            <w:bookmarkEnd w:id="622"/>
          </w:p>
        </w:tc>
        <w:tc>
          <w:tcPr>
            <w:tcW w:w="775"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数量</w:t>
            </w:r>
            <w:bookmarkStart w:id="623" w:name="_Toc404808302"/>
            <w:bookmarkEnd w:id="6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ind w:firstLine="210" w:firstLineChars="100"/>
              <w:textAlignment w:val="baseline"/>
              <w:rPr>
                <w:rFonts w:ascii="宋体" w:hAnsi="宋体" w:cs="Arial"/>
                <w:bCs/>
                <w:color w:val="000000"/>
                <w:szCs w:val="21"/>
              </w:rPr>
            </w:pPr>
            <w:bookmarkStart w:id="624" w:name="_Toc404808320"/>
            <w:bookmarkEnd w:id="624"/>
            <w:r>
              <w:rPr>
                <w:rFonts w:ascii="宋体" w:hAnsi="宋体" w:cs="Arial"/>
                <w:bCs/>
                <w:color w:val="000000"/>
                <w:szCs w:val="21"/>
              </w:rPr>
              <w:t>1</w:t>
            </w:r>
          </w:p>
        </w:tc>
        <w:tc>
          <w:tcPr>
            <w:tcW w:w="2165"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继电器、空气开关、指示灯</w:t>
            </w:r>
            <w:bookmarkStart w:id="625" w:name="_Toc404807679"/>
            <w:bookmarkEnd w:id="625"/>
          </w:p>
        </w:tc>
        <w:tc>
          <w:tcPr>
            <w:tcW w:w="1843" w:type="dxa"/>
            <w:tcBorders>
              <w:top w:val="single" w:color="auto" w:sz="4" w:space="0"/>
              <w:left w:val="nil"/>
              <w:bottom w:val="single" w:color="auto" w:sz="4" w:space="0"/>
              <w:right w:val="single" w:color="auto" w:sz="4" w:space="0"/>
            </w:tcBorders>
          </w:tcPr>
          <w:p>
            <w:pPr>
              <w:adjustRightInd w:val="0"/>
              <w:jc w:val="center"/>
              <w:textAlignment w:val="baseline"/>
              <w:rPr>
                <w:rFonts w:ascii="宋体" w:hAnsi="宋体"/>
                <w:bCs/>
                <w:color w:val="000000"/>
                <w:spacing w:val="20"/>
                <w:szCs w:val="21"/>
              </w:rPr>
            </w:pPr>
            <w:bookmarkStart w:id="626" w:name="_Toc404808002"/>
            <w:bookmarkEnd w:id="626"/>
          </w:p>
        </w:tc>
        <w:tc>
          <w:tcPr>
            <w:tcW w:w="700" w:type="dxa"/>
            <w:tcBorders>
              <w:top w:val="single" w:color="auto" w:sz="4" w:space="0"/>
              <w:left w:val="nil"/>
              <w:bottom w:val="single" w:color="auto" w:sz="4" w:space="0"/>
              <w:right w:val="single" w:color="auto" w:sz="4" w:space="0"/>
            </w:tcBorders>
          </w:tcPr>
          <w:p>
            <w:pPr>
              <w:adjustRightInd w:val="0"/>
              <w:jc w:val="center"/>
              <w:textAlignment w:val="baseline"/>
              <w:rPr>
                <w:rFonts w:ascii="宋体" w:hAnsi="宋体"/>
                <w:bCs/>
                <w:color w:val="000000"/>
                <w:spacing w:val="20"/>
                <w:szCs w:val="21"/>
              </w:rPr>
            </w:pPr>
            <w:bookmarkStart w:id="627" w:name="_Toc404808003"/>
            <w:bookmarkEnd w:id="627"/>
          </w:p>
        </w:tc>
        <w:tc>
          <w:tcPr>
            <w:tcW w:w="1413" w:type="dxa"/>
            <w:tcBorders>
              <w:top w:val="single" w:color="auto" w:sz="4" w:space="0"/>
              <w:left w:val="nil"/>
              <w:bottom w:val="single" w:color="auto" w:sz="4" w:space="0"/>
              <w:right w:val="single" w:color="auto" w:sz="4" w:space="0"/>
            </w:tcBorders>
          </w:tcPr>
          <w:p>
            <w:pPr>
              <w:adjustRightInd w:val="0"/>
              <w:jc w:val="center"/>
              <w:textAlignment w:val="baseline"/>
              <w:rPr>
                <w:rFonts w:ascii="宋体" w:hAnsi="宋体"/>
                <w:bCs/>
                <w:color w:val="000000"/>
                <w:spacing w:val="20"/>
                <w:szCs w:val="21"/>
              </w:rPr>
            </w:pPr>
            <w:bookmarkStart w:id="628" w:name="_Toc404807682"/>
            <w:bookmarkEnd w:id="628"/>
          </w:p>
        </w:tc>
        <w:tc>
          <w:tcPr>
            <w:tcW w:w="711"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zCs w:val="21"/>
              </w:rPr>
            </w:pPr>
            <w:r>
              <w:rPr>
                <w:rFonts w:hint="eastAsia" w:ascii="宋体" w:hAnsi="宋体"/>
                <w:bCs/>
                <w:color w:val="000000"/>
                <w:szCs w:val="21"/>
              </w:rPr>
              <w:t>全套</w:t>
            </w:r>
            <w:bookmarkStart w:id="629" w:name="_Toc404807683"/>
            <w:bookmarkEnd w:id="629"/>
          </w:p>
        </w:tc>
        <w:tc>
          <w:tcPr>
            <w:tcW w:w="775"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zCs w:val="21"/>
              </w:rPr>
            </w:pPr>
            <w:r>
              <w:rPr>
                <w:rFonts w:hint="eastAsia" w:ascii="宋体" w:hAnsi="宋体"/>
                <w:bCs/>
                <w:color w:val="000000"/>
                <w:szCs w:val="21"/>
              </w:rPr>
              <w:t>20%</w:t>
            </w:r>
            <w:bookmarkStart w:id="630" w:name="_Toc404807684"/>
            <w:bookmarkEnd w:id="630"/>
          </w:p>
        </w:tc>
      </w:tr>
    </w:tbl>
    <w:p>
      <w:pPr>
        <w:rPr>
          <w:rFonts w:ascii="宋体" w:hAnsi="宋体"/>
          <w:szCs w:val="21"/>
        </w:rPr>
      </w:pPr>
    </w:p>
    <w:p>
      <w:pPr>
        <w:pStyle w:val="6"/>
        <w:widowControl w:val="0"/>
        <w:numPr>
          <w:ilvl w:val="1"/>
          <w:numId w:val="48"/>
        </w:numPr>
        <w:tabs>
          <w:tab w:val="left" w:pos="709"/>
          <w:tab w:val="clear" w:pos="1106"/>
        </w:tabs>
        <w:snapToGrid/>
        <w:spacing w:after="72" w:line="300" w:lineRule="auto"/>
        <w:ind w:left="709" w:hanging="709"/>
        <w:jc w:val="both"/>
        <w:rPr>
          <w:rFonts w:ascii="宋体" w:hAnsi="宋体" w:cs="Arial"/>
          <w:sz w:val="24"/>
          <w:szCs w:val="24"/>
        </w:rPr>
      </w:pPr>
      <w:bookmarkStart w:id="631" w:name="_Toc404808214"/>
      <w:bookmarkEnd w:id="631"/>
      <w:bookmarkStart w:id="632" w:name="_Toc404807580"/>
      <w:bookmarkEnd w:id="632"/>
      <w:bookmarkStart w:id="633" w:name="_Toc404807902"/>
      <w:bookmarkEnd w:id="633"/>
      <w:bookmarkStart w:id="634" w:name="_Toc404807894"/>
      <w:bookmarkEnd w:id="634"/>
      <w:bookmarkStart w:id="635" w:name="_Toc404807596"/>
      <w:bookmarkEnd w:id="635"/>
      <w:bookmarkStart w:id="636" w:name="_Toc404808230"/>
      <w:bookmarkEnd w:id="636"/>
      <w:bookmarkStart w:id="637" w:name="_Toc404808197"/>
      <w:bookmarkEnd w:id="637"/>
      <w:bookmarkStart w:id="638" w:name="_Toc404807612"/>
      <w:bookmarkEnd w:id="638"/>
      <w:bookmarkStart w:id="639" w:name="_Toc404807572"/>
      <w:bookmarkEnd w:id="639"/>
      <w:bookmarkStart w:id="640" w:name="_Toc404807886"/>
      <w:bookmarkEnd w:id="640"/>
      <w:bookmarkStart w:id="641" w:name="_Toc404807877"/>
      <w:bookmarkEnd w:id="641"/>
      <w:bookmarkStart w:id="642" w:name="_Toc404807604"/>
      <w:bookmarkEnd w:id="642"/>
      <w:bookmarkStart w:id="643" w:name="_Toc404807628"/>
      <w:bookmarkEnd w:id="643"/>
      <w:bookmarkStart w:id="644" w:name="_Toc404807966"/>
      <w:bookmarkEnd w:id="644"/>
      <w:bookmarkStart w:id="645" w:name="_Toc404807686"/>
      <w:bookmarkEnd w:id="645"/>
      <w:bookmarkStart w:id="646" w:name="_Toc404807974"/>
      <w:bookmarkEnd w:id="646"/>
      <w:bookmarkStart w:id="647" w:name="_Toc404807652"/>
      <w:bookmarkEnd w:id="647"/>
      <w:bookmarkStart w:id="648" w:name="_Toc404807958"/>
      <w:bookmarkEnd w:id="648"/>
      <w:bookmarkStart w:id="649" w:name="_Toc404807636"/>
      <w:bookmarkEnd w:id="649"/>
      <w:bookmarkStart w:id="650" w:name="_Toc404808206"/>
      <w:bookmarkEnd w:id="650"/>
      <w:bookmarkStart w:id="651" w:name="_Toc404808246"/>
      <w:bookmarkEnd w:id="651"/>
      <w:bookmarkStart w:id="652" w:name="_Toc404807926"/>
      <w:bookmarkEnd w:id="652"/>
      <w:bookmarkStart w:id="653" w:name="_Toc404808222"/>
      <w:bookmarkEnd w:id="653"/>
      <w:bookmarkStart w:id="654" w:name="_Toc404807588"/>
      <w:bookmarkEnd w:id="654"/>
      <w:bookmarkStart w:id="655" w:name="_Toc404808238"/>
      <w:bookmarkEnd w:id="655"/>
      <w:bookmarkStart w:id="656" w:name="_Toc404807910"/>
      <w:bookmarkEnd w:id="656"/>
      <w:bookmarkStart w:id="657" w:name="_Toc404808270"/>
      <w:bookmarkEnd w:id="657"/>
      <w:bookmarkStart w:id="658" w:name="_Toc404807653"/>
      <w:bookmarkEnd w:id="658"/>
      <w:bookmarkStart w:id="659" w:name="_Toc404808295"/>
      <w:bookmarkEnd w:id="659"/>
      <w:bookmarkStart w:id="660" w:name="_Toc404808008"/>
      <w:bookmarkEnd w:id="660"/>
      <w:bookmarkStart w:id="661" w:name="_Toc404808286"/>
      <w:bookmarkEnd w:id="661"/>
      <w:bookmarkStart w:id="662" w:name="_Toc404808328"/>
      <w:bookmarkEnd w:id="662"/>
      <w:bookmarkStart w:id="663" w:name="_Toc404807918"/>
      <w:bookmarkEnd w:id="663"/>
      <w:bookmarkStart w:id="664" w:name="_Toc404807975"/>
      <w:bookmarkEnd w:id="664"/>
      <w:bookmarkStart w:id="665" w:name="_Toc404807942"/>
      <w:bookmarkEnd w:id="665"/>
      <w:bookmarkStart w:id="666" w:name="_Toc404808278"/>
      <w:bookmarkEnd w:id="666"/>
      <w:bookmarkStart w:id="667" w:name="_Toc404807644"/>
      <w:bookmarkEnd w:id="667"/>
      <w:bookmarkStart w:id="668" w:name="_Toc404807564"/>
      <w:bookmarkEnd w:id="668"/>
      <w:bookmarkStart w:id="669" w:name="_Toc404808262"/>
      <w:bookmarkEnd w:id="669"/>
      <w:bookmarkStart w:id="670" w:name="_Toc404807950"/>
      <w:bookmarkEnd w:id="670"/>
      <w:bookmarkStart w:id="671" w:name="_Toc404807934"/>
      <w:bookmarkEnd w:id="671"/>
      <w:bookmarkStart w:id="672" w:name="_Toc404808294"/>
      <w:bookmarkEnd w:id="672"/>
      <w:bookmarkStart w:id="673" w:name="_Toc57986388"/>
      <w:bookmarkEnd w:id="673"/>
      <w:bookmarkStart w:id="674" w:name="_Toc404808330"/>
      <w:bookmarkEnd w:id="674"/>
      <w:bookmarkStart w:id="675" w:name="_Toc404808254"/>
      <w:bookmarkEnd w:id="675"/>
      <w:bookmarkStart w:id="676" w:name="_Toc404807620"/>
      <w:bookmarkEnd w:id="676"/>
      <w:bookmarkStart w:id="677" w:name="_Toc143589482"/>
      <w:bookmarkStart w:id="678" w:name="_Toc404807555"/>
      <w:bookmarkStart w:id="679" w:name="_Toc72415711"/>
      <w:r>
        <w:rPr>
          <w:rFonts w:hint="eastAsia" w:ascii="宋体" w:hAnsi="宋体" w:cs="Arial"/>
          <w:sz w:val="24"/>
          <w:szCs w:val="24"/>
        </w:rPr>
        <w:t>集控数据网建设</w:t>
      </w:r>
      <w:bookmarkEnd w:id="677"/>
      <w:bookmarkEnd w:id="678"/>
      <w:bookmarkEnd w:id="679"/>
    </w:p>
    <w:p>
      <w:pPr>
        <w:snapToGrid w:val="0"/>
        <w:spacing w:before="72" w:after="72" w:line="300" w:lineRule="auto"/>
        <w:ind w:left="840" w:leftChars="400"/>
        <w:rPr>
          <w:rFonts w:ascii="宋体" w:hAnsi="宋体"/>
          <w:szCs w:val="21"/>
        </w:rPr>
      </w:pPr>
      <w:r>
        <w:rPr>
          <w:rFonts w:hint="eastAsia" w:ascii="宋体" w:hAnsi="宋体"/>
          <w:szCs w:val="21"/>
        </w:rPr>
        <w:t>双江航电枢纽的综合自动化系统的相关信息需接入</w:t>
      </w:r>
      <w:r>
        <w:rPr>
          <w:rStyle w:val="780"/>
          <w:rFonts w:hint="eastAsia" w:ascii="宋体" w:hAnsi="宋体"/>
          <w:kern w:val="0"/>
          <w:szCs w:val="21"/>
        </w:rPr>
        <w:t>集控中心。</w:t>
      </w:r>
      <w:r>
        <w:rPr>
          <w:rFonts w:hint="eastAsia" w:ascii="宋体" w:hAnsi="宋体"/>
          <w:szCs w:val="21"/>
        </w:rPr>
        <w:t>双江航电枢纽</w:t>
      </w:r>
      <w:r>
        <w:rPr>
          <w:rStyle w:val="780"/>
          <w:rFonts w:hint="eastAsia" w:ascii="宋体" w:hAnsi="宋体"/>
          <w:kern w:val="0"/>
          <w:szCs w:val="21"/>
        </w:rPr>
        <w:t>与集控中心的接口设备均在</w:t>
      </w:r>
      <w:r>
        <w:rPr>
          <w:rFonts w:hint="eastAsia" w:ascii="宋体" w:hAnsi="宋体"/>
          <w:szCs w:val="21"/>
        </w:rPr>
        <w:t>双江航电枢纽计算机监控系统标</w:t>
      </w:r>
      <w:r>
        <w:rPr>
          <w:rStyle w:val="780"/>
          <w:rFonts w:hint="eastAsia" w:ascii="宋体" w:hAnsi="宋体"/>
          <w:kern w:val="0"/>
          <w:szCs w:val="21"/>
        </w:rPr>
        <w:t>采购</w:t>
      </w:r>
      <w:r>
        <w:rPr>
          <w:rFonts w:hint="eastAsia" w:ascii="宋体" w:hAnsi="宋体"/>
          <w:szCs w:val="21"/>
        </w:rPr>
        <w:t>。</w:t>
      </w:r>
    </w:p>
    <w:p>
      <w:pPr>
        <w:pStyle w:val="6"/>
        <w:widowControl w:val="0"/>
        <w:numPr>
          <w:ilvl w:val="1"/>
          <w:numId w:val="48"/>
        </w:numPr>
        <w:tabs>
          <w:tab w:val="left" w:pos="709"/>
          <w:tab w:val="clear" w:pos="1106"/>
        </w:tabs>
        <w:snapToGrid/>
        <w:spacing w:after="72" w:line="300" w:lineRule="auto"/>
        <w:ind w:left="709" w:hanging="709"/>
        <w:jc w:val="both"/>
        <w:rPr>
          <w:rFonts w:ascii="宋体" w:hAnsi="宋体" w:cs="Arial"/>
          <w:sz w:val="24"/>
          <w:szCs w:val="24"/>
        </w:rPr>
      </w:pPr>
      <w:bookmarkStart w:id="680" w:name="_Toc404808193"/>
      <w:bookmarkEnd w:id="680"/>
      <w:bookmarkStart w:id="681" w:name="_Toc143589483"/>
      <w:bookmarkStart w:id="682" w:name="_Toc72415712"/>
      <w:bookmarkStart w:id="683" w:name="_Toc57986379"/>
      <w:r>
        <w:rPr>
          <w:rFonts w:hint="eastAsia" w:ascii="宋体" w:hAnsi="宋体" w:cs="Arial"/>
          <w:sz w:val="24"/>
          <w:szCs w:val="24"/>
        </w:rPr>
        <w:t>电能量采集系统技术要求</w:t>
      </w:r>
      <w:bookmarkEnd w:id="681"/>
      <w:bookmarkEnd w:id="682"/>
      <w:bookmarkEnd w:id="683"/>
    </w:p>
    <w:p>
      <w:pPr>
        <w:pStyle w:val="7"/>
        <w:widowControl w:val="0"/>
        <w:numPr>
          <w:ilvl w:val="2"/>
          <w:numId w:val="48"/>
        </w:numPr>
        <w:tabs>
          <w:tab w:val="left" w:pos="709"/>
          <w:tab w:val="clear" w:pos="964"/>
        </w:tabs>
        <w:overflowPunct w:val="0"/>
        <w:snapToGrid/>
        <w:spacing w:after="100" w:afterAutospacing="1" w:line="300" w:lineRule="auto"/>
        <w:jc w:val="both"/>
        <w:rPr>
          <w:rFonts w:ascii="宋体" w:hAnsi="宋体"/>
          <w:b/>
          <w:bCs/>
          <w:sz w:val="21"/>
          <w:szCs w:val="21"/>
        </w:rPr>
      </w:pPr>
      <w:bookmarkStart w:id="684" w:name="_Toc31720524"/>
      <w:bookmarkEnd w:id="684"/>
      <w:bookmarkStart w:id="685" w:name="_Toc57986380"/>
      <w:r>
        <w:rPr>
          <w:rFonts w:hint="eastAsia" w:ascii="宋体" w:hAnsi="宋体"/>
          <w:b/>
          <w:bCs/>
          <w:sz w:val="21"/>
          <w:szCs w:val="21"/>
        </w:rPr>
        <w:t>系统配置</w:t>
      </w:r>
      <w:bookmarkEnd w:id="685"/>
    </w:p>
    <w:p>
      <w:pPr>
        <w:spacing w:line="300" w:lineRule="auto"/>
        <w:ind w:left="788" w:leftChars="375"/>
        <w:rPr>
          <w:rFonts w:ascii="宋体" w:hAnsi="宋体"/>
          <w:bCs/>
          <w:color w:val="000000"/>
          <w:szCs w:val="21"/>
        </w:rPr>
      </w:pPr>
      <w:r>
        <w:rPr>
          <w:rFonts w:hint="eastAsia" w:ascii="宋体" w:hAnsi="宋体"/>
          <w:bCs/>
          <w:color w:val="000000"/>
          <w:szCs w:val="21"/>
        </w:rPr>
        <w:t>双江航电枢纽电能量采集系统由电站电能量采集装置屏(一面)、电能量管理计算机（一台）、发电申报报价计算机（一台）、Modem（一台）、网络打印机（一台）和辅助抄表便携式计算机（一台）等以及相关的软件等组成。</w:t>
      </w:r>
    </w:p>
    <w:p>
      <w:pPr>
        <w:spacing w:line="300" w:lineRule="auto"/>
        <w:ind w:left="788" w:leftChars="375"/>
        <w:rPr>
          <w:rFonts w:ascii="宋体" w:hAnsi="宋体"/>
          <w:bCs/>
          <w:color w:val="000000"/>
          <w:szCs w:val="21"/>
        </w:rPr>
      </w:pPr>
      <w:r>
        <w:rPr>
          <w:rFonts w:hint="eastAsia" w:ascii="宋体" w:hAnsi="宋体"/>
          <w:bCs/>
          <w:szCs w:val="21"/>
        </w:rPr>
        <w:t>电站电能量采集</w:t>
      </w:r>
      <w:r>
        <w:rPr>
          <w:rFonts w:hint="eastAsia" w:ascii="宋体" w:hAnsi="宋体" w:cs="Arial"/>
          <w:szCs w:val="21"/>
        </w:rPr>
        <w:t>装置</w:t>
      </w:r>
      <w:r>
        <w:rPr>
          <w:rFonts w:hint="eastAsia" w:ascii="宋体" w:hAnsi="宋体"/>
          <w:bCs/>
          <w:szCs w:val="21"/>
        </w:rPr>
        <w:t>屏布置在副厂房二次屏柜室内</w:t>
      </w:r>
      <w:r>
        <w:rPr>
          <w:rFonts w:hint="eastAsia" w:ascii="宋体" w:hAnsi="宋体"/>
          <w:bCs/>
          <w:color w:val="000000"/>
          <w:szCs w:val="21"/>
        </w:rPr>
        <w:t>，内装</w:t>
      </w:r>
      <w:r>
        <w:rPr>
          <w:rFonts w:ascii="宋体" w:hAnsi="宋体"/>
          <w:bCs/>
          <w:color w:val="000000"/>
          <w:szCs w:val="21"/>
        </w:rPr>
        <w:t>4</w:t>
      </w:r>
      <w:r>
        <w:rPr>
          <w:rFonts w:hint="eastAsia" w:ascii="宋体" w:hAnsi="宋体"/>
          <w:bCs/>
          <w:color w:val="000000"/>
          <w:szCs w:val="21"/>
        </w:rPr>
        <w:t>只电度表、电源装置和其它通信接口等辅助设备。</w:t>
      </w:r>
      <w:r>
        <w:rPr>
          <w:rFonts w:ascii="宋体" w:hAnsi="宋体"/>
          <w:bCs/>
          <w:color w:val="000000"/>
          <w:szCs w:val="21"/>
        </w:rPr>
        <w:t>2</w:t>
      </w:r>
      <w:r>
        <w:rPr>
          <w:rFonts w:hint="eastAsia" w:ascii="宋体" w:hAnsi="宋体"/>
          <w:bCs/>
          <w:color w:val="000000"/>
          <w:szCs w:val="21"/>
        </w:rPr>
        <w:t>只电度表为至</w:t>
      </w:r>
      <w:r>
        <w:rPr>
          <w:rFonts w:ascii="宋体" w:hAnsi="宋体"/>
          <w:bCs/>
          <w:color w:val="000000"/>
          <w:szCs w:val="21"/>
        </w:rPr>
        <w:t xml:space="preserve">徐家湾 </w:t>
      </w:r>
      <w:r>
        <w:rPr>
          <w:rFonts w:hint="eastAsia" w:ascii="宋体" w:hAnsi="宋体"/>
          <w:bCs/>
          <w:color w:val="000000"/>
          <w:szCs w:val="21"/>
        </w:rPr>
        <w:t>110kV开关站出线关口电度表(主、副表</w:t>
      </w:r>
      <w:r>
        <w:rPr>
          <w:rFonts w:ascii="宋体" w:hAnsi="宋体"/>
          <w:bCs/>
          <w:color w:val="000000"/>
          <w:szCs w:val="21"/>
        </w:rPr>
        <w:t>)</w:t>
      </w:r>
      <w:r>
        <w:rPr>
          <w:rFonts w:hint="eastAsia" w:ascii="宋体" w:hAnsi="宋体"/>
          <w:bCs/>
          <w:color w:val="000000"/>
          <w:szCs w:val="21"/>
        </w:rPr>
        <w:t>，</w:t>
      </w:r>
      <w:r>
        <w:rPr>
          <w:rFonts w:hint="eastAsia" w:ascii="宋体" w:hAnsi="宋体"/>
          <w:bCs/>
          <w:szCs w:val="21"/>
        </w:rPr>
        <w:t>2只电度表为2台主变高压侧考核电度表</w:t>
      </w:r>
      <w:r>
        <w:rPr>
          <w:rFonts w:hint="eastAsia" w:ascii="宋体" w:hAnsi="宋体"/>
          <w:bCs/>
          <w:color w:val="000000"/>
          <w:szCs w:val="21"/>
        </w:rPr>
        <w:t>（两台主变各1只）</w:t>
      </w:r>
      <w:r>
        <w:rPr>
          <w:rFonts w:hint="eastAsia" w:ascii="宋体" w:hAnsi="宋体"/>
          <w:bCs/>
          <w:szCs w:val="21"/>
        </w:rPr>
        <w:t>，</w:t>
      </w:r>
      <w:r>
        <w:rPr>
          <w:rFonts w:ascii="宋体" w:hAnsi="宋体"/>
          <w:bCs/>
          <w:color w:val="000000"/>
          <w:szCs w:val="21"/>
        </w:rPr>
        <w:t>2</w:t>
      </w:r>
      <w:r>
        <w:rPr>
          <w:rFonts w:hint="eastAsia" w:ascii="宋体" w:hAnsi="宋体"/>
          <w:bCs/>
          <w:color w:val="000000"/>
          <w:szCs w:val="21"/>
        </w:rPr>
        <w:t>套电能量采集装置、电能量管理计算机、发电申报报价计算机、电源装置和其它通信接口等辅助设备。屏内电能量采集装置负责采集全站相关电度表信息。</w:t>
      </w:r>
    </w:p>
    <w:p>
      <w:pPr>
        <w:spacing w:line="300" w:lineRule="auto"/>
        <w:ind w:left="788" w:leftChars="375"/>
        <w:rPr>
          <w:rFonts w:ascii="宋体" w:hAnsi="宋体"/>
          <w:bCs/>
          <w:color w:val="000000"/>
          <w:szCs w:val="21"/>
        </w:rPr>
      </w:pPr>
      <w:r>
        <w:rPr>
          <w:rFonts w:hint="eastAsia" w:ascii="宋体" w:hAnsi="宋体"/>
          <w:bCs/>
          <w:color w:val="000000"/>
          <w:szCs w:val="21"/>
        </w:rPr>
        <w:t>电能量采集装置屏应采用交/直流220V电源供电，屏体结构应满足相关要求。</w:t>
      </w:r>
    </w:p>
    <w:p>
      <w:pPr>
        <w:spacing w:line="300" w:lineRule="auto"/>
        <w:ind w:left="788" w:leftChars="375"/>
        <w:rPr>
          <w:rFonts w:ascii="宋体" w:hAnsi="宋体"/>
          <w:b/>
          <w:bCs/>
          <w:szCs w:val="21"/>
        </w:rPr>
      </w:pPr>
      <w:r>
        <w:rPr>
          <w:rFonts w:hint="eastAsia" w:ascii="宋体" w:hAnsi="宋体"/>
          <w:b/>
          <w:bCs/>
          <w:szCs w:val="21"/>
        </w:rPr>
        <w:t>供货的电度表需经调度机构认可的第三方机构进行校验合格，贴有检验合格证，并提供第三方校验报告。</w:t>
      </w:r>
    </w:p>
    <w:p>
      <w:pPr>
        <w:spacing w:line="300" w:lineRule="auto"/>
        <w:ind w:left="788" w:leftChars="375"/>
        <w:rPr>
          <w:rFonts w:ascii="宋体" w:hAnsi="宋体"/>
          <w:color w:val="000000"/>
          <w:szCs w:val="21"/>
        </w:rPr>
      </w:pPr>
      <w:r>
        <w:rPr>
          <w:rFonts w:hint="eastAsia" w:ascii="宋体" w:hAnsi="宋体"/>
          <w:color w:val="000000"/>
          <w:szCs w:val="21"/>
        </w:rPr>
        <w:t>具体设备</w:t>
      </w:r>
      <w:r>
        <w:rPr>
          <w:rFonts w:hint="eastAsia" w:ascii="宋体" w:hAnsi="宋体"/>
          <w:bCs/>
          <w:color w:val="000000"/>
          <w:szCs w:val="21"/>
        </w:rPr>
        <w:t>软硬件</w:t>
      </w:r>
      <w:r>
        <w:rPr>
          <w:rFonts w:hint="eastAsia" w:ascii="宋体" w:hAnsi="宋体"/>
          <w:color w:val="000000"/>
          <w:szCs w:val="21"/>
        </w:rPr>
        <w:t>包括：</w:t>
      </w:r>
    </w:p>
    <w:p>
      <w:pPr>
        <w:spacing w:line="300" w:lineRule="auto"/>
        <w:ind w:firstLine="472" w:firstLineChars="225"/>
        <w:rPr>
          <w:rFonts w:ascii="宋体" w:hAnsi="宋体"/>
          <w:color w:val="000000"/>
          <w:szCs w:val="21"/>
        </w:rPr>
      </w:pPr>
      <w:r>
        <w:rPr>
          <w:rFonts w:hint="eastAsia" w:ascii="宋体" w:hAnsi="宋体"/>
          <w:color w:val="000000"/>
          <w:szCs w:val="21"/>
        </w:rPr>
        <w:t>（1）供货设备</w:t>
      </w:r>
    </w:p>
    <w:tbl>
      <w:tblPr>
        <w:tblStyle w:val="7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2"/>
        <w:gridCol w:w="1974"/>
        <w:gridCol w:w="900"/>
        <w:gridCol w:w="1158"/>
        <w:gridCol w:w="746"/>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序号</w:t>
            </w: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ind w:firstLine="1050" w:firstLineChars="500"/>
              <w:textAlignment w:val="baseline"/>
              <w:rPr>
                <w:rFonts w:ascii="宋体" w:hAnsi="宋体"/>
                <w:color w:val="000000"/>
                <w:kern w:val="15"/>
                <w:szCs w:val="21"/>
              </w:rPr>
            </w:pPr>
            <w:r>
              <w:rPr>
                <w:rFonts w:hint="eastAsia" w:ascii="宋体" w:hAnsi="宋体"/>
                <w:color w:val="000000"/>
                <w:kern w:val="15"/>
                <w:szCs w:val="21"/>
              </w:rPr>
              <w:t>设备名称</w:t>
            </w:r>
          </w:p>
        </w:tc>
        <w:tc>
          <w:tcPr>
            <w:tcW w:w="1974"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规格型号</w:t>
            </w:r>
          </w:p>
        </w:tc>
        <w:tc>
          <w:tcPr>
            <w:tcW w:w="900"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产地</w:t>
            </w:r>
          </w:p>
        </w:tc>
        <w:tc>
          <w:tcPr>
            <w:tcW w:w="1158"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生产厂家</w:t>
            </w: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单位</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color w:val="000000"/>
                <w:kern w:val="15"/>
                <w:szCs w:val="21"/>
              </w:rPr>
            </w:pPr>
            <w:r>
              <w:rPr>
                <w:rFonts w:hint="eastAsia" w:ascii="宋体" w:hAnsi="宋体"/>
                <w:color w:val="000000"/>
                <w:kern w:val="15"/>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电站电能量采集装置屏</w:t>
            </w:r>
          </w:p>
        </w:tc>
        <w:tc>
          <w:tcPr>
            <w:tcW w:w="1974"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szCs w:val="21"/>
              </w:rPr>
            </w:pPr>
            <w:r>
              <w:rPr>
                <w:rFonts w:ascii="宋体" w:hAnsi="宋体"/>
                <w:bCs/>
                <w:szCs w:val="21"/>
              </w:rPr>
              <w:t>800X600X2260</w:t>
            </w:r>
          </w:p>
        </w:tc>
        <w:tc>
          <w:tcPr>
            <w:tcW w:w="900"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1158"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电能量采集装置</w:t>
            </w:r>
          </w:p>
        </w:tc>
        <w:tc>
          <w:tcPr>
            <w:tcW w:w="19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900"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1158"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套</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ascii="宋体" w:hAnsi="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电源装置</w:t>
            </w:r>
          </w:p>
        </w:tc>
        <w:tc>
          <w:tcPr>
            <w:tcW w:w="1974"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900"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1158"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台</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ascii="宋体" w:hAnsi="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线路关口电度表</w:t>
            </w:r>
          </w:p>
        </w:tc>
        <w:tc>
          <w:tcPr>
            <w:tcW w:w="1974"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pacing w:val="20"/>
                <w:szCs w:val="21"/>
              </w:rPr>
            </w:pPr>
          </w:p>
        </w:tc>
        <w:tc>
          <w:tcPr>
            <w:tcW w:w="900"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pacing w:val="20"/>
                <w:szCs w:val="21"/>
              </w:rPr>
            </w:pPr>
          </w:p>
        </w:tc>
        <w:tc>
          <w:tcPr>
            <w:tcW w:w="1158"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pacing w:val="20"/>
                <w:szCs w:val="21"/>
              </w:rPr>
            </w:pPr>
          </w:p>
        </w:tc>
        <w:tc>
          <w:tcPr>
            <w:tcW w:w="746"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pacing w:val="20"/>
                <w:szCs w:val="21"/>
              </w:rPr>
            </w:pPr>
            <w:r>
              <w:rPr>
                <w:rFonts w:hint="eastAsia" w:ascii="宋体" w:hAnsi="宋体"/>
                <w:bCs/>
                <w:color w:val="000000"/>
                <w:spacing w:val="20"/>
                <w:szCs w:val="21"/>
              </w:rPr>
              <w:t>只</w:t>
            </w:r>
          </w:p>
        </w:tc>
        <w:tc>
          <w:tcPr>
            <w:tcW w:w="874" w:type="dxa"/>
            <w:tcBorders>
              <w:top w:val="single" w:color="auto" w:sz="4" w:space="0"/>
              <w:left w:val="nil"/>
              <w:bottom w:val="single" w:color="auto" w:sz="4" w:space="0"/>
              <w:right w:val="single" w:color="auto" w:sz="4" w:space="0"/>
            </w:tcBorders>
            <w:vAlign w:val="center"/>
          </w:tcPr>
          <w:p>
            <w:pPr>
              <w:adjustRightInd w:val="0"/>
              <w:jc w:val="center"/>
              <w:textAlignment w:val="baseline"/>
              <w:rPr>
                <w:rFonts w:ascii="宋体" w:hAnsi="宋体"/>
                <w:bCs/>
                <w:color w:val="000000"/>
                <w:spacing w:val="20"/>
                <w:szCs w:val="21"/>
              </w:rPr>
            </w:pPr>
            <w:r>
              <w:rPr>
                <w:rFonts w:ascii="宋体" w:hAnsi="宋体"/>
                <w:bCs/>
                <w:color w:val="000000"/>
                <w:spacing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主变高压侧电度表</w:t>
            </w:r>
          </w:p>
        </w:tc>
        <w:tc>
          <w:tcPr>
            <w:tcW w:w="19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pacing w:val="20"/>
                <w:szCs w:val="21"/>
              </w:rPr>
            </w:pPr>
          </w:p>
        </w:tc>
        <w:tc>
          <w:tcPr>
            <w:tcW w:w="900"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pacing w:val="20"/>
                <w:szCs w:val="21"/>
              </w:rPr>
            </w:pPr>
          </w:p>
        </w:tc>
        <w:tc>
          <w:tcPr>
            <w:tcW w:w="1158"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pacing w:val="2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pacing w:val="20"/>
                <w:szCs w:val="21"/>
              </w:rPr>
              <w:t>只</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屏内辅助设备（包括继电器、空气开关、防雷设备等）</w:t>
            </w:r>
          </w:p>
        </w:tc>
        <w:tc>
          <w:tcPr>
            <w:tcW w:w="1974"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900"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1158"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套</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屏体及附件</w:t>
            </w:r>
          </w:p>
        </w:tc>
        <w:tc>
          <w:tcPr>
            <w:tcW w:w="19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900"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1158"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面</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电能量管理计算机</w:t>
            </w:r>
          </w:p>
        </w:tc>
        <w:tc>
          <w:tcPr>
            <w:tcW w:w="19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900"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1158"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台</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A3/A4网络打印机</w:t>
            </w:r>
          </w:p>
        </w:tc>
        <w:tc>
          <w:tcPr>
            <w:tcW w:w="1974"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900"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1158"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台</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2</w:t>
            </w: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发电申报、报价计算机</w:t>
            </w:r>
          </w:p>
        </w:tc>
        <w:tc>
          <w:tcPr>
            <w:tcW w:w="1974"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900"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1158"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台</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3</w:t>
            </w: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发电申报软件</w:t>
            </w:r>
          </w:p>
        </w:tc>
        <w:tc>
          <w:tcPr>
            <w:tcW w:w="1974"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900"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1158"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套</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4</w:t>
            </w: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szCs w:val="21"/>
              </w:rPr>
              <w:t>电能表组态软件</w:t>
            </w:r>
          </w:p>
        </w:tc>
        <w:tc>
          <w:tcPr>
            <w:tcW w:w="19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900"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1158"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套</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5</w:t>
            </w: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szCs w:val="21"/>
              </w:rPr>
              <w:t>电能管理系统软件</w:t>
            </w:r>
          </w:p>
        </w:tc>
        <w:tc>
          <w:tcPr>
            <w:tcW w:w="19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900"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1158"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套</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6</w:t>
            </w: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规约通讯软件</w:t>
            </w:r>
          </w:p>
        </w:tc>
        <w:tc>
          <w:tcPr>
            <w:tcW w:w="1974"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900"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1158"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套</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7</w:t>
            </w: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bCs/>
                <w:color w:val="000000"/>
                <w:szCs w:val="21"/>
              </w:rPr>
              <w:t>辅助抄表笔记本电脑</w:t>
            </w:r>
          </w:p>
        </w:tc>
        <w:tc>
          <w:tcPr>
            <w:tcW w:w="19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900"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1158"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台</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8</w:t>
            </w: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color w:val="000000"/>
                <w:szCs w:val="21"/>
              </w:rPr>
              <w:t>电能量采集装置</w:t>
            </w:r>
            <w:r>
              <w:rPr>
                <w:rFonts w:hint="eastAsia" w:ascii="宋体" w:hAnsi="宋体"/>
                <w:bCs/>
                <w:color w:val="000000"/>
                <w:szCs w:val="21"/>
              </w:rPr>
              <w:t>辅助抄表软件</w:t>
            </w:r>
          </w:p>
        </w:tc>
        <w:tc>
          <w:tcPr>
            <w:tcW w:w="1974"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900"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1158" w:type="dxa"/>
            <w:tcBorders>
              <w:top w:val="single" w:color="auto" w:sz="4" w:space="0"/>
              <w:left w:val="nil"/>
              <w:bottom w:val="single" w:color="auto" w:sz="4" w:space="0"/>
              <w:right w:val="single" w:color="auto" w:sz="4" w:space="0"/>
            </w:tcBorders>
          </w:tcPr>
          <w:p>
            <w:pPr>
              <w:adjustRightInd w:val="0"/>
              <w:spacing w:before="60" w:after="60"/>
              <w:jc w:val="center"/>
              <w:textAlignment w:val="baseline"/>
              <w:rPr>
                <w:rFonts w:ascii="宋体" w:hAnsi="宋体"/>
                <w:bCs/>
                <w:color w:val="00000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套</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9</w:t>
            </w: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szCs w:val="21"/>
              </w:rPr>
              <w:t>通信电缆</w:t>
            </w:r>
          </w:p>
        </w:tc>
        <w:tc>
          <w:tcPr>
            <w:tcW w:w="19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900"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1158"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套</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10</w:t>
            </w:r>
          </w:p>
        </w:tc>
        <w:tc>
          <w:tcPr>
            <w:tcW w:w="2372" w:type="dxa"/>
            <w:tcBorders>
              <w:top w:val="single" w:color="auto" w:sz="4" w:space="0"/>
              <w:left w:val="nil"/>
              <w:bottom w:val="single" w:color="auto" w:sz="4" w:space="0"/>
              <w:right w:val="single" w:color="auto" w:sz="4" w:space="0"/>
            </w:tcBorders>
            <w:vAlign w:val="center"/>
          </w:tcPr>
          <w:p>
            <w:pPr>
              <w:adjustRightInd w:val="0"/>
              <w:spacing w:before="60" w:after="60"/>
              <w:textAlignment w:val="baseline"/>
              <w:rPr>
                <w:rFonts w:ascii="宋体" w:hAnsi="宋体"/>
                <w:bCs/>
                <w:color w:val="000000"/>
                <w:szCs w:val="21"/>
              </w:rPr>
            </w:pPr>
            <w:r>
              <w:rPr>
                <w:rFonts w:hint="eastAsia" w:ascii="宋体" w:hAnsi="宋体"/>
                <w:szCs w:val="21"/>
              </w:rPr>
              <w:t>网线</w:t>
            </w:r>
          </w:p>
        </w:tc>
        <w:tc>
          <w:tcPr>
            <w:tcW w:w="19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900"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1158"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p>
        </w:tc>
        <w:tc>
          <w:tcPr>
            <w:tcW w:w="746"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套</w:t>
            </w:r>
          </w:p>
        </w:tc>
        <w:tc>
          <w:tcPr>
            <w:tcW w:w="874" w:type="dxa"/>
            <w:tcBorders>
              <w:top w:val="single" w:color="auto" w:sz="4" w:space="0"/>
              <w:left w:val="nil"/>
              <w:bottom w:val="single" w:color="auto" w:sz="4" w:space="0"/>
              <w:right w:val="single" w:color="auto" w:sz="4" w:space="0"/>
            </w:tcBorders>
            <w:vAlign w:val="center"/>
          </w:tcPr>
          <w:p>
            <w:pPr>
              <w:adjustRightInd w:val="0"/>
              <w:spacing w:before="60" w:after="60"/>
              <w:jc w:val="center"/>
              <w:textAlignment w:val="baseline"/>
              <w:rPr>
                <w:rFonts w:ascii="宋体" w:hAnsi="宋体"/>
                <w:bCs/>
                <w:color w:val="000000"/>
                <w:szCs w:val="21"/>
              </w:rPr>
            </w:pPr>
            <w:r>
              <w:rPr>
                <w:rFonts w:hint="eastAsia" w:ascii="宋体" w:hAnsi="宋体"/>
                <w:bCs/>
                <w:color w:val="000000"/>
                <w:szCs w:val="21"/>
              </w:rPr>
              <w:t>1</w:t>
            </w:r>
          </w:p>
        </w:tc>
      </w:tr>
    </w:tbl>
    <w:p>
      <w:pPr>
        <w:spacing w:line="300" w:lineRule="auto"/>
        <w:ind w:firstLine="420" w:firstLineChars="200"/>
        <w:rPr>
          <w:rFonts w:ascii="宋体" w:hAnsi="宋体"/>
          <w:szCs w:val="21"/>
        </w:rPr>
      </w:pPr>
      <w:r>
        <w:rPr>
          <w:rFonts w:hint="eastAsia" w:ascii="宋体" w:hAnsi="宋体"/>
          <w:szCs w:val="21"/>
        </w:rPr>
        <w:t>（2）备品备件</w:t>
      </w:r>
    </w:p>
    <w:tbl>
      <w:tblPr>
        <w:tblStyle w:val="71"/>
        <w:tblW w:w="8910" w:type="dxa"/>
        <w:jc w:val="center"/>
        <w:tblLayout w:type="autofit"/>
        <w:tblCellMar>
          <w:top w:w="0" w:type="dxa"/>
          <w:left w:w="108" w:type="dxa"/>
          <w:bottom w:w="0" w:type="dxa"/>
          <w:right w:w="108" w:type="dxa"/>
        </w:tblCellMar>
      </w:tblPr>
      <w:tblGrid>
        <w:gridCol w:w="720"/>
        <w:gridCol w:w="1880"/>
        <w:gridCol w:w="2850"/>
        <w:gridCol w:w="940"/>
        <w:gridCol w:w="1180"/>
        <w:gridCol w:w="700"/>
        <w:gridCol w:w="640"/>
      </w:tblGrid>
      <w:tr>
        <w:tblPrEx>
          <w:tblCellMar>
            <w:top w:w="0" w:type="dxa"/>
            <w:left w:w="108" w:type="dxa"/>
            <w:bottom w:w="0" w:type="dxa"/>
            <w:right w:w="108" w:type="dxa"/>
          </w:tblCellMar>
        </w:tblPrEx>
        <w:trPr>
          <w:trHeight w:val="30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szCs w:val="21"/>
              </w:rPr>
            </w:pPr>
            <w:r>
              <w:rPr>
                <w:rFonts w:hint="eastAsia" w:ascii="宋体" w:hAnsi="宋体"/>
                <w:szCs w:val="21"/>
              </w:rPr>
              <w:t>序号</w:t>
            </w:r>
          </w:p>
        </w:tc>
        <w:tc>
          <w:tcPr>
            <w:tcW w:w="1880"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Arial"/>
                <w:szCs w:val="21"/>
              </w:rPr>
            </w:pPr>
            <w:r>
              <w:rPr>
                <w:rFonts w:hint="eastAsia" w:ascii="宋体" w:hAnsi="宋体" w:cs="Arial"/>
                <w:szCs w:val="21"/>
              </w:rPr>
              <w:t>名称</w:t>
            </w:r>
          </w:p>
        </w:tc>
        <w:tc>
          <w:tcPr>
            <w:tcW w:w="2850"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szCs w:val="21"/>
              </w:rPr>
            </w:pPr>
            <w:r>
              <w:rPr>
                <w:rFonts w:hint="eastAsia" w:ascii="宋体" w:hAnsi="宋体"/>
                <w:szCs w:val="21"/>
              </w:rPr>
              <w:t>规格型号</w:t>
            </w:r>
          </w:p>
        </w:tc>
        <w:tc>
          <w:tcPr>
            <w:tcW w:w="940"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szCs w:val="21"/>
              </w:rPr>
            </w:pPr>
            <w:r>
              <w:rPr>
                <w:rFonts w:hint="eastAsia" w:ascii="宋体" w:hAnsi="宋体"/>
                <w:szCs w:val="21"/>
              </w:rPr>
              <w:t>产地</w:t>
            </w:r>
          </w:p>
        </w:tc>
        <w:tc>
          <w:tcPr>
            <w:tcW w:w="1180"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szCs w:val="21"/>
              </w:rPr>
            </w:pPr>
            <w:r>
              <w:rPr>
                <w:rFonts w:hint="eastAsia" w:ascii="宋体" w:hAnsi="宋体"/>
                <w:szCs w:val="21"/>
              </w:rPr>
              <w:t>生产厂家</w:t>
            </w:r>
          </w:p>
        </w:tc>
        <w:tc>
          <w:tcPr>
            <w:tcW w:w="700"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szCs w:val="21"/>
              </w:rPr>
            </w:pPr>
            <w:r>
              <w:rPr>
                <w:rFonts w:hint="eastAsia" w:ascii="宋体" w:hAnsi="宋体"/>
                <w:szCs w:val="21"/>
              </w:rPr>
              <w:t>单位</w:t>
            </w:r>
          </w:p>
        </w:tc>
        <w:tc>
          <w:tcPr>
            <w:tcW w:w="640"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szCs w:val="21"/>
              </w:rPr>
            </w:pPr>
            <w:r>
              <w:rPr>
                <w:rFonts w:hint="eastAsia" w:ascii="宋体" w:hAnsi="宋体"/>
                <w:szCs w:val="21"/>
              </w:rPr>
              <w:t>数量</w:t>
            </w:r>
          </w:p>
        </w:tc>
      </w:tr>
      <w:tr>
        <w:tblPrEx>
          <w:tblCellMar>
            <w:top w:w="0" w:type="dxa"/>
            <w:left w:w="108" w:type="dxa"/>
            <w:bottom w:w="0" w:type="dxa"/>
            <w:right w:w="108" w:type="dxa"/>
          </w:tblCellMar>
        </w:tblPrEx>
        <w:trPr>
          <w:trHeight w:val="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Arial"/>
                <w:szCs w:val="21"/>
              </w:rPr>
            </w:pPr>
            <w:r>
              <w:rPr>
                <w:rFonts w:ascii="宋体" w:hAnsi="宋体" w:cs="Arial"/>
                <w:szCs w:val="21"/>
              </w:rPr>
              <w:t>1</w:t>
            </w:r>
          </w:p>
        </w:tc>
        <w:tc>
          <w:tcPr>
            <w:tcW w:w="1880"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Arial"/>
                <w:szCs w:val="21"/>
              </w:rPr>
            </w:pPr>
            <w:r>
              <w:rPr>
                <w:rFonts w:ascii="宋体" w:hAnsi="宋体" w:cs="Arial"/>
                <w:szCs w:val="21"/>
              </w:rPr>
              <w:t>0.2S</w:t>
            </w:r>
            <w:r>
              <w:rPr>
                <w:rFonts w:hint="eastAsia" w:ascii="宋体" w:hAnsi="宋体" w:cs="Arial"/>
                <w:szCs w:val="21"/>
              </w:rPr>
              <w:t>关口电能表</w:t>
            </w:r>
          </w:p>
        </w:tc>
        <w:tc>
          <w:tcPr>
            <w:tcW w:w="2850"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Arial"/>
                <w:szCs w:val="21"/>
              </w:rPr>
            </w:pPr>
          </w:p>
        </w:tc>
        <w:tc>
          <w:tcPr>
            <w:tcW w:w="940"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szCs w:val="21"/>
              </w:rPr>
            </w:pPr>
          </w:p>
        </w:tc>
        <w:tc>
          <w:tcPr>
            <w:tcW w:w="1180"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szCs w:val="21"/>
              </w:rPr>
            </w:pPr>
          </w:p>
        </w:tc>
        <w:tc>
          <w:tcPr>
            <w:tcW w:w="700"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szCs w:val="21"/>
              </w:rPr>
            </w:pPr>
            <w:r>
              <w:rPr>
                <w:rFonts w:hint="eastAsia" w:ascii="宋体" w:hAnsi="宋体"/>
                <w:szCs w:val="21"/>
              </w:rPr>
              <w:t>台</w:t>
            </w:r>
          </w:p>
        </w:tc>
        <w:tc>
          <w:tcPr>
            <w:tcW w:w="640"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baseline"/>
              <w:rPr>
                <w:rFonts w:ascii="宋体" w:hAnsi="宋体" w:cs="Arial"/>
                <w:szCs w:val="21"/>
              </w:rPr>
            </w:pPr>
            <w:r>
              <w:rPr>
                <w:rFonts w:hint="eastAsia" w:ascii="宋体" w:hAnsi="宋体" w:cs="Arial"/>
                <w:szCs w:val="21"/>
              </w:rPr>
              <w:t>1</w:t>
            </w:r>
          </w:p>
        </w:tc>
      </w:tr>
    </w:tbl>
    <w:p>
      <w:pPr>
        <w:pStyle w:val="7"/>
        <w:widowControl w:val="0"/>
        <w:numPr>
          <w:ilvl w:val="2"/>
          <w:numId w:val="48"/>
        </w:numPr>
        <w:tabs>
          <w:tab w:val="left" w:pos="709"/>
          <w:tab w:val="clear" w:pos="964"/>
        </w:tabs>
        <w:overflowPunct w:val="0"/>
        <w:snapToGrid/>
        <w:spacing w:before="156" w:beforeLines="50" w:after="100" w:afterAutospacing="1" w:line="300" w:lineRule="auto"/>
        <w:ind w:left="968" w:hanging="968" w:hangingChars="459"/>
        <w:jc w:val="both"/>
        <w:rPr>
          <w:rFonts w:ascii="宋体" w:hAnsi="宋体"/>
          <w:b/>
          <w:bCs/>
          <w:kern w:val="2"/>
          <w:sz w:val="21"/>
          <w:szCs w:val="21"/>
        </w:rPr>
      </w:pPr>
      <w:bookmarkStart w:id="686" w:name="_Toc31720525"/>
      <w:bookmarkEnd w:id="686"/>
      <w:bookmarkStart w:id="687" w:name="_Toc57986381"/>
      <w:r>
        <w:rPr>
          <w:rFonts w:hint="eastAsia" w:ascii="宋体" w:hAnsi="宋体"/>
          <w:b/>
          <w:bCs/>
          <w:sz w:val="21"/>
          <w:szCs w:val="21"/>
        </w:rPr>
        <w:t>系统设备功能及技术要求</w:t>
      </w:r>
      <w:bookmarkEnd w:id="687"/>
    </w:p>
    <w:p>
      <w:pPr>
        <w:pStyle w:val="120"/>
        <w:numPr>
          <w:ilvl w:val="0"/>
          <w:numId w:val="55"/>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复费率电度表</w:t>
      </w:r>
    </w:p>
    <w:p>
      <w:pPr>
        <w:pStyle w:val="120"/>
        <w:numPr>
          <w:ilvl w:val="1"/>
          <w:numId w:val="56"/>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110kV线路和主变高压侧复费率电度表的有功电度测量精度为0.2S级，无功电度误差不大于1%，应能双向计量有功和无功电度；</w:t>
      </w:r>
    </w:p>
    <w:p>
      <w:pPr>
        <w:pStyle w:val="120"/>
        <w:numPr>
          <w:ilvl w:val="1"/>
          <w:numId w:val="56"/>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具有分时计量、断电保护和来电记忆恢复功能，电量数据和事件信息可以保持2天以上；</w:t>
      </w:r>
    </w:p>
    <w:p>
      <w:pPr>
        <w:pStyle w:val="120"/>
        <w:numPr>
          <w:ilvl w:val="1"/>
          <w:numId w:val="56"/>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额定电压输入为：AC100V，额定电流输入为：1A；</w:t>
      </w:r>
    </w:p>
    <w:p>
      <w:pPr>
        <w:pStyle w:val="120"/>
        <w:numPr>
          <w:ilvl w:val="1"/>
          <w:numId w:val="56"/>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多功能智能电度表应为数字式电度表，并具有分时计量功能，可按时段分别记录电量数据，记录时段间隔可选，最小为1分钟；</w:t>
      </w:r>
    </w:p>
    <w:p>
      <w:pPr>
        <w:pStyle w:val="120"/>
        <w:numPr>
          <w:ilvl w:val="1"/>
          <w:numId w:val="56"/>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具有记录表内各种事件、故障信息的功能；</w:t>
      </w:r>
    </w:p>
    <w:p>
      <w:pPr>
        <w:pStyle w:val="120"/>
        <w:numPr>
          <w:ilvl w:val="1"/>
          <w:numId w:val="56"/>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电量数据和事件缓冲区内信息可保存2天以上；</w:t>
      </w:r>
    </w:p>
    <w:p>
      <w:pPr>
        <w:pStyle w:val="120"/>
        <w:numPr>
          <w:ilvl w:val="1"/>
          <w:numId w:val="56"/>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具有断电保护和来电记忆恢复功能；</w:t>
      </w:r>
    </w:p>
    <w:p>
      <w:pPr>
        <w:pStyle w:val="120"/>
        <w:numPr>
          <w:ilvl w:val="1"/>
          <w:numId w:val="56"/>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多功能智能电能量表至少应提供两个标准RS485串口数据输出接口，一个接口用于与本合同的电能量采集装置相连，另一个RS485串口备用；</w:t>
      </w:r>
    </w:p>
    <w:p>
      <w:pPr>
        <w:pStyle w:val="120"/>
        <w:numPr>
          <w:ilvl w:val="1"/>
          <w:numId w:val="56"/>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通讯协议具有数据校验功能，所传送的信息带有时标，并具有批量传送信息功能；</w:t>
      </w:r>
    </w:p>
    <w:p>
      <w:pPr>
        <w:pStyle w:val="120"/>
        <w:numPr>
          <w:ilvl w:val="1"/>
          <w:numId w:val="56"/>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支持通过通讯口修改电度表内部参数的功能；</w:t>
      </w:r>
    </w:p>
    <w:p>
      <w:pPr>
        <w:pStyle w:val="120"/>
        <w:numPr>
          <w:ilvl w:val="1"/>
          <w:numId w:val="56"/>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在外界电场、磁场干扰下输出值变化不得超过基本误差的绝对值；</w:t>
      </w:r>
    </w:p>
    <w:p>
      <w:pPr>
        <w:pStyle w:val="120"/>
        <w:numPr>
          <w:ilvl w:val="1"/>
          <w:numId w:val="56"/>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具有外接辅助工作电源功能，辅助电源应由电能量采集装置屏提供；</w:t>
      </w:r>
    </w:p>
    <w:p>
      <w:pPr>
        <w:pStyle w:val="120"/>
        <w:numPr>
          <w:ilvl w:val="0"/>
          <w:numId w:val="55"/>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电能量采集装置</w:t>
      </w:r>
    </w:p>
    <w:p>
      <w:pPr>
        <w:pStyle w:val="120"/>
        <w:numPr>
          <w:ilvl w:val="1"/>
          <w:numId w:val="57"/>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电能量采集装置应为专用的电能量采集、处理、远传设备。能采集、存储多种类型的复费率电度表的电量数据和其它信息；</w:t>
      </w:r>
    </w:p>
    <w:p>
      <w:pPr>
        <w:pStyle w:val="120"/>
        <w:numPr>
          <w:ilvl w:val="1"/>
          <w:numId w:val="57"/>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电能量采集装置采用模块化设计，具备容量扩充能力；</w:t>
      </w:r>
    </w:p>
    <w:p>
      <w:pPr>
        <w:pStyle w:val="120"/>
        <w:numPr>
          <w:ilvl w:val="1"/>
          <w:numId w:val="57"/>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支持多串口并行远传装置数据，电能量采集装置至少应能接入12个串口，每个RS485串口至少可接入16只电表；</w:t>
      </w:r>
    </w:p>
    <w:p>
      <w:pPr>
        <w:pStyle w:val="120"/>
        <w:numPr>
          <w:ilvl w:val="1"/>
          <w:numId w:val="57"/>
        </w:numPr>
        <w:tabs>
          <w:tab w:val="left" w:pos="334"/>
          <w:tab w:val="clear" w:pos="964"/>
        </w:tabs>
        <w:spacing w:before="72" w:after="72" w:line="300" w:lineRule="auto"/>
        <w:ind w:left="840" w:leftChars="200" w:hanging="420"/>
        <w:rPr>
          <w:rFonts w:hAnsi="宋体"/>
          <w:sz w:val="21"/>
          <w:szCs w:val="21"/>
        </w:rPr>
      </w:pPr>
      <w:r>
        <w:rPr>
          <w:rFonts w:hint="eastAsia" w:hAnsi="宋体"/>
          <w:sz w:val="21"/>
          <w:szCs w:val="21"/>
        </w:rPr>
        <w:t>电能量采集装置至少应提供4路以太网通信接口，用于与上级调度、集控中心（预留）、电站计算机监控系统通信；</w:t>
      </w:r>
    </w:p>
    <w:p>
      <w:pPr>
        <w:pStyle w:val="120"/>
        <w:numPr>
          <w:ilvl w:val="1"/>
          <w:numId w:val="57"/>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可接收由调度电能量采集与计费主站系统下达的校时命令对装置和电度表及时进行校时，保证对时的安全性；另外应具备和时钟同步的IRIG-B(DC)码对时接口；</w:t>
      </w:r>
    </w:p>
    <w:p>
      <w:pPr>
        <w:pStyle w:val="120"/>
        <w:numPr>
          <w:ilvl w:val="1"/>
          <w:numId w:val="57"/>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具备远方调试、设置、诊断功能，并配备专用调试软件；</w:t>
      </w:r>
    </w:p>
    <w:p>
      <w:pPr>
        <w:pStyle w:val="120"/>
        <w:numPr>
          <w:ilvl w:val="1"/>
          <w:numId w:val="57"/>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配备专用当地数据备份软件，软件具有抄录电量数据和加密电量数据的功能；</w:t>
      </w:r>
    </w:p>
    <w:p>
      <w:pPr>
        <w:pStyle w:val="120"/>
        <w:numPr>
          <w:ilvl w:val="1"/>
          <w:numId w:val="57"/>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从复费率电度表采集的数据均应进行校验，未通过校验的数据重新采集；</w:t>
      </w:r>
    </w:p>
    <w:p>
      <w:pPr>
        <w:pStyle w:val="120"/>
        <w:numPr>
          <w:ilvl w:val="1"/>
          <w:numId w:val="57"/>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采集装置可适应多种通信介质和通信方式；</w:t>
      </w:r>
    </w:p>
    <w:p>
      <w:pPr>
        <w:pStyle w:val="120"/>
        <w:numPr>
          <w:ilvl w:val="1"/>
          <w:numId w:val="57"/>
        </w:numPr>
        <w:tabs>
          <w:tab w:val="left" w:pos="334"/>
          <w:tab w:val="clear" w:pos="964"/>
        </w:tabs>
        <w:spacing w:before="72" w:after="72" w:line="300" w:lineRule="auto"/>
        <w:ind w:left="840" w:leftChars="200" w:hanging="420"/>
        <w:rPr>
          <w:rFonts w:hAnsi="宋体"/>
          <w:sz w:val="21"/>
          <w:szCs w:val="21"/>
        </w:rPr>
      </w:pPr>
      <w:r>
        <w:rPr>
          <w:rFonts w:hint="eastAsia" w:hAnsi="宋体"/>
          <w:sz w:val="21"/>
          <w:szCs w:val="21"/>
        </w:rPr>
        <w:t>规约：</w:t>
      </w:r>
      <w:r>
        <w:rPr>
          <w:rFonts w:hAnsi="宋体"/>
          <w:sz w:val="21"/>
          <w:szCs w:val="21"/>
        </w:rPr>
        <w:t>DL/T 719-2000（IEC 60870-5-102）协议</w:t>
      </w:r>
      <w:r>
        <w:rPr>
          <w:rFonts w:hint="eastAsia" w:hAnsi="宋体"/>
          <w:sz w:val="21"/>
          <w:szCs w:val="21"/>
        </w:rPr>
        <w:t>；</w:t>
      </w:r>
    </w:p>
    <w:p>
      <w:pPr>
        <w:pStyle w:val="120"/>
        <w:numPr>
          <w:ilvl w:val="1"/>
          <w:numId w:val="57"/>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装置具备交、直流（220V）互为备用电源，自动无间断切换；</w:t>
      </w:r>
    </w:p>
    <w:p>
      <w:pPr>
        <w:pStyle w:val="120"/>
        <w:numPr>
          <w:ilvl w:val="1"/>
          <w:numId w:val="57"/>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从采集装置向主站传送的数据均带有校验码，可按要求随时重传装置内保存的数据；</w:t>
      </w:r>
    </w:p>
    <w:p>
      <w:pPr>
        <w:pStyle w:val="120"/>
        <w:numPr>
          <w:ilvl w:val="1"/>
          <w:numId w:val="57"/>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采集装置应具备事件记录功能，记录软件运行、通信、电源等情况；</w:t>
      </w:r>
    </w:p>
    <w:p>
      <w:pPr>
        <w:pStyle w:val="120"/>
        <w:numPr>
          <w:ilvl w:val="1"/>
          <w:numId w:val="57"/>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采集装置本体及装置内插件等应具备防止非授权人员进行操作的措施。</w:t>
      </w:r>
    </w:p>
    <w:p>
      <w:pPr>
        <w:pStyle w:val="120"/>
        <w:numPr>
          <w:ilvl w:val="1"/>
          <w:numId w:val="57"/>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标准配制三个通讯插件，一个标准RS232当地通讯口，可同时独立工作，可根据用户需要进行扩充；一个与辅助抄表笔记本电脑连接的通信接口。</w:t>
      </w:r>
    </w:p>
    <w:p>
      <w:pPr>
        <w:pStyle w:val="120"/>
        <w:numPr>
          <w:ilvl w:val="1"/>
          <w:numId w:val="57"/>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电能量采集装置失电时，至少30天内不丢失任何已采集到的数据；</w:t>
      </w:r>
    </w:p>
    <w:p>
      <w:pPr>
        <w:pStyle w:val="120"/>
        <w:numPr>
          <w:ilvl w:val="1"/>
          <w:numId w:val="57"/>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电能量采集装置与主站通信中断时，装置至少能存储10天的电量数据及其它数据，同时应能根据接入电度表的数量优化存储器分配；</w:t>
      </w:r>
    </w:p>
    <w:p>
      <w:pPr>
        <w:pStyle w:val="120"/>
        <w:numPr>
          <w:ilvl w:val="1"/>
          <w:numId w:val="57"/>
        </w:numPr>
        <w:tabs>
          <w:tab w:val="left" w:pos="334"/>
          <w:tab w:val="clear" w:pos="964"/>
        </w:tabs>
        <w:spacing w:before="72" w:after="72" w:line="300" w:lineRule="auto"/>
        <w:ind w:left="840" w:leftChars="200" w:hanging="420"/>
        <w:rPr>
          <w:rFonts w:hAnsi="宋体"/>
          <w:color w:val="000000"/>
          <w:sz w:val="21"/>
          <w:szCs w:val="21"/>
        </w:rPr>
      </w:pPr>
      <w:r>
        <w:rPr>
          <w:rFonts w:hint="eastAsia" w:hAnsi="宋体"/>
          <w:color w:val="000000"/>
          <w:sz w:val="21"/>
          <w:szCs w:val="21"/>
        </w:rPr>
        <w:t>电能量采集装置对接入的每只电度表连续保存不少于一个月的整点窗口电能量。</w:t>
      </w:r>
    </w:p>
    <w:p>
      <w:pPr>
        <w:numPr>
          <w:ilvl w:val="1"/>
          <w:numId w:val="57"/>
        </w:numPr>
        <w:adjustRightInd w:val="0"/>
        <w:spacing w:line="360" w:lineRule="auto"/>
        <w:textAlignment w:val="baseline"/>
        <w:rPr>
          <w:rFonts w:ascii="宋体" w:hAnsi="宋体"/>
          <w:color w:val="000000"/>
          <w:spacing w:val="5"/>
          <w:szCs w:val="21"/>
        </w:rPr>
      </w:pPr>
      <w:r>
        <w:rPr>
          <w:rFonts w:hint="eastAsia" w:ascii="宋体" w:hAnsi="宋体"/>
          <w:color w:val="000000"/>
          <w:spacing w:val="5"/>
          <w:szCs w:val="21"/>
        </w:rPr>
        <w:t>系统根据采集工作站、通讯口、Modem等资源状况和用户对电能量采集装置的</w:t>
      </w:r>
    </w:p>
    <w:p>
      <w:pPr>
        <w:spacing w:line="360" w:lineRule="auto"/>
        <w:ind w:left="540"/>
        <w:rPr>
          <w:rFonts w:ascii="宋体" w:hAnsi="宋体"/>
          <w:color w:val="000000"/>
          <w:spacing w:val="5"/>
          <w:szCs w:val="21"/>
        </w:rPr>
      </w:pPr>
      <w:r>
        <w:rPr>
          <w:rFonts w:hint="eastAsia" w:ascii="宋体" w:hAnsi="宋体"/>
          <w:color w:val="000000"/>
          <w:spacing w:val="5"/>
          <w:szCs w:val="21"/>
        </w:rPr>
        <w:t xml:space="preserve">  抄录要求，及时生成和刷新抄录任务表，在采集工作站中优化抄录任务；</w:t>
      </w:r>
    </w:p>
    <w:p>
      <w:pPr>
        <w:numPr>
          <w:ilvl w:val="1"/>
          <w:numId w:val="57"/>
        </w:numPr>
        <w:adjustRightInd w:val="0"/>
        <w:spacing w:line="360" w:lineRule="auto"/>
        <w:textAlignment w:val="baseline"/>
        <w:rPr>
          <w:rFonts w:ascii="宋体" w:hAnsi="宋体"/>
          <w:color w:val="000000"/>
          <w:spacing w:val="5"/>
          <w:szCs w:val="21"/>
        </w:rPr>
      </w:pPr>
      <w:r>
        <w:rPr>
          <w:rFonts w:hint="eastAsia" w:ascii="宋体" w:hAnsi="宋体"/>
          <w:color w:val="000000"/>
          <w:spacing w:val="5"/>
          <w:szCs w:val="21"/>
        </w:rPr>
        <w:t>采集工作站支持与多台电能量采集装置同时通讯；</w:t>
      </w:r>
    </w:p>
    <w:p>
      <w:pPr>
        <w:numPr>
          <w:ilvl w:val="1"/>
          <w:numId w:val="57"/>
        </w:numPr>
        <w:adjustRightInd w:val="0"/>
        <w:spacing w:line="360" w:lineRule="auto"/>
        <w:textAlignment w:val="baseline"/>
        <w:rPr>
          <w:rFonts w:ascii="宋体" w:hAnsi="宋体"/>
          <w:color w:val="000000"/>
          <w:spacing w:val="5"/>
          <w:szCs w:val="21"/>
        </w:rPr>
      </w:pPr>
      <w:r>
        <w:rPr>
          <w:rFonts w:hint="eastAsia" w:ascii="宋体" w:hAnsi="宋体"/>
          <w:color w:val="000000"/>
          <w:spacing w:val="5"/>
          <w:szCs w:val="21"/>
        </w:rPr>
        <w:t>电能量采集装置采用模块化设计，具备容量扩充能力；</w:t>
      </w:r>
    </w:p>
    <w:p>
      <w:pPr>
        <w:numPr>
          <w:ilvl w:val="1"/>
          <w:numId w:val="57"/>
        </w:numPr>
        <w:adjustRightInd w:val="0"/>
        <w:spacing w:line="360" w:lineRule="auto"/>
        <w:textAlignment w:val="baseline"/>
        <w:rPr>
          <w:rFonts w:ascii="宋体" w:hAnsi="宋体"/>
          <w:color w:val="000000"/>
          <w:spacing w:val="5"/>
          <w:szCs w:val="21"/>
        </w:rPr>
      </w:pPr>
      <w:r>
        <w:rPr>
          <w:rFonts w:hint="eastAsia" w:ascii="宋体" w:hAnsi="宋体"/>
          <w:color w:val="000000"/>
          <w:spacing w:val="5"/>
          <w:szCs w:val="21"/>
        </w:rPr>
        <w:t>支持多种通信规约和多种通信方式与电能量采集装置通讯；</w:t>
      </w:r>
    </w:p>
    <w:p>
      <w:pPr>
        <w:numPr>
          <w:ilvl w:val="1"/>
          <w:numId w:val="57"/>
        </w:numPr>
        <w:adjustRightInd w:val="0"/>
        <w:spacing w:line="360" w:lineRule="auto"/>
        <w:textAlignment w:val="baseline"/>
        <w:rPr>
          <w:rFonts w:ascii="宋体" w:hAnsi="宋体"/>
          <w:color w:val="000000"/>
          <w:spacing w:val="5"/>
          <w:szCs w:val="21"/>
        </w:rPr>
      </w:pPr>
      <w:r>
        <w:rPr>
          <w:rFonts w:hint="eastAsia" w:ascii="宋体" w:hAnsi="宋体"/>
          <w:color w:val="000000"/>
          <w:spacing w:val="5"/>
          <w:szCs w:val="21"/>
        </w:rPr>
        <w:t>采集装置可适应多种通信介质和通信方式；</w:t>
      </w:r>
    </w:p>
    <w:p>
      <w:pPr>
        <w:numPr>
          <w:ilvl w:val="1"/>
          <w:numId w:val="57"/>
        </w:numPr>
        <w:adjustRightInd w:val="0"/>
        <w:spacing w:line="360" w:lineRule="auto"/>
        <w:textAlignment w:val="baseline"/>
        <w:rPr>
          <w:rFonts w:ascii="宋体" w:hAnsi="宋体"/>
          <w:color w:val="000000"/>
          <w:spacing w:val="5"/>
          <w:szCs w:val="21"/>
        </w:rPr>
      </w:pPr>
      <w:r>
        <w:rPr>
          <w:rFonts w:hint="eastAsia" w:ascii="宋体" w:hAnsi="宋体"/>
          <w:color w:val="000000"/>
          <w:spacing w:val="5"/>
          <w:szCs w:val="21"/>
        </w:rPr>
        <w:t>电能量采集装置与主站通信中断时，装置至少能存储10天的电量数据及其他数</w:t>
      </w:r>
    </w:p>
    <w:p>
      <w:pPr>
        <w:spacing w:line="360" w:lineRule="auto"/>
        <w:ind w:left="540"/>
        <w:rPr>
          <w:rFonts w:ascii="宋体" w:hAnsi="宋体"/>
          <w:color w:val="000000"/>
          <w:spacing w:val="5"/>
          <w:szCs w:val="21"/>
        </w:rPr>
      </w:pPr>
      <w:r>
        <w:rPr>
          <w:rFonts w:hint="eastAsia" w:ascii="宋体" w:hAnsi="宋体"/>
          <w:color w:val="000000"/>
          <w:spacing w:val="5"/>
          <w:szCs w:val="21"/>
        </w:rPr>
        <w:t xml:space="preserve">  据，同时应能根据接入电能表的数量优化存储器分配；</w:t>
      </w:r>
    </w:p>
    <w:p>
      <w:pPr>
        <w:numPr>
          <w:ilvl w:val="1"/>
          <w:numId w:val="57"/>
        </w:numPr>
        <w:adjustRightInd w:val="0"/>
        <w:spacing w:line="360" w:lineRule="auto"/>
        <w:textAlignment w:val="baseline"/>
        <w:rPr>
          <w:rFonts w:ascii="宋体" w:hAnsi="宋体"/>
          <w:color w:val="000000"/>
          <w:spacing w:val="5"/>
          <w:szCs w:val="21"/>
        </w:rPr>
      </w:pPr>
      <w:r>
        <w:rPr>
          <w:rFonts w:hint="eastAsia" w:ascii="宋体" w:hAnsi="宋体"/>
          <w:color w:val="000000"/>
          <w:spacing w:val="5"/>
          <w:szCs w:val="21"/>
        </w:rPr>
        <w:t>支持自动、人工抄录电能量采集装置数据，采集任务时间可根据用户要求方便地任意设置；第一次采集失败时，可自动重试，重试次数由用户根据需要设置；</w:t>
      </w:r>
    </w:p>
    <w:p>
      <w:pPr>
        <w:numPr>
          <w:ilvl w:val="1"/>
          <w:numId w:val="57"/>
        </w:numPr>
        <w:adjustRightInd w:val="0"/>
        <w:spacing w:line="360" w:lineRule="auto"/>
        <w:textAlignment w:val="baseline"/>
        <w:rPr>
          <w:rFonts w:ascii="宋体" w:hAnsi="宋体"/>
          <w:color w:val="000000"/>
          <w:spacing w:val="5"/>
          <w:szCs w:val="21"/>
        </w:rPr>
      </w:pPr>
      <w:r>
        <w:rPr>
          <w:rFonts w:hint="eastAsia" w:ascii="宋体" w:hAnsi="宋体"/>
          <w:color w:val="000000"/>
          <w:spacing w:val="5"/>
          <w:szCs w:val="21"/>
        </w:rPr>
        <w:t>支持为电能量采集装置设置不同的抄录周期以及是否对时；</w:t>
      </w:r>
    </w:p>
    <w:p>
      <w:pPr>
        <w:numPr>
          <w:ilvl w:val="1"/>
          <w:numId w:val="57"/>
        </w:numPr>
        <w:adjustRightInd w:val="0"/>
        <w:spacing w:line="360" w:lineRule="auto"/>
        <w:textAlignment w:val="baseline"/>
        <w:rPr>
          <w:rFonts w:ascii="宋体" w:hAnsi="宋体"/>
          <w:color w:val="000000"/>
          <w:spacing w:val="5"/>
          <w:szCs w:val="21"/>
        </w:rPr>
      </w:pPr>
      <w:r>
        <w:rPr>
          <w:rFonts w:hint="eastAsia" w:ascii="宋体" w:hAnsi="宋体"/>
          <w:color w:val="000000"/>
          <w:spacing w:val="5"/>
          <w:szCs w:val="21"/>
        </w:rPr>
        <w:t>支持现场抄录的数据导入系统数据库；</w:t>
      </w:r>
    </w:p>
    <w:p>
      <w:pPr>
        <w:numPr>
          <w:ilvl w:val="1"/>
          <w:numId w:val="57"/>
        </w:numPr>
        <w:adjustRightInd w:val="0"/>
        <w:spacing w:line="360" w:lineRule="auto"/>
        <w:textAlignment w:val="baseline"/>
        <w:rPr>
          <w:rFonts w:ascii="宋体" w:hAnsi="宋体"/>
          <w:color w:val="000000"/>
          <w:spacing w:val="5"/>
          <w:szCs w:val="21"/>
        </w:rPr>
      </w:pPr>
      <w:r>
        <w:rPr>
          <w:rFonts w:hint="eastAsia" w:ascii="宋体" w:hAnsi="宋体"/>
          <w:color w:val="000000"/>
          <w:spacing w:val="5"/>
          <w:szCs w:val="21"/>
        </w:rPr>
        <w:t>采集电表分时电能量、电表窗口值、月末冻结量、电表状态信息、有/无功功率，  三相电压，电流等数据；</w:t>
      </w:r>
    </w:p>
    <w:p>
      <w:pPr>
        <w:numPr>
          <w:ilvl w:val="1"/>
          <w:numId w:val="57"/>
        </w:numPr>
        <w:adjustRightInd w:val="0"/>
        <w:spacing w:line="360" w:lineRule="auto"/>
        <w:textAlignment w:val="baseline"/>
        <w:rPr>
          <w:rFonts w:ascii="宋体" w:hAnsi="宋体"/>
          <w:color w:val="000000"/>
          <w:spacing w:val="5"/>
          <w:szCs w:val="21"/>
        </w:rPr>
      </w:pPr>
      <w:r>
        <w:rPr>
          <w:rFonts w:hint="eastAsia" w:ascii="宋体" w:hAnsi="宋体"/>
          <w:color w:val="000000"/>
          <w:spacing w:val="5"/>
          <w:szCs w:val="21"/>
        </w:rPr>
        <w:t>对于由通讯原因引起的不能正常采集状况，电能量采集系统均自动设置断点记录，通讯通道恢复正常后可从断点处自动补采，保证数据的连续完整。</w:t>
      </w:r>
    </w:p>
    <w:p>
      <w:pPr>
        <w:numPr>
          <w:ilvl w:val="1"/>
          <w:numId w:val="57"/>
        </w:numPr>
        <w:adjustRightInd w:val="0"/>
        <w:spacing w:line="360" w:lineRule="auto"/>
        <w:textAlignment w:val="baseline"/>
        <w:rPr>
          <w:rFonts w:ascii="宋体" w:hAnsi="宋体"/>
          <w:color w:val="000000"/>
          <w:spacing w:val="5"/>
          <w:szCs w:val="21"/>
        </w:rPr>
      </w:pPr>
      <w:r>
        <w:rPr>
          <w:rFonts w:hint="eastAsia" w:ascii="宋体" w:hAnsi="宋体"/>
          <w:color w:val="000000"/>
          <w:spacing w:val="5"/>
          <w:szCs w:val="21"/>
        </w:rPr>
        <w:t>电能量采集系统的相关报警信号需上送监控系统，如电源故障等信号。</w:t>
      </w:r>
    </w:p>
    <w:p>
      <w:pPr>
        <w:pStyle w:val="120"/>
        <w:numPr>
          <w:ilvl w:val="0"/>
          <w:numId w:val="55"/>
        </w:numPr>
        <w:tabs>
          <w:tab w:val="left" w:pos="851"/>
          <w:tab w:val="clear" w:pos="964"/>
        </w:tabs>
        <w:spacing w:before="72" w:after="72" w:line="300" w:lineRule="auto"/>
        <w:ind w:left="1470" w:hanging="420"/>
        <w:rPr>
          <w:rFonts w:hAnsi="宋体"/>
          <w:color w:val="000000"/>
          <w:sz w:val="21"/>
          <w:szCs w:val="21"/>
        </w:rPr>
      </w:pPr>
      <w:r>
        <w:rPr>
          <w:rFonts w:hint="eastAsia" w:hAnsi="宋体"/>
          <w:color w:val="000000"/>
          <w:sz w:val="21"/>
          <w:szCs w:val="21"/>
        </w:rPr>
        <w:t>电能量管理计算机</w:t>
      </w:r>
    </w:p>
    <w:p>
      <w:pPr>
        <w:snapToGrid w:val="0"/>
        <w:spacing w:before="72" w:after="72" w:line="300" w:lineRule="auto"/>
        <w:ind w:left="840" w:leftChars="400"/>
        <w:rPr>
          <w:rFonts w:ascii="宋体" w:hAnsi="宋体"/>
          <w:szCs w:val="21"/>
        </w:rPr>
      </w:pPr>
      <w:r>
        <w:rPr>
          <w:rFonts w:hint="eastAsia" w:ascii="宋体" w:hAnsi="宋体"/>
          <w:szCs w:val="21"/>
        </w:rPr>
        <w:t>电能量管理计算机采用PC计算机，应具有以下特性：</w:t>
      </w:r>
    </w:p>
    <w:p>
      <w:pPr>
        <w:pStyle w:val="120"/>
        <w:numPr>
          <w:ilvl w:val="1"/>
          <w:numId w:val="58"/>
        </w:numPr>
        <w:spacing w:before="72" w:after="72" w:line="300" w:lineRule="auto"/>
        <w:ind w:left="1470" w:hanging="420"/>
        <w:rPr>
          <w:rFonts w:hAnsi="宋体"/>
          <w:color w:val="000000"/>
          <w:sz w:val="21"/>
          <w:szCs w:val="21"/>
        </w:rPr>
      </w:pPr>
      <w:r>
        <w:rPr>
          <w:rFonts w:hint="eastAsia" w:hAnsi="宋体"/>
          <w:color w:val="000000"/>
          <w:sz w:val="21"/>
          <w:szCs w:val="21"/>
        </w:rPr>
        <w:t>CPU处理器：</w:t>
      </w:r>
      <w:r>
        <w:rPr>
          <w:rFonts w:hint="eastAsia" w:hAnsi="宋体"/>
          <w:color w:val="000000"/>
          <w:sz w:val="21"/>
          <w:szCs w:val="21"/>
        </w:rPr>
        <w:tab/>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主频：</w:t>
      </w:r>
      <w:r>
        <w:rPr>
          <w:rFonts w:hint="eastAsia" w:hAnsi="宋体"/>
          <w:color w:val="000000"/>
          <w:sz w:val="21"/>
          <w:szCs w:val="21"/>
        </w:rPr>
        <w:tab/>
      </w:r>
      <w:r>
        <w:rPr>
          <w:rFonts w:hint="eastAsia" w:hAnsi="宋体"/>
          <w:color w:val="000000"/>
          <w:sz w:val="21"/>
          <w:szCs w:val="21"/>
        </w:rPr>
        <w:t>标配2颗,单颗核心数≥8，字长≥64位，主频≥2.5GHz</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内存：</w:t>
      </w:r>
      <w:r>
        <w:rPr>
          <w:rFonts w:hint="eastAsia" w:hAnsi="宋体"/>
          <w:color w:val="000000"/>
          <w:sz w:val="21"/>
          <w:szCs w:val="21"/>
        </w:rPr>
        <w:tab/>
      </w:r>
      <w:r>
        <w:rPr>
          <w:rFonts w:hint="eastAsia" w:hAnsi="宋体"/>
          <w:color w:val="000000"/>
          <w:sz w:val="21"/>
          <w:szCs w:val="21"/>
        </w:rPr>
        <w:t>64GB</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硬盘：</w:t>
      </w:r>
      <w:r>
        <w:rPr>
          <w:rFonts w:hint="eastAsia" w:hAnsi="宋体"/>
          <w:color w:val="000000"/>
          <w:sz w:val="21"/>
          <w:szCs w:val="21"/>
        </w:rPr>
        <w:tab/>
      </w:r>
      <w:r>
        <w:rPr>
          <w:rFonts w:hint="eastAsia" w:hAnsi="宋体"/>
          <w:color w:val="000000"/>
          <w:sz w:val="21"/>
          <w:szCs w:val="21"/>
        </w:rPr>
        <w:t>1TB</w:t>
      </w:r>
    </w:p>
    <w:p>
      <w:pPr>
        <w:pStyle w:val="120"/>
        <w:numPr>
          <w:ilvl w:val="1"/>
          <w:numId w:val="58"/>
        </w:numPr>
        <w:spacing w:before="72" w:after="72" w:line="300" w:lineRule="auto"/>
        <w:ind w:left="1470" w:hanging="420"/>
        <w:rPr>
          <w:rFonts w:hAnsi="宋体"/>
          <w:color w:val="000000"/>
          <w:sz w:val="21"/>
          <w:szCs w:val="21"/>
        </w:rPr>
      </w:pPr>
      <w:r>
        <w:rPr>
          <w:rFonts w:hint="eastAsia" w:hAnsi="宋体"/>
          <w:color w:val="000000"/>
          <w:sz w:val="21"/>
          <w:szCs w:val="21"/>
        </w:rPr>
        <w:t>液晶显示器：</w:t>
      </w:r>
      <w:r>
        <w:rPr>
          <w:rFonts w:hint="eastAsia" w:hAnsi="宋体"/>
          <w:color w:val="000000"/>
          <w:sz w:val="21"/>
          <w:szCs w:val="21"/>
        </w:rPr>
        <w:tab/>
      </w:r>
      <w:r>
        <w:rPr>
          <w:rFonts w:hint="eastAsia" w:hAnsi="宋体"/>
          <w:color w:val="000000"/>
          <w:sz w:val="21"/>
          <w:szCs w:val="21"/>
        </w:rPr>
        <w:t>1台2</w:t>
      </w:r>
      <w:r>
        <w:rPr>
          <w:rFonts w:hAnsi="宋体"/>
          <w:color w:val="000000"/>
          <w:sz w:val="21"/>
          <w:szCs w:val="21"/>
        </w:rPr>
        <w:t>7</w:t>
      </w:r>
      <w:r>
        <w:rPr>
          <w:rFonts w:hint="eastAsia" w:hAnsi="宋体"/>
          <w:color w:val="000000"/>
          <w:sz w:val="21"/>
          <w:szCs w:val="21"/>
        </w:rPr>
        <w:t>”液晶显示器，分辨率≥1920x1080，至少为增强32色，底色为黑色，平面直角。液晶显示器应有防暴、防眩光及防X线措施，正常工作及画面刷新时图像显示稳定无闪烁，</w:t>
      </w:r>
      <w:r>
        <w:rPr>
          <w:rFonts w:hint="eastAsia" w:hAnsi="宋体"/>
          <w:b/>
          <w:sz w:val="21"/>
          <w:szCs w:val="21"/>
        </w:rPr>
        <w:t>需配置KVM延长器。</w:t>
      </w:r>
    </w:p>
    <w:p>
      <w:pPr>
        <w:pStyle w:val="120"/>
        <w:numPr>
          <w:ilvl w:val="1"/>
          <w:numId w:val="58"/>
        </w:numPr>
        <w:spacing w:before="72" w:after="72" w:line="300" w:lineRule="auto"/>
        <w:ind w:left="1470" w:hanging="420"/>
        <w:rPr>
          <w:rFonts w:hAnsi="宋体"/>
          <w:color w:val="000000"/>
          <w:sz w:val="21"/>
          <w:szCs w:val="21"/>
        </w:rPr>
      </w:pPr>
      <w:r>
        <w:rPr>
          <w:rFonts w:hint="eastAsia" w:hAnsi="宋体"/>
          <w:color w:val="000000"/>
          <w:sz w:val="21"/>
          <w:szCs w:val="21"/>
        </w:rPr>
        <w:t>网络接口：</w:t>
      </w:r>
      <w:r>
        <w:rPr>
          <w:rFonts w:hint="eastAsia" w:hAnsi="宋体"/>
          <w:color w:val="000000"/>
          <w:sz w:val="21"/>
          <w:szCs w:val="21"/>
        </w:rPr>
        <w:tab/>
      </w:r>
      <w:r>
        <w:rPr>
          <w:rFonts w:hint="eastAsia" w:hAnsi="宋体"/>
          <w:color w:val="000000"/>
          <w:sz w:val="21"/>
          <w:szCs w:val="21"/>
        </w:rPr>
        <w:t>100/1000MB以太网接口2块</w:t>
      </w:r>
    </w:p>
    <w:p>
      <w:pPr>
        <w:pStyle w:val="120"/>
        <w:numPr>
          <w:ilvl w:val="1"/>
          <w:numId w:val="58"/>
        </w:numPr>
        <w:spacing w:before="72" w:after="72" w:line="300" w:lineRule="auto"/>
        <w:ind w:left="1470" w:hanging="420"/>
        <w:rPr>
          <w:rFonts w:hAnsi="宋体"/>
          <w:color w:val="000000"/>
          <w:sz w:val="21"/>
          <w:szCs w:val="21"/>
        </w:rPr>
      </w:pPr>
      <w:r>
        <w:rPr>
          <w:rFonts w:hint="eastAsia" w:hAnsi="宋体"/>
          <w:color w:val="000000"/>
          <w:sz w:val="21"/>
          <w:szCs w:val="21"/>
        </w:rPr>
        <w:t>一个4.7GB的DVD±R驱动器，两个及以上标准USB2.0接口。</w:t>
      </w:r>
    </w:p>
    <w:p>
      <w:pPr>
        <w:pStyle w:val="120"/>
        <w:numPr>
          <w:ilvl w:val="1"/>
          <w:numId w:val="58"/>
        </w:numPr>
        <w:spacing w:before="72" w:after="72" w:line="300" w:lineRule="auto"/>
        <w:ind w:left="1470" w:hanging="420"/>
        <w:rPr>
          <w:rFonts w:hAnsi="宋体"/>
          <w:color w:val="000000"/>
          <w:sz w:val="21"/>
          <w:szCs w:val="21"/>
        </w:rPr>
      </w:pPr>
      <w:r>
        <w:rPr>
          <w:rFonts w:hint="eastAsia" w:hAnsi="宋体"/>
          <w:color w:val="000000"/>
          <w:sz w:val="21"/>
          <w:szCs w:val="21"/>
        </w:rPr>
        <w:t>内置网卡和56K语音、数据及传真调制解调器(PCMCIA)，2个PCMCIA插槽。</w:t>
      </w:r>
    </w:p>
    <w:p>
      <w:pPr>
        <w:pStyle w:val="120"/>
        <w:numPr>
          <w:ilvl w:val="1"/>
          <w:numId w:val="58"/>
        </w:numPr>
        <w:spacing w:before="72" w:after="72" w:line="300" w:lineRule="auto"/>
        <w:ind w:left="1470" w:hanging="420"/>
        <w:rPr>
          <w:rFonts w:hAnsi="宋体"/>
          <w:color w:val="000000"/>
          <w:sz w:val="21"/>
          <w:szCs w:val="21"/>
        </w:rPr>
      </w:pPr>
      <w:r>
        <w:rPr>
          <w:rFonts w:hint="eastAsia" w:hAnsi="宋体"/>
          <w:color w:val="000000"/>
          <w:sz w:val="21"/>
          <w:szCs w:val="21"/>
        </w:rPr>
        <w:t>操作系统：</w:t>
      </w:r>
      <w:r>
        <w:rPr>
          <w:rFonts w:hint="eastAsia" w:hAnsi="宋体"/>
          <w:color w:val="FF0000"/>
          <w:sz w:val="21"/>
          <w:szCs w:val="21"/>
        </w:rPr>
        <w:tab/>
      </w:r>
      <w:r>
        <w:rPr>
          <w:rFonts w:hint="eastAsia" w:hAnsi="宋体"/>
          <w:sz w:val="21"/>
          <w:szCs w:val="21"/>
        </w:rPr>
        <w:t>安全加固的Linux或UNIX。</w:t>
      </w:r>
    </w:p>
    <w:p>
      <w:pPr>
        <w:pStyle w:val="120"/>
        <w:numPr>
          <w:ilvl w:val="0"/>
          <w:numId w:val="55"/>
        </w:numPr>
        <w:spacing w:before="72" w:after="72" w:line="300" w:lineRule="auto"/>
        <w:ind w:left="1470" w:hanging="420"/>
        <w:rPr>
          <w:rFonts w:hAnsi="宋体"/>
          <w:color w:val="000000"/>
          <w:sz w:val="21"/>
          <w:szCs w:val="21"/>
        </w:rPr>
      </w:pPr>
      <w:r>
        <w:rPr>
          <w:rFonts w:hint="eastAsia" w:hAnsi="宋体"/>
          <w:color w:val="000000"/>
          <w:sz w:val="21"/>
          <w:szCs w:val="21"/>
        </w:rPr>
        <w:t>发电申报、报价计算机</w:t>
      </w:r>
    </w:p>
    <w:p>
      <w:pPr>
        <w:pStyle w:val="120"/>
        <w:spacing w:before="72" w:after="72" w:line="300" w:lineRule="auto"/>
        <w:ind w:left="1470" w:hanging="420"/>
        <w:rPr>
          <w:rFonts w:hAnsi="宋体"/>
          <w:color w:val="000000"/>
          <w:sz w:val="21"/>
          <w:szCs w:val="21"/>
        </w:rPr>
      </w:pPr>
      <w:r>
        <w:rPr>
          <w:rFonts w:hint="eastAsia" w:hAnsi="宋体"/>
          <w:color w:val="000000"/>
          <w:sz w:val="21"/>
          <w:szCs w:val="21"/>
        </w:rPr>
        <w:t>配置同电能量管理计算机</w:t>
      </w:r>
    </w:p>
    <w:p>
      <w:pPr>
        <w:pStyle w:val="120"/>
        <w:numPr>
          <w:ilvl w:val="0"/>
          <w:numId w:val="55"/>
        </w:numPr>
        <w:spacing w:before="72" w:after="72" w:line="300" w:lineRule="auto"/>
        <w:ind w:left="1470" w:hanging="420"/>
        <w:rPr>
          <w:rFonts w:hAnsi="宋体"/>
          <w:color w:val="000000"/>
          <w:sz w:val="21"/>
          <w:szCs w:val="21"/>
        </w:rPr>
      </w:pPr>
      <w:r>
        <w:rPr>
          <w:rFonts w:hint="eastAsia" w:hAnsi="宋体"/>
          <w:color w:val="000000"/>
          <w:sz w:val="21"/>
          <w:szCs w:val="21"/>
        </w:rPr>
        <w:t>辅助抄表</w:t>
      </w:r>
      <w:r>
        <w:rPr>
          <w:rFonts w:hint="eastAsia" w:hAnsi="宋体"/>
          <w:bCs/>
          <w:color w:val="000000"/>
          <w:sz w:val="21"/>
          <w:szCs w:val="21"/>
        </w:rPr>
        <w:t>笔记本</w:t>
      </w:r>
      <w:r>
        <w:rPr>
          <w:rFonts w:hint="eastAsia" w:hAnsi="宋体"/>
          <w:color w:val="000000"/>
          <w:sz w:val="21"/>
          <w:szCs w:val="21"/>
        </w:rPr>
        <w:t>电脑</w:t>
      </w:r>
    </w:p>
    <w:p>
      <w:pPr>
        <w:snapToGrid w:val="0"/>
        <w:spacing w:before="72" w:after="72" w:line="300" w:lineRule="auto"/>
        <w:ind w:left="840" w:leftChars="400"/>
        <w:rPr>
          <w:rFonts w:ascii="宋体" w:hAnsi="宋体"/>
          <w:szCs w:val="21"/>
        </w:rPr>
      </w:pPr>
      <w:r>
        <w:rPr>
          <w:rFonts w:hint="eastAsia" w:ascii="宋体" w:hAnsi="宋体"/>
          <w:szCs w:val="21"/>
        </w:rPr>
        <w:t>便携式辅助抄表笔记本电脑能与电能量采集装置进行通信。并提供所需的全部软件。便携式计算机应是轻便的、可携带的，并具有以下特性：</w:t>
      </w:r>
    </w:p>
    <w:p>
      <w:pPr>
        <w:pStyle w:val="120"/>
        <w:numPr>
          <w:ilvl w:val="1"/>
          <w:numId w:val="60"/>
        </w:numPr>
        <w:spacing w:before="72" w:after="72" w:line="300" w:lineRule="auto"/>
        <w:ind w:left="1470" w:hanging="420"/>
        <w:rPr>
          <w:rFonts w:hAnsi="宋体"/>
          <w:color w:val="000000"/>
          <w:sz w:val="21"/>
          <w:szCs w:val="21"/>
        </w:rPr>
      </w:pPr>
      <w:r>
        <w:rPr>
          <w:rFonts w:hint="eastAsia" w:hAnsi="宋体"/>
          <w:color w:val="000000"/>
          <w:sz w:val="21"/>
          <w:szCs w:val="21"/>
        </w:rPr>
        <w:t>操作系统：Windows</w:t>
      </w:r>
    </w:p>
    <w:p>
      <w:pPr>
        <w:pStyle w:val="120"/>
        <w:numPr>
          <w:ilvl w:val="1"/>
          <w:numId w:val="60"/>
        </w:numPr>
        <w:spacing w:before="72" w:after="72" w:line="300" w:lineRule="auto"/>
        <w:ind w:left="1470" w:hanging="420"/>
        <w:rPr>
          <w:rFonts w:hAnsi="宋体"/>
          <w:color w:val="000000"/>
          <w:sz w:val="21"/>
          <w:szCs w:val="21"/>
        </w:rPr>
      </w:pPr>
      <w:r>
        <w:rPr>
          <w:rFonts w:hint="eastAsia" w:hAnsi="宋体"/>
          <w:color w:val="000000"/>
          <w:sz w:val="21"/>
          <w:szCs w:val="21"/>
        </w:rPr>
        <w:t>CPU处理器：第8代I7</w:t>
      </w:r>
    </w:p>
    <w:p>
      <w:pPr>
        <w:pStyle w:val="120"/>
        <w:numPr>
          <w:ilvl w:val="1"/>
          <w:numId w:val="60"/>
        </w:numPr>
        <w:spacing w:before="72" w:after="72" w:line="300" w:lineRule="auto"/>
        <w:ind w:left="1470" w:hanging="420"/>
        <w:rPr>
          <w:rFonts w:hAnsi="宋体"/>
          <w:color w:val="000000"/>
          <w:sz w:val="21"/>
          <w:szCs w:val="21"/>
        </w:rPr>
      </w:pPr>
      <w:r>
        <w:rPr>
          <w:rFonts w:hint="eastAsia" w:hAnsi="宋体"/>
          <w:color w:val="000000"/>
          <w:sz w:val="21"/>
          <w:szCs w:val="21"/>
        </w:rPr>
        <w:t>内存：16GB，支持扩展</w:t>
      </w:r>
    </w:p>
    <w:p>
      <w:pPr>
        <w:pStyle w:val="120"/>
        <w:numPr>
          <w:ilvl w:val="1"/>
          <w:numId w:val="60"/>
        </w:numPr>
        <w:spacing w:before="72" w:after="72" w:line="300" w:lineRule="auto"/>
        <w:ind w:left="1470" w:hanging="420"/>
        <w:rPr>
          <w:rFonts w:hAnsi="宋体"/>
          <w:color w:val="000000"/>
          <w:sz w:val="21"/>
          <w:szCs w:val="21"/>
        </w:rPr>
      </w:pPr>
      <w:r>
        <w:rPr>
          <w:rFonts w:hint="eastAsia" w:hAnsi="宋体"/>
          <w:color w:val="000000"/>
          <w:sz w:val="21"/>
          <w:szCs w:val="21"/>
        </w:rPr>
        <w:t>硬盘：SSD 512GB</w:t>
      </w:r>
    </w:p>
    <w:p>
      <w:pPr>
        <w:pStyle w:val="120"/>
        <w:numPr>
          <w:ilvl w:val="1"/>
          <w:numId w:val="60"/>
        </w:numPr>
        <w:spacing w:before="72" w:after="72" w:line="300" w:lineRule="auto"/>
        <w:ind w:left="1470" w:hanging="420"/>
        <w:rPr>
          <w:rFonts w:hAnsi="宋体"/>
          <w:color w:val="000000"/>
          <w:sz w:val="21"/>
          <w:szCs w:val="21"/>
        </w:rPr>
      </w:pPr>
      <w:r>
        <w:rPr>
          <w:rFonts w:hint="eastAsia" w:hAnsi="宋体"/>
          <w:color w:val="000000"/>
          <w:sz w:val="21"/>
          <w:szCs w:val="21"/>
        </w:rPr>
        <w:t>显卡：独立显卡，显存容量≥1024MB</w:t>
      </w:r>
    </w:p>
    <w:p>
      <w:pPr>
        <w:pStyle w:val="120"/>
        <w:numPr>
          <w:ilvl w:val="1"/>
          <w:numId w:val="60"/>
        </w:numPr>
        <w:spacing w:before="72" w:after="72" w:line="300" w:lineRule="auto"/>
        <w:ind w:left="1470" w:hanging="420"/>
        <w:rPr>
          <w:rFonts w:hAnsi="宋体"/>
          <w:color w:val="000000"/>
          <w:sz w:val="21"/>
          <w:szCs w:val="21"/>
        </w:rPr>
      </w:pPr>
      <w:r>
        <w:rPr>
          <w:rFonts w:hint="eastAsia" w:hAnsi="宋体"/>
          <w:color w:val="000000"/>
          <w:sz w:val="21"/>
          <w:szCs w:val="21"/>
        </w:rPr>
        <w:t>液晶显示器：宽屏，分辨率≥1920x1080</w:t>
      </w:r>
    </w:p>
    <w:p>
      <w:pPr>
        <w:pStyle w:val="120"/>
        <w:numPr>
          <w:ilvl w:val="1"/>
          <w:numId w:val="60"/>
        </w:numPr>
        <w:spacing w:before="72" w:after="72" w:line="300" w:lineRule="auto"/>
        <w:ind w:left="1470" w:hanging="420"/>
        <w:rPr>
          <w:rFonts w:hAnsi="宋体"/>
          <w:color w:val="000000"/>
          <w:sz w:val="21"/>
          <w:szCs w:val="21"/>
        </w:rPr>
      </w:pPr>
      <w:r>
        <w:rPr>
          <w:rFonts w:hint="eastAsia" w:hAnsi="宋体"/>
          <w:color w:val="000000"/>
          <w:sz w:val="21"/>
          <w:szCs w:val="21"/>
        </w:rPr>
        <w:t>USB接口及串/并口的数量应不低于3个，1个10/100/1000M自适应RJ45口；</w:t>
      </w:r>
    </w:p>
    <w:p>
      <w:pPr>
        <w:pStyle w:val="120"/>
        <w:numPr>
          <w:ilvl w:val="1"/>
          <w:numId w:val="60"/>
        </w:numPr>
        <w:spacing w:before="72" w:after="72" w:line="300" w:lineRule="auto"/>
        <w:ind w:left="1470" w:hanging="420"/>
        <w:rPr>
          <w:rFonts w:hAnsi="宋体"/>
          <w:color w:val="000000"/>
          <w:sz w:val="21"/>
          <w:szCs w:val="21"/>
        </w:rPr>
      </w:pPr>
      <w:r>
        <w:rPr>
          <w:rFonts w:hint="eastAsia" w:hAnsi="宋体"/>
          <w:color w:val="000000"/>
          <w:sz w:val="21"/>
          <w:szCs w:val="21"/>
        </w:rPr>
        <w:t>光驱：1个内置COMBO光驱DVD-ROM/CD-RW，速度24x/24x/24x/8x Max</w:t>
      </w:r>
    </w:p>
    <w:p>
      <w:pPr>
        <w:pStyle w:val="120"/>
        <w:numPr>
          <w:ilvl w:val="1"/>
          <w:numId w:val="60"/>
        </w:numPr>
        <w:spacing w:before="72" w:after="72" w:line="300" w:lineRule="auto"/>
        <w:ind w:left="1470" w:hanging="420"/>
        <w:rPr>
          <w:rFonts w:hAnsi="宋体"/>
          <w:color w:val="000000"/>
          <w:sz w:val="21"/>
          <w:szCs w:val="21"/>
        </w:rPr>
      </w:pPr>
      <w:r>
        <w:rPr>
          <w:rFonts w:hint="eastAsia" w:hAnsi="宋体"/>
          <w:color w:val="000000"/>
          <w:sz w:val="21"/>
          <w:szCs w:val="21"/>
        </w:rPr>
        <w:t>指纹识别器、内置网卡、56k语音、数据及传真MODEM，2个PCMCIA插槽</w:t>
      </w:r>
    </w:p>
    <w:p>
      <w:pPr>
        <w:pStyle w:val="120"/>
        <w:numPr>
          <w:ilvl w:val="1"/>
          <w:numId w:val="60"/>
        </w:numPr>
        <w:spacing w:before="72" w:after="72" w:line="300" w:lineRule="auto"/>
        <w:ind w:left="1470" w:hanging="420"/>
        <w:rPr>
          <w:rFonts w:hAnsi="宋体"/>
          <w:color w:val="000000"/>
          <w:sz w:val="21"/>
          <w:szCs w:val="21"/>
        </w:rPr>
      </w:pPr>
      <w:r>
        <w:rPr>
          <w:rFonts w:hint="eastAsia" w:hAnsi="宋体"/>
          <w:color w:val="000000"/>
          <w:sz w:val="21"/>
          <w:szCs w:val="21"/>
        </w:rPr>
        <w:t>提供所需全部控制、监视、测试、编程用软件</w:t>
      </w:r>
    </w:p>
    <w:p>
      <w:pPr>
        <w:pStyle w:val="120"/>
        <w:numPr>
          <w:ilvl w:val="0"/>
          <w:numId w:val="55"/>
        </w:numPr>
        <w:spacing w:before="72" w:after="72" w:line="300" w:lineRule="auto"/>
        <w:ind w:left="1470" w:hanging="420"/>
        <w:rPr>
          <w:rFonts w:hAnsi="宋体"/>
          <w:color w:val="000000"/>
          <w:sz w:val="21"/>
          <w:szCs w:val="21"/>
        </w:rPr>
      </w:pPr>
      <w:r>
        <w:rPr>
          <w:rFonts w:hint="eastAsia" w:hAnsi="宋体"/>
          <w:color w:val="000000"/>
          <w:sz w:val="21"/>
          <w:szCs w:val="21"/>
        </w:rPr>
        <w:t>A3/A4幅面激光黑白网络打印机</w:t>
      </w:r>
    </w:p>
    <w:p>
      <w:pPr>
        <w:pStyle w:val="120"/>
        <w:numPr>
          <w:ilvl w:val="1"/>
          <w:numId w:val="61"/>
        </w:numPr>
        <w:spacing w:before="72" w:after="72" w:line="300" w:lineRule="auto"/>
        <w:ind w:left="1470" w:hanging="420"/>
        <w:rPr>
          <w:rFonts w:hAnsi="宋体"/>
          <w:color w:val="000000"/>
          <w:sz w:val="21"/>
          <w:szCs w:val="21"/>
        </w:rPr>
      </w:pPr>
      <w:r>
        <w:rPr>
          <w:rFonts w:hint="eastAsia" w:hAnsi="宋体"/>
          <w:color w:val="000000"/>
          <w:sz w:val="21"/>
          <w:szCs w:val="21"/>
        </w:rPr>
        <w:t>处理器：133MHz；</w:t>
      </w:r>
    </w:p>
    <w:p>
      <w:pPr>
        <w:pStyle w:val="120"/>
        <w:numPr>
          <w:ilvl w:val="1"/>
          <w:numId w:val="61"/>
        </w:numPr>
        <w:spacing w:before="72" w:after="72" w:line="300" w:lineRule="auto"/>
        <w:ind w:left="1470" w:hanging="420"/>
        <w:rPr>
          <w:rFonts w:hAnsi="宋体"/>
          <w:color w:val="000000"/>
          <w:sz w:val="21"/>
          <w:szCs w:val="21"/>
        </w:rPr>
      </w:pPr>
      <w:r>
        <w:rPr>
          <w:rFonts w:hint="eastAsia" w:hAnsi="宋体"/>
          <w:color w:val="000000"/>
          <w:sz w:val="21"/>
          <w:szCs w:val="21"/>
        </w:rPr>
        <w:t>打印形式：双面打印；</w:t>
      </w:r>
    </w:p>
    <w:p>
      <w:pPr>
        <w:pStyle w:val="120"/>
        <w:numPr>
          <w:ilvl w:val="1"/>
          <w:numId w:val="61"/>
        </w:numPr>
        <w:spacing w:before="72" w:after="72" w:line="300" w:lineRule="auto"/>
        <w:ind w:left="1470" w:hanging="420"/>
        <w:rPr>
          <w:rFonts w:hAnsi="宋体"/>
          <w:color w:val="000000"/>
          <w:sz w:val="21"/>
          <w:szCs w:val="21"/>
        </w:rPr>
      </w:pPr>
      <w:r>
        <w:rPr>
          <w:rFonts w:hint="eastAsia" w:hAnsi="宋体"/>
          <w:color w:val="000000"/>
          <w:sz w:val="21"/>
          <w:szCs w:val="21"/>
        </w:rPr>
        <w:t>分辨率：1200dpi</w:t>
      </w:r>
    </w:p>
    <w:p>
      <w:pPr>
        <w:pStyle w:val="120"/>
        <w:numPr>
          <w:ilvl w:val="1"/>
          <w:numId w:val="61"/>
        </w:numPr>
        <w:spacing w:before="72" w:after="72" w:line="300" w:lineRule="auto"/>
        <w:ind w:left="1470" w:hanging="420"/>
        <w:rPr>
          <w:rFonts w:hAnsi="宋体"/>
          <w:color w:val="000000"/>
          <w:sz w:val="21"/>
          <w:szCs w:val="21"/>
        </w:rPr>
      </w:pPr>
      <w:r>
        <w:rPr>
          <w:rFonts w:hint="eastAsia" w:hAnsi="宋体"/>
          <w:color w:val="000000"/>
          <w:sz w:val="21"/>
          <w:szCs w:val="21"/>
        </w:rPr>
        <w:t>打印尺寸：A3/A4</w:t>
      </w:r>
    </w:p>
    <w:p>
      <w:pPr>
        <w:pStyle w:val="120"/>
        <w:numPr>
          <w:ilvl w:val="1"/>
          <w:numId w:val="61"/>
        </w:numPr>
        <w:spacing w:before="72" w:after="72" w:line="300" w:lineRule="auto"/>
        <w:ind w:left="1470" w:hanging="420"/>
        <w:rPr>
          <w:rFonts w:hAnsi="宋体"/>
          <w:color w:val="000000"/>
          <w:sz w:val="21"/>
          <w:szCs w:val="21"/>
        </w:rPr>
      </w:pPr>
      <w:r>
        <w:rPr>
          <w:rFonts w:hint="eastAsia" w:hAnsi="宋体"/>
          <w:color w:val="000000"/>
          <w:sz w:val="21"/>
          <w:szCs w:val="21"/>
        </w:rPr>
        <w:t>打印速度：30ppm</w:t>
      </w:r>
    </w:p>
    <w:p>
      <w:pPr>
        <w:pStyle w:val="120"/>
        <w:numPr>
          <w:ilvl w:val="1"/>
          <w:numId w:val="61"/>
        </w:numPr>
        <w:spacing w:before="72" w:after="72" w:line="300" w:lineRule="auto"/>
        <w:ind w:left="1470" w:hanging="420"/>
        <w:rPr>
          <w:rFonts w:hAnsi="宋体"/>
          <w:color w:val="000000"/>
          <w:sz w:val="21"/>
          <w:szCs w:val="21"/>
        </w:rPr>
      </w:pPr>
      <w:r>
        <w:rPr>
          <w:rFonts w:hint="eastAsia" w:hAnsi="宋体"/>
          <w:color w:val="000000"/>
          <w:sz w:val="21"/>
          <w:szCs w:val="21"/>
        </w:rPr>
        <w:t>内存：64MB</w:t>
      </w:r>
    </w:p>
    <w:p>
      <w:pPr>
        <w:pStyle w:val="120"/>
        <w:numPr>
          <w:ilvl w:val="1"/>
          <w:numId w:val="61"/>
        </w:numPr>
        <w:spacing w:before="72" w:after="72" w:line="300" w:lineRule="auto"/>
        <w:ind w:left="1470" w:hanging="420"/>
        <w:rPr>
          <w:rFonts w:hAnsi="宋体"/>
          <w:color w:val="000000"/>
          <w:sz w:val="21"/>
          <w:szCs w:val="21"/>
        </w:rPr>
      </w:pPr>
      <w:r>
        <w:rPr>
          <w:rFonts w:hint="eastAsia" w:hAnsi="宋体"/>
          <w:color w:val="000000"/>
          <w:sz w:val="21"/>
          <w:szCs w:val="21"/>
        </w:rPr>
        <w:t>网络打印，提供1000MB以太网接口1块</w:t>
      </w:r>
    </w:p>
    <w:p>
      <w:pPr>
        <w:pStyle w:val="120"/>
        <w:numPr>
          <w:ilvl w:val="0"/>
          <w:numId w:val="55"/>
        </w:numPr>
        <w:spacing w:before="72" w:after="72" w:line="300" w:lineRule="auto"/>
        <w:ind w:left="1470" w:hanging="420"/>
        <w:rPr>
          <w:rFonts w:hAnsi="宋体"/>
          <w:color w:val="000000"/>
          <w:sz w:val="21"/>
          <w:szCs w:val="21"/>
        </w:rPr>
      </w:pPr>
      <w:r>
        <w:rPr>
          <w:rFonts w:hint="eastAsia" w:hAnsi="宋体"/>
          <w:color w:val="000000"/>
          <w:sz w:val="21"/>
          <w:szCs w:val="21"/>
        </w:rPr>
        <w:t>抄表电话通道</w:t>
      </w:r>
    </w:p>
    <w:p>
      <w:pPr>
        <w:snapToGrid w:val="0"/>
        <w:spacing w:before="72" w:after="72" w:line="300" w:lineRule="auto"/>
        <w:ind w:left="840" w:leftChars="400"/>
        <w:rPr>
          <w:rFonts w:ascii="宋体" w:hAnsi="宋体"/>
          <w:szCs w:val="21"/>
        </w:rPr>
      </w:pPr>
      <w:r>
        <w:rPr>
          <w:rFonts w:hint="eastAsia" w:ascii="宋体" w:hAnsi="宋体"/>
          <w:szCs w:val="21"/>
        </w:rPr>
        <w:t>采用程控电话通道，通道速率大于1200波特率，线路环阻小于1.5KΩ。</w:t>
      </w:r>
    </w:p>
    <w:p>
      <w:pPr>
        <w:pStyle w:val="120"/>
        <w:numPr>
          <w:ilvl w:val="0"/>
          <w:numId w:val="55"/>
        </w:numPr>
        <w:spacing w:before="72" w:after="72" w:line="300" w:lineRule="auto"/>
        <w:ind w:left="1470" w:hanging="420"/>
        <w:rPr>
          <w:rFonts w:hAnsi="宋体"/>
          <w:color w:val="000000"/>
          <w:sz w:val="21"/>
          <w:szCs w:val="21"/>
        </w:rPr>
      </w:pPr>
      <w:r>
        <w:rPr>
          <w:rFonts w:hint="eastAsia" w:hAnsi="宋体"/>
          <w:color w:val="000000"/>
          <w:sz w:val="21"/>
          <w:szCs w:val="21"/>
        </w:rPr>
        <w:t>当地电量采集系统</w:t>
      </w:r>
    </w:p>
    <w:p>
      <w:pPr>
        <w:pStyle w:val="120"/>
        <w:numPr>
          <w:ilvl w:val="1"/>
          <w:numId w:val="62"/>
        </w:numPr>
        <w:spacing w:before="72" w:after="72" w:line="300" w:lineRule="auto"/>
        <w:ind w:left="1470" w:hanging="420"/>
        <w:rPr>
          <w:rFonts w:hAnsi="宋体"/>
          <w:color w:val="000000"/>
          <w:sz w:val="21"/>
          <w:szCs w:val="21"/>
        </w:rPr>
      </w:pPr>
      <w:r>
        <w:rPr>
          <w:rFonts w:hint="eastAsia" w:hAnsi="宋体"/>
          <w:color w:val="000000"/>
          <w:sz w:val="21"/>
          <w:szCs w:val="21"/>
        </w:rPr>
        <w:t>电量数据采集与通讯</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系统根据采集工作站、通讯口、Modem等资源状况和用户对电能量采集装置的抄录要求，及时生成和刷新抄录任务表，在采集工作站中优化抄录任务；</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采集工作站支持与多台电能量采集装置同时通讯；</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支持多种通信规约和多种通信方式与电能量采集装置通讯；</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支持自动、人工抄录电能量采集装置数据；</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支持为电能量采集装置设置不同的抄录周期以及是否对时；</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支持现场抄录的数据导入系统数据库；</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显示通讯及抄录状态和通道码；</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数据校验功能自动记录已采集到的各类数据的时间断点。</w:t>
      </w:r>
    </w:p>
    <w:p>
      <w:pPr>
        <w:pStyle w:val="120"/>
        <w:numPr>
          <w:ilvl w:val="1"/>
          <w:numId w:val="62"/>
        </w:numPr>
        <w:spacing w:before="72" w:after="72" w:line="300" w:lineRule="auto"/>
        <w:ind w:left="1470" w:hanging="420"/>
        <w:rPr>
          <w:rFonts w:hAnsi="宋体"/>
          <w:color w:val="000000"/>
          <w:sz w:val="21"/>
          <w:szCs w:val="21"/>
        </w:rPr>
      </w:pPr>
      <w:r>
        <w:rPr>
          <w:rFonts w:hint="eastAsia" w:hAnsi="宋体"/>
          <w:color w:val="000000"/>
          <w:sz w:val="21"/>
          <w:szCs w:val="21"/>
        </w:rPr>
        <w:t>数据存储与安全性</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抄录的电表原始数据及时载入数据库，并形成数据备份文件；</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原始数据不能修改；</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长期保存系统和设备参数；</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自动保存实际电量、汇总电量、超欠电量等计算数据。</w:t>
      </w:r>
    </w:p>
    <w:p>
      <w:pPr>
        <w:pStyle w:val="120"/>
        <w:numPr>
          <w:ilvl w:val="1"/>
          <w:numId w:val="62"/>
        </w:numPr>
        <w:spacing w:before="72" w:after="72" w:line="300" w:lineRule="auto"/>
        <w:ind w:left="1470" w:hanging="420"/>
        <w:rPr>
          <w:rFonts w:hAnsi="宋体"/>
          <w:color w:val="000000"/>
          <w:sz w:val="21"/>
          <w:szCs w:val="21"/>
        </w:rPr>
      </w:pPr>
      <w:r>
        <w:rPr>
          <w:rFonts w:hint="eastAsia" w:hAnsi="宋体"/>
          <w:color w:val="000000"/>
          <w:sz w:val="21"/>
          <w:szCs w:val="21"/>
        </w:rPr>
        <w:t>数据的处理、统计、计算功能</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可在换表、旁路代供、修改CT/PT变比、人工修改数据等情况下进行电量数据处理；</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统计功能包括：分钟、刻钟、小时、日月年的线路、圈占上网电量的汇总统计、超欠统计、峰平谷统计等；</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计算功能：可按指定线路或能量区域和给定时段计算分时电量、汇总电量等，并形成报表；</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根据值班表计算各值、班电量数据。</w:t>
      </w:r>
    </w:p>
    <w:p>
      <w:pPr>
        <w:pStyle w:val="120"/>
        <w:numPr>
          <w:ilvl w:val="1"/>
          <w:numId w:val="62"/>
        </w:numPr>
        <w:spacing w:before="72" w:after="72" w:line="300" w:lineRule="auto"/>
        <w:ind w:left="1470" w:hanging="420"/>
        <w:rPr>
          <w:rFonts w:hAnsi="宋体"/>
          <w:color w:val="000000"/>
          <w:sz w:val="21"/>
          <w:szCs w:val="21"/>
        </w:rPr>
      </w:pPr>
      <w:r>
        <w:rPr>
          <w:rFonts w:hint="eastAsia" w:hAnsi="宋体"/>
          <w:color w:val="000000"/>
          <w:sz w:val="21"/>
          <w:szCs w:val="21"/>
        </w:rPr>
        <w:t>数据查询</w:t>
      </w:r>
    </w:p>
    <w:p>
      <w:pPr>
        <w:snapToGrid w:val="0"/>
        <w:spacing w:before="72" w:after="72" w:line="300" w:lineRule="auto"/>
        <w:ind w:left="840" w:leftChars="400"/>
        <w:rPr>
          <w:rFonts w:ascii="宋体" w:hAnsi="宋体"/>
          <w:szCs w:val="21"/>
        </w:rPr>
      </w:pPr>
      <w:r>
        <w:rPr>
          <w:rFonts w:hint="eastAsia" w:ascii="宋体" w:hAnsi="宋体"/>
          <w:szCs w:val="21"/>
        </w:rPr>
        <w:t>系统支持以表格、曲线、棒图等多种方式对系统数据进行查询浏览。包括：</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原始数据、统计数据查询；</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电表参数、装置参数查询；</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装置参数查询；</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系统参数查询；</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支持按时间、对象或组合方式查询。</w:t>
      </w:r>
    </w:p>
    <w:p>
      <w:pPr>
        <w:pStyle w:val="120"/>
        <w:numPr>
          <w:ilvl w:val="1"/>
          <w:numId w:val="62"/>
        </w:numPr>
        <w:spacing w:before="72" w:after="72" w:line="300" w:lineRule="auto"/>
        <w:ind w:left="1470" w:hanging="420"/>
        <w:rPr>
          <w:rFonts w:hAnsi="宋体"/>
          <w:color w:val="000000"/>
          <w:sz w:val="21"/>
          <w:szCs w:val="21"/>
        </w:rPr>
      </w:pPr>
      <w:r>
        <w:rPr>
          <w:rFonts w:hint="eastAsia" w:hAnsi="宋体"/>
          <w:color w:val="000000"/>
          <w:sz w:val="21"/>
          <w:szCs w:val="21"/>
        </w:rPr>
        <w:t>参数设置与维护</w:t>
      </w:r>
    </w:p>
    <w:p>
      <w:pPr>
        <w:snapToGrid w:val="0"/>
        <w:spacing w:before="72" w:after="72" w:line="300" w:lineRule="auto"/>
        <w:ind w:left="840" w:leftChars="400"/>
        <w:rPr>
          <w:rFonts w:ascii="宋体" w:hAnsi="宋体"/>
          <w:szCs w:val="21"/>
        </w:rPr>
      </w:pPr>
      <w:r>
        <w:rPr>
          <w:rFonts w:hint="eastAsia" w:ascii="宋体" w:hAnsi="宋体"/>
          <w:szCs w:val="21"/>
        </w:rPr>
        <w:t>系统可对以下参数进行设置和维护：</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 xml:space="preserve"> 系统参数；</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 xml:space="preserve"> 装置参数；</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 xml:space="preserve"> 电表参数。</w:t>
      </w:r>
    </w:p>
    <w:p>
      <w:pPr>
        <w:pStyle w:val="120"/>
        <w:numPr>
          <w:ilvl w:val="1"/>
          <w:numId w:val="62"/>
        </w:numPr>
        <w:spacing w:before="72" w:after="72" w:line="300" w:lineRule="auto"/>
        <w:ind w:left="1470" w:hanging="420"/>
        <w:rPr>
          <w:rFonts w:hAnsi="宋体"/>
          <w:color w:val="000000"/>
          <w:sz w:val="21"/>
          <w:szCs w:val="21"/>
        </w:rPr>
      </w:pPr>
      <w:r>
        <w:rPr>
          <w:rFonts w:hint="eastAsia" w:hAnsi="宋体"/>
          <w:color w:val="000000"/>
          <w:sz w:val="21"/>
          <w:szCs w:val="21"/>
        </w:rPr>
        <w:t>报表</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 xml:space="preserve"> 可按指定对象和时间生成各种报表；</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 xml:space="preserve"> 报表具有预览、打印功能;</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 xml:space="preserve"> 报表数据可以导出为文本文件或Excel文件；</w:t>
      </w:r>
    </w:p>
    <w:p>
      <w:pPr>
        <w:pStyle w:val="120"/>
        <w:numPr>
          <w:ilvl w:val="1"/>
          <w:numId w:val="62"/>
        </w:numPr>
        <w:spacing w:before="72" w:after="72" w:line="300" w:lineRule="auto"/>
        <w:ind w:left="1470" w:hanging="420"/>
        <w:rPr>
          <w:rFonts w:hAnsi="宋体"/>
          <w:color w:val="000000"/>
          <w:sz w:val="21"/>
          <w:szCs w:val="21"/>
        </w:rPr>
      </w:pPr>
      <w:r>
        <w:rPr>
          <w:rFonts w:hint="eastAsia" w:hAnsi="宋体"/>
          <w:color w:val="000000"/>
          <w:sz w:val="21"/>
          <w:szCs w:val="21"/>
        </w:rPr>
        <w:t>事件记录、查询</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 xml:space="preserve"> 自动记录系统操作日志；</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 xml:space="preserve"> 可按系统、装置、电表及时间搜索查询显示相关对象事件；</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 xml:space="preserve"> 事件信息可随时打印。</w:t>
      </w:r>
    </w:p>
    <w:p>
      <w:pPr>
        <w:pStyle w:val="120"/>
        <w:numPr>
          <w:ilvl w:val="1"/>
          <w:numId w:val="62"/>
        </w:numPr>
        <w:spacing w:before="72" w:after="72" w:line="300" w:lineRule="auto"/>
        <w:ind w:left="1470" w:hanging="420"/>
        <w:rPr>
          <w:rFonts w:hAnsi="宋体"/>
          <w:color w:val="000000"/>
          <w:sz w:val="21"/>
          <w:szCs w:val="21"/>
        </w:rPr>
      </w:pPr>
      <w:r>
        <w:rPr>
          <w:rFonts w:hint="eastAsia" w:hAnsi="宋体"/>
          <w:color w:val="000000"/>
          <w:sz w:val="21"/>
          <w:szCs w:val="21"/>
        </w:rPr>
        <w:t>系统及数据安全管理</w:t>
      </w:r>
    </w:p>
    <w:p>
      <w:pPr>
        <w:snapToGrid w:val="0"/>
        <w:spacing w:before="72" w:after="72" w:line="300" w:lineRule="auto"/>
        <w:ind w:left="840" w:leftChars="400"/>
        <w:rPr>
          <w:rFonts w:ascii="宋体" w:hAnsi="宋体"/>
          <w:szCs w:val="21"/>
        </w:rPr>
      </w:pPr>
      <w:r>
        <w:rPr>
          <w:rFonts w:hint="eastAsia" w:ascii="宋体" w:hAnsi="宋体"/>
          <w:szCs w:val="21"/>
        </w:rPr>
        <w:t>系统通过口令设置不同操作权限，确保系统及数据的安全性。</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 xml:space="preserve"> 用户操作的权限管理；</w:t>
      </w:r>
    </w:p>
    <w:p>
      <w:pPr>
        <w:pStyle w:val="120"/>
        <w:numPr>
          <w:ilvl w:val="2"/>
          <w:numId w:val="59"/>
        </w:numPr>
        <w:spacing w:before="0" w:after="0" w:line="300" w:lineRule="auto"/>
        <w:ind w:left="1470" w:hanging="420"/>
        <w:rPr>
          <w:rFonts w:hAnsi="宋体"/>
          <w:color w:val="000000"/>
          <w:sz w:val="21"/>
          <w:szCs w:val="21"/>
        </w:rPr>
      </w:pPr>
      <w:r>
        <w:rPr>
          <w:rFonts w:hint="eastAsia" w:hAnsi="宋体"/>
          <w:color w:val="000000"/>
          <w:sz w:val="21"/>
          <w:szCs w:val="21"/>
        </w:rPr>
        <w:t xml:space="preserve"> 数据库访问的权限管理。</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系统根据采集工作站、通讯口、Modem等资源状况和用户对电能量采集装置的</w:t>
      </w:r>
    </w:p>
    <w:p>
      <w:pPr>
        <w:spacing w:line="360" w:lineRule="auto"/>
        <w:ind w:left="540"/>
        <w:rPr>
          <w:rFonts w:ascii="宋体" w:hAnsi="宋体"/>
          <w:bCs/>
          <w:szCs w:val="21"/>
        </w:rPr>
      </w:pPr>
      <w:r>
        <w:rPr>
          <w:rFonts w:hint="eastAsia" w:ascii="宋体" w:hAnsi="宋体"/>
          <w:bCs/>
          <w:szCs w:val="21"/>
        </w:rPr>
        <w:t xml:space="preserve">  抄录要求，及时生成和刷新抄录任务表，在采集工作站中优化抄录任务；</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采集工作站支持与多台电能量采集装置同时通讯；</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电能量采集装置采用模块化设计，具备容量扩充能力；</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支持多种通信规约和多种通信方式与电能量采集装置通讯；</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采集装置可适应多种通信介质和通信方式；</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电能量采集装置与主站通信中断时，装置至少能存储10天的电量数据及其他数</w:t>
      </w:r>
    </w:p>
    <w:p>
      <w:pPr>
        <w:spacing w:line="360" w:lineRule="auto"/>
        <w:ind w:left="540"/>
        <w:rPr>
          <w:rFonts w:ascii="宋体" w:hAnsi="宋体"/>
          <w:bCs/>
          <w:szCs w:val="21"/>
        </w:rPr>
      </w:pPr>
      <w:r>
        <w:rPr>
          <w:rFonts w:hint="eastAsia" w:ascii="宋体" w:hAnsi="宋体"/>
          <w:bCs/>
          <w:szCs w:val="21"/>
        </w:rPr>
        <w:t xml:space="preserve">  据，同时应能根据接入电能表的数量优化存储器分配；</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支持自动、人工抄录电能量采集装置数据，采集任务时间可根据用户要求方便地任意设置；第一次采集失败时，可自动重试，重试次数由用户根据需要设置；</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支持为电能量采集装置设置不同的抄录周期以及是否对时；</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支持现场抄录的数据导入系统数据库；</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采集电表分时电能量、电表窗口值、月末冻结量、电表状态信息、有/无功功率，</w:t>
      </w:r>
    </w:p>
    <w:p>
      <w:pPr>
        <w:pStyle w:val="120"/>
        <w:spacing w:before="72" w:after="72" w:line="300" w:lineRule="auto"/>
        <w:ind w:left="1470" w:hanging="420"/>
        <w:rPr>
          <w:rFonts w:hAnsi="宋体"/>
          <w:bCs/>
          <w:sz w:val="21"/>
          <w:szCs w:val="21"/>
        </w:rPr>
      </w:pPr>
      <w:r>
        <w:rPr>
          <w:rFonts w:hint="eastAsia" w:hAnsi="宋体"/>
          <w:bCs/>
          <w:sz w:val="21"/>
          <w:szCs w:val="21"/>
        </w:rPr>
        <w:t xml:space="preserve"> 三相电压，电流等数据；</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对于由通讯原因引起的不能正常采集状况，电能量采集系统均自动设置断点记</w:t>
      </w:r>
    </w:p>
    <w:p>
      <w:pPr>
        <w:spacing w:line="360" w:lineRule="auto"/>
        <w:ind w:left="540" w:firstLine="210" w:firstLineChars="100"/>
        <w:rPr>
          <w:rFonts w:ascii="宋体" w:hAnsi="宋体"/>
          <w:bCs/>
          <w:szCs w:val="21"/>
        </w:rPr>
      </w:pPr>
      <w:r>
        <w:rPr>
          <w:rFonts w:hint="eastAsia" w:ascii="宋体" w:hAnsi="宋体"/>
          <w:bCs/>
          <w:szCs w:val="21"/>
        </w:rPr>
        <w:t>录，通讯通道恢复正常后可从断点处自动补采，保证数据的连续完整。</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显示通讯及抄录状态和通道码；</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数据校验功能自动记录已采集到的各类数据的时间断点。</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数据存储与安全性</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抄录的电表原始数据及时载入数据库，并形成数据备份文件；</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原始数据不能修改；</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长期保存系统和设备参数；</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电能量采集装置对接入的每只电能表连续保存不少于一个月的整点窗口电能</w:t>
      </w:r>
    </w:p>
    <w:p>
      <w:pPr>
        <w:spacing w:line="360" w:lineRule="auto"/>
        <w:ind w:left="540"/>
        <w:rPr>
          <w:rFonts w:ascii="宋体" w:hAnsi="宋体"/>
          <w:bCs/>
          <w:szCs w:val="21"/>
        </w:rPr>
      </w:pPr>
      <w:r>
        <w:rPr>
          <w:rFonts w:hint="eastAsia" w:ascii="宋体" w:hAnsi="宋体"/>
          <w:bCs/>
          <w:szCs w:val="21"/>
        </w:rPr>
        <w:t>量；</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校表模式（双表模式、三表模式），主表故障时，以校表电量代替主表电量；</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数据的检查与告警，随时对电量数据采集状况进行检查，在发现采集到非法数据、缺数以及长期无法采集电量的情况下告警</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可在换表、旁路代供、修改CT/PT变比、人工修改数据等情况下进行电量数据处理；</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统计功能包括：分钟、刻钟、小时、日月年的线路、圈占上网电量的汇总统计、厂用电电量统计、超欠统计、峰平谷统计等；</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计算功能：可按指定线路或能量区域和给定时段计算分时电量、汇总电量等，并形成报表。</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原始数据、统计数据查询；</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电表参数、装置参数查询；</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系统参数查询；</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支持按时间、对象或组合方式查询。</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可按指定对象和时间手动/自动生成各种报表；</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报表具有预览、编辑、打印等功能;</w:t>
      </w:r>
    </w:p>
    <w:p>
      <w:pPr>
        <w:pStyle w:val="120"/>
        <w:numPr>
          <w:ilvl w:val="1"/>
          <w:numId w:val="62"/>
        </w:numPr>
        <w:spacing w:before="72" w:after="72" w:line="300" w:lineRule="auto"/>
        <w:ind w:left="1470" w:hanging="420"/>
        <w:rPr>
          <w:rFonts w:hAnsi="宋体"/>
          <w:bCs/>
          <w:sz w:val="21"/>
          <w:szCs w:val="21"/>
        </w:rPr>
      </w:pPr>
      <w:r>
        <w:rPr>
          <w:rFonts w:hint="eastAsia" w:hAnsi="宋体"/>
          <w:bCs/>
          <w:sz w:val="21"/>
          <w:szCs w:val="21"/>
        </w:rPr>
        <w:t>报表数据可以导出为文本文件或Excel文件；</w:t>
      </w:r>
    </w:p>
    <w:p>
      <w:pPr>
        <w:pStyle w:val="120"/>
        <w:numPr>
          <w:ilvl w:val="0"/>
          <w:numId w:val="55"/>
        </w:numPr>
        <w:spacing w:before="72" w:after="72" w:line="300" w:lineRule="auto"/>
        <w:ind w:left="1470" w:hanging="420"/>
        <w:rPr>
          <w:rFonts w:hAnsi="宋体"/>
          <w:color w:val="000000"/>
          <w:sz w:val="21"/>
          <w:szCs w:val="21"/>
        </w:rPr>
      </w:pPr>
      <w:r>
        <w:rPr>
          <w:rFonts w:hint="eastAsia" w:hAnsi="宋体"/>
          <w:color w:val="000000"/>
          <w:sz w:val="21"/>
          <w:szCs w:val="21"/>
        </w:rPr>
        <w:t>辅助抄表</w:t>
      </w:r>
      <w:r>
        <w:rPr>
          <w:rFonts w:hint="eastAsia" w:hAnsi="宋体"/>
          <w:bCs/>
          <w:color w:val="000000"/>
          <w:sz w:val="21"/>
          <w:szCs w:val="21"/>
        </w:rPr>
        <w:t>软件</w:t>
      </w:r>
    </w:p>
    <w:p>
      <w:pPr>
        <w:snapToGrid w:val="0"/>
        <w:spacing w:before="72" w:after="72" w:line="300" w:lineRule="auto"/>
        <w:ind w:left="840" w:leftChars="400"/>
        <w:rPr>
          <w:rFonts w:ascii="宋体" w:hAnsi="宋体"/>
          <w:szCs w:val="21"/>
        </w:rPr>
      </w:pPr>
      <w:r>
        <w:rPr>
          <w:rFonts w:hint="eastAsia" w:ascii="宋体" w:hAnsi="宋体"/>
          <w:szCs w:val="21"/>
        </w:rPr>
        <w:t>在调度系统与电站电量采集装置通讯中断时，工作人员可使用辅助抄表软件到现场通过电量采集装置硬连接直接抄录电量数据，并生成加密和不加密的数据文件，加密的数据文件送到调度经调度系统解密入库，确保电量数据的完整。</w:t>
      </w:r>
    </w:p>
    <w:p>
      <w:pPr>
        <w:pStyle w:val="120"/>
        <w:numPr>
          <w:ilvl w:val="0"/>
          <w:numId w:val="55"/>
        </w:numPr>
        <w:spacing w:before="72" w:after="72" w:line="300" w:lineRule="auto"/>
        <w:ind w:left="1470" w:hanging="420"/>
        <w:rPr>
          <w:rFonts w:hAnsi="宋体"/>
          <w:sz w:val="21"/>
          <w:szCs w:val="21"/>
        </w:rPr>
      </w:pPr>
      <w:r>
        <w:rPr>
          <w:rFonts w:hint="eastAsia" w:hAnsi="宋体"/>
          <w:sz w:val="21"/>
          <w:szCs w:val="21"/>
        </w:rPr>
        <w:t>盘柜</w:t>
      </w:r>
    </w:p>
    <w:p>
      <w:pPr>
        <w:pStyle w:val="120"/>
        <w:spacing w:before="72" w:after="72" w:line="300" w:lineRule="auto"/>
        <w:ind w:left="1470" w:hanging="420"/>
        <w:rPr>
          <w:rFonts w:hAnsi="宋体"/>
          <w:sz w:val="21"/>
          <w:szCs w:val="21"/>
        </w:rPr>
      </w:pPr>
      <w:r>
        <w:rPr>
          <w:rFonts w:hint="eastAsia" w:hAnsi="宋体"/>
          <w:sz w:val="21"/>
          <w:szCs w:val="21"/>
        </w:rPr>
        <w:t>采用800X600X2260（宽X深X高，mm），高包括60mm的门楣，下进线。</w:t>
      </w:r>
    </w:p>
    <w:p>
      <w:pPr>
        <w:pStyle w:val="6"/>
        <w:widowControl w:val="0"/>
        <w:numPr>
          <w:ilvl w:val="1"/>
          <w:numId w:val="48"/>
        </w:numPr>
        <w:tabs>
          <w:tab w:val="left" w:pos="709"/>
          <w:tab w:val="clear" w:pos="1106"/>
        </w:tabs>
        <w:snapToGrid/>
        <w:spacing w:after="72" w:line="300" w:lineRule="auto"/>
        <w:ind w:left="709" w:hanging="709"/>
        <w:jc w:val="both"/>
        <w:rPr>
          <w:rFonts w:ascii="宋体" w:hAnsi="宋体" w:cs="Arial"/>
          <w:sz w:val="24"/>
          <w:szCs w:val="24"/>
        </w:rPr>
      </w:pPr>
      <w:bookmarkStart w:id="688" w:name="_Toc390352736"/>
      <w:bookmarkEnd w:id="688"/>
      <w:bookmarkStart w:id="689" w:name="_Toc131303187"/>
      <w:bookmarkEnd w:id="689"/>
      <w:bookmarkStart w:id="690" w:name="_Toc130219776"/>
      <w:bookmarkEnd w:id="690"/>
      <w:bookmarkStart w:id="691" w:name="_Toc390352737"/>
      <w:bookmarkEnd w:id="691"/>
      <w:bookmarkStart w:id="692" w:name="_Toc404808194"/>
      <w:bookmarkEnd w:id="692"/>
      <w:bookmarkStart w:id="693" w:name="_Toc72415714"/>
      <w:bookmarkStart w:id="694" w:name="_Toc143589484"/>
      <w:r>
        <w:rPr>
          <w:rFonts w:hint="eastAsia" w:ascii="宋体" w:hAnsi="宋体" w:cs="Arial"/>
          <w:sz w:val="24"/>
          <w:szCs w:val="24"/>
        </w:rPr>
        <w:t>同步相量测量装置（PMU）</w:t>
      </w:r>
      <w:bookmarkEnd w:id="693"/>
      <w:bookmarkEnd w:id="694"/>
    </w:p>
    <w:p>
      <w:pPr>
        <w:pStyle w:val="7"/>
        <w:widowControl w:val="0"/>
        <w:numPr>
          <w:ilvl w:val="2"/>
          <w:numId w:val="48"/>
        </w:numPr>
        <w:tabs>
          <w:tab w:val="left" w:pos="709"/>
          <w:tab w:val="clear" w:pos="964"/>
        </w:tabs>
        <w:overflowPunct w:val="0"/>
        <w:spacing w:line="360" w:lineRule="auto"/>
        <w:ind w:hangingChars="459"/>
        <w:jc w:val="both"/>
        <w:rPr>
          <w:rFonts w:ascii="宋体" w:hAnsi="宋体"/>
          <w:bCs/>
          <w:sz w:val="21"/>
          <w:szCs w:val="21"/>
        </w:rPr>
      </w:pPr>
      <w:bookmarkStart w:id="695" w:name="_Toc31720533"/>
      <w:bookmarkEnd w:id="695"/>
      <w:bookmarkStart w:id="696" w:name="_Toc57986389"/>
      <w:r>
        <w:rPr>
          <w:rFonts w:hint="eastAsia" w:ascii="宋体" w:hAnsi="宋体"/>
          <w:bCs/>
          <w:sz w:val="21"/>
          <w:szCs w:val="21"/>
        </w:rPr>
        <w:t>装置的功能</w:t>
      </w:r>
      <w:bookmarkEnd w:id="696"/>
    </w:p>
    <w:p>
      <w:pPr>
        <w:pStyle w:val="8"/>
        <w:numPr>
          <w:ilvl w:val="3"/>
          <w:numId w:val="48"/>
        </w:numPr>
        <w:tabs>
          <w:tab w:val="clear" w:pos="1531"/>
        </w:tabs>
        <w:overflowPunct w:val="0"/>
        <w:spacing w:before="72" w:after="72" w:line="360" w:lineRule="auto"/>
        <w:ind w:left="964"/>
        <w:rPr>
          <w:rFonts w:ascii="宋体" w:hAnsi="宋体"/>
          <w:b/>
          <w:szCs w:val="21"/>
        </w:rPr>
      </w:pPr>
      <w:r>
        <w:rPr>
          <w:rFonts w:hint="eastAsia" w:ascii="宋体" w:hAnsi="宋体"/>
          <w:szCs w:val="21"/>
        </w:rPr>
        <w:t>数据采集：</w:t>
      </w:r>
    </w:p>
    <w:p>
      <w:pPr>
        <w:numPr>
          <w:ilvl w:val="0"/>
          <w:numId w:val="63"/>
        </w:numPr>
        <w:adjustRightInd w:val="0"/>
        <w:spacing w:line="360" w:lineRule="auto"/>
        <w:textAlignment w:val="baseline"/>
        <w:rPr>
          <w:rFonts w:ascii="宋体" w:hAnsi="宋体"/>
          <w:bCs/>
          <w:szCs w:val="21"/>
        </w:rPr>
      </w:pPr>
      <w:r>
        <w:rPr>
          <w:rFonts w:hint="eastAsia" w:ascii="宋体" w:hAnsi="宋体"/>
          <w:bCs/>
          <w:szCs w:val="21"/>
        </w:rPr>
        <w:t>同步测量采集点的三相基波电压、三相基波电流、电压电流的基波正序相量、频率；</w:t>
      </w:r>
    </w:p>
    <w:p>
      <w:pPr>
        <w:numPr>
          <w:ilvl w:val="0"/>
          <w:numId w:val="63"/>
        </w:numPr>
        <w:adjustRightInd w:val="0"/>
        <w:spacing w:line="360" w:lineRule="auto"/>
        <w:textAlignment w:val="baseline"/>
        <w:rPr>
          <w:rFonts w:ascii="宋体" w:hAnsi="宋体"/>
          <w:bCs/>
          <w:szCs w:val="21"/>
        </w:rPr>
      </w:pPr>
      <w:r>
        <w:rPr>
          <w:rFonts w:hint="eastAsia" w:ascii="宋体" w:hAnsi="宋体"/>
          <w:bCs/>
          <w:szCs w:val="21"/>
        </w:rPr>
        <w:t>同步测量采集点开关量信息，如断路器开关位置、刀闸位置等开关量信息。</w:t>
      </w:r>
    </w:p>
    <w:p>
      <w:pPr>
        <w:pStyle w:val="8"/>
        <w:numPr>
          <w:ilvl w:val="3"/>
          <w:numId w:val="48"/>
        </w:numPr>
        <w:tabs>
          <w:tab w:val="clear" w:pos="1531"/>
        </w:tabs>
        <w:overflowPunct w:val="0"/>
        <w:spacing w:before="72" w:after="72" w:line="360" w:lineRule="auto"/>
        <w:ind w:left="964"/>
        <w:rPr>
          <w:rFonts w:ascii="宋体" w:hAnsi="宋体"/>
          <w:szCs w:val="21"/>
        </w:rPr>
      </w:pPr>
      <w:r>
        <w:rPr>
          <w:rFonts w:hint="eastAsia" w:ascii="宋体" w:hAnsi="宋体"/>
          <w:szCs w:val="21"/>
        </w:rPr>
        <w:t>实时数据记录</w:t>
      </w:r>
    </w:p>
    <w:p>
      <w:pPr>
        <w:numPr>
          <w:ilvl w:val="0"/>
          <w:numId w:val="64"/>
        </w:numPr>
        <w:adjustRightInd w:val="0"/>
        <w:spacing w:line="360" w:lineRule="auto"/>
        <w:textAlignment w:val="baseline"/>
        <w:rPr>
          <w:rFonts w:ascii="宋体" w:hAnsi="宋体"/>
          <w:bCs/>
          <w:szCs w:val="21"/>
        </w:rPr>
      </w:pPr>
      <w:r>
        <w:rPr>
          <w:rFonts w:hint="eastAsia" w:ascii="宋体" w:hAnsi="宋体"/>
          <w:bCs/>
          <w:kern w:val="21"/>
          <w:szCs w:val="21"/>
        </w:rPr>
        <w:t>连续记录所测电压电流基波正序相量、三相电压基波相量、三相电流基波相量、频率、频率变化率及开关状态信号；</w:t>
      </w:r>
    </w:p>
    <w:p>
      <w:pPr>
        <w:numPr>
          <w:ilvl w:val="0"/>
          <w:numId w:val="64"/>
        </w:numPr>
        <w:adjustRightInd w:val="0"/>
        <w:spacing w:line="360" w:lineRule="auto"/>
        <w:textAlignment w:val="baseline"/>
        <w:rPr>
          <w:rFonts w:ascii="宋体" w:hAnsi="宋体"/>
          <w:bCs/>
          <w:szCs w:val="21"/>
        </w:rPr>
      </w:pPr>
      <w:r>
        <w:rPr>
          <w:rFonts w:hint="eastAsia" w:ascii="宋体" w:hAnsi="宋体"/>
          <w:bCs/>
          <w:szCs w:val="21"/>
        </w:rPr>
        <w:t>当电力系统发生下列事件时装置能建立事件标识，方便用户获取事件发生时段的动态数据：</w:t>
      </w:r>
    </w:p>
    <w:p>
      <w:pPr>
        <w:numPr>
          <w:ilvl w:val="0"/>
          <w:numId w:val="65"/>
        </w:numPr>
        <w:topLinePunct/>
        <w:autoSpaceDE w:val="0"/>
        <w:autoSpaceDN w:val="0"/>
        <w:adjustRightInd w:val="0"/>
        <w:snapToGrid w:val="0"/>
        <w:spacing w:before="60" w:after="60" w:line="360" w:lineRule="auto"/>
        <w:jc w:val="left"/>
        <w:textAlignment w:val="baseline"/>
        <w:rPr>
          <w:rFonts w:ascii="宋体" w:hAnsi="宋体"/>
          <w:bCs/>
          <w:kern w:val="21"/>
          <w:szCs w:val="21"/>
        </w:rPr>
      </w:pPr>
      <w:r>
        <w:rPr>
          <w:rFonts w:hint="eastAsia" w:ascii="宋体" w:hAnsi="宋体"/>
          <w:bCs/>
          <w:kern w:val="21"/>
          <w:szCs w:val="21"/>
        </w:rPr>
        <w:t>频率越限；</w:t>
      </w:r>
    </w:p>
    <w:p>
      <w:pPr>
        <w:numPr>
          <w:ilvl w:val="0"/>
          <w:numId w:val="65"/>
        </w:numPr>
        <w:topLinePunct/>
        <w:autoSpaceDE w:val="0"/>
        <w:autoSpaceDN w:val="0"/>
        <w:adjustRightInd w:val="0"/>
        <w:snapToGrid w:val="0"/>
        <w:spacing w:before="60" w:after="60" w:line="360" w:lineRule="auto"/>
        <w:jc w:val="left"/>
        <w:textAlignment w:val="baseline"/>
        <w:rPr>
          <w:rFonts w:ascii="宋体" w:hAnsi="宋体"/>
          <w:bCs/>
          <w:kern w:val="21"/>
          <w:szCs w:val="21"/>
        </w:rPr>
      </w:pPr>
      <w:r>
        <w:rPr>
          <w:rFonts w:hint="eastAsia" w:ascii="宋体" w:hAnsi="宋体"/>
          <w:bCs/>
          <w:kern w:val="21"/>
          <w:szCs w:val="21"/>
        </w:rPr>
        <w:t>频率变化率越限；</w:t>
      </w:r>
    </w:p>
    <w:p>
      <w:pPr>
        <w:numPr>
          <w:ilvl w:val="0"/>
          <w:numId w:val="65"/>
        </w:numPr>
        <w:topLinePunct/>
        <w:autoSpaceDE w:val="0"/>
        <w:autoSpaceDN w:val="0"/>
        <w:adjustRightInd w:val="0"/>
        <w:snapToGrid w:val="0"/>
        <w:spacing w:before="60" w:after="60" w:line="360" w:lineRule="auto"/>
        <w:jc w:val="left"/>
        <w:textAlignment w:val="baseline"/>
        <w:rPr>
          <w:rFonts w:ascii="宋体" w:hAnsi="宋体"/>
          <w:bCs/>
          <w:kern w:val="21"/>
          <w:szCs w:val="21"/>
        </w:rPr>
      </w:pPr>
      <w:r>
        <w:rPr>
          <w:rFonts w:hint="eastAsia" w:ascii="宋体" w:hAnsi="宋体"/>
          <w:bCs/>
          <w:kern w:val="21"/>
          <w:szCs w:val="21"/>
        </w:rPr>
        <w:t>幅值越上限，包括正序电压、正序电流、负序电压、负序电流、零序电压、零序电流、相电压、相电流越上限等；</w:t>
      </w:r>
    </w:p>
    <w:p>
      <w:pPr>
        <w:numPr>
          <w:ilvl w:val="0"/>
          <w:numId w:val="65"/>
        </w:numPr>
        <w:topLinePunct/>
        <w:autoSpaceDE w:val="0"/>
        <w:autoSpaceDN w:val="0"/>
        <w:adjustRightInd w:val="0"/>
        <w:snapToGrid w:val="0"/>
        <w:spacing w:before="60" w:after="60" w:line="360" w:lineRule="auto"/>
        <w:jc w:val="left"/>
        <w:textAlignment w:val="baseline"/>
        <w:rPr>
          <w:rFonts w:ascii="宋体" w:hAnsi="宋体"/>
          <w:bCs/>
          <w:kern w:val="21"/>
          <w:szCs w:val="21"/>
        </w:rPr>
      </w:pPr>
      <w:r>
        <w:rPr>
          <w:rFonts w:hint="eastAsia" w:ascii="宋体" w:hAnsi="宋体"/>
          <w:bCs/>
          <w:kern w:val="21"/>
          <w:szCs w:val="21"/>
        </w:rPr>
        <w:t>幅值越下限，包括正序电压、相电压越下限等。</w:t>
      </w:r>
    </w:p>
    <w:p>
      <w:pPr>
        <w:numPr>
          <w:ilvl w:val="0"/>
          <w:numId w:val="64"/>
        </w:numPr>
        <w:adjustRightInd w:val="0"/>
        <w:spacing w:line="360" w:lineRule="auto"/>
        <w:textAlignment w:val="baseline"/>
        <w:rPr>
          <w:rFonts w:ascii="宋体" w:hAnsi="宋体"/>
          <w:bCs/>
          <w:kern w:val="21"/>
          <w:szCs w:val="21"/>
        </w:rPr>
      </w:pPr>
      <w:r>
        <w:rPr>
          <w:rFonts w:hint="eastAsia" w:ascii="宋体" w:hAnsi="宋体"/>
          <w:bCs/>
          <w:kern w:val="21"/>
          <w:szCs w:val="21"/>
        </w:rPr>
        <w:t>实时记录装置告警信息，按照时间顺序存储方便运行人员查阅；PMU装置故障告警信息能通过硬接线上送至监控系统。</w:t>
      </w:r>
    </w:p>
    <w:p>
      <w:pPr>
        <w:numPr>
          <w:ilvl w:val="0"/>
          <w:numId w:val="64"/>
        </w:numPr>
        <w:adjustRightInd w:val="0"/>
        <w:spacing w:line="360" w:lineRule="auto"/>
        <w:textAlignment w:val="baseline"/>
        <w:rPr>
          <w:rFonts w:ascii="宋体" w:hAnsi="宋体"/>
          <w:bCs/>
          <w:kern w:val="21"/>
          <w:szCs w:val="21"/>
        </w:rPr>
      </w:pPr>
      <w:r>
        <w:rPr>
          <w:rFonts w:hint="eastAsia" w:ascii="宋体" w:hAnsi="宋体"/>
          <w:bCs/>
          <w:kern w:val="21"/>
          <w:szCs w:val="21"/>
        </w:rPr>
        <w:t>应完全满足《国网西南分部关于进一步加强西南电网并网 发电机网源协调性能在线实时监测工作的通知（（西南调〔2018〕70 号））》的相关要求。</w:t>
      </w:r>
    </w:p>
    <w:p>
      <w:pPr>
        <w:pStyle w:val="8"/>
        <w:numPr>
          <w:ilvl w:val="3"/>
          <w:numId w:val="48"/>
        </w:numPr>
        <w:tabs>
          <w:tab w:val="clear" w:pos="1531"/>
        </w:tabs>
        <w:overflowPunct w:val="0"/>
        <w:spacing w:before="72" w:after="72" w:line="360" w:lineRule="auto"/>
        <w:ind w:left="964"/>
        <w:rPr>
          <w:rFonts w:ascii="宋体" w:hAnsi="宋体"/>
          <w:kern w:val="2"/>
          <w:szCs w:val="21"/>
        </w:rPr>
      </w:pPr>
      <w:r>
        <w:rPr>
          <w:rFonts w:hint="eastAsia" w:ascii="宋体" w:hAnsi="宋体"/>
          <w:szCs w:val="21"/>
        </w:rPr>
        <w:t>实时数据通信</w:t>
      </w:r>
    </w:p>
    <w:p>
      <w:pPr>
        <w:numPr>
          <w:ilvl w:val="0"/>
          <w:numId w:val="66"/>
        </w:numPr>
        <w:adjustRightInd w:val="0"/>
        <w:spacing w:line="360" w:lineRule="auto"/>
        <w:textAlignment w:val="baseline"/>
        <w:rPr>
          <w:rFonts w:ascii="宋体" w:hAnsi="宋体"/>
          <w:bCs/>
          <w:kern w:val="21"/>
          <w:szCs w:val="21"/>
        </w:rPr>
      </w:pPr>
      <w:r>
        <w:rPr>
          <w:rFonts w:hint="eastAsia" w:ascii="宋体" w:hAnsi="宋体"/>
          <w:szCs w:val="21"/>
        </w:rPr>
        <w:t>实时</w:t>
      </w:r>
      <w:r>
        <w:rPr>
          <w:rFonts w:hint="eastAsia" w:ascii="宋体" w:hAnsi="宋体"/>
          <w:bCs/>
          <w:kern w:val="21"/>
          <w:szCs w:val="21"/>
        </w:rPr>
        <w:t>将电装置采集的电压相量、电流相量、频率等数据和装置的状态信息传送到主站；</w:t>
      </w:r>
    </w:p>
    <w:p>
      <w:pPr>
        <w:numPr>
          <w:ilvl w:val="0"/>
          <w:numId w:val="66"/>
        </w:numPr>
        <w:adjustRightInd w:val="0"/>
        <w:spacing w:line="360" w:lineRule="auto"/>
        <w:textAlignment w:val="baseline"/>
        <w:rPr>
          <w:rFonts w:ascii="宋体" w:hAnsi="宋体"/>
          <w:bCs/>
          <w:szCs w:val="21"/>
        </w:rPr>
      </w:pPr>
      <w:r>
        <w:rPr>
          <w:rFonts w:hint="eastAsia" w:ascii="宋体" w:hAnsi="宋体"/>
          <w:bCs/>
          <w:kern w:val="21"/>
          <w:szCs w:val="21"/>
        </w:rPr>
        <w:t>实时</w:t>
      </w:r>
      <w:r>
        <w:rPr>
          <w:rFonts w:hint="eastAsia" w:ascii="宋体" w:hAnsi="宋体"/>
          <w:bCs/>
          <w:szCs w:val="21"/>
        </w:rPr>
        <w:t>数据上传，支持一发多收，可同时与多个主站实时通信且互不影响；</w:t>
      </w:r>
    </w:p>
    <w:p>
      <w:pPr>
        <w:numPr>
          <w:ilvl w:val="0"/>
          <w:numId w:val="66"/>
        </w:numPr>
        <w:adjustRightInd w:val="0"/>
        <w:spacing w:line="360" w:lineRule="auto"/>
        <w:textAlignment w:val="baseline"/>
        <w:rPr>
          <w:rFonts w:ascii="宋体" w:hAnsi="宋体"/>
          <w:bCs/>
          <w:szCs w:val="21"/>
        </w:rPr>
      </w:pPr>
      <w:r>
        <w:rPr>
          <w:rFonts w:hint="eastAsia" w:ascii="宋体" w:hAnsi="宋体"/>
          <w:szCs w:val="21"/>
        </w:rPr>
        <w:t>装置</w:t>
      </w:r>
      <w:r>
        <w:rPr>
          <w:rFonts w:hint="eastAsia" w:ascii="宋体" w:hAnsi="宋体"/>
          <w:bCs/>
          <w:szCs w:val="21"/>
        </w:rPr>
        <w:t>动态数据的实时传送速率可以整定，具备10、25、50、100次/秒的可选速率；</w:t>
      </w:r>
    </w:p>
    <w:p>
      <w:pPr>
        <w:numPr>
          <w:ilvl w:val="0"/>
          <w:numId w:val="66"/>
        </w:numPr>
        <w:adjustRightInd w:val="0"/>
        <w:spacing w:line="360" w:lineRule="auto"/>
        <w:textAlignment w:val="baseline"/>
        <w:rPr>
          <w:rFonts w:ascii="宋体" w:hAnsi="宋体"/>
          <w:bCs/>
          <w:szCs w:val="21"/>
        </w:rPr>
      </w:pPr>
      <w:r>
        <w:rPr>
          <w:rFonts w:hint="eastAsia" w:ascii="宋体" w:hAnsi="宋体"/>
          <w:szCs w:val="21"/>
        </w:rPr>
        <w:t>装置</w:t>
      </w:r>
      <w:r>
        <w:rPr>
          <w:rFonts w:hint="eastAsia" w:ascii="宋体" w:hAnsi="宋体"/>
          <w:bCs/>
          <w:szCs w:val="21"/>
        </w:rPr>
        <w:t>和主站通信的应用层协议符合《实时动态监测系统传输协议》。</w:t>
      </w:r>
    </w:p>
    <w:p>
      <w:pPr>
        <w:pStyle w:val="8"/>
        <w:numPr>
          <w:ilvl w:val="3"/>
          <w:numId w:val="48"/>
        </w:numPr>
        <w:tabs>
          <w:tab w:val="clear" w:pos="1531"/>
        </w:tabs>
        <w:overflowPunct w:val="0"/>
        <w:spacing w:before="72" w:after="72" w:line="360" w:lineRule="auto"/>
        <w:ind w:left="964"/>
        <w:rPr>
          <w:rFonts w:ascii="宋体" w:hAnsi="宋体"/>
          <w:szCs w:val="21"/>
        </w:rPr>
      </w:pPr>
      <w:r>
        <w:rPr>
          <w:rFonts w:hint="eastAsia" w:ascii="宋体" w:hAnsi="宋体"/>
          <w:szCs w:val="21"/>
        </w:rPr>
        <w:t>人机界面功能</w:t>
      </w:r>
    </w:p>
    <w:p>
      <w:pPr>
        <w:numPr>
          <w:ilvl w:val="0"/>
          <w:numId w:val="67"/>
        </w:numPr>
        <w:adjustRightInd w:val="0"/>
        <w:spacing w:line="360" w:lineRule="auto"/>
        <w:textAlignment w:val="baseline"/>
        <w:rPr>
          <w:rFonts w:ascii="宋体" w:hAnsi="宋体"/>
          <w:szCs w:val="21"/>
        </w:rPr>
      </w:pPr>
      <w:r>
        <w:rPr>
          <w:rFonts w:hint="eastAsia" w:ascii="宋体" w:hAnsi="宋体"/>
          <w:szCs w:val="21"/>
        </w:rPr>
        <w:t>装置采用液晶显示，可实时显示同步时间、数据信息、通信状态等；</w:t>
      </w:r>
    </w:p>
    <w:p>
      <w:pPr>
        <w:numPr>
          <w:ilvl w:val="0"/>
          <w:numId w:val="67"/>
        </w:numPr>
        <w:adjustRightInd w:val="0"/>
        <w:spacing w:line="360" w:lineRule="auto"/>
        <w:textAlignment w:val="baseline"/>
        <w:rPr>
          <w:rFonts w:ascii="宋体" w:hAnsi="宋体"/>
          <w:szCs w:val="21"/>
        </w:rPr>
      </w:pPr>
      <w:r>
        <w:rPr>
          <w:rFonts w:hint="eastAsia" w:ascii="宋体" w:hAnsi="宋体"/>
          <w:szCs w:val="21"/>
        </w:rPr>
        <w:t>支持按照时间查询历史报告信息记录；</w:t>
      </w:r>
    </w:p>
    <w:p>
      <w:pPr>
        <w:numPr>
          <w:ilvl w:val="0"/>
          <w:numId w:val="67"/>
        </w:numPr>
        <w:adjustRightInd w:val="0"/>
        <w:spacing w:line="360" w:lineRule="auto"/>
        <w:textAlignment w:val="baseline"/>
        <w:rPr>
          <w:rFonts w:ascii="宋体" w:hAnsi="宋体"/>
          <w:szCs w:val="21"/>
        </w:rPr>
      </w:pPr>
      <w:r>
        <w:rPr>
          <w:rFonts w:hint="eastAsia" w:ascii="宋体" w:hAnsi="宋体"/>
          <w:szCs w:val="21"/>
        </w:rPr>
        <w:t>支持装置告警信号的传动功能测试。</w:t>
      </w:r>
    </w:p>
    <w:p>
      <w:pPr>
        <w:pStyle w:val="7"/>
        <w:widowControl w:val="0"/>
        <w:numPr>
          <w:ilvl w:val="2"/>
          <w:numId w:val="48"/>
        </w:numPr>
        <w:tabs>
          <w:tab w:val="left" w:pos="709"/>
          <w:tab w:val="clear" w:pos="964"/>
        </w:tabs>
        <w:overflowPunct w:val="0"/>
        <w:spacing w:line="360" w:lineRule="auto"/>
        <w:ind w:left="968" w:hanging="968" w:hangingChars="459"/>
        <w:jc w:val="both"/>
        <w:rPr>
          <w:rFonts w:ascii="宋体" w:hAnsi="宋体"/>
          <w:b/>
          <w:bCs/>
          <w:sz w:val="21"/>
          <w:szCs w:val="21"/>
        </w:rPr>
      </w:pPr>
      <w:bookmarkStart w:id="697" w:name="_Toc57986390"/>
      <w:bookmarkEnd w:id="697"/>
      <w:bookmarkStart w:id="698" w:name="_Toc31720534"/>
      <w:r>
        <w:rPr>
          <w:rFonts w:hint="eastAsia" w:ascii="宋体" w:hAnsi="宋体"/>
          <w:b/>
          <w:bCs/>
          <w:sz w:val="21"/>
          <w:szCs w:val="21"/>
        </w:rPr>
        <w:t>装置的主要技术性能</w:t>
      </w:r>
      <w:bookmarkEnd w:id="698"/>
    </w:p>
    <w:p>
      <w:pPr>
        <w:pStyle w:val="8"/>
        <w:numPr>
          <w:ilvl w:val="3"/>
          <w:numId w:val="48"/>
        </w:numPr>
        <w:tabs>
          <w:tab w:val="left" w:pos="851"/>
          <w:tab w:val="clear" w:pos="1531"/>
        </w:tabs>
        <w:overflowPunct w:val="0"/>
        <w:spacing w:before="72" w:after="72" w:line="360" w:lineRule="auto"/>
        <w:ind w:left="964"/>
        <w:rPr>
          <w:rFonts w:ascii="宋体" w:hAnsi="宋体"/>
          <w:b/>
          <w:szCs w:val="21"/>
        </w:rPr>
      </w:pPr>
      <w:r>
        <w:rPr>
          <w:rFonts w:hint="eastAsia" w:ascii="宋体" w:hAnsi="宋体"/>
          <w:szCs w:val="21"/>
        </w:rPr>
        <w:t>实时监测指标</w:t>
      </w:r>
    </w:p>
    <w:p>
      <w:pPr>
        <w:numPr>
          <w:ilvl w:val="0"/>
          <w:numId w:val="68"/>
        </w:numPr>
        <w:tabs>
          <w:tab w:val="left" w:pos="851"/>
          <w:tab w:val="clear" w:pos="1004"/>
        </w:tabs>
        <w:adjustRightInd w:val="0"/>
        <w:spacing w:line="360" w:lineRule="auto"/>
        <w:textAlignment w:val="baseline"/>
        <w:rPr>
          <w:rFonts w:ascii="宋体" w:hAnsi="宋体"/>
          <w:szCs w:val="21"/>
        </w:rPr>
      </w:pPr>
      <w:r>
        <w:rPr>
          <w:rFonts w:hint="eastAsia" w:ascii="宋体" w:hAnsi="宋体"/>
          <w:szCs w:val="21"/>
        </w:rPr>
        <w:t>传输方式</w:t>
      </w:r>
    </w:p>
    <w:p>
      <w:pPr>
        <w:snapToGrid w:val="0"/>
        <w:spacing w:before="72" w:after="72" w:line="300" w:lineRule="auto"/>
        <w:ind w:left="840" w:leftChars="400"/>
        <w:rPr>
          <w:rFonts w:ascii="宋体" w:hAnsi="宋体"/>
          <w:szCs w:val="21"/>
        </w:rPr>
      </w:pPr>
      <w:r>
        <w:rPr>
          <w:rFonts w:hint="eastAsia" w:ascii="宋体" w:hAnsi="宋体"/>
          <w:szCs w:val="21"/>
        </w:rPr>
        <w:t>装置按时间顺序逐次、均匀、实时传送动态数据，传送的动态数据中包含整秒时刻的数据。</w:t>
      </w:r>
    </w:p>
    <w:p>
      <w:pPr>
        <w:numPr>
          <w:ilvl w:val="0"/>
          <w:numId w:val="68"/>
        </w:numPr>
        <w:tabs>
          <w:tab w:val="left" w:pos="851"/>
          <w:tab w:val="clear" w:pos="1004"/>
        </w:tabs>
        <w:adjustRightInd w:val="0"/>
        <w:spacing w:line="360" w:lineRule="auto"/>
        <w:textAlignment w:val="baseline"/>
        <w:rPr>
          <w:rFonts w:ascii="宋体" w:hAnsi="宋体"/>
          <w:szCs w:val="21"/>
        </w:rPr>
      </w:pPr>
      <w:r>
        <w:rPr>
          <w:rFonts w:hint="eastAsia" w:ascii="宋体" w:hAnsi="宋体"/>
          <w:szCs w:val="21"/>
        </w:rPr>
        <w:t>输出时延</w:t>
      </w:r>
    </w:p>
    <w:p>
      <w:pPr>
        <w:snapToGrid w:val="0"/>
        <w:spacing w:before="72" w:after="72" w:line="300" w:lineRule="auto"/>
        <w:ind w:left="840" w:leftChars="400"/>
        <w:rPr>
          <w:rFonts w:ascii="宋体" w:hAnsi="宋体"/>
          <w:szCs w:val="21"/>
        </w:rPr>
      </w:pPr>
      <w:r>
        <w:rPr>
          <w:rFonts w:hint="eastAsia" w:ascii="宋体" w:hAnsi="宋体"/>
          <w:szCs w:val="21"/>
        </w:rPr>
        <w:t>装置实时传送的动态数据的输出延时，即实时传送的动态数据时标与数据输出时刻之时间差，不大于30ms。</w:t>
      </w:r>
    </w:p>
    <w:p>
      <w:pPr>
        <w:numPr>
          <w:ilvl w:val="0"/>
          <w:numId w:val="68"/>
        </w:numPr>
        <w:tabs>
          <w:tab w:val="left" w:pos="851"/>
          <w:tab w:val="clear" w:pos="1004"/>
        </w:tabs>
        <w:adjustRightInd w:val="0"/>
        <w:spacing w:line="360" w:lineRule="auto"/>
        <w:textAlignment w:val="baseline"/>
        <w:rPr>
          <w:rFonts w:ascii="宋体" w:hAnsi="宋体"/>
          <w:szCs w:val="21"/>
        </w:rPr>
      </w:pPr>
      <w:r>
        <w:rPr>
          <w:rFonts w:hint="eastAsia" w:ascii="宋体" w:hAnsi="宋体"/>
          <w:szCs w:val="21"/>
        </w:rPr>
        <w:t>实时传送速率</w:t>
      </w:r>
    </w:p>
    <w:p>
      <w:pPr>
        <w:snapToGrid w:val="0"/>
        <w:spacing w:before="72" w:after="72" w:line="300" w:lineRule="auto"/>
        <w:ind w:left="840" w:leftChars="400"/>
        <w:rPr>
          <w:rFonts w:ascii="宋体" w:hAnsi="宋体"/>
          <w:szCs w:val="21"/>
        </w:rPr>
      </w:pPr>
      <w:r>
        <w:rPr>
          <w:rFonts w:hint="eastAsia" w:ascii="宋体" w:hAnsi="宋体"/>
          <w:szCs w:val="21"/>
        </w:rPr>
        <w:t>装置动态数据的实时传送速率可以整定，具有1、10、25、50、100次/秒的可选速率。</w:t>
      </w:r>
    </w:p>
    <w:p>
      <w:pPr>
        <w:pStyle w:val="8"/>
        <w:numPr>
          <w:ilvl w:val="3"/>
          <w:numId w:val="48"/>
        </w:numPr>
        <w:tabs>
          <w:tab w:val="left" w:pos="851"/>
          <w:tab w:val="clear" w:pos="1531"/>
        </w:tabs>
        <w:overflowPunct w:val="0"/>
        <w:spacing w:before="72" w:after="72" w:line="360" w:lineRule="auto"/>
        <w:ind w:left="964"/>
        <w:rPr>
          <w:rFonts w:ascii="宋体" w:hAnsi="宋体"/>
          <w:szCs w:val="21"/>
        </w:rPr>
      </w:pPr>
      <w:r>
        <w:rPr>
          <w:rFonts w:hint="eastAsia" w:ascii="宋体" w:hAnsi="宋体"/>
          <w:szCs w:val="21"/>
        </w:rPr>
        <w:t>动态数据记录</w:t>
      </w:r>
    </w:p>
    <w:p>
      <w:pPr>
        <w:numPr>
          <w:ilvl w:val="0"/>
          <w:numId w:val="69"/>
        </w:numPr>
        <w:tabs>
          <w:tab w:val="left" w:pos="851"/>
          <w:tab w:val="clear" w:pos="1004"/>
        </w:tabs>
        <w:adjustRightInd w:val="0"/>
        <w:spacing w:line="300" w:lineRule="auto"/>
        <w:textAlignment w:val="baseline"/>
        <w:rPr>
          <w:rFonts w:ascii="宋体" w:hAnsi="宋体"/>
          <w:szCs w:val="21"/>
        </w:rPr>
      </w:pPr>
      <w:r>
        <w:rPr>
          <w:rFonts w:hint="eastAsia" w:ascii="宋体" w:hAnsi="宋体"/>
          <w:szCs w:val="21"/>
        </w:rPr>
        <w:t>存储格式</w:t>
      </w:r>
    </w:p>
    <w:p>
      <w:pPr>
        <w:snapToGrid w:val="0"/>
        <w:spacing w:before="72" w:after="72" w:line="300" w:lineRule="auto"/>
        <w:ind w:left="840" w:leftChars="400"/>
        <w:rPr>
          <w:rFonts w:ascii="宋体" w:hAnsi="宋体"/>
          <w:szCs w:val="21"/>
        </w:rPr>
      </w:pPr>
      <w:r>
        <w:rPr>
          <w:rFonts w:hint="eastAsia" w:ascii="宋体" w:hAnsi="宋体"/>
          <w:szCs w:val="21"/>
        </w:rPr>
        <w:t>装置能按照“电力系统实时动态监测系统技术规范（试行版第一次修改稿）”第11章的格式存储动态数据。</w:t>
      </w:r>
    </w:p>
    <w:p>
      <w:pPr>
        <w:numPr>
          <w:ilvl w:val="0"/>
          <w:numId w:val="69"/>
        </w:numPr>
        <w:tabs>
          <w:tab w:val="left" w:pos="851"/>
          <w:tab w:val="clear" w:pos="1004"/>
        </w:tabs>
        <w:adjustRightInd w:val="0"/>
        <w:spacing w:line="300" w:lineRule="auto"/>
        <w:textAlignment w:val="baseline"/>
        <w:rPr>
          <w:rFonts w:ascii="宋体" w:hAnsi="宋体"/>
          <w:szCs w:val="21"/>
        </w:rPr>
      </w:pPr>
      <w:r>
        <w:rPr>
          <w:rFonts w:hint="eastAsia" w:ascii="宋体" w:hAnsi="宋体"/>
          <w:szCs w:val="21"/>
        </w:rPr>
        <w:t>记录速率</w:t>
      </w:r>
    </w:p>
    <w:p>
      <w:pPr>
        <w:snapToGrid w:val="0"/>
        <w:spacing w:before="72" w:after="72" w:line="300" w:lineRule="auto"/>
        <w:ind w:left="840" w:leftChars="400"/>
        <w:rPr>
          <w:rFonts w:ascii="宋体" w:hAnsi="宋体"/>
          <w:szCs w:val="21"/>
        </w:rPr>
      </w:pPr>
      <w:r>
        <w:rPr>
          <w:rFonts w:hint="eastAsia" w:ascii="宋体" w:hAnsi="宋体"/>
          <w:szCs w:val="21"/>
        </w:rPr>
        <w:t>装置动态数据的最高记录速率不低于4800次/秒，并具有多种可选记录速率：记录速率是实时传送速率的整数倍。</w:t>
      </w:r>
    </w:p>
    <w:p>
      <w:pPr>
        <w:numPr>
          <w:ilvl w:val="0"/>
          <w:numId w:val="69"/>
        </w:numPr>
        <w:tabs>
          <w:tab w:val="left" w:pos="851"/>
          <w:tab w:val="clear" w:pos="1004"/>
        </w:tabs>
        <w:adjustRightInd w:val="0"/>
        <w:spacing w:line="300" w:lineRule="auto"/>
        <w:textAlignment w:val="baseline"/>
        <w:rPr>
          <w:rFonts w:ascii="宋体" w:hAnsi="宋体"/>
          <w:szCs w:val="21"/>
        </w:rPr>
      </w:pPr>
      <w:r>
        <w:rPr>
          <w:rFonts w:hint="eastAsia" w:ascii="宋体" w:hAnsi="宋体"/>
          <w:szCs w:val="21"/>
        </w:rPr>
        <w:t>保存时间</w:t>
      </w:r>
    </w:p>
    <w:p>
      <w:pPr>
        <w:snapToGrid w:val="0"/>
        <w:spacing w:before="72" w:after="72" w:line="300" w:lineRule="auto"/>
        <w:ind w:left="840" w:leftChars="400"/>
        <w:rPr>
          <w:rFonts w:ascii="宋体" w:hAnsi="宋体"/>
          <w:szCs w:val="21"/>
        </w:rPr>
      </w:pPr>
      <w:r>
        <w:rPr>
          <w:rFonts w:hint="eastAsia" w:ascii="宋体" w:hAnsi="宋体"/>
          <w:szCs w:val="21"/>
        </w:rPr>
        <w:t>装置动态数据的保存时间不少于14天。</w:t>
      </w:r>
    </w:p>
    <w:p>
      <w:pPr>
        <w:numPr>
          <w:ilvl w:val="0"/>
          <w:numId w:val="69"/>
        </w:numPr>
        <w:tabs>
          <w:tab w:val="left" w:pos="851"/>
          <w:tab w:val="clear" w:pos="1004"/>
        </w:tabs>
        <w:adjustRightInd w:val="0"/>
        <w:spacing w:line="300" w:lineRule="auto"/>
        <w:textAlignment w:val="baseline"/>
        <w:rPr>
          <w:rFonts w:ascii="宋体" w:hAnsi="宋体"/>
          <w:szCs w:val="21"/>
        </w:rPr>
      </w:pPr>
      <w:r>
        <w:rPr>
          <w:rFonts w:hint="eastAsia" w:ascii="宋体" w:hAnsi="宋体"/>
          <w:szCs w:val="21"/>
        </w:rPr>
        <w:t>事件标识</w:t>
      </w:r>
    </w:p>
    <w:p>
      <w:pPr>
        <w:pStyle w:val="120"/>
        <w:numPr>
          <w:ilvl w:val="1"/>
          <w:numId w:val="70"/>
        </w:numPr>
        <w:spacing w:before="72" w:after="72" w:line="300" w:lineRule="auto"/>
        <w:ind w:left="1470" w:hanging="420"/>
        <w:rPr>
          <w:rFonts w:hAnsi="宋体"/>
          <w:sz w:val="21"/>
          <w:szCs w:val="21"/>
        </w:rPr>
      </w:pPr>
      <w:r>
        <w:rPr>
          <w:rFonts w:hint="eastAsia" w:hAnsi="宋体"/>
          <w:color w:val="000000"/>
          <w:sz w:val="21"/>
          <w:szCs w:val="21"/>
        </w:rPr>
        <w:t>当电力系统发生下列事件时装置能建立事件标识，方便用户获取事件发生时段</w:t>
      </w:r>
      <w:r>
        <w:rPr>
          <w:rFonts w:hint="eastAsia" w:hAnsi="宋体"/>
          <w:sz w:val="21"/>
          <w:szCs w:val="21"/>
        </w:rPr>
        <w:t>的动态数据：</w:t>
      </w:r>
    </w:p>
    <w:p>
      <w:pPr>
        <w:pStyle w:val="120"/>
        <w:numPr>
          <w:ilvl w:val="1"/>
          <w:numId w:val="70"/>
        </w:numPr>
        <w:spacing w:before="72" w:after="72" w:line="300" w:lineRule="auto"/>
        <w:ind w:left="1470" w:hanging="420"/>
        <w:rPr>
          <w:rFonts w:hAnsi="宋体"/>
          <w:sz w:val="21"/>
          <w:szCs w:val="21"/>
        </w:rPr>
      </w:pPr>
      <w:r>
        <w:rPr>
          <w:rFonts w:hint="eastAsia" w:hAnsi="宋体"/>
          <w:color w:val="000000"/>
          <w:sz w:val="21"/>
          <w:szCs w:val="21"/>
        </w:rPr>
        <w:t>频率</w:t>
      </w:r>
      <w:r>
        <w:rPr>
          <w:rFonts w:hint="eastAsia" w:hAnsi="宋体"/>
          <w:sz w:val="21"/>
          <w:szCs w:val="21"/>
        </w:rPr>
        <w:t>越限；</w:t>
      </w:r>
    </w:p>
    <w:p>
      <w:pPr>
        <w:pStyle w:val="120"/>
        <w:numPr>
          <w:ilvl w:val="1"/>
          <w:numId w:val="70"/>
        </w:numPr>
        <w:spacing w:before="72" w:after="72" w:line="300" w:lineRule="auto"/>
        <w:ind w:left="1470" w:hanging="420"/>
        <w:rPr>
          <w:rFonts w:hAnsi="宋体"/>
          <w:sz w:val="21"/>
          <w:szCs w:val="21"/>
        </w:rPr>
      </w:pPr>
      <w:r>
        <w:rPr>
          <w:rFonts w:hint="eastAsia" w:hAnsi="宋体"/>
          <w:sz w:val="21"/>
          <w:szCs w:val="21"/>
        </w:rPr>
        <w:t>频率变化率越限；</w:t>
      </w:r>
    </w:p>
    <w:p>
      <w:pPr>
        <w:pStyle w:val="120"/>
        <w:numPr>
          <w:ilvl w:val="1"/>
          <w:numId w:val="70"/>
        </w:numPr>
        <w:spacing w:before="72" w:after="72" w:line="300" w:lineRule="auto"/>
        <w:ind w:left="1470" w:hanging="420"/>
        <w:rPr>
          <w:rFonts w:hAnsi="宋体"/>
          <w:sz w:val="21"/>
          <w:szCs w:val="21"/>
        </w:rPr>
      </w:pPr>
      <w:r>
        <w:rPr>
          <w:rFonts w:hint="eastAsia" w:hAnsi="宋体"/>
          <w:sz w:val="21"/>
          <w:szCs w:val="21"/>
        </w:rPr>
        <w:t>幅值越上限，包括正序电压、正序电流、负序电压、负序电流、零序电压、零序电流、相电压、相电流越上限等；</w:t>
      </w:r>
    </w:p>
    <w:p>
      <w:pPr>
        <w:pStyle w:val="120"/>
        <w:numPr>
          <w:ilvl w:val="1"/>
          <w:numId w:val="70"/>
        </w:numPr>
        <w:spacing w:before="72" w:after="72" w:line="300" w:lineRule="auto"/>
        <w:ind w:left="1470" w:hanging="420"/>
        <w:rPr>
          <w:rFonts w:hAnsi="宋体"/>
          <w:sz w:val="21"/>
          <w:szCs w:val="21"/>
        </w:rPr>
      </w:pPr>
      <w:r>
        <w:rPr>
          <w:rFonts w:hint="eastAsia" w:hAnsi="宋体"/>
          <w:sz w:val="21"/>
          <w:szCs w:val="21"/>
        </w:rPr>
        <w:t>幅值越下限，包括正序电压、相电压越下限等；</w:t>
      </w:r>
    </w:p>
    <w:p>
      <w:pPr>
        <w:pStyle w:val="120"/>
        <w:numPr>
          <w:ilvl w:val="1"/>
          <w:numId w:val="70"/>
        </w:numPr>
        <w:spacing w:before="72" w:after="72" w:line="300" w:lineRule="auto"/>
        <w:ind w:left="1470" w:hanging="420"/>
        <w:rPr>
          <w:rFonts w:hAnsi="宋体"/>
          <w:sz w:val="21"/>
          <w:szCs w:val="21"/>
        </w:rPr>
      </w:pPr>
      <w:r>
        <w:rPr>
          <w:rFonts w:hint="eastAsia" w:hAnsi="宋体"/>
          <w:sz w:val="21"/>
          <w:szCs w:val="21"/>
        </w:rPr>
        <w:t>当装置监测到继电保护或／和安全自动装置跳闸输出信号（空接点）或接到手动记录命令时建立事件标识，方便用户获取对应时段的动态数据。</w:t>
      </w:r>
    </w:p>
    <w:p>
      <w:pPr>
        <w:pStyle w:val="120"/>
        <w:numPr>
          <w:ilvl w:val="1"/>
          <w:numId w:val="70"/>
        </w:numPr>
        <w:spacing w:before="72" w:after="72" w:line="300" w:lineRule="auto"/>
        <w:ind w:left="1470" w:hanging="420"/>
        <w:rPr>
          <w:rFonts w:hAnsi="宋体"/>
          <w:sz w:val="21"/>
          <w:szCs w:val="21"/>
        </w:rPr>
      </w:pPr>
      <w:r>
        <w:rPr>
          <w:rFonts w:hint="eastAsia" w:hAnsi="宋体"/>
          <w:sz w:val="21"/>
          <w:szCs w:val="21"/>
        </w:rPr>
        <w:t>当同步时钟信号丢失、异常以及同步时钟信号恢复正常时，装置建立事件标识。</w:t>
      </w:r>
    </w:p>
    <w:p>
      <w:pPr>
        <w:pStyle w:val="8"/>
        <w:numPr>
          <w:ilvl w:val="3"/>
          <w:numId w:val="48"/>
        </w:numPr>
        <w:tabs>
          <w:tab w:val="left" w:pos="851"/>
          <w:tab w:val="clear" w:pos="1531"/>
        </w:tabs>
        <w:overflowPunct w:val="0"/>
        <w:spacing w:before="72" w:after="72" w:line="360" w:lineRule="auto"/>
        <w:ind w:left="964"/>
        <w:rPr>
          <w:rFonts w:ascii="宋体" w:hAnsi="宋体"/>
          <w:szCs w:val="21"/>
        </w:rPr>
      </w:pPr>
      <w:r>
        <w:rPr>
          <w:rFonts w:hint="eastAsia" w:ascii="宋体" w:hAnsi="宋体"/>
          <w:szCs w:val="21"/>
        </w:rPr>
        <w:t>装置通信</w:t>
      </w:r>
    </w:p>
    <w:p>
      <w:pPr>
        <w:snapToGrid w:val="0"/>
        <w:spacing w:before="72" w:after="72" w:line="300" w:lineRule="auto"/>
        <w:ind w:left="840" w:leftChars="400"/>
        <w:rPr>
          <w:rFonts w:ascii="宋体" w:hAnsi="宋体"/>
          <w:szCs w:val="21"/>
        </w:rPr>
      </w:pPr>
      <w:r>
        <w:rPr>
          <w:rFonts w:hint="eastAsia" w:ascii="宋体" w:hAnsi="宋体"/>
          <w:szCs w:val="21"/>
        </w:rPr>
        <w:t>PMU 装置应经调度数据网向调度主站端传送，支持8条链路配置。</w:t>
      </w:r>
    </w:p>
    <w:p>
      <w:pPr>
        <w:pStyle w:val="8"/>
        <w:numPr>
          <w:ilvl w:val="3"/>
          <w:numId w:val="48"/>
        </w:numPr>
        <w:tabs>
          <w:tab w:val="left" w:pos="851"/>
          <w:tab w:val="clear" w:pos="1531"/>
        </w:tabs>
        <w:overflowPunct w:val="0"/>
        <w:spacing w:before="72" w:after="72" w:line="360" w:lineRule="auto"/>
        <w:ind w:left="964"/>
        <w:rPr>
          <w:rFonts w:ascii="宋体" w:hAnsi="宋体"/>
          <w:szCs w:val="21"/>
        </w:rPr>
      </w:pPr>
      <w:r>
        <w:rPr>
          <w:rFonts w:hint="eastAsia" w:ascii="宋体" w:hAnsi="宋体"/>
          <w:szCs w:val="21"/>
        </w:rPr>
        <w:t>时钟同步</w:t>
      </w:r>
    </w:p>
    <w:p>
      <w:pPr>
        <w:numPr>
          <w:ilvl w:val="0"/>
          <w:numId w:val="71"/>
        </w:numPr>
        <w:tabs>
          <w:tab w:val="left" w:pos="851"/>
          <w:tab w:val="clear" w:pos="1004"/>
        </w:tabs>
        <w:adjustRightInd w:val="0"/>
        <w:spacing w:line="300" w:lineRule="auto"/>
        <w:textAlignment w:val="baseline"/>
        <w:rPr>
          <w:rFonts w:ascii="宋体" w:hAnsi="宋体"/>
          <w:szCs w:val="21"/>
        </w:rPr>
      </w:pPr>
      <w:r>
        <w:rPr>
          <w:rFonts w:hint="eastAsia" w:ascii="宋体" w:hAnsi="宋体"/>
          <w:szCs w:val="21"/>
        </w:rPr>
        <w:t>基准时钟源</w:t>
      </w:r>
    </w:p>
    <w:p>
      <w:pPr>
        <w:snapToGrid w:val="0"/>
        <w:spacing w:before="72" w:after="72" w:line="300" w:lineRule="auto"/>
        <w:ind w:left="840" w:leftChars="400"/>
        <w:rPr>
          <w:rFonts w:ascii="宋体" w:hAnsi="宋体"/>
          <w:szCs w:val="21"/>
        </w:rPr>
      </w:pPr>
      <w:r>
        <w:rPr>
          <w:rFonts w:hint="eastAsia" w:ascii="宋体" w:hAnsi="宋体"/>
          <w:szCs w:val="21"/>
        </w:rPr>
        <w:t>装置</w:t>
      </w:r>
      <w:r>
        <w:rPr>
          <w:rFonts w:hint="eastAsia" w:ascii="宋体" w:hAnsi="宋体"/>
          <w:color w:val="000000"/>
          <w:szCs w:val="21"/>
        </w:rPr>
        <w:t>应能接收电站时钟同步系统（其他卖方提供）</w:t>
      </w:r>
      <w:r>
        <w:rPr>
          <w:rFonts w:hint="eastAsia" w:ascii="宋体" w:hAnsi="宋体"/>
          <w:szCs w:val="21"/>
        </w:rPr>
        <w:t>作为数据采样的基准时钟源。</w:t>
      </w:r>
    </w:p>
    <w:p>
      <w:pPr>
        <w:snapToGrid w:val="0"/>
        <w:spacing w:before="72" w:after="72" w:line="300" w:lineRule="auto"/>
        <w:ind w:left="840" w:leftChars="400"/>
        <w:rPr>
          <w:rFonts w:ascii="宋体" w:hAnsi="宋体"/>
          <w:szCs w:val="21"/>
        </w:rPr>
      </w:pPr>
      <w:r>
        <w:rPr>
          <w:rFonts w:hint="eastAsia" w:ascii="宋体" w:hAnsi="宋体"/>
          <w:szCs w:val="21"/>
        </w:rPr>
        <w:t>装置利用同步时钟的秒脉冲同步装置的采样脉冲，采样脉冲的同步误差不大于±1μs。为保证同步精度，可使用独立的同步时钟接收系统。</w:t>
      </w:r>
    </w:p>
    <w:p>
      <w:pPr>
        <w:snapToGrid w:val="0"/>
        <w:spacing w:before="72" w:after="72" w:line="300" w:lineRule="auto"/>
        <w:ind w:left="840" w:leftChars="400"/>
        <w:rPr>
          <w:rFonts w:ascii="宋体" w:hAnsi="宋体"/>
          <w:szCs w:val="21"/>
        </w:rPr>
      </w:pPr>
      <w:r>
        <w:rPr>
          <w:rFonts w:hint="eastAsia" w:ascii="宋体" w:hAnsi="宋体"/>
          <w:szCs w:val="21"/>
        </w:rPr>
        <w:t>电站目前只能提供脉冲、网络和串口B码对时方式，若不能满足该系统对时方式，卖方应自行提供成功接入全厂统一时钟所需的设备（包括对侧时钟信号输出接口和本侧时钟信号输入接口）并成功接入全厂统一对时系统。</w:t>
      </w:r>
    </w:p>
    <w:p>
      <w:pPr>
        <w:numPr>
          <w:ilvl w:val="0"/>
          <w:numId w:val="71"/>
        </w:numPr>
        <w:tabs>
          <w:tab w:val="left" w:pos="851"/>
          <w:tab w:val="clear" w:pos="1004"/>
        </w:tabs>
        <w:adjustRightInd w:val="0"/>
        <w:spacing w:line="300" w:lineRule="auto"/>
        <w:textAlignment w:val="baseline"/>
        <w:rPr>
          <w:rFonts w:ascii="宋体" w:hAnsi="宋体"/>
          <w:szCs w:val="21"/>
        </w:rPr>
      </w:pPr>
      <w:r>
        <w:rPr>
          <w:rFonts w:hint="eastAsia" w:ascii="宋体" w:hAnsi="宋体"/>
          <w:szCs w:val="21"/>
        </w:rPr>
        <w:t>相位延迟的校正</w:t>
      </w:r>
    </w:p>
    <w:p>
      <w:pPr>
        <w:snapToGrid w:val="0"/>
        <w:spacing w:before="72" w:after="72" w:line="300" w:lineRule="auto"/>
        <w:ind w:left="840" w:leftChars="400"/>
        <w:rPr>
          <w:rFonts w:ascii="宋体" w:hAnsi="宋体"/>
          <w:szCs w:val="21"/>
        </w:rPr>
      </w:pPr>
      <w:r>
        <w:rPr>
          <w:rFonts w:hint="eastAsia" w:ascii="宋体" w:hAnsi="宋体"/>
          <w:szCs w:val="21"/>
        </w:rPr>
        <w:t>装置内部造成的任何相位延迟必须被校正。</w:t>
      </w:r>
    </w:p>
    <w:p>
      <w:pPr>
        <w:pStyle w:val="8"/>
        <w:numPr>
          <w:ilvl w:val="3"/>
          <w:numId w:val="48"/>
        </w:numPr>
        <w:tabs>
          <w:tab w:val="left" w:pos="851"/>
          <w:tab w:val="clear" w:pos="1531"/>
        </w:tabs>
        <w:overflowPunct w:val="0"/>
        <w:spacing w:before="72" w:after="72" w:line="360" w:lineRule="auto"/>
        <w:ind w:left="964"/>
        <w:rPr>
          <w:rFonts w:ascii="宋体" w:hAnsi="宋体"/>
          <w:szCs w:val="21"/>
        </w:rPr>
      </w:pPr>
      <w:r>
        <w:rPr>
          <w:rFonts w:hint="eastAsia" w:ascii="宋体" w:hAnsi="宋体"/>
          <w:szCs w:val="21"/>
        </w:rPr>
        <w:t>采集元件的准确度</w:t>
      </w:r>
    </w:p>
    <w:p>
      <w:pPr>
        <w:snapToGrid w:val="0"/>
        <w:spacing w:before="72" w:after="72" w:line="300" w:lineRule="auto"/>
        <w:ind w:left="840" w:leftChars="400"/>
        <w:rPr>
          <w:rFonts w:ascii="宋体" w:hAnsi="宋体"/>
          <w:szCs w:val="21"/>
        </w:rPr>
      </w:pPr>
      <w:r>
        <w:rPr>
          <w:rFonts w:hint="eastAsia" w:ascii="宋体" w:hAnsi="宋体"/>
          <w:szCs w:val="21"/>
        </w:rPr>
        <w:t>装置采用高速高精度采样，装置A/D转换精度应不小于16bits，采样频率不低于4800Hz;</w:t>
      </w:r>
    </w:p>
    <w:p>
      <w:pPr>
        <w:numPr>
          <w:ilvl w:val="0"/>
          <w:numId w:val="72"/>
        </w:numPr>
        <w:adjustRightInd w:val="0"/>
        <w:spacing w:line="300" w:lineRule="auto"/>
        <w:ind w:hanging="437"/>
        <w:textAlignment w:val="baseline"/>
        <w:rPr>
          <w:rFonts w:ascii="宋体" w:hAnsi="宋体"/>
          <w:szCs w:val="21"/>
        </w:rPr>
      </w:pPr>
      <w:r>
        <w:rPr>
          <w:rFonts w:hint="eastAsia" w:ascii="宋体" w:hAnsi="宋体"/>
          <w:szCs w:val="21"/>
        </w:rPr>
        <w:t>在45Hz～70Hz频率范围内，电压相量采集范围和采集误差应满足表2.1的规定。</w:t>
      </w:r>
    </w:p>
    <w:p>
      <w:pPr>
        <w:numPr>
          <w:ilvl w:val="0"/>
          <w:numId w:val="72"/>
        </w:numPr>
        <w:adjustRightInd w:val="0"/>
        <w:spacing w:line="300" w:lineRule="auto"/>
        <w:ind w:hanging="437"/>
        <w:textAlignment w:val="baseline"/>
        <w:rPr>
          <w:rFonts w:ascii="宋体" w:hAnsi="宋体"/>
          <w:szCs w:val="21"/>
        </w:rPr>
      </w:pPr>
      <w:r>
        <w:rPr>
          <w:rFonts w:hint="eastAsia" w:ascii="宋体" w:hAnsi="宋体"/>
          <w:szCs w:val="21"/>
        </w:rPr>
        <w:t>在45Hz～70Hz频率范围内，电流相量采集范围和采集误差应满足表2.2a及2.2b的规定。</w:t>
      </w:r>
    </w:p>
    <w:p>
      <w:pPr>
        <w:numPr>
          <w:ilvl w:val="0"/>
          <w:numId w:val="72"/>
        </w:numPr>
        <w:adjustRightInd w:val="0"/>
        <w:spacing w:line="300" w:lineRule="auto"/>
        <w:ind w:hanging="437"/>
        <w:textAlignment w:val="baseline"/>
        <w:rPr>
          <w:rFonts w:ascii="宋体" w:hAnsi="宋体"/>
          <w:szCs w:val="21"/>
        </w:rPr>
      </w:pPr>
      <w:r>
        <w:rPr>
          <w:rFonts w:hint="eastAsia" w:ascii="宋体" w:hAnsi="宋体"/>
          <w:szCs w:val="21"/>
        </w:rPr>
        <w:t>频率影响：频率偏离45Hz～70Hz范围1Hz时，要求幅值采集误差改变量不大于额定频率时采集误差极限值的50%，相角采集误差改变量不大于0.5°；频率偏离45Hz～70Hz范围3Hz时，要求幅值采集误差改变量不大于额定频率时采集误差极限值的100%，相角采集误差改变量不大于1°。</w:t>
      </w:r>
    </w:p>
    <w:p>
      <w:pPr>
        <w:numPr>
          <w:ilvl w:val="0"/>
          <w:numId w:val="72"/>
        </w:numPr>
        <w:adjustRightInd w:val="0"/>
        <w:spacing w:line="300" w:lineRule="auto"/>
        <w:ind w:hanging="437"/>
        <w:textAlignment w:val="baseline"/>
        <w:rPr>
          <w:rFonts w:ascii="宋体" w:hAnsi="宋体"/>
          <w:szCs w:val="21"/>
        </w:rPr>
      </w:pPr>
      <w:r>
        <w:rPr>
          <w:rFonts w:hint="eastAsia" w:ascii="宋体" w:hAnsi="宋体"/>
          <w:szCs w:val="21"/>
        </w:rPr>
        <w:t>谐波影响：叠加10%的13次及以下次数的谐波电压，基波电压幅值采集误差要求同a），角度误差改变量不大于0.5°。</w:t>
      </w:r>
    </w:p>
    <w:p>
      <w:pPr>
        <w:snapToGrid w:val="0"/>
        <w:spacing w:line="300" w:lineRule="auto"/>
        <w:ind w:firstLine="630" w:firstLineChars="300"/>
        <w:rPr>
          <w:rFonts w:ascii="宋体" w:hAnsi="宋体"/>
          <w:szCs w:val="21"/>
        </w:rPr>
      </w:pPr>
      <w:r>
        <w:rPr>
          <w:rFonts w:hint="eastAsia" w:ascii="宋体" w:hAnsi="宋体"/>
          <w:szCs w:val="21"/>
        </w:rPr>
        <w:t>表2.1电压相量采集的相对误差要求</w:t>
      </w:r>
    </w:p>
    <w:tbl>
      <w:tblPr>
        <w:tblStyle w:val="71"/>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1740"/>
        <w:gridCol w:w="1843"/>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ind w:firstLine="420"/>
              <w:textAlignment w:val="baseline"/>
              <w:rPr>
                <w:rFonts w:ascii="宋体" w:hAnsi="宋体"/>
                <w:szCs w:val="21"/>
              </w:rPr>
            </w:pPr>
            <w:r>
              <w:rPr>
                <w:rFonts w:hint="eastAsia" w:ascii="宋体" w:hAnsi="宋体"/>
                <w:szCs w:val="21"/>
              </w:rPr>
              <w:t>输入电压</w:t>
            </w:r>
          </w:p>
        </w:tc>
        <w:tc>
          <w:tcPr>
            <w:tcW w:w="1740" w:type="dxa"/>
            <w:tcBorders>
              <w:top w:val="single" w:color="auto" w:sz="4" w:space="0"/>
              <w:left w:val="nil"/>
              <w:bottom w:val="single" w:color="auto" w:sz="4" w:space="0"/>
              <w:right w:val="single" w:color="auto" w:sz="4" w:space="0"/>
            </w:tcBorders>
            <w:vAlign w:val="center"/>
          </w:tcPr>
          <w:p>
            <w:pPr>
              <w:overflowPunct w:val="0"/>
              <w:adjustRightInd w:val="0"/>
              <w:snapToGrid w:val="0"/>
              <w:textAlignment w:val="baseline"/>
              <w:rPr>
                <w:rFonts w:ascii="宋体" w:hAnsi="宋体"/>
                <w:szCs w:val="21"/>
              </w:rPr>
            </w:pPr>
            <w:r>
              <w:rPr>
                <w:rFonts w:hint="eastAsia" w:ascii="宋体" w:hAnsi="宋体"/>
                <w:szCs w:val="21"/>
              </w:rPr>
              <w:t>0.1Un≤U&lt;0.2Un</w:t>
            </w:r>
          </w:p>
        </w:tc>
        <w:tc>
          <w:tcPr>
            <w:tcW w:w="1843" w:type="dxa"/>
            <w:tcBorders>
              <w:top w:val="single" w:color="auto" w:sz="4" w:space="0"/>
              <w:left w:val="nil"/>
              <w:bottom w:val="single" w:color="auto" w:sz="4" w:space="0"/>
              <w:right w:val="single" w:color="auto" w:sz="4" w:space="0"/>
            </w:tcBorders>
            <w:vAlign w:val="center"/>
          </w:tcPr>
          <w:p>
            <w:pPr>
              <w:overflowPunct w:val="0"/>
              <w:adjustRightInd w:val="0"/>
              <w:snapToGrid w:val="0"/>
              <w:textAlignment w:val="baseline"/>
              <w:rPr>
                <w:rFonts w:ascii="宋体" w:hAnsi="宋体"/>
                <w:szCs w:val="21"/>
              </w:rPr>
            </w:pPr>
            <w:r>
              <w:rPr>
                <w:rFonts w:hint="eastAsia" w:ascii="宋体" w:hAnsi="宋体"/>
                <w:szCs w:val="21"/>
              </w:rPr>
              <w:t>0.2Un≤U&lt;0.5Un</w:t>
            </w:r>
          </w:p>
        </w:tc>
        <w:tc>
          <w:tcPr>
            <w:tcW w:w="1843" w:type="dxa"/>
            <w:tcBorders>
              <w:top w:val="single" w:color="auto" w:sz="4" w:space="0"/>
              <w:left w:val="nil"/>
              <w:bottom w:val="single" w:color="auto" w:sz="4" w:space="0"/>
              <w:right w:val="single" w:color="auto" w:sz="4" w:space="0"/>
            </w:tcBorders>
            <w:vAlign w:val="center"/>
          </w:tcPr>
          <w:p>
            <w:pPr>
              <w:overflowPunct w:val="0"/>
              <w:adjustRightInd w:val="0"/>
              <w:snapToGrid w:val="0"/>
              <w:textAlignment w:val="baseline"/>
              <w:rPr>
                <w:rFonts w:ascii="宋体" w:hAnsi="宋体"/>
                <w:szCs w:val="21"/>
              </w:rPr>
            </w:pPr>
            <w:r>
              <w:rPr>
                <w:rFonts w:hint="eastAsia" w:ascii="宋体" w:hAnsi="宋体"/>
                <w:szCs w:val="21"/>
              </w:rPr>
              <w:t>0.5Un≤U&lt;1.2Un</w:t>
            </w:r>
          </w:p>
        </w:tc>
        <w:tc>
          <w:tcPr>
            <w:tcW w:w="1701" w:type="dxa"/>
            <w:tcBorders>
              <w:top w:val="single" w:color="auto" w:sz="4" w:space="0"/>
              <w:left w:val="nil"/>
              <w:bottom w:val="single" w:color="auto" w:sz="4" w:space="0"/>
              <w:right w:val="single" w:color="auto" w:sz="4" w:space="0"/>
            </w:tcBorders>
            <w:vAlign w:val="center"/>
          </w:tcPr>
          <w:p>
            <w:pPr>
              <w:overflowPunct w:val="0"/>
              <w:adjustRightInd w:val="0"/>
              <w:snapToGrid w:val="0"/>
              <w:textAlignment w:val="baseline"/>
              <w:rPr>
                <w:rFonts w:ascii="宋体" w:hAnsi="宋体"/>
                <w:szCs w:val="21"/>
              </w:rPr>
            </w:pPr>
            <w:r>
              <w:rPr>
                <w:rFonts w:hint="eastAsia" w:ascii="宋体" w:hAnsi="宋体"/>
                <w:szCs w:val="21"/>
              </w:rPr>
              <w:t>1.2Un≤U≤2Un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textAlignment w:val="baseline"/>
              <w:rPr>
                <w:rFonts w:ascii="宋体" w:hAnsi="宋体"/>
                <w:szCs w:val="21"/>
              </w:rPr>
            </w:pPr>
            <w:r>
              <w:rPr>
                <w:rFonts w:hint="eastAsia" w:ascii="宋体" w:hAnsi="宋体"/>
                <w:szCs w:val="21"/>
              </w:rPr>
              <w:t>幅值采集误差极限</w:t>
            </w:r>
          </w:p>
        </w:tc>
        <w:tc>
          <w:tcPr>
            <w:tcW w:w="1740" w:type="dxa"/>
            <w:tcBorders>
              <w:top w:val="single" w:color="auto" w:sz="4" w:space="0"/>
              <w:left w:val="nil"/>
              <w:bottom w:val="single" w:color="auto" w:sz="4" w:space="0"/>
              <w:right w:val="single" w:color="auto" w:sz="4" w:space="0"/>
            </w:tcBorders>
            <w:vAlign w:val="center"/>
          </w:tcPr>
          <w:p>
            <w:pPr>
              <w:overflowPunct w:val="0"/>
              <w:adjustRightInd w:val="0"/>
              <w:snapToGrid w:val="0"/>
              <w:ind w:firstLine="420"/>
              <w:textAlignment w:val="baseline"/>
              <w:rPr>
                <w:rFonts w:ascii="宋体" w:hAnsi="宋体"/>
                <w:szCs w:val="21"/>
              </w:rPr>
            </w:pPr>
            <w:r>
              <w:rPr>
                <w:rFonts w:hint="eastAsia" w:ascii="宋体" w:hAnsi="宋体"/>
                <w:szCs w:val="21"/>
              </w:rPr>
              <w:t>1.0%</w:t>
            </w:r>
          </w:p>
        </w:tc>
        <w:tc>
          <w:tcPr>
            <w:tcW w:w="1843" w:type="dxa"/>
            <w:tcBorders>
              <w:top w:val="single" w:color="auto" w:sz="4" w:space="0"/>
              <w:left w:val="nil"/>
              <w:bottom w:val="single" w:color="auto" w:sz="4" w:space="0"/>
              <w:right w:val="single" w:color="auto" w:sz="4" w:space="0"/>
            </w:tcBorders>
            <w:vAlign w:val="center"/>
          </w:tcPr>
          <w:p>
            <w:pPr>
              <w:overflowPunct w:val="0"/>
              <w:adjustRightInd w:val="0"/>
              <w:snapToGrid w:val="0"/>
              <w:ind w:firstLine="420"/>
              <w:textAlignment w:val="baseline"/>
              <w:rPr>
                <w:rFonts w:ascii="宋体" w:hAnsi="宋体"/>
                <w:szCs w:val="21"/>
              </w:rPr>
            </w:pPr>
            <w:r>
              <w:rPr>
                <w:rFonts w:hint="eastAsia" w:ascii="宋体" w:hAnsi="宋体"/>
                <w:szCs w:val="21"/>
              </w:rPr>
              <w:t>0.5%</w:t>
            </w:r>
          </w:p>
        </w:tc>
        <w:tc>
          <w:tcPr>
            <w:tcW w:w="1843" w:type="dxa"/>
            <w:tcBorders>
              <w:top w:val="single" w:color="auto" w:sz="4" w:space="0"/>
              <w:left w:val="nil"/>
              <w:bottom w:val="single" w:color="auto" w:sz="4" w:space="0"/>
              <w:right w:val="single" w:color="auto" w:sz="4" w:space="0"/>
            </w:tcBorders>
            <w:vAlign w:val="center"/>
          </w:tcPr>
          <w:p>
            <w:pPr>
              <w:overflowPunct w:val="0"/>
              <w:adjustRightInd w:val="0"/>
              <w:snapToGrid w:val="0"/>
              <w:ind w:firstLine="420"/>
              <w:textAlignment w:val="baseline"/>
              <w:rPr>
                <w:rFonts w:ascii="宋体" w:hAnsi="宋体"/>
                <w:szCs w:val="21"/>
              </w:rPr>
            </w:pPr>
            <w:r>
              <w:rPr>
                <w:rFonts w:hint="eastAsia" w:ascii="宋体" w:hAnsi="宋体"/>
                <w:szCs w:val="21"/>
              </w:rPr>
              <w:t>0. 2%</w:t>
            </w:r>
          </w:p>
        </w:tc>
        <w:tc>
          <w:tcPr>
            <w:tcW w:w="1701" w:type="dxa"/>
            <w:tcBorders>
              <w:top w:val="single" w:color="auto" w:sz="4" w:space="0"/>
              <w:left w:val="nil"/>
              <w:bottom w:val="single" w:color="auto" w:sz="4" w:space="0"/>
              <w:right w:val="single" w:color="auto" w:sz="4" w:space="0"/>
            </w:tcBorders>
            <w:vAlign w:val="center"/>
          </w:tcPr>
          <w:p>
            <w:pPr>
              <w:overflowPunct w:val="0"/>
              <w:adjustRightInd w:val="0"/>
              <w:snapToGrid w:val="0"/>
              <w:ind w:firstLine="420"/>
              <w:textAlignment w:val="baseline"/>
              <w:rPr>
                <w:rFonts w:ascii="宋体" w:hAnsi="宋体"/>
                <w:szCs w:val="21"/>
              </w:rPr>
            </w:pPr>
            <w:r>
              <w:rPr>
                <w:rFonts w:hint="eastAsia" w:ascii="宋体" w:hAnsi="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textAlignment w:val="baseline"/>
              <w:rPr>
                <w:rFonts w:ascii="宋体" w:hAnsi="宋体"/>
                <w:szCs w:val="21"/>
              </w:rPr>
            </w:pPr>
            <w:r>
              <w:rPr>
                <w:rFonts w:hint="eastAsia" w:ascii="宋体" w:hAnsi="宋体"/>
                <w:szCs w:val="21"/>
              </w:rPr>
              <w:t>相角采集误差极限</w:t>
            </w:r>
          </w:p>
        </w:tc>
        <w:tc>
          <w:tcPr>
            <w:tcW w:w="1740" w:type="dxa"/>
            <w:tcBorders>
              <w:top w:val="single" w:color="auto" w:sz="4" w:space="0"/>
              <w:left w:val="nil"/>
              <w:bottom w:val="single" w:color="auto" w:sz="4" w:space="0"/>
              <w:right w:val="single" w:color="auto" w:sz="4" w:space="0"/>
            </w:tcBorders>
            <w:vAlign w:val="center"/>
          </w:tcPr>
          <w:p>
            <w:pPr>
              <w:overflowPunct w:val="0"/>
              <w:adjustRightInd w:val="0"/>
              <w:snapToGrid w:val="0"/>
              <w:ind w:firstLine="420"/>
              <w:textAlignment w:val="baseline"/>
              <w:rPr>
                <w:rFonts w:ascii="宋体" w:hAnsi="宋体"/>
                <w:szCs w:val="21"/>
              </w:rPr>
            </w:pPr>
            <w:r>
              <w:rPr>
                <w:rFonts w:hint="eastAsia" w:ascii="宋体" w:hAnsi="宋体"/>
                <w:szCs w:val="21"/>
              </w:rPr>
              <w:t>0.5°</w:t>
            </w:r>
          </w:p>
        </w:tc>
        <w:tc>
          <w:tcPr>
            <w:tcW w:w="1843" w:type="dxa"/>
            <w:tcBorders>
              <w:top w:val="single" w:color="auto" w:sz="4" w:space="0"/>
              <w:left w:val="nil"/>
              <w:bottom w:val="single" w:color="auto" w:sz="4" w:space="0"/>
              <w:right w:val="single" w:color="auto" w:sz="4" w:space="0"/>
            </w:tcBorders>
            <w:vAlign w:val="center"/>
          </w:tcPr>
          <w:p>
            <w:pPr>
              <w:overflowPunct w:val="0"/>
              <w:adjustRightInd w:val="0"/>
              <w:snapToGrid w:val="0"/>
              <w:ind w:firstLine="420"/>
              <w:textAlignment w:val="baseline"/>
              <w:rPr>
                <w:rFonts w:ascii="宋体" w:hAnsi="宋体"/>
                <w:szCs w:val="21"/>
              </w:rPr>
            </w:pPr>
            <w:r>
              <w:rPr>
                <w:rFonts w:hint="eastAsia" w:ascii="宋体" w:hAnsi="宋体"/>
                <w:szCs w:val="21"/>
              </w:rPr>
              <w:t>0.5°</w:t>
            </w:r>
          </w:p>
        </w:tc>
        <w:tc>
          <w:tcPr>
            <w:tcW w:w="1843" w:type="dxa"/>
            <w:tcBorders>
              <w:top w:val="single" w:color="auto" w:sz="4" w:space="0"/>
              <w:left w:val="nil"/>
              <w:bottom w:val="single" w:color="auto" w:sz="4" w:space="0"/>
              <w:right w:val="single" w:color="auto" w:sz="4" w:space="0"/>
            </w:tcBorders>
            <w:vAlign w:val="center"/>
          </w:tcPr>
          <w:p>
            <w:pPr>
              <w:overflowPunct w:val="0"/>
              <w:adjustRightInd w:val="0"/>
              <w:snapToGrid w:val="0"/>
              <w:ind w:firstLine="420"/>
              <w:textAlignment w:val="baseline"/>
              <w:rPr>
                <w:rFonts w:ascii="宋体" w:hAnsi="宋体"/>
                <w:szCs w:val="21"/>
              </w:rPr>
            </w:pPr>
            <w:r>
              <w:rPr>
                <w:rFonts w:hint="eastAsia" w:ascii="宋体" w:hAnsi="宋体"/>
                <w:szCs w:val="21"/>
              </w:rPr>
              <w:t>0.2°</w:t>
            </w:r>
          </w:p>
        </w:tc>
        <w:tc>
          <w:tcPr>
            <w:tcW w:w="1701" w:type="dxa"/>
            <w:tcBorders>
              <w:top w:val="single" w:color="auto" w:sz="4" w:space="0"/>
              <w:left w:val="nil"/>
              <w:bottom w:val="single" w:color="auto" w:sz="4" w:space="0"/>
              <w:right w:val="single" w:color="auto" w:sz="4" w:space="0"/>
            </w:tcBorders>
            <w:vAlign w:val="center"/>
          </w:tcPr>
          <w:p>
            <w:pPr>
              <w:overflowPunct w:val="0"/>
              <w:adjustRightInd w:val="0"/>
              <w:snapToGrid w:val="0"/>
              <w:ind w:firstLine="420"/>
              <w:textAlignment w:val="baseline"/>
              <w:rPr>
                <w:rFonts w:ascii="宋体" w:hAnsi="宋体"/>
                <w:szCs w:val="21"/>
              </w:rPr>
            </w:pPr>
            <w:r>
              <w:rPr>
                <w:rFonts w:hint="eastAsia" w:ascii="宋体" w:hAnsi="宋体"/>
                <w:szCs w:val="21"/>
              </w:rPr>
              <w:t>0.5°</w:t>
            </w:r>
          </w:p>
        </w:tc>
      </w:tr>
    </w:tbl>
    <w:p>
      <w:pPr>
        <w:snapToGrid w:val="0"/>
        <w:spacing w:line="300" w:lineRule="auto"/>
        <w:ind w:firstLine="420" w:firstLineChars="200"/>
        <w:rPr>
          <w:rFonts w:ascii="宋体" w:hAnsi="宋体"/>
          <w:szCs w:val="21"/>
        </w:rPr>
      </w:pPr>
    </w:p>
    <w:p>
      <w:pPr>
        <w:snapToGrid w:val="0"/>
        <w:spacing w:line="300" w:lineRule="auto"/>
        <w:ind w:firstLine="420" w:firstLineChars="200"/>
        <w:rPr>
          <w:rFonts w:ascii="宋体" w:hAnsi="宋体"/>
          <w:szCs w:val="21"/>
        </w:rPr>
      </w:pPr>
      <w:r>
        <w:rPr>
          <w:rFonts w:hint="eastAsia" w:ascii="宋体" w:hAnsi="宋体"/>
          <w:szCs w:val="21"/>
        </w:rPr>
        <w:t>表2.2a电流相量采集的相对误差要求（采集CT）</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输入电流</w:t>
            </w:r>
          </w:p>
        </w:tc>
        <w:tc>
          <w:tcPr>
            <w:tcW w:w="2130"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0.1In≤I&lt;0.2In</w:t>
            </w:r>
          </w:p>
        </w:tc>
        <w:tc>
          <w:tcPr>
            <w:tcW w:w="2131"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0.2In≤I&lt;0.5In</w:t>
            </w:r>
          </w:p>
        </w:tc>
        <w:tc>
          <w:tcPr>
            <w:tcW w:w="2131"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0.5In≤I&lt;1.2In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幅值采集误差极限</w:t>
            </w:r>
          </w:p>
        </w:tc>
        <w:tc>
          <w:tcPr>
            <w:tcW w:w="2130"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1.0%</w:t>
            </w:r>
          </w:p>
        </w:tc>
        <w:tc>
          <w:tcPr>
            <w:tcW w:w="2131"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0.5%</w:t>
            </w:r>
          </w:p>
        </w:tc>
        <w:tc>
          <w:tcPr>
            <w:tcW w:w="2131"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相角采集误差极限</w:t>
            </w:r>
          </w:p>
        </w:tc>
        <w:tc>
          <w:tcPr>
            <w:tcW w:w="2130"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1°</w:t>
            </w:r>
          </w:p>
        </w:tc>
        <w:tc>
          <w:tcPr>
            <w:tcW w:w="2131"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0.5°</w:t>
            </w:r>
          </w:p>
        </w:tc>
        <w:tc>
          <w:tcPr>
            <w:tcW w:w="2131"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0.5°</w:t>
            </w:r>
          </w:p>
        </w:tc>
      </w:tr>
    </w:tbl>
    <w:p>
      <w:pPr>
        <w:snapToGrid w:val="0"/>
        <w:spacing w:line="300" w:lineRule="auto"/>
        <w:ind w:firstLine="420" w:firstLineChars="200"/>
        <w:rPr>
          <w:rFonts w:ascii="宋体" w:hAnsi="宋体"/>
          <w:szCs w:val="21"/>
        </w:rPr>
      </w:pPr>
    </w:p>
    <w:p>
      <w:pPr>
        <w:snapToGrid w:val="0"/>
        <w:spacing w:line="300" w:lineRule="auto"/>
        <w:ind w:firstLine="420" w:firstLineChars="200"/>
        <w:rPr>
          <w:rFonts w:ascii="宋体" w:hAnsi="宋体"/>
          <w:szCs w:val="21"/>
        </w:rPr>
      </w:pPr>
      <w:r>
        <w:rPr>
          <w:rFonts w:hint="eastAsia" w:ascii="宋体" w:hAnsi="宋体"/>
          <w:szCs w:val="21"/>
        </w:rPr>
        <w:t>表2.2b电流相量采集的相对误差要求（保护CT）</w:t>
      </w:r>
    </w:p>
    <w:tbl>
      <w:tblPr>
        <w:tblStyle w:val="7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1809"/>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tcBorders>
              <w:top w:val="single" w:color="auto" w:sz="4" w:space="0"/>
              <w:left w:val="single" w:color="auto" w:sz="4" w:space="0"/>
              <w:bottom w:val="single" w:color="auto" w:sz="4" w:space="0"/>
              <w:right w:val="single" w:color="auto" w:sz="4" w:space="0"/>
            </w:tcBorders>
          </w:tcPr>
          <w:p>
            <w:pPr>
              <w:overflowPunct w:val="0"/>
              <w:adjustRightInd w:val="0"/>
              <w:snapToGrid w:val="0"/>
              <w:textAlignment w:val="baseline"/>
              <w:rPr>
                <w:rFonts w:ascii="宋体" w:hAnsi="宋体"/>
                <w:szCs w:val="21"/>
              </w:rPr>
            </w:pPr>
            <w:r>
              <w:rPr>
                <w:rFonts w:hint="eastAsia" w:ascii="宋体" w:hAnsi="宋体"/>
                <w:szCs w:val="21"/>
              </w:rPr>
              <w:t>输入电流</w:t>
            </w:r>
          </w:p>
        </w:tc>
        <w:tc>
          <w:tcPr>
            <w:tcW w:w="1809" w:type="dxa"/>
            <w:tcBorders>
              <w:top w:val="single" w:color="auto" w:sz="4" w:space="0"/>
              <w:left w:val="nil"/>
              <w:bottom w:val="single" w:color="auto" w:sz="4" w:space="0"/>
              <w:right w:val="single" w:color="auto" w:sz="4" w:space="0"/>
            </w:tcBorders>
          </w:tcPr>
          <w:p>
            <w:pPr>
              <w:overflowPunct w:val="0"/>
              <w:adjustRightInd w:val="0"/>
              <w:snapToGrid w:val="0"/>
              <w:textAlignment w:val="baseline"/>
              <w:rPr>
                <w:rFonts w:ascii="宋体" w:hAnsi="宋体"/>
                <w:szCs w:val="21"/>
              </w:rPr>
            </w:pPr>
            <w:r>
              <w:rPr>
                <w:rFonts w:hint="eastAsia" w:ascii="宋体" w:hAnsi="宋体"/>
                <w:szCs w:val="21"/>
              </w:rPr>
              <w:t>0.1In≤I&lt;0.2In</w:t>
            </w:r>
          </w:p>
        </w:tc>
        <w:tc>
          <w:tcPr>
            <w:tcW w:w="1704" w:type="dxa"/>
            <w:tcBorders>
              <w:top w:val="single" w:color="auto" w:sz="4" w:space="0"/>
              <w:left w:val="nil"/>
              <w:bottom w:val="single" w:color="auto" w:sz="4" w:space="0"/>
              <w:right w:val="single" w:color="auto" w:sz="4" w:space="0"/>
            </w:tcBorders>
          </w:tcPr>
          <w:p>
            <w:pPr>
              <w:overflowPunct w:val="0"/>
              <w:adjustRightInd w:val="0"/>
              <w:snapToGrid w:val="0"/>
              <w:textAlignment w:val="baseline"/>
              <w:rPr>
                <w:rFonts w:ascii="宋体" w:hAnsi="宋体"/>
                <w:szCs w:val="21"/>
              </w:rPr>
            </w:pPr>
            <w:r>
              <w:rPr>
                <w:rFonts w:hint="eastAsia" w:ascii="宋体" w:hAnsi="宋体"/>
                <w:szCs w:val="21"/>
              </w:rPr>
              <w:t>0.2In≤I&lt;0.5In</w:t>
            </w:r>
          </w:p>
        </w:tc>
        <w:tc>
          <w:tcPr>
            <w:tcW w:w="1705" w:type="dxa"/>
            <w:tcBorders>
              <w:top w:val="single" w:color="auto" w:sz="4" w:space="0"/>
              <w:left w:val="nil"/>
              <w:bottom w:val="single" w:color="auto" w:sz="4" w:space="0"/>
              <w:right w:val="single" w:color="auto" w:sz="4" w:space="0"/>
            </w:tcBorders>
          </w:tcPr>
          <w:p>
            <w:pPr>
              <w:overflowPunct w:val="0"/>
              <w:adjustRightInd w:val="0"/>
              <w:snapToGrid w:val="0"/>
              <w:textAlignment w:val="baseline"/>
              <w:rPr>
                <w:rFonts w:ascii="宋体" w:hAnsi="宋体"/>
                <w:szCs w:val="21"/>
              </w:rPr>
            </w:pPr>
            <w:r>
              <w:rPr>
                <w:rFonts w:hint="eastAsia" w:ascii="宋体" w:hAnsi="宋体"/>
                <w:szCs w:val="21"/>
              </w:rPr>
              <w:t>0.5In≤I&lt;2In</w:t>
            </w:r>
          </w:p>
        </w:tc>
        <w:tc>
          <w:tcPr>
            <w:tcW w:w="1705" w:type="dxa"/>
            <w:tcBorders>
              <w:top w:val="single" w:color="auto" w:sz="4" w:space="0"/>
              <w:left w:val="nil"/>
              <w:bottom w:val="single" w:color="auto" w:sz="4" w:space="0"/>
              <w:right w:val="single" w:color="auto" w:sz="4" w:space="0"/>
            </w:tcBorders>
          </w:tcPr>
          <w:p>
            <w:pPr>
              <w:overflowPunct w:val="0"/>
              <w:adjustRightInd w:val="0"/>
              <w:snapToGrid w:val="0"/>
              <w:textAlignment w:val="baseline"/>
              <w:rPr>
                <w:rFonts w:ascii="宋体" w:hAnsi="宋体"/>
                <w:szCs w:val="21"/>
              </w:rPr>
            </w:pPr>
            <w:r>
              <w:rPr>
                <w:rFonts w:hint="eastAsia" w:ascii="宋体" w:hAnsi="宋体"/>
                <w:szCs w:val="21"/>
              </w:rPr>
              <w:t>2In≤I&lt;20In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tcBorders>
              <w:top w:val="single" w:color="auto" w:sz="4" w:space="0"/>
              <w:left w:val="single" w:color="auto" w:sz="4" w:space="0"/>
              <w:bottom w:val="single" w:color="auto" w:sz="4" w:space="0"/>
              <w:right w:val="single" w:color="auto" w:sz="4" w:space="0"/>
            </w:tcBorders>
          </w:tcPr>
          <w:p>
            <w:pPr>
              <w:overflowPunct w:val="0"/>
              <w:adjustRightInd w:val="0"/>
              <w:snapToGrid w:val="0"/>
              <w:textAlignment w:val="baseline"/>
              <w:rPr>
                <w:rFonts w:ascii="宋体" w:hAnsi="宋体"/>
                <w:szCs w:val="21"/>
              </w:rPr>
            </w:pPr>
            <w:r>
              <w:rPr>
                <w:rFonts w:hint="eastAsia" w:ascii="宋体" w:hAnsi="宋体"/>
                <w:szCs w:val="21"/>
              </w:rPr>
              <w:t>幅值采集误差极限</w:t>
            </w:r>
          </w:p>
        </w:tc>
        <w:tc>
          <w:tcPr>
            <w:tcW w:w="1809"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2.0%</w:t>
            </w:r>
          </w:p>
        </w:tc>
        <w:tc>
          <w:tcPr>
            <w:tcW w:w="1704"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1.0%</w:t>
            </w:r>
          </w:p>
        </w:tc>
        <w:tc>
          <w:tcPr>
            <w:tcW w:w="1705"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0.5%</w:t>
            </w:r>
          </w:p>
        </w:tc>
        <w:tc>
          <w:tcPr>
            <w:tcW w:w="1705"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tcBorders>
              <w:top w:val="single" w:color="auto" w:sz="4" w:space="0"/>
              <w:left w:val="single" w:color="auto" w:sz="4" w:space="0"/>
              <w:bottom w:val="single" w:color="auto" w:sz="4" w:space="0"/>
              <w:right w:val="single" w:color="auto" w:sz="4" w:space="0"/>
            </w:tcBorders>
          </w:tcPr>
          <w:p>
            <w:pPr>
              <w:overflowPunct w:val="0"/>
              <w:adjustRightInd w:val="0"/>
              <w:snapToGrid w:val="0"/>
              <w:textAlignment w:val="baseline"/>
              <w:rPr>
                <w:rFonts w:ascii="宋体" w:hAnsi="宋体"/>
                <w:szCs w:val="21"/>
              </w:rPr>
            </w:pPr>
            <w:r>
              <w:rPr>
                <w:rFonts w:hint="eastAsia" w:ascii="宋体" w:hAnsi="宋体"/>
                <w:szCs w:val="21"/>
              </w:rPr>
              <w:t>相角采集误差极限</w:t>
            </w:r>
          </w:p>
        </w:tc>
        <w:tc>
          <w:tcPr>
            <w:tcW w:w="1809"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2°</w:t>
            </w:r>
          </w:p>
        </w:tc>
        <w:tc>
          <w:tcPr>
            <w:tcW w:w="1704"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1°</w:t>
            </w:r>
          </w:p>
        </w:tc>
        <w:tc>
          <w:tcPr>
            <w:tcW w:w="1705"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0.5°</w:t>
            </w:r>
          </w:p>
        </w:tc>
        <w:tc>
          <w:tcPr>
            <w:tcW w:w="1705" w:type="dxa"/>
            <w:tcBorders>
              <w:top w:val="single" w:color="auto" w:sz="4" w:space="0"/>
              <w:left w:val="nil"/>
              <w:bottom w:val="single" w:color="auto" w:sz="4" w:space="0"/>
              <w:right w:val="single" w:color="auto" w:sz="4" w:space="0"/>
            </w:tcBorders>
          </w:tcPr>
          <w:p>
            <w:pPr>
              <w:overflowPunct w:val="0"/>
              <w:adjustRightInd w:val="0"/>
              <w:snapToGrid w:val="0"/>
              <w:spacing w:line="360" w:lineRule="atLeast"/>
              <w:ind w:firstLine="420"/>
              <w:textAlignment w:val="baseline"/>
              <w:rPr>
                <w:rFonts w:ascii="宋体" w:hAnsi="宋体"/>
                <w:szCs w:val="21"/>
              </w:rPr>
            </w:pPr>
            <w:r>
              <w:rPr>
                <w:rFonts w:hint="eastAsia" w:ascii="宋体" w:hAnsi="宋体"/>
                <w:szCs w:val="21"/>
              </w:rPr>
              <w:t>1°</w:t>
            </w:r>
          </w:p>
        </w:tc>
      </w:tr>
    </w:tbl>
    <w:p>
      <w:pPr>
        <w:snapToGrid w:val="0"/>
        <w:spacing w:line="300" w:lineRule="auto"/>
        <w:rPr>
          <w:rFonts w:ascii="宋体" w:hAnsi="宋体"/>
          <w:szCs w:val="21"/>
        </w:rPr>
      </w:pPr>
    </w:p>
    <w:p>
      <w:pPr>
        <w:numPr>
          <w:ilvl w:val="0"/>
          <w:numId w:val="72"/>
        </w:numPr>
        <w:adjustRightInd w:val="0"/>
        <w:spacing w:line="300" w:lineRule="auto"/>
        <w:ind w:hanging="437"/>
        <w:textAlignment w:val="baseline"/>
        <w:rPr>
          <w:rFonts w:ascii="宋体" w:hAnsi="宋体"/>
          <w:szCs w:val="21"/>
        </w:rPr>
      </w:pPr>
      <w:r>
        <w:rPr>
          <w:rFonts w:hint="eastAsia" w:ascii="宋体" w:hAnsi="宋体"/>
          <w:szCs w:val="21"/>
        </w:rPr>
        <w:t>有功功率、无功功率采集精度</w:t>
      </w:r>
    </w:p>
    <w:p>
      <w:pPr>
        <w:pStyle w:val="120"/>
        <w:numPr>
          <w:ilvl w:val="1"/>
          <w:numId w:val="73"/>
        </w:numPr>
        <w:spacing w:before="72" w:after="72" w:line="300" w:lineRule="auto"/>
        <w:ind w:left="1470" w:hanging="420"/>
        <w:rPr>
          <w:rFonts w:hAnsi="宋体"/>
          <w:sz w:val="21"/>
          <w:szCs w:val="21"/>
        </w:rPr>
      </w:pPr>
      <w:r>
        <w:rPr>
          <w:rFonts w:hint="eastAsia" w:hAnsi="宋体"/>
          <w:sz w:val="21"/>
          <w:szCs w:val="21"/>
        </w:rPr>
        <w:t>在</w:t>
      </w:r>
      <w:r>
        <w:rPr>
          <w:rFonts w:hint="eastAsia" w:hAnsi="宋体"/>
          <w:color w:val="000000"/>
          <w:sz w:val="21"/>
          <w:szCs w:val="21"/>
        </w:rPr>
        <w:t>49Hz</w:t>
      </w:r>
      <w:r>
        <w:rPr>
          <w:rFonts w:hint="eastAsia" w:hAnsi="宋体"/>
          <w:sz w:val="21"/>
          <w:szCs w:val="21"/>
        </w:rPr>
        <w:t>～5IHz频率范围内，有功功率和无功功率的采集误差满足表2.3的规定。</w:t>
      </w:r>
    </w:p>
    <w:p>
      <w:pPr>
        <w:pStyle w:val="120"/>
        <w:numPr>
          <w:ilvl w:val="1"/>
          <w:numId w:val="73"/>
        </w:numPr>
        <w:spacing w:before="72" w:after="72" w:line="300" w:lineRule="auto"/>
        <w:ind w:left="1470" w:hanging="420"/>
        <w:rPr>
          <w:rFonts w:hAnsi="宋体"/>
          <w:sz w:val="21"/>
          <w:szCs w:val="21"/>
        </w:rPr>
      </w:pPr>
      <w:r>
        <w:rPr>
          <w:rFonts w:hint="eastAsia" w:hAnsi="宋体"/>
          <w:sz w:val="21"/>
          <w:szCs w:val="21"/>
        </w:rPr>
        <w:t>功率采集误差的计算公式为：</w:t>
      </w:r>
    </w:p>
    <w:p>
      <w:pPr>
        <w:snapToGrid w:val="0"/>
        <w:spacing w:line="300" w:lineRule="auto"/>
        <w:ind w:firstLine="420" w:firstLineChars="200"/>
        <w:jc w:val="center"/>
        <w:rPr>
          <w:rFonts w:ascii="宋体" w:hAnsi="宋体"/>
          <w:szCs w:val="21"/>
        </w:rPr>
      </w:pPr>
      <w:r>
        <w:rPr>
          <w:rFonts w:ascii="宋体" w:hAnsi="宋体"/>
          <w:szCs w:val="21"/>
        </w:rPr>
        <w:drawing>
          <wp:inline distT="0" distB="0" distL="0" distR="0">
            <wp:extent cx="3947160" cy="518160"/>
            <wp:effectExtent l="19050" t="0" r="0"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noChangeArrowheads="1"/>
                    </pic:cNvPicPr>
                  </pic:nvPicPr>
                  <pic:blipFill>
                    <a:blip r:embed="rId6"/>
                    <a:srcRect/>
                    <a:stretch>
                      <a:fillRect/>
                    </a:stretch>
                  </pic:blipFill>
                  <pic:spPr>
                    <a:xfrm>
                      <a:off x="0" y="0"/>
                      <a:ext cx="3947160" cy="518160"/>
                    </a:xfrm>
                    <a:prstGeom prst="rect">
                      <a:avLst/>
                    </a:prstGeom>
                    <a:noFill/>
                    <a:ln w="9525">
                      <a:noFill/>
                      <a:miter lim="800000"/>
                      <a:headEnd/>
                      <a:tailEnd/>
                    </a:ln>
                  </pic:spPr>
                </pic:pic>
              </a:graphicData>
            </a:graphic>
          </wp:inline>
        </w:drawing>
      </w:r>
    </w:p>
    <w:p>
      <w:pPr>
        <w:snapToGrid w:val="0"/>
        <w:spacing w:line="300" w:lineRule="auto"/>
        <w:ind w:firstLine="420" w:firstLineChars="200"/>
        <w:rPr>
          <w:rFonts w:ascii="宋体" w:hAnsi="宋体"/>
          <w:szCs w:val="21"/>
        </w:rPr>
      </w:pPr>
      <w:r>
        <w:rPr>
          <w:rFonts w:hint="eastAsia" w:ascii="宋体" w:hAnsi="宋体"/>
          <w:szCs w:val="21"/>
        </w:rPr>
        <w:t>表2.3功率采集误差极限要求</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overflowPunct w:val="0"/>
              <w:snapToGrid w:val="0"/>
              <w:ind w:right="420" w:firstLine="420"/>
              <w:rPr>
                <w:rFonts w:ascii="宋体" w:hAnsi="宋体"/>
                <w:szCs w:val="21"/>
              </w:rPr>
            </w:pPr>
            <w:r>
              <w:rPr>
                <w:rFonts w:hint="eastAsia" w:ascii="宋体" w:hAnsi="宋体"/>
                <w:szCs w:val="21"/>
              </w:rPr>
              <w:t>输入电压</w:t>
            </w:r>
          </w:p>
          <w:p>
            <w:pPr>
              <w:overflowPunct w:val="0"/>
              <w:adjustRightInd w:val="0"/>
              <w:snapToGrid w:val="0"/>
              <w:ind w:firstLine="420"/>
              <w:textAlignment w:val="baseline"/>
              <w:rPr>
                <w:rFonts w:ascii="宋体" w:hAnsi="宋体"/>
                <w:szCs w:val="21"/>
              </w:rPr>
            </w:pPr>
            <w:r>
              <w:rPr>
                <w:rFonts w:hint="eastAsia" w:ascii="宋体" w:hAnsi="宋体"/>
                <w:szCs w:val="21"/>
              </w:rPr>
              <w:t>输入电流</w:t>
            </w:r>
          </w:p>
        </w:tc>
        <w:tc>
          <w:tcPr>
            <w:tcW w:w="2130" w:type="dxa"/>
            <w:tcBorders>
              <w:top w:val="single" w:color="auto" w:sz="4" w:space="0"/>
              <w:left w:val="nil"/>
              <w:bottom w:val="single" w:color="auto" w:sz="4" w:space="0"/>
              <w:right w:val="single" w:color="auto" w:sz="4" w:space="0"/>
            </w:tcBorders>
          </w:tcPr>
          <w:p>
            <w:pPr>
              <w:overflowPunct w:val="0"/>
              <w:adjustRightInd w:val="0"/>
              <w:snapToGrid w:val="0"/>
              <w:ind w:firstLine="110"/>
              <w:textAlignment w:val="baseline"/>
              <w:rPr>
                <w:rFonts w:ascii="宋体" w:hAnsi="宋体"/>
                <w:szCs w:val="21"/>
              </w:rPr>
            </w:pPr>
            <w:r>
              <w:rPr>
                <w:rFonts w:hint="eastAsia" w:ascii="宋体" w:hAnsi="宋体"/>
                <w:szCs w:val="21"/>
              </w:rPr>
              <w:t>0.2Un≤U&lt;0.5Un</w:t>
            </w:r>
          </w:p>
        </w:tc>
        <w:tc>
          <w:tcPr>
            <w:tcW w:w="2131" w:type="dxa"/>
            <w:tcBorders>
              <w:top w:val="single" w:color="auto" w:sz="4" w:space="0"/>
              <w:left w:val="nil"/>
              <w:bottom w:val="single" w:color="auto" w:sz="4" w:space="0"/>
              <w:right w:val="single" w:color="auto" w:sz="4" w:space="0"/>
            </w:tcBorders>
          </w:tcPr>
          <w:p>
            <w:pPr>
              <w:overflowPunct w:val="0"/>
              <w:adjustRightInd w:val="0"/>
              <w:snapToGrid w:val="0"/>
              <w:ind w:firstLine="110"/>
              <w:textAlignment w:val="baseline"/>
              <w:rPr>
                <w:rFonts w:ascii="宋体" w:hAnsi="宋体"/>
                <w:szCs w:val="21"/>
              </w:rPr>
            </w:pPr>
            <w:r>
              <w:rPr>
                <w:rFonts w:hint="eastAsia" w:ascii="宋体" w:hAnsi="宋体"/>
                <w:szCs w:val="21"/>
              </w:rPr>
              <w:t>0.5Un≤U&lt;1.2Un</w:t>
            </w:r>
          </w:p>
        </w:tc>
        <w:tc>
          <w:tcPr>
            <w:tcW w:w="2131" w:type="dxa"/>
            <w:tcBorders>
              <w:top w:val="single" w:color="auto" w:sz="4" w:space="0"/>
              <w:left w:val="nil"/>
              <w:bottom w:val="single" w:color="auto" w:sz="4" w:space="0"/>
              <w:right w:val="single" w:color="auto" w:sz="4" w:space="0"/>
            </w:tcBorders>
          </w:tcPr>
          <w:p>
            <w:pPr>
              <w:overflowPunct w:val="0"/>
              <w:adjustRightInd w:val="0"/>
              <w:snapToGrid w:val="0"/>
              <w:ind w:firstLine="110"/>
              <w:textAlignment w:val="baseline"/>
              <w:rPr>
                <w:rFonts w:ascii="宋体" w:hAnsi="宋体"/>
                <w:szCs w:val="21"/>
              </w:rPr>
            </w:pPr>
            <w:r>
              <w:rPr>
                <w:rFonts w:hint="eastAsia" w:ascii="宋体" w:hAnsi="宋体"/>
                <w:szCs w:val="21"/>
              </w:rPr>
              <w:t>1.2Un≤U&lt;2.0Un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overflowPunct w:val="0"/>
              <w:adjustRightInd w:val="0"/>
              <w:snapToGrid w:val="0"/>
              <w:ind w:firstLine="420"/>
              <w:textAlignment w:val="baseline"/>
              <w:rPr>
                <w:rFonts w:ascii="宋体" w:hAnsi="宋体"/>
                <w:szCs w:val="21"/>
              </w:rPr>
            </w:pPr>
            <w:r>
              <w:rPr>
                <w:rFonts w:hint="eastAsia" w:ascii="宋体" w:hAnsi="宋体"/>
                <w:szCs w:val="21"/>
              </w:rPr>
              <w:t>0.2In≤I&lt;0.5In</w:t>
            </w:r>
          </w:p>
        </w:tc>
        <w:tc>
          <w:tcPr>
            <w:tcW w:w="2130" w:type="dxa"/>
            <w:tcBorders>
              <w:top w:val="single" w:color="auto" w:sz="4" w:space="0"/>
              <w:left w:val="nil"/>
              <w:bottom w:val="single" w:color="auto" w:sz="4" w:space="0"/>
              <w:right w:val="single" w:color="auto" w:sz="4" w:space="0"/>
            </w:tcBorders>
          </w:tcPr>
          <w:p>
            <w:pPr>
              <w:overflowPunct w:val="0"/>
              <w:adjustRightInd w:val="0"/>
              <w:snapToGrid w:val="0"/>
              <w:ind w:firstLine="420"/>
              <w:textAlignment w:val="baseline"/>
              <w:rPr>
                <w:rFonts w:ascii="宋体" w:hAnsi="宋体"/>
                <w:szCs w:val="21"/>
              </w:rPr>
            </w:pPr>
            <w:r>
              <w:rPr>
                <w:rFonts w:hint="eastAsia" w:ascii="宋体" w:hAnsi="宋体"/>
                <w:szCs w:val="21"/>
              </w:rPr>
              <w:t>2.0%</w:t>
            </w:r>
          </w:p>
        </w:tc>
        <w:tc>
          <w:tcPr>
            <w:tcW w:w="2131" w:type="dxa"/>
            <w:tcBorders>
              <w:top w:val="single" w:color="auto" w:sz="4" w:space="0"/>
              <w:left w:val="nil"/>
              <w:bottom w:val="single" w:color="auto" w:sz="4" w:space="0"/>
              <w:right w:val="single" w:color="auto" w:sz="4" w:space="0"/>
            </w:tcBorders>
          </w:tcPr>
          <w:p>
            <w:pPr>
              <w:overflowPunct w:val="0"/>
              <w:adjustRightInd w:val="0"/>
              <w:snapToGrid w:val="0"/>
              <w:ind w:firstLine="420"/>
              <w:textAlignment w:val="baseline"/>
              <w:rPr>
                <w:rFonts w:ascii="宋体" w:hAnsi="宋体"/>
                <w:szCs w:val="21"/>
              </w:rPr>
            </w:pPr>
            <w:r>
              <w:rPr>
                <w:rFonts w:hint="eastAsia" w:ascii="宋体" w:hAnsi="宋体"/>
                <w:szCs w:val="21"/>
              </w:rPr>
              <w:t>1.0%</w:t>
            </w:r>
          </w:p>
        </w:tc>
        <w:tc>
          <w:tcPr>
            <w:tcW w:w="2131" w:type="dxa"/>
            <w:tcBorders>
              <w:top w:val="single" w:color="auto" w:sz="4" w:space="0"/>
              <w:left w:val="nil"/>
              <w:bottom w:val="single" w:color="auto" w:sz="4" w:space="0"/>
              <w:right w:val="single" w:color="auto" w:sz="4" w:space="0"/>
            </w:tcBorders>
          </w:tcPr>
          <w:p>
            <w:pPr>
              <w:overflowPunct w:val="0"/>
              <w:adjustRightInd w:val="0"/>
              <w:snapToGrid w:val="0"/>
              <w:ind w:firstLine="420"/>
              <w:textAlignment w:val="baseline"/>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overflowPunct w:val="0"/>
              <w:adjustRightInd w:val="0"/>
              <w:snapToGrid w:val="0"/>
              <w:ind w:firstLine="420"/>
              <w:textAlignment w:val="baseline"/>
              <w:rPr>
                <w:rFonts w:ascii="宋体" w:hAnsi="宋体"/>
                <w:szCs w:val="21"/>
              </w:rPr>
            </w:pPr>
            <w:r>
              <w:rPr>
                <w:rFonts w:hint="eastAsia" w:ascii="宋体" w:hAnsi="宋体"/>
                <w:szCs w:val="21"/>
              </w:rPr>
              <w:t>0.5In≤I&lt;2In</w:t>
            </w:r>
          </w:p>
        </w:tc>
        <w:tc>
          <w:tcPr>
            <w:tcW w:w="2130" w:type="dxa"/>
            <w:tcBorders>
              <w:top w:val="single" w:color="auto" w:sz="4" w:space="0"/>
              <w:left w:val="nil"/>
              <w:bottom w:val="single" w:color="auto" w:sz="4" w:space="0"/>
              <w:right w:val="single" w:color="auto" w:sz="4" w:space="0"/>
            </w:tcBorders>
          </w:tcPr>
          <w:p>
            <w:pPr>
              <w:overflowPunct w:val="0"/>
              <w:adjustRightInd w:val="0"/>
              <w:snapToGrid w:val="0"/>
              <w:ind w:firstLine="420"/>
              <w:textAlignment w:val="baseline"/>
              <w:rPr>
                <w:rFonts w:ascii="宋体" w:hAnsi="宋体"/>
                <w:szCs w:val="21"/>
              </w:rPr>
            </w:pPr>
            <w:r>
              <w:rPr>
                <w:rFonts w:hint="eastAsia" w:ascii="宋体" w:hAnsi="宋体"/>
                <w:szCs w:val="21"/>
              </w:rPr>
              <w:t>1.0%</w:t>
            </w:r>
          </w:p>
        </w:tc>
        <w:tc>
          <w:tcPr>
            <w:tcW w:w="2131" w:type="dxa"/>
            <w:tcBorders>
              <w:top w:val="single" w:color="auto" w:sz="4" w:space="0"/>
              <w:left w:val="nil"/>
              <w:bottom w:val="single" w:color="auto" w:sz="4" w:space="0"/>
              <w:right w:val="single" w:color="auto" w:sz="4" w:space="0"/>
            </w:tcBorders>
          </w:tcPr>
          <w:p>
            <w:pPr>
              <w:overflowPunct w:val="0"/>
              <w:adjustRightInd w:val="0"/>
              <w:snapToGrid w:val="0"/>
              <w:ind w:firstLine="420"/>
              <w:textAlignment w:val="baseline"/>
              <w:rPr>
                <w:rFonts w:ascii="宋体" w:hAnsi="宋体"/>
                <w:szCs w:val="21"/>
              </w:rPr>
            </w:pPr>
            <w:r>
              <w:rPr>
                <w:rFonts w:hint="eastAsia" w:ascii="宋体" w:hAnsi="宋体"/>
                <w:szCs w:val="21"/>
              </w:rPr>
              <w:t>0.5%</w:t>
            </w:r>
          </w:p>
        </w:tc>
        <w:tc>
          <w:tcPr>
            <w:tcW w:w="2131" w:type="dxa"/>
            <w:tcBorders>
              <w:top w:val="single" w:color="auto" w:sz="4" w:space="0"/>
              <w:left w:val="nil"/>
              <w:bottom w:val="single" w:color="auto" w:sz="4" w:space="0"/>
              <w:right w:val="single" w:color="auto" w:sz="4" w:space="0"/>
            </w:tcBorders>
          </w:tcPr>
          <w:p>
            <w:pPr>
              <w:overflowPunct w:val="0"/>
              <w:adjustRightInd w:val="0"/>
              <w:snapToGrid w:val="0"/>
              <w:ind w:firstLine="420"/>
              <w:textAlignment w:val="baseline"/>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overflowPunct w:val="0"/>
              <w:adjustRightInd w:val="0"/>
              <w:snapToGrid w:val="0"/>
              <w:ind w:firstLine="420"/>
              <w:textAlignment w:val="baseline"/>
              <w:rPr>
                <w:rFonts w:ascii="宋体" w:hAnsi="宋体"/>
                <w:szCs w:val="21"/>
              </w:rPr>
            </w:pPr>
            <w:r>
              <w:rPr>
                <w:rFonts w:hint="eastAsia" w:ascii="宋体" w:hAnsi="宋体"/>
                <w:szCs w:val="21"/>
              </w:rPr>
              <w:t>2In≤I&lt;10In</w:t>
            </w:r>
          </w:p>
        </w:tc>
        <w:tc>
          <w:tcPr>
            <w:tcW w:w="2130" w:type="dxa"/>
            <w:tcBorders>
              <w:top w:val="single" w:color="auto" w:sz="4" w:space="0"/>
              <w:left w:val="nil"/>
              <w:bottom w:val="single" w:color="auto" w:sz="4" w:space="0"/>
              <w:right w:val="single" w:color="auto" w:sz="4" w:space="0"/>
            </w:tcBorders>
          </w:tcPr>
          <w:p>
            <w:pPr>
              <w:overflowPunct w:val="0"/>
              <w:adjustRightInd w:val="0"/>
              <w:snapToGrid w:val="0"/>
              <w:ind w:firstLine="420"/>
              <w:textAlignment w:val="baseline"/>
              <w:rPr>
                <w:rFonts w:ascii="宋体" w:hAnsi="宋体"/>
                <w:szCs w:val="21"/>
              </w:rPr>
            </w:pPr>
            <w:r>
              <w:rPr>
                <w:rFonts w:hint="eastAsia" w:ascii="宋体" w:hAnsi="宋体"/>
                <w:szCs w:val="21"/>
              </w:rPr>
              <w:t>2.0%</w:t>
            </w:r>
          </w:p>
        </w:tc>
        <w:tc>
          <w:tcPr>
            <w:tcW w:w="2131" w:type="dxa"/>
            <w:tcBorders>
              <w:top w:val="single" w:color="auto" w:sz="4" w:space="0"/>
              <w:left w:val="nil"/>
              <w:bottom w:val="single" w:color="auto" w:sz="4" w:space="0"/>
              <w:right w:val="single" w:color="auto" w:sz="4" w:space="0"/>
            </w:tcBorders>
          </w:tcPr>
          <w:p>
            <w:pPr>
              <w:overflowPunct w:val="0"/>
              <w:adjustRightInd w:val="0"/>
              <w:snapToGrid w:val="0"/>
              <w:ind w:firstLine="420"/>
              <w:textAlignment w:val="baseline"/>
              <w:rPr>
                <w:rFonts w:ascii="宋体" w:hAnsi="宋体"/>
                <w:szCs w:val="21"/>
              </w:rPr>
            </w:pPr>
            <w:r>
              <w:rPr>
                <w:rFonts w:hint="eastAsia" w:ascii="宋体" w:hAnsi="宋体"/>
                <w:szCs w:val="21"/>
              </w:rPr>
              <w:t>1.0%</w:t>
            </w:r>
          </w:p>
        </w:tc>
        <w:tc>
          <w:tcPr>
            <w:tcW w:w="2131" w:type="dxa"/>
            <w:tcBorders>
              <w:top w:val="single" w:color="auto" w:sz="4" w:space="0"/>
              <w:left w:val="nil"/>
              <w:bottom w:val="single" w:color="auto" w:sz="4" w:space="0"/>
              <w:right w:val="single" w:color="auto" w:sz="4" w:space="0"/>
            </w:tcBorders>
          </w:tcPr>
          <w:p>
            <w:pPr>
              <w:overflowPunct w:val="0"/>
              <w:adjustRightInd w:val="0"/>
              <w:snapToGrid w:val="0"/>
              <w:ind w:firstLine="420"/>
              <w:textAlignment w:val="baseline"/>
              <w:rPr>
                <w:rFonts w:ascii="宋体" w:hAnsi="宋体"/>
                <w:szCs w:val="21"/>
              </w:rPr>
            </w:pPr>
            <w:r>
              <w:rPr>
                <w:rFonts w:hint="eastAsia" w:ascii="宋体" w:hAnsi="宋体"/>
                <w:szCs w:val="21"/>
              </w:rPr>
              <w:t>2.0%</w:t>
            </w:r>
          </w:p>
        </w:tc>
      </w:tr>
    </w:tbl>
    <w:p>
      <w:pPr>
        <w:snapToGrid w:val="0"/>
        <w:spacing w:line="300" w:lineRule="auto"/>
        <w:ind w:firstLine="630" w:firstLineChars="300"/>
        <w:rPr>
          <w:rFonts w:ascii="宋体" w:hAnsi="宋体"/>
          <w:szCs w:val="21"/>
        </w:rPr>
      </w:pPr>
      <w:r>
        <w:rPr>
          <w:rFonts w:hint="eastAsia" w:ascii="宋体" w:hAnsi="宋体"/>
          <w:szCs w:val="21"/>
        </w:rPr>
        <w:t>注：装置采集的功率是基波正序功率或三相基波功率。</w:t>
      </w:r>
    </w:p>
    <w:p>
      <w:pPr>
        <w:numPr>
          <w:ilvl w:val="0"/>
          <w:numId w:val="72"/>
        </w:numPr>
        <w:adjustRightInd w:val="0"/>
        <w:spacing w:line="300" w:lineRule="auto"/>
        <w:ind w:hanging="437"/>
        <w:textAlignment w:val="baseline"/>
        <w:rPr>
          <w:rFonts w:ascii="宋体" w:hAnsi="宋体"/>
          <w:szCs w:val="21"/>
        </w:rPr>
      </w:pPr>
      <w:r>
        <w:rPr>
          <w:rFonts w:hint="eastAsia" w:ascii="宋体" w:hAnsi="宋体"/>
          <w:szCs w:val="21"/>
        </w:rPr>
        <w:t>频率采集精度</w:t>
      </w:r>
    </w:p>
    <w:p>
      <w:pPr>
        <w:pStyle w:val="120"/>
        <w:numPr>
          <w:ilvl w:val="1"/>
          <w:numId w:val="74"/>
        </w:numPr>
        <w:spacing w:before="72" w:after="72" w:line="300" w:lineRule="auto"/>
        <w:ind w:left="1470" w:hanging="420"/>
        <w:rPr>
          <w:rFonts w:hAnsi="宋体"/>
          <w:sz w:val="21"/>
          <w:szCs w:val="21"/>
        </w:rPr>
      </w:pPr>
      <w:r>
        <w:rPr>
          <w:rFonts w:hint="eastAsia" w:hAnsi="宋体"/>
          <w:sz w:val="21"/>
          <w:szCs w:val="21"/>
        </w:rPr>
        <w:t>采集范围：45Hz～55Hz;</w:t>
      </w:r>
    </w:p>
    <w:p>
      <w:pPr>
        <w:pStyle w:val="120"/>
        <w:numPr>
          <w:ilvl w:val="1"/>
          <w:numId w:val="74"/>
        </w:numPr>
        <w:spacing w:before="72" w:after="72" w:line="300" w:lineRule="auto"/>
        <w:ind w:left="1470" w:hanging="420"/>
        <w:rPr>
          <w:rFonts w:hAnsi="宋体"/>
          <w:sz w:val="21"/>
          <w:szCs w:val="21"/>
        </w:rPr>
      </w:pPr>
      <w:r>
        <w:rPr>
          <w:rFonts w:hint="eastAsia" w:hAnsi="宋体"/>
          <w:sz w:val="21"/>
          <w:szCs w:val="21"/>
        </w:rPr>
        <w:t>采集误差：不大于0.002Hz。</w:t>
      </w:r>
    </w:p>
    <w:p>
      <w:pPr>
        <w:numPr>
          <w:ilvl w:val="0"/>
          <w:numId w:val="72"/>
        </w:numPr>
        <w:adjustRightInd w:val="0"/>
        <w:spacing w:line="300" w:lineRule="auto"/>
        <w:ind w:hanging="437"/>
        <w:textAlignment w:val="baseline"/>
        <w:rPr>
          <w:rFonts w:ascii="宋体" w:hAnsi="宋体"/>
          <w:szCs w:val="21"/>
        </w:rPr>
      </w:pPr>
      <w:r>
        <w:rPr>
          <w:rFonts w:hint="eastAsia" w:ascii="宋体" w:hAnsi="宋体"/>
          <w:szCs w:val="21"/>
        </w:rPr>
        <w:t>交流电流接入</w:t>
      </w:r>
    </w:p>
    <w:p>
      <w:pPr>
        <w:snapToGrid w:val="0"/>
        <w:spacing w:line="300" w:lineRule="auto"/>
        <w:ind w:firstLine="840" w:firstLineChars="400"/>
        <w:rPr>
          <w:rFonts w:ascii="宋体" w:hAnsi="宋体"/>
          <w:szCs w:val="21"/>
        </w:rPr>
      </w:pPr>
      <w:r>
        <w:rPr>
          <w:rFonts w:hint="eastAsia" w:ascii="宋体" w:hAnsi="宋体"/>
          <w:szCs w:val="21"/>
        </w:rPr>
        <w:t>为了保证对电力系统稳态和动态参数的采集精度，装置的交流电流回路接入采集CT回路。</w:t>
      </w:r>
    </w:p>
    <w:p>
      <w:pPr>
        <w:pStyle w:val="7"/>
        <w:widowControl w:val="0"/>
        <w:numPr>
          <w:ilvl w:val="2"/>
          <w:numId w:val="48"/>
        </w:numPr>
        <w:tabs>
          <w:tab w:val="left" w:pos="709"/>
          <w:tab w:val="clear" w:pos="964"/>
        </w:tabs>
        <w:overflowPunct w:val="0"/>
        <w:spacing w:line="360" w:lineRule="auto"/>
        <w:ind w:left="968" w:hanging="968" w:hangingChars="459"/>
        <w:jc w:val="both"/>
        <w:rPr>
          <w:rFonts w:ascii="宋体" w:hAnsi="宋体"/>
          <w:b/>
          <w:bCs/>
          <w:sz w:val="21"/>
          <w:szCs w:val="21"/>
        </w:rPr>
      </w:pPr>
      <w:bookmarkStart w:id="699" w:name="_Toc31720535"/>
      <w:bookmarkEnd w:id="699"/>
      <w:bookmarkStart w:id="700" w:name="_Toc57986391"/>
      <w:r>
        <w:rPr>
          <w:rFonts w:hint="eastAsia" w:ascii="宋体" w:hAnsi="宋体"/>
          <w:b/>
          <w:bCs/>
          <w:sz w:val="21"/>
          <w:szCs w:val="21"/>
        </w:rPr>
        <w:t>过载能力</w:t>
      </w:r>
      <w:bookmarkEnd w:id="700"/>
    </w:p>
    <w:p>
      <w:pPr>
        <w:numPr>
          <w:ilvl w:val="0"/>
          <w:numId w:val="75"/>
        </w:numPr>
        <w:tabs>
          <w:tab w:val="left" w:pos="851"/>
          <w:tab w:val="clear" w:pos="1004"/>
        </w:tabs>
        <w:adjustRightInd w:val="0"/>
        <w:spacing w:line="300" w:lineRule="auto"/>
        <w:textAlignment w:val="baseline"/>
        <w:rPr>
          <w:rFonts w:ascii="宋体" w:hAnsi="宋体"/>
          <w:szCs w:val="21"/>
        </w:rPr>
      </w:pPr>
      <w:r>
        <w:rPr>
          <w:rFonts w:hint="eastAsia" w:ascii="宋体" w:hAnsi="宋体"/>
          <w:szCs w:val="21"/>
        </w:rPr>
        <w:t>交流电流回路：1.2倍额定电流，允许连续工作；2倍额定电流，允许时间为ls;</w:t>
      </w:r>
    </w:p>
    <w:p>
      <w:pPr>
        <w:numPr>
          <w:ilvl w:val="0"/>
          <w:numId w:val="75"/>
        </w:numPr>
        <w:tabs>
          <w:tab w:val="left" w:pos="851"/>
          <w:tab w:val="clear" w:pos="1004"/>
        </w:tabs>
        <w:adjustRightInd w:val="0"/>
        <w:spacing w:line="300" w:lineRule="auto"/>
        <w:textAlignment w:val="baseline"/>
        <w:rPr>
          <w:rFonts w:ascii="宋体" w:hAnsi="宋体"/>
          <w:szCs w:val="21"/>
        </w:rPr>
      </w:pPr>
      <w:r>
        <w:rPr>
          <w:rFonts w:hint="eastAsia" w:ascii="宋体" w:hAnsi="宋体"/>
          <w:szCs w:val="21"/>
        </w:rPr>
        <w:t>交流电压回路：1.2倍额定电压，连续工作：1.4倍额定电压，允许l0s;2倍额定电压，允许ls；</w:t>
      </w:r>
    </w:p>
    <w:p>
      <w:pPr>
        <w:numPr>
          <w:ilvl w:val="0"/>
          <w:numId w:val="75"/>
        </w:numPr>
        <w:tabs>
          <w:tab w:val="left" w:pos="851"/>
          <w:tab w:val="clear" w:pos="1004"/>
        </w:tabs>
        <w:adjustRightInd w:val="0"/>
        <w:spacing w:line="300" w:lineRule="auto"/>
        <w:textAlignment w:val="baseline"/>
        <w:rPr>
          <w:rFonts w:ascii="宋体" w:hAnsi="宋体"/>
          <w:szCs w:val="21"/>
        </w:rPr>
      </w:pPr>
      <w:r>
        <w:rPr>
          <w:rFonts w:hint="eastAsia" w:ascii="宋体" w:hAnsi="宋体"/>
          <w:szCs w:val="21"/>
        </w:rPr>
        <w:t>过载能力的评价标准：装置经受过电流或过电压后，无绝缘损坏、液化、炭化或烧焦等现象：</w:t>
      </w:r>
    </w:p>
    <w:p>
      <w:pPr>
        <w:pStyle w:val="7"/>
        <w:widowControl w:val="0"/>
        <w:numPr>
          <w:ilvl w:val="2"/>
          <w:numId w:val="48"/>
        </w:numPr>
        <w:tabs>
          <w:tab w:val="left" w:pos="709"/>
          <w:tab w:val="clear" w:pos="964"/>
        </w:tabs>
        <w:overflowPunct w:val="0"/>
        <w:spacing w:line="360" w:lineRule="auto"/>
        <w:ind w:left="968" w:hanging="968" w:hangingChars="459"/>
        <w:jc w:val="both"/>
        <w:rPr>
          <w:rFonts w:ascii="宋体" w:hAnsi="宋体"/>
          <w:b/>
          <w:bCs/>
          <w:sz w:val="21"/>
          <w:szCs w:val="21"/>
        </w:rPr>
      </w:pPr>
      <w:bookmarkStart w:id="701" w:name="_Toc57986392"/>
      <w:bookmarkEnd w:id="701"/>
      <w:bookmarkStart w:id="702" w:name="_Toc31720536"/>
      <w:r>
        <w:rPr>
          <w:rFonts w:hint="eastAsia" w:ascii="宋体" w:hAnsi="宋体"/>
          <w:b/>
          <w:bCs/>
          <w:sz w:val="21"/>
          <w:szCs w:val="21"/>
        </w:rPr>
        <w:t>直流电源影响</w:t>
      </w:r>
      <w:bookmarkEnd w:id="702"/>
    </w:p>
    <w:p>
      <w:pPr>
        <w:snapToGrid w:val="0"/>
        <w:spacing w:before="72" w:after="72" w:line="300" w:lineRule="auto"/>
        <w:ind w:left="706" w:leftChars="336"/>
        <w:rPr>
          <w:rFonts w:ascii="宋体" w:hAnsi="宋体"/>
          <w:szCs w:val="21"/>
        </w:rPr>
      </w:pPr>
      <w:r>
        <w:rPr>
          <w:rFonts w:hint="eastAsia" w:ascii="宋体" w:hAnsi="宋体"/>
          <w:szCs w:val="21"/>
        </w:rPr>
        <w:t>在海拔3000m大气压条件下，直流电源在规定范同内变化时，装置能可靠工作。</w:t>
      </w:r>
    </w:p>
    <w:p>
      <w:pPr>
        <w:snapToGrid w:val="0"/>
        <w:spacing w:before="72" w:after="72" w:line="300" w:lineRule="auto"/>
        <w:ind w:left="706" w:leftChars="336"/>
        <w:rPr>
          <w:rFonts w:ascii="宋体" w:hAnsi="宋体"/>
          <w:szCs w:val="21"/>
        </w:rPr>
      </w:pPr>
      <w:r>
        <w:rPr>
          <w:rFonts w:hint="eastAsia" w:ascii="宋体" w:hAnsi="宋体"/>
          <w:szCs w:val="21"/>
        </w:rPr>
        <w:t>在瞬时加上、瞬时断开直流电源，直流电源缓慢上升或缓慢下降时，装置均不会误发信号，当直流电源恢复正常后，装置白动恢复正常工作。</w:t>
      </w:r>
    </w:p>
    <w:p>
      <w:pPr>
        <w:pStyle w:val="7"/>
        <w:widowControl w:val="0"/>
        <w:numPr>
          <w:ilvl w:val="2"/>
          <w:numId w:val="48"/>
        </w:numPr>
        <w:tabs>
          <w:tab w:val="left" w:pos="709"/>
          <w:tab w:val="clear" w:pos="964"/>
        </w:tabs>
        <w:overflowPunct w:val="0"/>
        <w:spacing w:line="360" w:lineRule="auto"/>
        <w:ind w:left="968" w:hanging="968" w:hangingChars="459"/>
        <w:jc w:val="both"/>
        <w:rPr>
          <w:rFonts w:ascii="宋体" w:hAnsi="宋体"/>
          <w:b/>
          <w:bCs/>
          <w:sz w:val="21"/>
          <w:szCs w:val="21"/>
        </w:rPr>
      </w:pPr>
      <w:bookmarkStart w:id="703" w:name="_Toc57986393"/>
      <w:bookmarkEnd w:id="703"/>
      <w:bookmarkStart w:id="704" w:name="_Toc31720537"/>
      <w:r>
        <w:rPr>
          <w:rFonts w:hint="eastAsia" w:ascii="宋体" w:hAnsi="宋体"/>
          <w:b/>
          <w:bCs/>
          <w:sz w:val="21"/>
          <w:szCs w:val="21"/>
        </w:rPr>
        <w:t>功率消耗</w:t>
      </w:r>
      <w:bookmarkEnd w:id="704"/>
    </w:p>
    <w:p>
      <w:pPr>
        <w:snapToGrid w:val="0"/>
        <w:spacing w:before="72" w:after="72" w:line="300" w:lineRule="auto"/>
        <w:ind w:left="840" w:leftChars="400"/>
        <w:rPr>
          <w:rFonts w:ascii="宋体" w:hAnsi="宋体"/>
          <w:szCs w:val="21"/>
        </w:rPr>
      </w:pPr>
      <w:r>
        <w:rPr>
          <w:rFonts w:hint="eastAsia" w:ascii="宋体" w:hAnsi="宋体"/>
          <w:szCs w:val="21"/>
        </w:rPr>
        <w:t>装置的功率消耗满足DL/T478-2001中4.9的要求。</w:t>
      </w:r>
    </w:p>
    <w:p>
      <w:pPr>
        <w:pStyle w:val="7"/>
        <w:widowControl w:val="0"/>
        <w:numPr>
          <w:ilvl w:val="2"/>
          <w:numId w:val="48"/>
        </w:numPr>
        <w:tabs>
          <w:tab w:val="left" w:pos="709"/>
          <w:tab w:val="clear" w:pos="964"/>
        </w:tabs>
        <w:overflowPunct w:val="0"/>
        <w:spacing w:line="360" w:lineRule="auto"/>
        <w:ind w:left="968" w:hanging="968" w:hangingChars="459"/>
        <w:jc w:val="both"/>
        <w:rPr>
          <w:rFonts w:ascii="宋体" w:hAnsi="宋体"/>
          <w:b/>
          <w:bCs/>
          <w:sz w:val="21"/>
          <w:szCs w:val="21"/>
        </w:rPr>
      </w:pPr>
      <w:bookmarkStart w:id="705" w:name="_Toc57986394"/>
      <w:bookmarkEnd w:id="705"/>
      <w:bookmarkStart w:id="706" w:name="_Toc31720538"/>
      <w:r>
        <w:rPr>
          <w:rFonts w:hint="eastAsia" w:ascii="宋体" w:hAnsi="宋体"/>
          <w:b/>
          <w:bCs/>
          <w:sz w:val="21"/>
          <w:szCs w:val="21"/>
        </w:rPr>
        <w:t>绝缘性能</w:t>
      </w:r>
      <w:bookmarkEnd w:id="706"/>
    </w:p>
    <w:p>
      <w:pPr>
        <w:snapToGrid w:val="0"/>
        <w:spacing w:before="72" w:after="72" w:line="300" w:lineRule="auto"/>
        <w:ind w:left="840" w:leftChars="400"/>
        <w:rPr>
          <w:rFonts w:ascii="宋体" w:hAnsi="宋体"/>
          <w:szCs w:val="21"/>
        </w:rPr>
      </w:pPr>
      <w:r>
        <w:rPr>
          <w:rFonts w:hint="eastAsia" w:ascii="宋体" w:hAnsi="宋体"/>
          <w:szCs w:val="21"/>
        </w:rPr>
        <w:t>装置的绝缘性能满足DL/T478-2001中4.10的要求。</w:t>
      </w:r>
    </w:p>
    <w:p>
      <w:pPr>
        <w:pStyle w:val="7"/>
        <w:widowControl w:val="0"/>
        <w:numPr>
          <w:ilvl w:val="2"/>
          <w:numId w:val="48"/>
        </w:numPr>
        <w:tabs>
          <w:tab w:val="left" w:pos="709"/>
          <w:tab w:val="clear" w:pos="964"/>
        </w:tabs>
        <w:overflowPunct w:val="0"/>
        <w:spacing w:line="360" w:lineRule="auto"/>
        <w:ind w:left="968" w:hanging="968" w:hangingChars="459"/>
        <w:jc w:val="both"/>
        <w:rPr>
          <w:rFonts w:ascii="宋体" w:hAnsi="宋体"/>
          <w:b/>
          <w:bCs/>
          <w:sz w:val="21"/>
          <w:szCs w:val="21"/>
        </w:rPr>
      </w:pPr>
      <w:bookmarkStart w:id="707" w:name="_Toc31720539"/>
      <w:bookmarkEnd w:id="707"/>
      <w:bookmarkStart w:id="708" w:name="_Toc57986395"/>
      <w:r>
        <w:rPr>
          <w:rFonts w:hint="eastAsia" w:ascii="宋体" w:hAnsi="宋体"/>
          <w:b/>
          <w:bCs/>
          <w:sz w:val="21"/>
          <w:szCs w:val="21"/>
        </w:rPr>
        <w:t>耐湿热性能</w:t>
      </w:r>
      <w:bookmarkEnd w:id="708"/>
    </w:p>
    <w:p>
      <w:pPr>
        <w:snapToGrid w:val="0"/>
        <w:spacing w:before="72" w:after="72" w:line="300" w:lineRule="auto"/>
        <w:ind w:left="840" w:leftChars="400"/>
        <w:rPr>
          <w:rFonts w:ascii="宋体" w:hAnsi="宋体"/>
          <w:szCs w:val="21"/>
        </w:rPr>
      </w:pPr>
      <w:r>
        <w:rPr>
          <w:rFonts w:hint="eastAsia" w:ascii="宋体" w:hAnsi="宋体"/>
          <w:szCs w:val="21"/>
        </w:rPr>
        <w:t>装置的耐湿热性能满足DL/T478-2001中4.11的要求。</w:t>
      </w:r>
    </w:p>
    <w:p>
      <w:pPr>
        <w:pStyle w:val="7"/>
        <w:widowControl w:val="0"/>
        <w:numPr>
          <w:ilvl w:val="2"/>
          <w:numId w:val="48"/>
        </w:numPr>
        <w:tabs>
          <w:tab w:val="left" w:pos="709"/>
          <w:tab w:val="clear" w:pos="964"/>
        </w:tabs>
        <w:overflowPunct w:val="0"/>
        <w:spacing w:line="360" w:lineRule="auto"/>
        <w:ind w:left="968" w:hanging="968" w:hangingChars="459"/>
        <w:jc w:val="both"/>
        <w:rPr>
          <w:rFonts w:ascii="宋体" w:hAnsi="宋体"/>
          <w:b/>
          <w:bCs/>
          <w:sz w:val="21"/>
          <w:szCs w:val="21"/>
        </w:rPr>
      </w:pPr>
      <w:bookmarkStart w:id="709" w:name="_Toc57986396"/>
      <w:bookmarkEnd w:id="709"/>
      <w:bookmarkStart w:id="710" w:name="_Toc31720540"/>
      <w:r>
        <w:rPr>
          <w:rFonts w:hint="eastAsia" w:ascii="宋体" w:hAnsi="宋体"/>
          <w:b/>
          <w:bCs/>
          <w:sz w:val="21"/>
          <w:szCs w:val="21"/>
        </w:rPr>
        <w:t>抗电气干扰性能</w:t>
      </w:r>
      <w:bookmarkEnd w:id="710"/>
    </w:p>
    <w:p>
      <w:pPr>
        <w:pStyle w:val="8"/>
        <w:numPr>
          <w:ilvl w:val="3"/>
          <w:numId w:val="48"/>
        </w:numPr>
        <w:tabs>
          <w:tab w:val="left" w:pos="851"/>
          <w:tab w:val="clear" w:pos="1531"/>
        </w:tabs>
        <w:overflowPunct w:val="0"/>
        <w:spacing w:before="72" w:after="72" w:line="300" w:lineRule="auto"/>
        <w:ind w:left="964"/>
        <w:rPr>
          <w:rFonts w:ascii="宋体" w:hAnsi="宋体"/>
          <w:b/>
          <w:szCs w:val="21"/>
        </w:rPr>
      </w:pPr>
      <w:r>
        <w:rPr>
          <w:rFonts w:hint="eastAsia" w:ascii="宋体" w:hAnsi="宋体"/>
          <w:szCs w:val="21"/>
        </w:rPr>
        <w:t>辐射电磁场抗扰度</w:t>
      </w:r>
    </w:p>
    <w:p>
      <w:pPr>
        <w:snapToGrid w:val="0"/>
        <w:spacing w:before="72" w:after="72" w:line="300" w:lineRule="auto"/>
        <w:ind w:left="840" w:leftChars="400"/>
        <w:rPr>
          <w:rFonts w:ascii="宋体" w:hAnsi="宋体"/>
          <w:szCs w:val="21"/>
        </w:rPr>
      </w:pPr>
      <w:r>
        <w:rPr>
          <w:rFonts w:hint="eastAsia" w:ascii="宋体" w:hAnsi="宋体"/>
          <w:szCs w:val="21"/>
        </w:rPr>
        <w:t>装置能承受GB/T14598.9-1995中4.1.1规定的严酷等级为Ⅲ级的辐射电磁场干扰试验，在试验期间利试验后装置的性能符合该标准中5.5、5.6规定的要求。</w:t>
      </w:r>
    </w:p>
    <w:p>
      <w:pPr>
        <w:pStyle w:val="8"/>
        <w:numPr>
          <w:ilvl w:val="3"/>
          <w:numId w:val="48"/>
        </w:numPr>
        <w:tabs>
          <w:tab w:val="left" w:pos="851"/>
          <w:tab w:val="clear" w:pos="1531"/>
        </w:tabs>
        <w:overflowPunct w:val="0"/>
        <w:spacing w:before="72" w:after="72" w:line="300" w:lineRule="auto"/>
        <w:ind w:left="964"/>
        <w:rPr>
          <w:rFonts w:ascii="宋体" w:hAnsi="宋体"/>
          <w:szCs w:val="21"/>
        </w:rPr>
      </w:pPr>
      <w:r>
        <w:rPr>
          <w:rFonts w:hint="eastAsia" w:ascii="宋体" w:hAnsi="宋体"/>
          <w:szCs w:val="21"/>
        </w:rPr>
        <w:t>快速瞬变抗扰度</w:t>
      </w:r>
    </w:p>
    <w:p>
      <w:pPr>
        <w:snapToGrid w:val="0"/>
        <w:spacing w:before="72" w:after="72" w:line="300" w:lineRule="auto"/>
        <w:ind w:left="840" w:leftChars="400"/>
        <w:rPr>
          <w:rFonts w:ascii="宋体" w:hAnsi="宋体"/>
          <w:szCs w:val="21"/>
        </w:rPr>
      </w:pPr>
      <w:r>
        <w:rPr>
          <w:rFonts w:hint="eastAsia" w:ascii="宋体" w:hAnsi="宋体"/>
          <w:szCs w:val="21"/>
        </w:rPr>
        <w:t>装置能承受GB/T14598.10-1996中4.1规定的严酷等级为Ⅲ级的快速瞬变干扰试验，在试验期间和试验后装置的性能符合该标准中5.5、5.6规定的要求。</w:t>
      </w:r>
    </w:p>
    <w:p>
      <w:pPr>
        <w:pStyle w:val="8"/>
        <w:numPr>
          <w:ilvl w:val="3"/>
          <w:numId w:val="48"/>
        </w:numPr>
        <w:tabs>
          <w:tab w:val="left" w:pos="851"/>
          <w:tab w:val="clear" w:pos="1531"/>
        </w:tabs>
        <w:overflowPunct w:val="0"/>
        <w:spacing w:before="72" w:after="72" w:line="300" w:lineRule="auto"/>
        <w:ind w:left="964"/>
        <w:rPr>
          <w:rFonts w:ascii="宋体" w:hAnsi="宋体"/>
          <w:szCs w:val="21"/>
        </w:rPr>
      </w:pPr>
      <w:r>
        <w:rPr>
          <w:rFonts w:hint="eastAsia" w:ascii="宋体" w:hAnsi="宋体"/>
          <w:szCs w:val="21"/>
        </w:rPr>
        <w:t>脉冲群抗扰度</w:t>
      </w:r>
    </w:p>
    <w:p>
      <w:pPr>
        <w:snapToGrid w:val="0"/>
        <w:spacing w:before="72" w:after="72" w:line="300" w:lineRule="auto"/>
        <w:ind w:left="840" w:leftChars="400"/>
        <w:rPr>
          <w:rFonts w:ascii="宋体" w:hAnsi="宋体"/>
          <w:szCs w:val="21"/>
        </w:rPr>
      </w:pPr>
      <w:r>
        <w:rPr>
          <w:rFonts w:hint="eastAsia" w:ascii="宋体" w:hAnsi="宋体"/>
          <w:szCs w:val="21"/>
        </w:rPr>
        <w:t>装置能承受GB/T14598.13-1998中3.1.1规定的严酷等级为Ⅲ级的1MHz和l00kHz的脉冲群干扰试验，在试验期间和试验后装置的性能符合该标准中3.4规定的要求。</w:t>
      </w:r>
    </w:p>
    <w:p>
      <w:pPr>
        <w:pStyle w:val="8"/>
        <w:numPr>
          <w:ilvl w:val="3"/>
          <w:numId w:val="48"/>
        </w:numPr>
        <w:tabs>
          <w:tab w:val="left" w:pos="851"/>
          <w:tab w:val="clear" w:pos="1531"/>
        </w:tabs>
        <w:overflowPunct w:val="0"/>
        <w:spacing w:before="72" w:after="72" w:line="300" w:lineRule="auto"/>
        <w:ind w:left="964"/>
        <w:rPr>
          <w:rFonts w:ascii="宋体" w:hAnsi="宋体"/>
          <w:szCs w:val="21"/>
        </w:rPr>
      </w:pPr>
      <w:r>
        <w:rPr>
          <w:rFonts w:hint="eastAsia" w:ascii="宋体" w:hAnsi="宋体"/>
          <w:szCs w:val="21"/>
        </w:rPr>
        <w:t>静电放电抗扰度</w:t>
      </w:r>
    </w:p>
    <w:p>
      <w:pPr>
        <w:snapToGrid w:val="0"/>
        <w:spacing w:before="72" w:after="72" w:line="300" w:lineRule="auto"/>
        <w:ind w:left="840" w:leftChars="400"/>
        <w:rPr>
          <w:rFonts w:ascii="宋体" w:hAnsi="宋体"/>
          <w:szCs w:val="21"/>
        </w:rPr>
      </w:pPr>
      <w:r>
        <w:rPr>
          <w:rFonts w:hint="eastAsia" w:ascii="宋体" w:hAnsi="宋体"/>
          <w:szCs w:val="21"/>
        </w:rPr>
        <w:t>装置能承受GB/T14598.14-1998中4.2规定的严酷等级为III级的静电放电试验，在试验期间和试验后装置的性能符合该标准中5.5、5.6规定的要求。</w:t>
      </w:r>
    </w:p>
    <w:p>
      <w:pPr>
        <w:pStyle w:val="8"/>
        <w:numPr>
          <w:ilvl w:val="3"/>
          <w:numId w:val="48"/>
        </w:numPr>
        <w:tabs>
          <w:tab w:val="left" w:pos="851"/>
          <w:tab w:val="clear" w:pos="1531"/>
        </w:tabs>
        <w:overflowPunct w:val="0"/>
        <w:spacing w:before="72" w:after="72" w:line="300" w:lineRule="auto"/>
        <w:ind w:left="964"/>
        <w:rPr>
          <w:rFonts w:ascii="宋体" w:hAnsi="宋体"/>
          <w:szCs w:val="21"/>
        </w:rPr>
      </w:pPr>
      <w:r>
        <w:rPr>
          <w:rFonts w:hint="eastAsia" w:ascii="宋体" w:hAnsi="宋体"/>
          <w:szCs w:val="21"/>
        </w:rPr>
        <w:t>浪涌（冲击）抗扰度</w:t>
      </w:r>
    </w:p>
    <w:p>
      <w:pPr>
        <w:snapToGrid w:val="0"/>
        <w:spacing w:before="72" w:after="72" w:line="300" w:lineRule="auto"/>
        <w:ind w:left="840" w:leftChars="400"/>
        <w:rPr>
          <w:rFonts w:ascii="宋体" w:hAnsi="宋体"/>
          <w:szCs w:val="21"/>
        </w:rPr>
      </w:pPr>
      <w:r>
        <w:rPr>
          <w:rFonts w:hint="eastAsia" w:ascii="宋体" w:hAnsi="宋体"/>
          <w:szCs w:val="21"/>
        </w:rPr>
        <w:t>装置能承受GB/T17626.5-1999中第5章规定的试验等级为3级的浪涌（冲击）抗扰度试验。</w:t>
      </w:r>
    </w:p>
    <w:p>
      <w:pPr>
        <w:pStyle w:val="8"/>
        <w:numPr>
          <w:ilvl w:val="3"/>
          <w:numId w:val="48"/>
        </w:numPr>
        <w:tabs>
          <w:tab w:val="left" w:pos="851"/>
          <w:tab w:val="clear" w:pos="1531"/>
        </w:tabs>
        <w:overflowPunct w:val="0"/>
        <w:spacing w:before="72" w:after="72" w:line="300" w:lineRule="auto"/>
        <w:ind w:left="964"/>
        <w:rPr>
          <w:rFonts w:ascii="宋体" w:hAnsi="宋体"/>
          <w:szCs w:val="21"/>
        </w:rPr>
      </w:pPr>
      <w:r>
        <w:rPr>
          <w:rFonts w:hint="eastAsia" w:ascii="宋体" w:hAnsi="宋体"/>
          <w:szCs w:val="21"/>
        </w:rPr>
        <w:t>射频场感应的传导骚扰抗扰度</w:t>
      </w:r>
    </w:p>
    <w:p>
      <w:pPr>
        <w:snapToGrid w:val="0"/>
        <w:spacing w:before="72" w:after="72" w:line="300" w:lineRule="auto"/>
        <w:ind w:left="840" w:leftChars="400"/>
        <w:rPr>
          <w:rFonts w:ascii="宋体" w:hAnsi="宋体"/>
          <w:szCs w:val="21"/>
        </w:rPr>
      </w:pPr>
      <w:r>
        <w:rPr>
          <w:rFonts w:hint="eastAsia" w:ascii="宋体" w:hAnsi="宋体"/>
          <w:szCs w:val="21"/>
        </w:rPr>
        <w:t>装置能承受GB/T17626.6-1998中第5章规定的试验等级为3级的射频场感应的传导骚扰抗扰度试验。</w:t>
      </w:r>
    </w:p>
    <w:p>
      <w:pPr>
        <w:pStyle w:val="7"/>
        <w:widowControl w:val="0"/>
        <w:numPr>
          <w:ilvl w:val="2"/>
          <w:numId w:val="48"/>
        </w:numPr>
        <w:tabs>
          <w:tab w:val="left" w:pos="709"/>
          <w:tab w:val="clear" w:pos="964"/>
        </w:tabs>
        <w:overflowPunct w:val="0"/>
        <w:spacing w:line="360" w:lineRule="auto"/>
        <w:ind w:left="968" w:hanging="968" w:hangingChars="459"/>
        <w:jc w:val="both"/>
        <w:rPr>
          <w:rFonts w:ascii="宋体" w:hAnsi="宋体"/>
          <w:b/>
          <w:bCs/>
          <w:sz w:val="21"/>
          <w:szCs w:val="21"/>
        </w:rPr>
      </w:pPr>
      <w:bookmarkStart w:id="711" w:name="_Toc31720541"/>
      <w:bookmarkEnd w:id="711"/>
      <w:bookmarkStart w:id="712" w:name="_Toc57986397"/>
      <w:r>
        <w:rPr>
          <w:rFonts w:hint="eastAsia" w:ascii="宋体" w:hAnsi="宋体"/>
          <w:b/>
          <w:bCs/>
          <w:sz w:val="21"/>
          <w:szCs w:val="21"/>
        </w:rPr>
        <w:t>机械性能</w:t>
      </w:r>
      <w:bookmarkEnd w:id="712"/>
    </w:p>
    <w:p>
      <w:pPr>
        <w:pStyle w:val="8"/>
        <w:numPr>
          <w:ilvl w:val="3"/>
          <w:numId w:val="48"/>
        </w:numPr>
        <w:tabs>
          <w:tab w:val="left" w:pos="851"/>
          <w:tab w:val="clear" w:pos="1531"/>
        </w:tabs>
        <w:overflowPunct w:val="0"/>
        <w:spacing w:before="72" w:after="72" w:line="300" w:lineRule="auto"/>
        <w:ind w:left="964"/>
        <w:rPr>
          <w:rFonts w:ascii="宋体" w:hAnsi="宋体"/>
          <w:b/>
          <w:szCs w:val="21"/>
        </w:rPr>
      </w:pPr>
      <w:r>
        <w:rPr>
          <w:rFonts w:hint="eastAsia" w:ascii="宋体" w:hAnsi="宋体"/>
          <w:szCs w:val="21"/>
        </w:rPr>
        <w:t>振动（正弦）</w:t>
      </w:r>
    </w:p>
    <w:p>
      <w:pPr>
        <w:numPr>
          <w:ilvl w:val="0"/>
          <w:numId w:val="76"/>
        </w:numPr>
        <w:tabs>
          <w:tab w:val="left" w:pos="851"/>
          <w:tab w:val="clear" w:pos="1004"/>
        </w:tabs>
        <w:adjustRightInd w:val="0"/>
        <w:spacing w:line="300" w:lineRule="auto"/>
        <w:textAlignment w:val="baseline"/>
        <w:rPr>
          <w:rFonts w:ascii="宋体" w:hAnsi="宋体"/>
          <w:szCs w:val="21"/>
        </w:rPr>
      </w:pPr>
      <w:r>
        <w:rPr>
          <w:rFonts w:hint="eastAsia" w:ascii="宋体" w:hAnsi="宋体"/>
          <w:szCs w:val="21"/>
        </w:rPr>
        <w:t>振动响应</w:t>
      </w:r>
    </w:p>
    <w:p>
      <w:pPr>
        <w:snapToGrid w:val="0"/>
        <w:spacing w:before="72" w:after="72" w:line="300" w:lineRule="auto"/>
        <w:ind w:left="840" w:leftChars="400"/>
        <w:rPr>
          <w:rFonts w:ascii="宋体" w:hAnsi="宋体"/>
          <w:szCs w:val="21"/>
        </w:rPr>
      </w:pPr>
      <w:r>
        <w:rPr>
          <w:rFonts w:hint="eastAsia" w:ascii="宋体" w:hAnsi="宋体"/>
          <w:szCs w:val="21"/>
        </w:rPr>
        <w:t>装置能承受GB/T11287-2000中3.2.1规定的严酷等级为1级的振动响应试验，试验期间及试验后装置的性能符合该标准中5.1规定的要求。</w:t>
      </w:r>
    </w:p>
    <w:p>
      <w:pPr>
        <w:numPr>
          <w:ilvl w:val="0"/>
          <w:numId w:val="76"/>
        </w:numPr>
        <w:tabs>
          <w:tab w:val="left" w:pos="851"/>
          <w:tab w:val="clear" w:pos="1004"/>
        </w:tabs>
        <w:adjustRightInd w:val="0"/>
        <w:spacing w:line="300" w:lineRule="auto"/>
        <w:textAlignment w:val="baseline"/>
        <w:rPr>
          <w:rFonts w:ascii="宋体" w:hAnsi="宋体"/>
          <w:szCs w:val="21"/>
        </w:rPr>
      </w:pPr>
      <w:r>
        <w:rPr>
          <w:rFonts w:hint="eastAsia" w:ascii="宋体" w:hAnsi="宋体"/>
          <w:szCs w:val="21"/>
        </w:rPr>
        <w:t>振动耐久</w:t>
      </w:r>
    </w:p>
    <w:p>
      <w:pPr>
        <w:snapToGrid w:val="0"/>
        <w:spacing w:before="72" w:after="72" w:line="300" w:lineRule="auto"/>
        <w:ind w:left="840" w:leftChars="400"/>
        <w:rPr>
          <w:rFonts w:ascii="宋体" w:hAnsi="宋体"/>
          <w:szCs w:val="21"/>
        </w:rPr>
      </w:pPr>
      <w:r>
        <w:rPr>
          <w:rFonts w:hint="eastAsia" w:ascii="宋体" w:hAnsi="宋体"/>
          <w:szCs w:val="21"/>
        </w:rPr>
        <w:t>装置能承受GB/T11287-2000中3.2.2规定的严酷等级为1级的振动耐久试验，试验期间及试验后装置的性能符合该标准中5.2规定的要求。</w:t>
      </w:r>
    </w:p>
    <w:p>
      <w:pPr>
        <w:pStyle w:val="8"/>
        <w:numPr>
          <w:ilvl w:val="3"/>
          <w:numId w:val="48"/>
        </w:numPr>
        <w:tabs>
          <w:tab w:val="left" w:pos="851"/>
          <w:tab w:val="clear" w:pos="1531"/>
        </w:tabs>
        <w:overflowPunct w:val="0"/>
        <w:spacing w:before="72" w:after="72" w:line="300" w:lineRule="auto"/>
        <w:ind w:left="964"/>
        <w:rPr>
          <w:rFonts w:ascii="宋体" w:hAnsi="宋体"/>
          <w:szCs w:val="21"/>
        </w:rPr>
      </w:pPr>
      <w:r>
        <w:rPr>
          <w:rFonts w:hint="eastAsia" w:ascii="宋体" w:hAnsi="宋体"/>
          <w:szCs w:val="21"/>
        </w:rPr>
        <w:t>冲击</w:t>
      </w:r>
    </w:p>
    <w:p>
      <w:pPr>
        <w:numPr>
          <w:ilvl w:val="0"/>
          <w:numId w:val="77"/>
        </w:numPr>
        <w:tabs>
          <w:tab w:val="left" w:pos="851"/>
          <w:tab w:val="clear" w:pos="1004"/>
        </w:tabs>
        <w:adjustRightInd w:val="0"/>
        <w:spacing w:line="300" w:lineRule="auto"/>
        <w:textAlignment w:val="baseline"/>
        <w:rPr>
          <w:rFonts w:ascii="宋体" w:hAnsi="宋体"/>
          <w:szCs w:val="21"/>
        </w:rPr>
      </w:pPr>
      <w:r>
        <w:rPr>
          <w:rFonts w:hint="eastAsia" w:ascii="宋体" w:hAnsi="宋体"/>
          <w:szCs w:val="21"/>
        </w:rPr>
        <w:t>冲击响应</w:t>
      </w:r>
    </w:p>
    <w:p>
      <w:pPr>
        <w:snapToGrid w:val="0"/>
        <w:spacing w:before="72" w:after="72" w:line="300" w:lineRule="auto"/>
        <w:ind w:left="840" w:leftChars="400"/>
        <w:rPr>
          <w:rFonts w:ascii="宋体" w:hAnsi="宋体"/>
          <w:szCs w:val="21"/>
        </w:rPr>
      </w:pPr>
      <w:r>
        <w:rPr>
          <w:rFonts w:hint="eastAsia" w:ascii="宋体" w:hAnsi="宋体"/>
          <w:szCs w:val="21"/>
        </w:rPr>
        <w:t>装置能承受GB/T14537-1993中4.2.1规定的严酷等级为1级的冲击响应试验，试验期间及试验后装置的性能符合该标准中5.1规定的要求。</w:t>
      </w:r>
    </w:p>
    <w:p>
      <w:pPr>
        <w:numPr>
          <w:ilvl w:val="0"/>
          <w:numId w:val="77"/>
        </w:numPr>
        <w:tabs>
          <w:tab w:val="left" w:pos="851"/>
          <w:tab w:val="clear" w:pos="1004"/>
        </w:tabs>
        <w:adjustRightInd w:val="0"/>
        <w:spacing w:line="300" w:lineRule="auto"/>
        <w:textAlignment w:val="baseline"/>
        <w:rPr>
          <w:rFonts w:ascii="宋体" w:hAnsi="宋体"/>
          <w:szCs w:val="21"/>
        </w:rPr>
      </w:pPr>
      <w:r>
        <w:rPr>
          <w:rFonts w:hint="eastAsia" w:ascii="宋体" w:hAnsi="宋体"/>
          <w:szCs w:val="21"/>
        </w:rPr>
        <w:t>冲击耐久</w:t>
      </w:r>
    </w:p>
    <w:p>
      <w:pPr>
        <w:snapToGrid w:val="0"/>
        <w:spacing w:before="72" w:after="72" w:line="300" w:lineRule="auto"/>
        <w:ind w:left="840" w:leftChars="400"/>
        <w:rPr>
          <w:rFonts w:ascii="宋体" w:hAnsi="宋体"/>
          <w:szCs w:val="21"/>
        </w:rPr>
      </w:pPr>
      <w:r>
        <w:rPr>
          <w:rFonts w:hint="eastAsia" w:ascii="宋体" w:hAnsi="宋体"/>
          <w:szCs w:val="21"/>
        </w:rPr>
        <w:t>装置能承受GB/T14537-1993中4.2.2规定的严酷等级为1级的冲击耐久试验，试验期间及试验后装置的性能符合该标准中5.2规定的要求。</w:t>
      </w:r>
    </w:p>
    <w:p>
      <w:pPr>
        <w:pStyle w:val="8"/>
        <w:numPr>
          <w:ilvl w:val="3"/>
          <w:numId w:val="48"/>
        </w:numPr>
        <w:tabs>
          <w:tab w:val="left" w:pos="851"/>
          <w:tab w:val="clear" w:pos="1531"/>
        </w:tabs>
        <w:overflowPunct w:val="0"/>
        <w:spacing w:before="72" w:after="72" w:line="300" w:lineRule="auto"/>
        <w:ind w:left="964"/>
        <w:rPr>
          <w:rFonts w:ascii="宋体" w:hAnsi="宋体"/>
          <w:szCs w:val="21"/>
        </w:rPr>
      </w:pPr>
      <w:r>
        <w:rPr>
          <w:rFonts w:hint="eastAsia" w:ascii="宋体" w:hAnsi="宋体"/>
          <w:szCs w:val="21"/>
        </w:rPr>
        <w:t>碰撞</w:t>
      </w:r>
    </w:p>
    <w:p>
      <w:pPr>
        <w:snapToGrid w:val="0"/>
        <w:spacing w:before="72" w:after="72" w:line="300" w:lineRule="auto"/>
        <w:ind w:left="840" w:leftChars="400"/>
        <w:rPr>
          <w:rFonts w:ascii="宋体" w:hAnsi="宋体"/>
          <w:szCs w:val="21"/>
        </w:rPr>
      </w:pPr>
      <w:r>
        <w:rPr>
          <w:rFonts w:hint="eastAsia" w:ascii="宋体" w:hAnsi="宋体"/>
          <w:szCs w:val="21"/>
        </w:rPr>
        <w:t>装置能承受GB/T14537-1993中4.3规定的严酷等级为1级的碰撞试验，试验期间及试验后装置的性能符合该标准中5.2规定的要求。</w:t>
      </w:r>
    </w:p>
    <w:p>
      <w:pPr>
        <w:pStyle w:val="7"/>
        <w:widowControl w:val="0"/>
        <w:numPr>
          <w:ilvl w:val="2"/>
          <w:numId w:val="48"/>
        </w:numPr>
        <w:tabs>
          <w:tab w:val="left" w:pos="709"/>
          <w:tab w:val="clear" w:pos="964"/>
        </w:tabs>
        <w:overflowPunct w:val="0"/>
        <w:spacing w:line="360" w:lineRule="auto"/>
        <w:ind w:left="968" w:hanging="968" w:hangingChars="459"/>
        <w:jc w:val="both"/>
        <w:rPr>
          <w:rFonts w:ascii="宋体" w:hAnsi="宋体"/>
          <w:b/>
          <w:bCs/>
          <w:sz w:val="21"/>
          <w:szCs w:val="21"/>
        </w:rPr>
      </w:pPr>
      <w:bookmarkStart w:id="713" w:name="_Toc31720542"/>
      <w:bookmarkEnd w:id="713"/>
      <w:bookmarkStart w:id="714" w:name="_Toc57986398"/>
      <w:r>
        <w:rPr>
          <w:rFonts w:hint="eastAsia" w:ascii="宋体" w:hAnsi="宋体"/>
          <w:b/>
          <w:bCs/>
          <w:sz w:val="21"/>
          <w:szCs w:val="21"/>
        </w:rPr>
        <w:t>连续通电</w:t>
      </w:r>
      <w:bookmarkEnd w:id="714"/>
    </w:p>
    <w:p>
      <w:pPr>
        <w:snapToGrid w:val="0"/>
        <w:spacing w:before="72" w:after="72" w:line="300" w:lineRule="auto"/>
        <w:ind w:left="840" w:leftChars="400"/>
        <w:rPr>
          <w:rFonts w:ascii="宋体" w:hAnsi="宋体"/>
          <w:szCs w:val="21"/>
        </w:rPr>
      </w:pPr>
      <w:r>
        <w:rPr>
          <w:rFonts w:hint="eastAsia" w:ascii="宋体" w:hAnsi="宋体"/>
          <w:szCs w:val="21"/>
        </w:rPr>
        <w:t>装置在完成调试后，进行时间为l00h（室温）或72h(+40℃)连续通电试验。</w:t>
      </w:r>
    </w:p>
    <w:p>
      <w:pPr>
        <w:pStyle w:val="7"/>
        <w:widowControl w:val="0"/>
        <w:numPr>
          <w:ilvl w:val="2"/>
          <w:numId w:val="48"/>
        </w:numPr>
        <w:tabs>
          <w:tab w:val="left" w:pos="709"/>
          <w:tab w:val="clear" w:pos="964"/>
        </w:tabs>
        <w:overflowPunct w:val="0"/>
        <w:spacing w:line="360" w:lineRule="auto"/>
        <w:ind w:left="968" w:hanging="968" w:hangingChars="459"/>
        <w:jc w:val="both"/>
        <w:rPr>
          <w:rFonts w:ascii="宋体" w:hAnsi="宋体"/>
          <w:b/>
          <w:bCs/>
          <w:sz w:val="21"/>
          <w:szCs w:val="21"/>
        </w:rPr>
      </w:pPr>
      <w:bookmarkStart w:id="715" w:name="_Toc57986399"/>
      <w:bookmarkEnd w:id="715"/>
      <w:bookmarkStart w:id="716" w:name="_Toc31720543"/>
      <w:r>
        <w:rPr>
          <w:rFonts w:hint="eastAsia" w:ascii="宋体" w:hAnsi="宋体"/>
          <w:b/>
          <w:bCs/>
          <w:sz w:val="21"/>
          <w:szCs w:val="21"/>
        </w:rPr>
        <w:t>数据集中器的基本功能</w:t>
      </w:r>
      <w:bookmarkEnd w:id="716"/>
    </w:p>
    <w:p>
      <w:pPr>
        <w:snapToGrid w:val="0"/>
        <w:spacing w:before="72" w:after="72" w:line="300" w:lineRule="auto"/>
        <w:ind w:left="840" w:leftChars="400"/>
        <w:rPr>
          <w:rFonts w:ascii="宋体" w:hAnsi="宋体"/>
          <w:szCs w:val="21"/>
        </w:rPr>
      </w:pPr>
      <w:r>
        <w:rPr>
          <w:rFonts w:hint="eastAsia" w:ascii="宋体" w:hAnsi="宋体"/>
          <w:szCs w:val="21"/>
        </w:rPr>
        <w:t>数据集中器能接收和向多个主站转发源自相量采集装置的动态数据、装置的状态信息。</w:t>
      </w:r>
    </w:p>
    <w:p>
      <w:pPr>
        <w:pStyle w:val="7"/>
        <w:widowControl w:val="0"/>
        <w:numPr>
          <w:ilvl w:val="2"/>
          <w:numId w:val="48"/>
        </w:numPr>
        <w:tabs>
          <w:tab w:val="left" w:pos="709"/>
          <w:tab w:val="clear" w:pos="964"/>
        </w:tabs>
        <w:overflowPunct w:val="0"/>
        <w:spacing w:line="360" w:lineRule="auto"/>
        <w:ind w:left="968" w:hanging="968" w:hangingChars="459"/>
        <w:jc w:val="both"/>
        <w:rPr>
          <w:rFonts w:ascii="宋体" w:hAnsi="宋体"/>
          <w:b/>
          <w:bCs/>
          <w:sz w:val="21"/>
          <w:szCs w:val="21"/>
        </w:rPr>
      </w:pPr>
      <w:bookmarkStart w:id="717" w:name="_Toc31720544"/>
      <w:bookmarkEnd w:id="717"/>
      <w:bookmarkStart w:id="718" w:name="_Toc57986400"/>
      <w:r>
        <w:rPr>
          <w:rFonts w:hint="eastAsia" w:ascii="宋体" w:hAnsi="宋体"/>
          <w:b/>
          <w:bCs/>
          <w:sz w:val="21"/>
          <w:szCs w:val="21"/>
        </w:rPr>
        <w:t>数据集中器的延迟时间</w:t>
      </w:r>
      <w:bookmarkEnd w:id="718"/>
    </w:p>
    <w:p>
      <w:pPr>
        <w:snapToGrid w:val="0"/>
        <w:spacing w:before="72" w:after="72" w:line="300" w:lineRule="auto"/>
        <w:ind w:left="840" w:leftChars="400"/>
        <w:rPr>
          <w:rFonts w:ascii="宋体" w:hAnsi="宋体"/>
          <w:szCs w:val="21"/>
        </w:rPr>
      </w:pPr>
      <w:r>
        <w:rPr>
          <w:rFonts w:hint="eastAsia" w:ascii="宋体" w:hAnsi="宋体"/>
          <w:szCs w:val="21"/>
        </w:rPr>
        <w:t>数据集中器转发实时传送的动态数据的延迟时间不大于l0ms。</w:t>
      </w:r>
    </w:p>
    <w:p>
      <w:pPr>
        <w:pStyle w:val="7"/>
        <w:widowControl w:val="0"/>
        <w:numPr>
          <w:ilvl w:val="2"/>
          <w:numId w:val="48"/>
        </w:numPr>
        <w:tabs>
          <w:tab w:val="left" w:pos="709"/>
          <w:tab w:val="clear" w:pos="964"/>
        </w:tabs>
        <w:overflowPunct w:val="0"/>
        <w:spacing w:line="360" w:lineRule="auto"/>
        <w:ind w:left="968" w:hanging="968" w:hangingChars="459"/>
        <w:jc w:val="both"/>
        <w:rPr>
          <w:rFonts w:ascii="宋体" w:hAnsi="宋体"/>
          <w:b/>
          <w:bCs/>
          <w:sz w:val="21"/>
          <w:szCs w:val="21"/>
        </w:rPr>
      </w:pPr>
      <w:bookmarkStart w:id="719" w:name="_Toc31720545"/>
      <w:bookmarkEnd w:id="719"/>
      <w:bookmarkStart w:id="720" w:name="_Toc57986401"/>
      <w:r>
        <w:rPr>
          <w:rFonts w:hint="eastAsia" w:ascii="宋体" w:hAnsi="宋体"/>
          <w:b/>
          <w:bCs/>
          <w:sz w:val="21"/>
          <w:szCs w:val="21"/>
        </w:rPr>
        <w:t>数据集中器转发动态数据的要求</w:t>
      </w:r>
      <w:bookmarkEnd w:id="720"/>
    </w:p>
    <w:p>
      <w:pPr>
        <w:snapToGrid w:val="0"/>
        <w:spacing w:before="72" w:after="72" w:line="300" w:lineRule="auto"/>
        <w:ind w:left="840" w:leftChars="400"/>
        <w:rPr>
          <w:rFonts w:ascii="宋体" w:hAnsi="宋体"/>
          <w:szCs w:val="21"/>
        </w:rPr>
      </w:pPr>
      <w:r>
        <w:rPr>
          <w:rFonts w:hint="eastAsia" w:ascii="宋体" w:hAnsi="宋体"/>
          <w:szCs w:val="21"/>
        </w:rPr>
        <w:t>数据集中器按时间顺序逐次、均匀转发实时传送的动态数据，转发的动态数据中包含整秒时刻的数据。</w:t>
      </w:r>
    </w:p>
    <w:p>
      <w:pPr>
        <w:pStyle w:val="7"/>
        <w:widowControl w:val="0"/>
        <w:numPr>
          <w:ilvl w:val="2"/>
          <w:numId w:val="48"/>
        </w:numPr>
        <w:tabs>
          <w:tab w:val="left" w:pos="709"/>
          <w:tab w:val="clear" w:pos="964"/>
        </w:tabs>
        <w:overflowPunct w:val="0"/>
        <w:spacing w:line="360" w:lineRule="auto"/>
        <w:ind w:left="968" w:hanging="968" w:hangingChars="459"/>
        <w:jc w:val="both"/>
        <w:rPr>
          <w:rFonts w:ascii="宋体" w:hAnsi="宋体"/>
          <w:b/>
          <w:sz w:val="21"/>
          <w:szCs w:val="21"/>
        </w:rPr>
      </w:pPr>
      <w:bookmarkStart w:id="721" w:name="_Toc31720546"/>
      <w:bookmarkEnd w:id="721"/>
      <w:bookmarkStart w:id="722" w:name="_Toc57986402"/>
      <w:r>
        <w:rPr>
          <w:rFonts w:hint="eastAsia" w:ascii="宋体" w:hAnsi="宋体"/>
          <w:b/>
          <w:sz w:val="21"/>
          <w:szCs w:val="21"/>
        </w:rPr>
        <w:t>配置方案</w:t>
      </w:r>
      <w:bookmarkEnd w:id="722"/>
    </w:p>
    <w:p>
      <w:pPr>
        <w:pStyle w:val="8"/>
        <w:numPr>
          <w:ilvl w:val="3"/>
          <w:numId w:val="48"/>
        </w:numPr>
        <w:tabs>
          <w:tab w:val="left" w:pos="993"/>
          <w:tab w:val="clear" w:pos="1531"/>
        </w:tabs>
        <w:overflowPunct w:val="0"/>
        <w:spacing w:before="72" w:after="72" w:line="300" w:lineRule="auto"/>
        <w:ind w:left="964"/>
        <w:rPr>
          <w:rFonts w:ascii="宋体" w:hAnsi="宋体"/>
          <w:b/>
          <w:szCs w:val="21"/>
        </w:rPr>
      </w:pPr>
      <w:r>
        <w:rPr>
          <w:rFonts w:hint="eastAsia" w:ascii="宋体" w:hAnsi="宋体"/>
          <w:szCs w:val="21"/>
        </w:rPr>
        <w:t>PMU应参照IEEE 1344 、IEEE C37.118、Q/GDW10131-2017《电力系统实时动态监测系统技术规范》、《DLT 280-2012 电力系统同步相量测量装置通用技术条件》、《国网西南分部关于进一步加强西南电网并网发电机网源协调性能在线实时监测工作的通知（西南调〔2018〕70 号）》等相关要求的要求设计，应与上级调度主站系统进行通信和交换数据，并按调度要求的内容和格式上传数据。</w:t>
      </w:r>
    </w:p>
    <w:p>
      <w:pPr>
        <w:pStyle w:val="8"/>
        <w:numPr>
          <w:ilvl w:val="3"/>
          <w:numId w:val="48"/>
        </w:numPr>
        <w:tabs>
          <w:tab w:val="left" w:pos="993"/>
          <w:tab w:val="clear" w:pos="1531"/>
        </w:tabs>
        <w:overflowPunct w:val="0"/>
        <w:spacing w:before="72" w:after="72" w:line="300" w:lineRule="auto"/>
        <w:ind w:left="964"/>
        <w:rPr>
          <w:rFonts w:ascii="宋体" w:hAnsi="宋体"/>
          <w:b/>
          <w:szCs w:val="21"/>
        </w:rPr>
      </w:pPr>
      <w:r>
        <w:rPr>
          <w:rFonts w:hint="eastAsia" w:ascii="宋体" w:hAnsi="宋体"/>
          <w:szCs w:val="21"/>
        </w:rPr>
        <w:t>110kV开关站同步相量采集级处理柜布置在副厂房二次盘柜室，通过双重化配置的数据集中处理单元采集固增电站所有同步相量信息，并通过调度数据专网向调度端传送所有数据和信息。</w:t>
      </w:r>
    </w:p>
    <w:p>
      <w:pPr>
        <w:pStyle w:val="8"/>
        <w:numPr>
          <w:ilvl w:val="3"/>
          <w:numId w:val="48"/>
        </w:numPr>
        <w:tabs>
          <w:tab w:val="left" w:pos="993"/>
          <w:tab w:val="clear" w:pos="1531"/>
        </w:tabs>
        <w:overflowPunct w:val="0"/>
        <w:spacing w:before="72" w:after="72" w:line="300" w:lineRule="auto"/>
        <w:ind w:left="964"/>
        <w:rPr>
          <w:rFonts w:ascii="宋体" w:hAnsi="宋体"/>
          <w:b/>
          <w:szCs w:val="21"/>
        </w:rPr>
      </w:pPr>
      <w:r>
        <w:rPr>
          <w:rFonts w:hint="eastAsia" w:ascii="宋体" w:hAnsi="宋体"/>
          <w:szCs w:val="21"/>
        </w:rPr>
        <w:t>110kV开关站同步相量采集屏应按国家电网公司输变电工程通用设计标准进行设计，应能同步采集</w:t>
      </w:r>
      <w:r>
        <w:rPr>
          <w:rFonts w:ascii="宋体" w:hAnsi="宋体"/>
          <w:szCs w:val="21"/>
        </w:rPr>
        <w:t>1</w:t>
      </w:r>
      <w:r>
        <w:rPr>
          <w:rFonts w:hint="eastAsia" w:ascii="宋体" w:hAnsi="宋体"/>
          <w:szCs w:val="21"/>
        </w:rPr>
        <w:t>回110kV线路和2台变压器的三相电压和三相电流等，并预留开关量的输入回路。</w:t>
      </w:r>
    </w:p>
    <w:p>
      <w:pPr>
        <w:pStyle w:val="8"/>
        <w:numPr>
          <w:ilvl w:val="3"/>
          <w:numId w:val="48"/>
        </w:numPr>
        <w:tabs>
          <w:tab w:val="left" w:pos="993"/>
          <w:tab w:val="clear" w:pos="1531"/>
        </w:tabs>
        <w:overflowPunct w:val="0"/>
        <w:spacing w:before="72" w:after="72" w:line="300" w:lineRule="auto"/>
        <w:ind w:left="964"/>
        <w:rPr>
          <w:rFonts w:ascii="宋体" w:hAnsi="宋体"/>
          <w:szCs w:val="21"/>
        </w:rPr>
      </w:pPr>
      <w:r>
        <w:rPr>
          <w:rFonts w:ascii="宋体" w:hAnsi="宋体"/>
          <w:szCs w:val="21"/>
        </w:rPr>
        <w:t>PMU应具备低频振荡就地告警功能，告警判据：10MW，时间为10个周期。PMU在PT、CT断线、装置故障、直流电源消失、通讯故障的情况下应能发出警告，信号以硬接点接入计算机监控系统</w:t>
      </w:r>
      <w:r>
        <w:rPr>
          <w:rFonts w:hint="eastAsia" w:ascii="宋体" w:hAnsi="宋体"/>
          <w:szCs w:val="21"/>
        </w:rPr>
        <w:t>。</w:t>
      </w:r>
    </w:p>
    <w:p>
      <w:pPr>
        <w:pStyle w:val="8"/>
        <w:numPr>
          <w:ilvl w:val="3"/>
          <w:numId w:val="48"/>
        </w:numPr>
        <w:tabs>
          <w:tab w:val="left" w:pos="993"/>
          <w:tab w:val="clear" w:pos="1531"/>
        </w:tabs>
        <w:overflowPunct w:val="0"/>
        <w:spacing w:before="72" w:after="72" w:line="300" w:lineRule="auto"/>
        <w:ind w:left="964"/>
        <w:rPr>
          <w:rFonts w:ascii="宋体" w:hAnsi="宋体"/>
          <w:b/>
          <w:szCs w:val="21"/>
        </w:rPr>
      </w:pPr>
      <w:r>
        <w:rPr>
          <w:rFonts w:hint="eastAsia" w:ascii="宋体" w:hAnsi="宋体"/>
          <w:szCs w:val="21"/>
        </w:rPr>
        <w:t>应能接收电站时钟同步系统（其他卖方提供）的对时信号。实现同步相量采集装置的时钟同步。</w:t>
      </w:r>
    </w:p>
    <w:p>
      <w:pPr>
        <w:pStyle w:val="8"/>
        <w:numPr>
          <w:ilvl w:val="3"/>
          <w:numId w:val="48"/>
        </w:numPr>
        <w:tabs>
          <w:tab w:val="left" w:pos="993"/>
          <w:tab w:val="clear" w:pos="1531"/>
        </w:tabs>
        <w:overflowPunct w:val="0"/>
        <w:spacing w:before="72" w:after="72" w:line="300" w:lineRule="auto"/>
        <w:ind w:left="964"/>
        <w:rPr>
          <w:rFonts w:ascii="宋体" w:hAnsi="宋体"/>
          <w:b/>
          <w:szCs w:val="21"/>
        </w:rPr>
      </w:pPr>
      <w:r>
        <w:rPr>
          <w:rFonts w:hint="eastAsia" w:ascii="宋体" w:hAnsi="宋体"/>
          <w:szCs w:val="21"/>
        </w:rPr>
        <w:t>卖方应提供同步相量采集装置的通信设备，包括网络交换机、光纤、以太网网线等。交换机应采用东土、新华三、华为等同等档次及以上的自主可控安全产品产品。</w:t>
      </w:r>
    </w:p>
    <w:p>
      <w:pPr>
        <w:pStyle w:val="8"/>
        <w:numPr>
          <w:ilvl w:val="3"/>
          <w:numId w:val="48"/>
        </w:numPr>
        <w:tabs>
          <w:tab w:val="left" w:pos="993"/>
          <w:tab w:val="clear" w:pos="1531"/>
        </w:tabs>
        <w:overflowPunct w:val="0"/>
        <w:spacing w:before="72" w:after="72" w:line="300" w:lineRule="auto"/>
        <w:ind w:left="964"/>
        <w:rPr>
          <w:rFonts w:ascii="宋体" w:hAnsi="宋体"/>
          <w:b/>
          <w:szCs w:val="21"/>
        </w:rPr>
      </w:pPr>
      <w:r>
        <w:rPr>
          <w:rFonts w:hint="eastAsia" w:ascii="宋体" w:hAnsi="宋体"/>
          <w:szCs w:val="21"/>
        </w:rPr>
        <w:t>PMU系统通过电力调度数据专网（RJ45以太网络接口）与调度主站进行通信，通信协议符合国调《电力系统实时动态监测系统技术规范》的要求。</w:t>
      </w:r>
    </w:p>
    <w:p>
      <w:pPr>
        <w:pStyle w:val="8"/>
        <w:numPr>
          <w:ilvl w:val="3"/>
          <w:numId w:val="48"/>
        </w:numPr>
        <w:tabs>
          <w:tab w:val="left" w:pos="993"/>
          <w:tab w:val="clear" w:pos="1531"/>
        </w:tabs>
        <w:overflowPunct w:val="0"/>
        <w:spacing w:before="72" w:after="72" w:line="300" w:lineRule="auto"/>
        <w:ind w:left="964"/>
        <w:rPr>
          <w:rFonts w:ascii="宋体" w:hAnsi="宋体"/>
          <w:b/>
          <w:szCs w:val="21"/>
        </w:rPr>
      </w:pPr>
      <w:r>
        <w:rPr>
          <w:rFonts w:hint="eastAsia" w:ascii="宋体" w:hAnsi="宋体"/>
          <w:szCs w:val="21"/>
        </w:rPr>
        <w:t>卖方应负责协调，确保双江航电枢纽同步相量采集系统接入重庆市调。</w:t>
      </w:r>
    </w:p>
    <w:p>
      <w:pPr>
        <w:pStyle w:val="8"/>
        <w:numPr>
          <w:ilvl w:val="3"/>
          <w:numId w:val="48"/>
        </w:numPr>
        <w:tabs>
          <w:tab w:val="left" w:pos="993"/>
          <w:tab w:val="clear" w:pos="1531"/>
        </w:tabs>
        <w:overflowPunct w:val="0"/>
        <w:spacing w:before="72" w:after="72" w:line="300" w:lineRule="auto"/>
        <w:ind w:left="964"/>
        <w:rPr>
          <w:rFonts w:ascii="宋体" w:hAnsi="宋体"/>
          <w:b/>
          <w:szCs w:val="21"/>
        </w:rPr>
      </w:pPr>
      <w:r>
        <w:rPr>
          <w:rFonts w:hint="eastAsia" w:ascii="宋体" w:hAnsi="宋体"/>
          <w:szCs w:val="21"/>
        </w:rPr>
        <w:t>柜内应配置光纤接终端盒，光纤终端盒均采用机架式光纤终端盒。配备盘纤器、熔接子框、保护门盒。</w:t>
      </w:r>
    </w:p>
    <w:p>
      <w:pPr>
        <w:pStyle w:val="7"/>
        <w:widowControl w:val="0"/>
        <w:numPr>
          <w:ilvl w:val="2"/>
          <w:numId w:val="48"/>
        </w:numPr>
        <w:tabs>
          <w:tab w:val="left" w:pos="709"/>
          <w:tab w:val="clear" w:pos="964"/>
        </w:tabs>
        <w:overflowPunct w:val="0"/>
        <w:spacing w:line="360" w:lineRule="auto"/>
        <w:ind w:left="968" w:hanging="968" w:hangingChars="459"/>
        <w:jc w:val="both"/>
        <w:rPr>
          <w:rFonts w:ascii="宋体" w:hAnsi="宋体"/>
          <w:b/>
          <w:bCs/>
          <w:sz w:val="21"/>
          <w:szCs w:val="21"/>
        </w:rPr>
      </w:pPr>
      <w:r>
        <w:rPr>
          <w:rFonts w:hint="eastAsia" w:ascii="宋体" w:hAnsi="宋体"/>
          <w:b/>
          <w:bCs/>
          <w:sz w:val="21"/>
          <w:szCs w:val="21"/>
        </w:rPr>
        <w:t>便携式调试终端</w:t>
      </w:r>
    </w:p>
    <w:p>
      <w:pPr>
        <w:spacing w:before="93" w:beforeLines="30" w:after="93" w:afterLines="30" w:line="300" w:lineRule="auto"/>
        <w:ind w:left="840" w:leftChars="400"/>
        <w:rPr>
          <w:rFonts w:ascii="宋体" w:hAnsi="宋体"/>
          <w:color w:val="000000"/>
          <w:szCs w:val="21"/>
        </w:rPr>
      </w:pPr>
      <w:r>
        <w:rPr>
          <w:rFonts w:hint="eastAsia" w:ascii="宋体" w:hAnsi="宋体"/>
          <w:szCs w:val="21"/>
        </w:rPr>
        <w:t>提供</w:t>
      </w:r>
      <w:r>
        <w:rPr>
          <w:rFonts w:ascii="宋体" w:hAnsi="宋体"/>
          <w:szCs w:val="21"/>
        </w:rPr>
        <w:t>1</w:t>
      </w:r>
      <w:r>
        <w:rPr>
          <w:rFonts w:hint="eastAsia" w:ascii="宋体" w:hAnsi="宋体"/>
          <w:szCs w:val="21"/>
        </w:rPr>
        <w:t>台全厂共用的用于调试程序、设定参数的便携式PC机（含调试数据线、调试软件和加密狗等），便携式PC机应采用国际知名品牌的产品，至少应满足以下配置要求：</w:t>
      </w:r>
    </w:p>
    <w:p>
      <w:pPr>
        <w:pStyle w:val="120"/>
        <w:numPr>
          <w:ilvl w:val="0"/>
          <w:numId w:val="78"/>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操作系统：Windows</w:t>
      </w:r>
    </w:p>
    <w:p>
      <w:pPr>
        <w:pStyle w:val="120"/>
        <w:numPr>
          <w:ilvl w:val="0"/>
          <w:numId w:val="78"/>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CPU处理器：I7</w:t>
      </w:r>
    </w:p>
    <w:p>
      <w:pPr>
        <w:pStyle w:val="120"/>
        <w:numPr>
          <w:ilvl w:val="0"/>
          <w:numId w:val="78"/>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内存：16GB，支持扩展</w:t>
      </w:r>
    </w:p>
    <w:p>
      <w:pPr>
        <w:pStyle w:val="120"/>
        <w:numPr>
          <w:ilvl w:val="0"/>
          <w:numId w:val="78"/>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 xml:space="preserve">硬盘：SSD </w:t>
      </w:r>
      <w:r>
        <w:rPr>
          <w:rFonts w:hAnsi="宋体"/>
          <w:color w:val="000000"/>
          <w:sz w:val="21"/>
          <w:szCs w:val="21"/>
        </w:rPr>
        <w:t>1T</w:t>
      </w:r>
      <w:r>
        <w:rPr>
          <w:rFonts w:hint="eastAsia" w:hAnsi="宋体"/>
          <w:color w:val="000000"/>
          <w:sz w:val="21"/>
          <w:szCs w:val="21"/>
        </w:rPr>
        <w:t>B</w:t>
      </w:r>
    </w:p>
    <w:p>
      <w:pPr>
        <w:pStyle w:val="120"/>
        <w:numPr>
          <w:ilvl w:val="0"/>
          <w:numId w:val="78"/>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显卡：独立显卡，显存容量≥1024MB</w:t>
      </w:r>
    </w:p>
    <w:p>
      <w:pPr>
        <w:pStyle w:val="120"/>
        <w:numPr>
          <w:ilvl w:val="0"/>
          <w:numId w:val="78"/>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液晶显示器：宽屏，分辨率≥1920x1080</w:t>
      </w:r>
    </w:p>
    <w:p>
      <w:pPr>
        <w:pStyle w:val="120"/>
        <w:numPr>
          <w:ilvl w:val="0"/>
          <w:numId w:val="78"/>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USB接口及串/并口的数量应不低于3个，1个10/100/1000M自适应RJ45口；</w:t>
      </w:r>
    </w:p>
    <w:p>
      <w:pPr>
        <w:pStyle w:val="120"/>
        <w:numPr>
          <w:ilvl w:val="0"/>
          <w:numId w:val="78"/>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光驱：1个内置COMBO光驱DVD-ROM/CD-RW，速度24x/24x/24x/8x Max</w:t>
      </w:r>
    </w:p>
    <w:p>
      <w:pPr>
        <w:pStyle w:val="120"/>
        <w:numPr>
          <w:ilvl w:val="0"/>
          <w:numId w:val="78"/>
        </w:numPr>
        <w:spacing w:before="93" w:beforeLines="30" w:after="93" w:afterLines="30" w:line="300" w:lineRule="auto"/>
        <w:ind w:left="1470" w:hanging="420"/>
        <w:rPr>
          <w:rFonts w:hAnsi="宋体"/>
          <w:color w:val="000000"/>
          <w:sz w:val="21"/>
          <w:szCs w:val="21"/>
        </w:rPr>
      </w:pPr>
      <w:r>
        <w:rPr>
          <w:rFonts w:hint="eastAsia" w:hAnsi="宋体"/>
          <w:color w:val="000000"/>
          <w:sz w:val="21"/>
          <w:szCs w:val="21"/>
        </w:rPr>
        <w:t>指纹识别器、内置网卡、56k语音、数据及传真MODEM，2个PCMCIA插槽</w:t>
      </w:r>
    </w:p>
    <w:p>
      <w:pPr>
        <w:ind w:firstLine="420" w:firstLineChars="200"/>
        <w:rPr>
          <w:rFonts w:ascii="宋体" w:hAnsi="宋体"/>
          <w:szCs w:val="21"/>
        </w:rPr>
      </w:pPr>
      <w:r>
        <w:rPr>
          <w:rFonts w:hint="eastAsia" w:ascii="宋体" w:hAnsi="宋体"/>
          <w:color w:val="000000"/>
          <w:szCs w:val="21"/>
        </w:rPr>
        <w:t>提供所需全部控制、监视、测试、编程用软件</w:t>
      </w:r>
    </w:p>
    <w:p>
      <w:pPr>
        <w:pStyle w:val="7"/>
        <w:widowControl w:val="0"/>
        <w:numPr>
          <w:ilvl w:val="2"/>
          <w:numId w:val="48"/>
        </w:numPr>
        <w:tabs>
          <w:tab w:val="left" w:pos="709"/>
          <w:tab w:val="clear" w:pos="964"/>
        </w:tabs>
        <w:overflowPunct w:val="0"/>
        <w:spacing w:line="360" w:lineRule="auto"/>
        <w:ind w:left="968" w:hanging="968" w:hangingChars="459"/>
        <w:jc w:val="both"/>
        <w:rPr>
          <w:rFonts w:ascii="宋体" w:hAnsi="宋体"/>
          <w:b/>
          <w:bCs/>
          <w:sz w:val="21"/>
          <w:szCs w:val="21"/>
        </w:rPr>
      </w:pPr>
      <w:bookmarkStart w:id="723" w:name="_Toc57986403"/>
      <w:bookmarkEnd w:id="723"/>
      <w:r>
        <w:rPr>
          <w:rFonts w:hint="eastAsia" w:ascii="宋体" w:hAnsi="宋体"/>
          <w:b/>
          <w:bCs/>
          <w:sz w:val="21"/>
          <w:szCs w:val="21"/>
        </w:rPr>
        <w:t>供货设备</w:t>
      </w:r>
    </w:p>
    <w:p>
      <w:pPr>
        <w:pStyle w:val="8"/>
        <w:spacing w:before="72" w:after="72"/>
        <w:rPr>
          <w:rFonts w:ascii="宋体" w:hAnsi="宋体"/>
          <w:b/>
          <w:szCs w:val="21"/>
        </w:rPr>
      </w:pPr>
      <w:r>
        <w:rPr>
          <w:rFonts w:hint="eastAsia" w:ascii="宋体" w:hAnsi="宋体"/>
          <w:szCs w:val="21"/>
        </w:rPr>
        <w:t>（1）设备组屏方案</w:t>
      </w:r>
    </w:p>
    <w:tbl>
      <w:tblPr>
        <w:tblStyle w:val="71"/>
        <w:tblW w:w="8503" w:type="dxa"/>
        <w:jc w:val="center"/>
        <w:tblLayout w:type="fixed"/>
        <w:tblCellMar>
          <w:top w:w="15" w:type="dxa"/>
          <w:left w:w="15" w:type="dxa"/>
          <w:bottom w:w="15" w:type="dxa"/>
          <w:right w:w="15" w:type="dxa"/>
        </w:tblCellMar>
      </w:tblPr>
      <w:tblGrid>
        <w:gridCol w:w="673"/>
        <w:gridCol w:w="2610"/>
        <w:gridCol w:w="1770"/>
        <w:gridCol w:w="1170"/>
        <w:gridCol w:w="825"/>
        <w:gridCol w:w="1455"/>
      </w:tblGrid>
      <w:tr>
        <w:tblPrEx>
          <w:tblCellMar>
            <w:top w:w="15" w:type="dxa"/>
            <w:left w:w="15" w:type="dxa"/>
            <w:bottom w:w="15" w:type="dxa"/>
            <w:right w:w="15"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b/>
                <w:szCs w:val="21"/>
              </w:rPr>
            </w:pPr>
            <w:r>
              <w:rPr>
                <w:rFonts w:hint="eastAsia" w:ascii="宋体" w:hAnsi="宋体"/>
                <w:b/>
                <w:szCs w:val="21"/>
              </w:rPr>
              <w:t>序号</w:t>
            </w:r>
          </w:p>
        </w:tc>
        <w:tc>
          <w:tcPr>
            <w:tcW w:w="261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b/>
                <w:szCs w:val="21"/>
              </w:rPr>
            </w:pPr>
            <w:r>
              <w:rPr>
                <w:rFonts w:hint="eastAsia" w:ascii="宋体" w:hAnsi="宋体"/>
                <w:b/>
                <w:szCs w:val="21"/>
              </w:rPr>
              <w:t>设备名称</w:t>
            </w:r>
          </w:p>
        </w:tc>
        <w:tc>
          <w:tcPr>
            <w:tcW w:w="17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b/>
                <w:szCs w:val="21"/>
              </w:rPr>
            </w:pPr>
            <w:r>
              <w:rPr>
                <w:rFonts w:hint="eastAsia" w:ascii="宋体" w:hAnsi="宋体"/>
                <w:b/>
                <w:szCs w:val="21"/>
              </w:rPr>
              <w:t>规格型号</w:t>
            </w:r>
          </w:p>
        </w:tc>
        <w:tc>
          <w:tcPr>
            <w:tcW w:w="11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b/>
                <w:szCs w:val="21"/>
              </w:rPr>
            </w:pPr>
            <w:r>
              <w:rPr>
                <w:rFonts w:hint="eastAsia" w:ascii="宋体" w:hAnsi="宋体"/>
                <w:b/>
                <w:szCs w:val="21"/>
              </w:rPr>
              <w:t>单位</w:t>
            </w:r>
          </w:p>
        </w:tc>
        <w:tc>
          <w:tcPr>
            <w:tcW w:w="82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b/>
                <w:szCs w:val="21"/>
              </w:rPr>
            </w:pPr>
            <w:r>
              <w:rPr>
                <w:rFonts w:hint="eastAsia" w:ascii="宋体" w:hAnsi="宋体"/>
                <w:b/>
                <w:szCs w:val="21"/>
              </w:rPr>
              <w:t>数量</w:t>
            </w:r>
          </w:p>
        </w:tc>
        <w:tc>
          <w:tcPr>
            <w:tcW w:w="145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b/>
                <w:szCs w:val="21"/>
              </w:rPr>
            </w:pPr>
            <w:r>
              <w:rPr>
                <w:rFonts w:hint="eastAsia" w:ascii="宋体" w:hAnsi="宋体"/>
                <w:b/>
                <w:szCs w:val="21"/>
              </w:rPr>
              <w:t>生产厂家</w:t>
            </w:r>
          </w:p>
        </w:tc>
      </w:tr>
      <w:tr>
        <w:tblPrEx>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 xml:space="preserve">1 </w:t>
            </w:r>
          </w:p>
        </w:tc>
        <w:tc>
          <w:tcPr>
            <w:tcW w:w="261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textAlignment w:val="center"/>
              <w:rPr>
                <w:rFonts w:ascii="宋体" w:hAnsi="宋体"/>
                <w:szCs w:val="21"/>
              </w:rPr>
            </w:pPr>
            <w:r>
              <w:rPr>
                <w:rFonts w:hint="eastAsia" w:ascii="宋体" w:hAnsi="宋体"/>
                <w:szCs w:val="21"/>
              </w:rPr>
              <w:t>电站同步相量采集和处理柜（至少包含以下设备）</w:t>
            </w:r>
          </w:p>
        </w:tc>
        <w:tc>
          <w:tcPr>
            <w:tcW w:w="17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textAlignment w:val="center"/>
              <w:rPr>
                <w:rFonts w:ascii="宋体" w:hAnsi="宋体"/>
                <w:szCs w:val="21"/>
              </w:rPr>
            </w:pPr>
            <w:r>
              <w:rPr>
                <w:rFonts w:hint="eastAsia" w:ascii="宋体" w:hAnsi="宋体"/>
                <w:szCs w:val="21"/>
              </w:rPr>
              <w:t>800×600×2260</w:t>
            </w:r>
          </w:p>
        </w:tc>
        <w:tc>
          <w:tcPr>
            <w:tcW w:w="11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面</w:t>
            </w:r>
          </w:p>
        </w:tc>
        <w:tc>
          <w:tcPr>
            <w:tcW w:w="82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1</w:t>
            </w:r>
          </w:p>
        </w:tc>
        <w:tc>
          <w:tcPr>
            <w:tcW w:w="1455" w:type="dxa"/>
            <w:tcBorders>
              <w:top w:val="single" w:color="000000" w:sz="4" w:space="0"/>
              <w:left w:val="nil"/>
              <w:bottom w:val="single" w:color="000000" w:sz="4" w:space="0"/>
              <w:right w:val="single" w:color="000000" w:sz="4" w:space="0"/>
            </w:tcBorders>
            <w:vAlign w:val="center"/>
          </w:tcPr>
          <w:p>
            <w:pPr>
              <w:adjustRightInd w:val="0"/>
              <w:spacing w:line="360" w:lineRule="atLeast"/>
              <w:jc w:val="center"/>
              <w:textAlignment w:val="baseline"/>
              <w:rPr>
                <w:rFonts w:ascii="宋体" w:hAnsi="宋体"/>
                <w:szCs w:val="21"/>
              </w:rPr>
            </w:pPr>
          </w:p>
        </w:tc>
      </w:tr>
      <w:tr>
        <w:tblPrEx>
          <w:tblCellMar>
            <w:top w:w="15" w:type="dxa"/>
            <w:left w:w="15" w:type="dxa"/>
            <w:bottom w:w="15" w:type="dxa"/>
            <w:right w:w="15" w:type="dxa"/>
          </w:tblCellMar>
        </w:tblPrEx>
        <w:trPr>
          <w:trHeight w:val="285" w:hRule="atLeast"/>
          <w:jc w:val="center"/>
        </w:trPr>
        <w:tc>
          <w:tcPr>
            <w:tcW w:w="673" w:type="dxa"/>
            <w:vMerge w:val="restart"/>
            <w:tcBorders>
              <w:top w:val="nil"/>
              <w:left w:val="single" w:color="000000" w:sz="4" w:space="0"/>
              <w:bottom w:val="single" w:color="000000" w:sz="4" w:space="0"/>
              <w:right w:val="single" w:color="000000" w:sz="4" w:space="0"/>
            </w:tcBorders>
            <w:vAlign w:val="center"/>
          </w:tcPr>
          <w:p>
            <w:pPr>
              <w:adjustRightInd w:val="0"/>
              <w:spacing w:line="360" w:lineRule="atLeast"/>
              <w:jc w:val="center"/>
              <w:textAlignment w:val="baseline"/>
              <w:rPr>
                <w:rFonts w:ascii="宋体" w:hAnsi="宋体"/>
                <w:szCs w:val="21"/>
              </w:rPr>
            </w:pPr>
          </w:p>
        </w:tc>
        <w:tc>
          <w:tcPr>
            <w:tcW w:w="261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textAlignment w:val="center"/>
              <w:rPr>
                <w:rFonts w:ascii="宋体" w:hAnsi="宋体"/>
                <w:szCs w:val="21"/>
              </w:rPr>
            </w:pPr>
            <w:r>
              <w:rPr>
                <w:rFonts w:hint="eastAsia" w:ascii="宋体" w:hAnsi="宋体"/>
                <w:szCs w:val="21"/>
              </w:rPr>
              <w:t>数据集中处理单元</w:t>
            </w:r>
          </w:p>
        </w:tc>
        <w:tc>
          <w:tcPr>
            <w:tcW w:w="17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textAlignment w:val="center"/>
              <w:rPr>
                <w:rFonts w:ascii="宋体" w:hAnsi="宋体"/>
                <w:szCs w:val="21"/>
              </w:rPr>
            </w:pPr>
          </w:p>
        </w:tc>
        <w:tc>
          <w:tcPr>
            <w:tcW w:w="11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台</w:t>
            </w:r>
          </w:p>
        </w:tc>
        <w:tc>
          <w:tcPr>
            <w:tcW w:w="82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2</w:t>
            </w:r>
          </w:p>
        </w:tc>
        <w:tc>
          <w:tcPr>
            <w:tcW w:w="145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673" w:type="dxa"/>
            <w:vMerge w:val="continue"/>
            <w:tcBorders>
              <w:top w:val="nil"/>
              <w:left w:val="single" w:color="000000" w:sz="4" w:space="0"/>
              <w:bottom w:val="single" w:color="000000" w:sz="4" w:space="0"/>
              <w:right w:val="single" w:color="000000" w:sz="4" w:space="0"/>
            </w:tcBorders>
            <w:vAlign w:val="center"/>
          </w:tcPr>
          <w:p>
            <w:pPr>
              <w:adjustRightInd w:val="0"/>
              <w:spacing w:line="360" w:lineRule="atLeast"/>
              <w:jc w:val="center"/>
              <w:textAlignment w:val="baseline"/>
              <w:rPr>
                <w:rFonts w:ascii="宋体" w:hAnsi="宋体"/>
                <w:szCs w:val="21"/>
              </w:rPr>
            </w:pPr>
          </w:p>
        </w:tc>
        <w:tc>
          <w:tcPr>
            <w:tcW w:w="261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textAlignment w:val="center"/>
              <w:rPr>
                <w:rFonts w:ascii="宋体" w:hAnsi="宋体"/>
                <w:szCs w:val="21"/>
              </w:rPr>
            </w:pPr>
            <w:r>
              <w:rPr>
                <w:rFonts w:hint="eastAsia" w:ascii="宋体" w:hAnsi="宋体"/>
                <w:szCs w:val="21"/>
              </w:rPr>
              <w:t>网络交换机</w:t>
            </w:r>
          </w:p>
        </w:tc>
        <w:tc>
          <w:tcPr>
            <w:tcW w:w="17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textAlignment w:val="center"/>
              <w:rPr>
                <w:rFonts w:ascii="宋体" w:hAnsi="宋体"/>
                <w:szCs w:val="21"/>
              </w:rPr>
            </w:pPr>
          </w:p>
        </w:tc>
        <w:tc>
          <w:tcPr>
            <w:tcW w:w="11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台</w:t>
            </w:r>
          </w:p>
        </w:tc>
        <w:tc>
          <w:tcPr>
            <w:tcW w:w="82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2</w:t>
            </w:r>
          </w:p>
        </w:tc>
        <w:tc>
          <w:tcPr>
            <w:tcW w:w="145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67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261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textAlignment w:val="center"/>
              <w:rPr>
                <w:rFonts w:ascii="宋体" w:hAnsi="宋体"/>
                <w:szCs w:val="21"/>
              </w:rPr>
            </w:pPr>
            <w:r>
              <w:rPr>
                <w:rFonts w:hint="eastAsia" w:ascii="宋体" w:hAnsi="宋体"/>
                <w:szCs w:val="21"/>
              </w:rPr>
              <w:t>光纤终端盒</w:t>
            </w:r>
          </w:p>
        </w:tc>
        <w:tc>
          <w:tcPr>
            <w:tcW w:w="1770" w:type="dxa"/>
            <w:tcBorders>
              <w:top w:val="single" w:color="000000" w:sz="4" w:space="0"/>
              <w:left w:val="nil"/>
              <w:bottom w:val="single" w:color="000000" w:sz="4" w:space="0"/>
              <w:right w:val="single" w:color="000000" w:sz="4" w:space="0"/>
            </w:tcBorders>
            <w:vAlign w:val="center"/>
          </w:tcPr>
          <w:p>
            <w:pPr>
              <w:adjustRightInd w:val="0"/>
              <w:spacing w:line="360" w:lineRule="atLeast"/>
              <w:textAlignment w:val="baseline"/>
              <w:rPr>
                <w:rFonts w:ascii="宋体" w:hAnsi="宋体"/>
                <w:szCs w:val="21"/>
              </w:rPr>
            </w:pPr>
          </w:p>
        </w:tc>
        <w:tc>
          <w:tcPr>
            <w:tcW w:w="11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只</w:t>
            </w:r>
          </w:p>
        </w:tc>
        <w:tc>
          <w:tcPr>
            <w:tcW w:w="82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 xml:space="preserve">1 </w:t>
            </w:r>
          </w:p>
        </w:tc>
        <w:tc>
          <w:tcPr>
            <w:tcW w:w="145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67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2610" w:type="dxa"/>
            <w:tcBorders>
              <w:top w:val="single" w:color="000000" w:sz="4" w:space="0"/>
              <w:left w:val="nil"/>
              <w:bottom w:val="single" w:color="000000" w:sz="4" w:space="0"/>
              <w:right w:val="single" w:color="000000" w:sz="4" w:space="0"/>
            </w:tcBorders>
            <w:vAlign w:val="center"/>
          </w:tcPr>
          <w:p>
            <w:pPr>
              <w:widowControl/>
              <w:adjustRightInd w:val="0"/>
              <w:textAlignment w:val="center"/>
              <w:rPr>
                <w:rFonts w:ascii="宋体" w:hAnsi="宋体"/>
                <w:szCs w:val="21"/>
              </w:rPr>
            </w:pPr>
            <w:r>
              <w:rPr>
                <w:rFonts w:hint="eastAsia" w:ascii="宋体" w:hAnsi="宋体"/>
                <w:szCs w:val="21"/>
              </w:rPr>
              <w:t>时钟同步装置及天线（若有）</w:t>
            </w:r>
          </w:p>
        </w:tc>
        <w:tc>
          <w:tcPr>
            <w:tcW w:w="17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textAlignment w:val="center"/>
              <w:rPr>
                <w:rFonts w:ascii="宋体" w:hAnsi="宋体"/>
                <w:szCs w:val="21"/>
              </w:rPr>
            </w:pPr>
          </w:p>
        </w:tc>
        <w:tc>
          <w:tcPr>
            <w:tcW w:w="11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套</w:t>
            </w:r>
          </w:p>
        </w:tc>
        <w:tc>
          <w:tcPr>
            <w:tcW w:w="82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1</w:t>
            </w:r>
          </w:p>
        </w:tc>
        <w:tc>
          <w:tcPr>
            <w:tcW w:w="145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67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261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textAlignment w:val="center"/>
              <w:rPr>
                <w:rFonts w:ascii="宋体" w:hAnsi="宋体"/>
                <w:szCs w:val="21"/>
              </w:rPr>
            </w:pPr>
            <w:r>
              <w:rPr>
                <w:rFonts w:hint="eastAsia" w:ascii="宋体" w:hAnsi="宋体"/>
                <w:szCs w:val="21"/>
              </w:rPr>
              <w:t>柜体</w:t>
            </w:r>
          </w:p>
        </w:tc>
        <w:tc>
          <w:tcPr>
            <w:tcW w:w="17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textAlignment w:val="center"/>
              <w:rPr>
                <w:rFonts w:ascii="宋体" w:hAnsi="宋体"/>
                <w:szCs w:val="21"/>
              </w:rPr>
            </w:pPr>
          </w:p>
        </w:tc>
        <w:tc>
          <w:tcPr>
            <w:tcW w:w="11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面</w:t>
            </w:r>
          </w:p>
        </w:tc>
        <w:tc>
          <w:tcPr>
            <w:tcW w:w="82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1</w:t>
            </w:r>
          </w:p>
        </w:tc>
        <w:tc>
          <w:tcPr>
            <w:tcW w:w="145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jc w:val="center"/>
              <w:textAlignment w:val="baseline"/>
              <w:rPr>
                <w:rFonts w:ascii="宋体" w:hAnsi="宋体"/>
                <w:szCs w:val="21"/>
              </w:rPr>
            </w:pPr>
            <w:r>
              <w:rPr>
                <w:rFonts w:ascii="宋体" w:hAnsi="宋体"/>
                <w:szCs w:val="21"/>
              </w:rPr>
              <w:t>2</w:t>
            </w:r>
          </w:p>
        </w:tc>
        <w:tc>
          <w:tcPr>
            <w:tcW w:w="261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textAlignment w:val="center"/>
              <w:rPr>
                <w:rFonts w:ascii="宋体" w:hAnsi="宋体"/>
                <w:szCs w:val="21"/>
              </w:rPr>
            </w:pPr>
            <w:r>
              <w:rPr>
                <w:rFonts w:hint="eastAsia" w:ascii="宋体" w:hAnsi="宋体"/>
                <w:szCs w:val="21"/>
              </w:rPr>
              <w:t>便携式调试终端</w:t>
            </w:r>
          </w:p>
        </w:tc>
        <w:tc>
          <w:tcPr>
            <w:tcW w:w="17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textAlignment w:val="center"/>
              <w:rPr>
                <w:rFonts w:ascii="宋体" w:hAnsi="宋体"/>
                <w:szCs w:val="21"/>
              </w:rPr>
            </w:pPr>
          </w:p>
        </w:tc>
        <w:tc>
          <w:tcPr>
            <w:tcW w:w="1170" w:type="dxa"/>
            <w:tcBorders>
              <w:top w:val="single" w:color="000000" w:sz="4" w:space="0"/>
              <w:left w:val="nil"/>
              <w:bottom w:val="single" w:color="000000" w:sz="4" w:space="0"/>
              <w:right w:val="single" w:color="000000" w:sz="4" w:space="0"/>
            </w:tcBorders>
            <w:vAlign w:val="center"/>
          </w:tcPr>
          <w:p>
            <w:pPr>
              <w:widowControl/>
              <w:adjustRightInd w:val="0"/>
              <w:spacing w:line="360" w:lineRule="auto"/>
              <w:jc w:val="center"/>
              <w:textAlignment w:val="center"/>
              <w:rPr>
                <w:rFonts w:ascii="宋体" w:hAnsi="宋体"/>
                <w:szCs w:val="21"/>
              </w:rPr>
            </w:pPr>
            <w:r>
              <w:rPr>
                <w:rFonts w:hint="eastAsia" w:ascii="宋体" w:hAnsi="宋体"/>
                <w:szCs w:val="21"/>
              </w:rPr>
              <w:t>台</w:t>
            </w:r>
          </w:p>
        </w:tc>
        <w:tc>
          <w:tcPr>
            <w:tcW w:w="825" w:type="dxa"/>
            <w:tcBorders>
              <w:top w:val="single" w:color="000000" w:sz="4" w:space="0"/>
              <w:left w:val="nil"/>
              <w:bottom w:val="single" w:color="000000" w:sz="4" w:space="0"/>
              <w:right w:val="single" w:color="000000" w:sz="4" w:space="0"/>
            </w:tcBorders>
            <w:vAlign w:val="center"/>
          </w:tcPr>
          <w:p>
            <w:pPr>
              <w:widowControl/>
              <w:adjustRightInd w:val="0"/>
              <w:spacing w:line="360" w:lineRule="auto"/>
              <w:jc w:val="center"/>
              <w:textAlignment w:val="center"/>
              <w:rPr>
                <w:rFonts w:ascii="宋体" w:hAnsi="宋体"/>
                <w:szCs w:val="21"/>
              </w:rPr>
            </w:pPr>
            <w:r>
              <w:rPr>
                <w:rFonts w:hint="eastAsia" w:ascii="宋体" w:hAnsi="宋体"/>
                <w:szCs w:val="21"/>
              </w:rPr>
              <w:t>1</w:t>
            </w:r>
          </w:p>
        </w:tc>
        <w:tc>
          <w:tcPr>
            <w:tcW w:w="145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ascii="宋体" w:hAnsi="宋体"/>
                <w:szCs w:val="21"/>
              </w:rPr>
              <w:t>3</w:t>
            </w:r>
          </w:p>
        </w:tc>
        <w:tc>
          <w:tcPr>
            <w:tcW w:w="261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textAlignment w:val="center"/>
              <w:rPr>
                <w:rFonts w:ascii="宋体" w:hAnsi="宋体"/>
                <w:szCs w:val="21"/>
              </w:rPr>
            </w:pPr>
            <w:r>
              <w:rPr>
                <w:rFonts w:hint="eastAsia" w:ascii="宋体" w:hAnsi="宋体"/>
                <w:szCs w:val="21"/>
              </w:rPr>
              <w:t>其它</w:t>
            </w:r>
          </w:p>
        </w:tc>
        <w:tc>
          <w:tcPr>
            <w:tcW w:w="1770" w:type="dxa"/>
            <w:tcBorders>
              <w:top w:val="single" w:color="000000" w:sz="4" w:space="0"/>
              <w:left w:val="nil"/>
              <w:bottom w:val="single" w:color="000000" w:sz="4" w:space="0"/>
              <w:right w:val="single" w:color="000000" w:sz="4" w:space="0"/>
            </w:tcBorders>
            <w:vAlign w:val="center"/>
          </w:tcPr>
          <w:p>
            <w:pPr>
              <w:adjustRightInd w:val="0"/>
              <w:spacing w:line="360" w:lineRule="atLeast"/>
              <w:textAlignment w:val="baseline"/>
              <w:rPr>
                <w:rFonts w:ascii="宋体" w:hAnsi="宋体"/>
                <w:szCs w:val="21"/>
              </w:rPr>
            </w:pPr>
          </w:p>
        </w:tc>
        <w:tc>
          <w:tcPr>
            <w:tcW w:w="1170" w:type="dxa"/>
            <w:tcBorders>
              <w:top w:val="single" w:color="000000" w:sz="4" w:space="0"/>
              <w:left w:val="nil"/>
              <w:bottom w:val="single" w:color="000000" w:sz="4" w:space="0"/>
              <w:right w:val="single" w:color="000000" w:sz="4" w:space="0"/>
            </w:tcBorders>
            <w:vAlign w:val="center"/>
          </w:tcPr>
          <w:p>
            <w:pPr>
              <w:adjustRightInd w:val="0"/>
              <w:spacing w:line="360" w:lineRule="atLeast"/>
              <w:jc w:val="center"/>
              <w:textAlignment w:val="baseline"/>
              <w:rPr>
                <w:rFonts w:ascii="宋体" w:hAnsi="宋体"/>
                <w:szCs w:val="21"/>
              </w:rPr>
            </w:pPr>
            <w:r>
              <w:rPr>
                <w:rFonts w:hint="eastAsia" w:ascii="宋体" w:hAnsi="宋体"/>
                <w:szCs w:val="21"/>
              </w:rPr>
              <w:t>套</w:t>
            </w:r>
          </w:p>
        </w:tc>
        <w:tc>
          <w:tcPr>
            <w:tcW w:w="825" w:type="dxa"/>
            <w:tcBorders>
              <w:top w:val="single" w:color="000000" w:sz="4" w:space="0"/>
              <w:left w:val="nil"/>
              <w:bottom w:val="single" w:color="000000" w:sz="4" w:space="0"/>
              <w:right w:val="single" w:color="000000" w:sz="4" w:space="0"/>
            </w:tcBorders>
            <w:vAlign w:val="center"/>
          </w:tcPr>
          <w:p>
            <w:pPr>
              <w:adjustRightInd w:val="0"/>
              <w:spacing w:line="360" w:lineRule="atLeast"/>
              <w:jc w:val="center"/>
              <w:textAlignment w:val="baseline"/>
              <w:rPr>
                <w:rFonts w:ascii="宋体" w:hAnsi="宋体"/>
                <w:szCs w:val="21"/>
              </w:rPr>
            </w:pPr>
            <w:r>
              <w:rPr>
                <w:rFonts w:hint="eastAsia" w:ascii="宋体" w:hAnsi="宋体"/>
                <w:szCs w:val="21"/>
              </w:rPr>
              <w:t>1</w:t>
            </w:r>
          </w:p>
        </w:tc>
        <w:tc>
          <w:tcPr>
            <w:tcW w:w="1455" w:type="dxa"/>
            <w:tcBorders>
              <w:top w:val="single" w:color="000000" w:sz="4" w:space="0"/>
              <w:left w:val="nil"/>
              <w:bottom w:val="single" w:color="000000" w:sz="4" w:space="0"/>
              <w:right w:val="single" w:color="000000" w:sz="4" w:space="0"/>
            </w:tcBorders>
            <w:vAlign w:val="center"/>
          </w:tcPr>
          <w:p>
            <w:pPr>
              <w:adjustRightInd w:val="0"/>
              <w:spacing w:line="360" w:lineRule="atLeast"/>
              <w:jc w:val="center"/>
              <w:textAlignment w:val="baseline"/>
              <w:rPr>
                <w:rFonts w:ascii="宋体" w:hAnsi="宋体"/>
                <w:szCs w:val="21"/>
              </w:rPr>
            </w:pPr>
          </w:p>
        </w:tc>
      </w:tr>
      <w:tr>
        <w:tblPrEx>
          <w:tblCellMar>
            <w:top w:w="15" w:type="dxa"/>
            <w:left w:w="15" w:type="dxa"/>
            <w:bottom w:w="15" w:type="dxa"/>
            <w:right w:w="15" w:type="dxa"/>
          </w:tblCellMar>
        </w:tblPrEx>
        <w:trPr>
          <w:trHeight w:val="285" w:hRule="atLeast"/>
          <w:jc w:val="center"/>
        </w:trPr>
        <w:tc>
          <w:tcPr>
            <w:tcW w:w="673" w:type="dxa"/>
            <w:vMerge w:val="restart"/>
            <w:tcBorders>
              <w:top w:val="nil"/>
              <w:left w:val="single" w:color="000000" w:sz="4" w:space="0"/>
              <w:bottom w:val="single" w:color="000000" w:sz="4" w:space="0"/>
              <w:right w:val="single" w:color="000000" w:sz="4" w:space="0"/>
            </w:tcBorders>
            <w:vAlign w:val="center"/>
          </w:tcPr>
          <w:p>
            <w:pPr>
              <w:adjustRightInd w:val="0"/>
              <w:spacing w:line="360" w:lineRule="atLeast"/>
              <w:jc w:val="center"/>
              <w:textAlignment w:val="baseline"/>
              <w:rPr>
                <w:rFonts w:ascii="宋体" w:hAnsi="宋体"/>
                <w:szCs w:val="21"/>
              </w:rPr>
            </w:pPr>
          </w:p>
        </w:tc>
        <w:tc>
          <w:tcPr>
            <w:tcW w:w="261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textAlignment w:val="center"/>
              <w:rPr>
                <w:rFonts w:ascii="宋体" w:hAnsi="宋体"/>
                <w:szCs w:val="21"/>
              </w:rPr>
            </w:pPr>
            <w:r>
              <w:rPr>
                <w:rFonts w:hint="eastAsia" w:ascii="宋体" w:hAnsi="宋体"/>
                <w:szCs w:val="21"/>
              </w:rPr>
              <w:t>光缆（含尾纤）</w:t>
            </w:r>
          </w:p>
        </w:tc>
        <w:tc>
          <w:tcPr>
            <w:tcW w:w="17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textAlignment w:val="center"/>
              <w:rPr>
                <w:rFonts w:ascii="宋体" w:hAnsi="宋体"/>
                <w:szCs w:val="21"/>
              </w:rPr>
            </w:pPr>
            <w:r>
              <w:rPr>
                <w:rFonts w:hint="eastAsia" w:ascii="宋体" w:hAnsi="宋体"/>
                <w:szCs w:val="21"/>
              </w:rPr>
              <w:t>单模</w:t>
            </w:r>
          </w:p>
        </w:tc>
        <w:tc>
          <w:tcPr>
            <w:tcW w:w="11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m</w:t>
            </w:r>
          </w:p>
        </w:tc>
        <w:tc>
          <w:tcPr>
            <w:tcW w:w="82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100</w:t>
            </w:r>
          </w:p>
        </w:tc>
        <w:tc>
          <w:tcPr>
            <w:tcW w:w="145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p>
        </w:tc>
      </w:tr>
      <w:tr>
        <w:tblPrEx>
          <w:tblCellMar>
            <w:top w:w="15" w:type="dxa"/>
            <w:left w:w="15" w:type="dxa"/>
            <w:bottom w:w="15" w:type="dxa"/>
            <w:right w:w="15" w:type="dxa"/>
          </w:tblCellMar>
        </w:tblPrEx>
        <w:trPr>
          <w:trHeight w:val="285" w:hRule="atLeast"/>
          <w:jc w:val="center"/>
        </w:trPr>
        <w:tc>
          <w:tcPr>
            <w:tcW w:w="67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261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textAlignment w:val="center"/>
              <w:rPr>
                <w:rFonts w:ascii="宋体" w:hAnsi="宋体"/>
                <w:szCs w:val="21"/>
              </w:rPr>
            </w:pPr>
            <w:r>
              <w:rPr>
                <w:rFonts w:hint="eastAsia" w:ascii="宋体" w:hAnsi="宋体"/>
                <w:szCs w:val="21"/>
              </w:rPr>
              <w:t>网线</w:t>
            </w:r>
          </w:p>
        </w:tc>
        <w:tc>
          <w:tcPr>
            <w:tcW w:w="1770" w:type="dxa"/>
            <w:tcBorders>
              <w:top w:val="single" w:color="000000" w:sz="4" w:space="0"/>
              <w:left w:val="nil"/>
              <w:bottom w:val="single" w:color="000000" w:sz="4" w:space="0"/>
              <w:right w:val="single" w:color="000000" w:sz="4" w:space="0"/>
            </w:tcBorders>
            <w:vAlign w:val="center"/>
          </w:tcPr>
          <w:p>
            <w:pPr>
              <w:adjustRightInd w:val="0"/>
              <w:spacing w:line="360" w:lineRule="atLeast"/>
              <w:textAlignment w:val="baseline"/>
              <w:rPr>
                <w:rFonts w:ascii="宋体" w:hAnsi="宋体"/>
                <w:szCs w:val="21"/>
              </w:rPr>
            </w:pPr>
          </w:p>
        </w:tc>
        <w:tc>
          <w:tcPr>
            <w:tcW w:w="1170"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m</w:t>
            </w:r>
          </w:p>
        </w:tc>
        <w:tc>
          <w:tcPr>
            <w:tcW w:w="82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r>
              <w:rPr>
                <w:rFonts w:hint="eastAsia" w:ascii="宋体" w:hAnsi="宋体"/>
                <w:szCs w:val="21"/>
              </w:rPr>
              <w:t>50</w:t>
            </w:r>
          </w:p>
        </w:tc>
        <w:tc>
          <w:tcPr>
            <w:tcW w:w="1455" w:type="dxa"/>
            <w:tcBorders>
              <w:top w:val="single" w:color="000000" w:sz="4" w:space="0"/>
              <w:left w:val="nil"/>
              <w:bottom w:val="single" w:color="000000" w:sz="4" w:space="0"/>
              <w:right w:val="single" w:color="000000" w:sz="4" w:space="0"/>
            </w:tcBorders>
            <w:vAlign w:val="center"/>
          </w:tcPr>
          <w:p>
            <w:pPr>
              <w:widowControl/>
              <w:adjustRightInd w:val="0"/>
              <w:spacing w:line="360" w:lineRule="atLeast"/>
              <w:jc w:val="center"/>
              <w:textAlignment w:val="center"/>
              <w:rPr>
                <w:rFonts w:ascii="宋体" w:hAnsi="宋体"/>
                <w:szCs w:val="21"/>
              </w:rPr>
            </w:pPr>
          </w:p>
        </w:tc>
      </w:tr>
    </w:tbl>
    <w:p>
      <w:pPr>
        <w:pStyle w:val="8"/>
        <w:spacing w:before="72" w:after="72"/>
        <w:rPr>
          <w:rFonts w:ascii="宋体" w:hAnsi="宋体"/>
          <w:bCs/>
          <w:color w:val="000000"/>
          <w:kern w:val="2"/>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）备品备件</w:t>
      </w:r>
    </w:p>
    <w:tbl>
      <w:tblPr>
        <w:tblStyle w:val="71"/>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855"/>
        <w:gridCol w:w="1985"/>
        <w:gridCol w:w="837"/>
        <w:gridCol w:w="1413"/>
        <w:gridCol w:w="711"/>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center"/>
              <w:rPr>
                <w:rFonts w:ascii="宋体" w:hAnsi="宋体"/>
                <w:color w:val="000000"/>
                <w:szCs w:val="21"/>
              </w:rPr>
            </w:pPr>
            <w:r>
              <w:rPr>
                <w:rFonts w:hint="eastAsia" w:ascii="宋体" w:hAnsi="宋体"/>
                <w:color w:val="000000"/>
                <w:szCs w:val="21"/>
              </w:rPr>
              <w:t>序号</w:t>
            </w:r>
          </w:p>
        </w:tc>
        <w:tc>
          <w:tcPr>
            <w:tcW w:w="1855"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center"/>
              <w:rPr>
                <w:rFonts w:ascii="宋体" w:hAnsi="宋体"/>
                <w:color w:val="000000"/>
                <w:szCs w:val="21"/>
              </w:rPr>
            </w:pPr>
            <w:r>
              <w:rPr>
                <w:rFonts w:hint="eastAsia" w:ascii="宋体" w:hAnsi="宋体"/>
                <w:color w:val="000000"/>
                <w:szCs w:val="21"/>
              </w:rPr>
              <w:t>设备名称</w:t>
            </w:r>
          </w:p>
        </w:tc>
        <w:tc>
          <w:tcPr>
            <w:tcW w:w="1985" w:type="dxa"/>
            <w:tcBorders>
              <w:top w:val="single" w:color="auto" w:sz="4" w:space="0"/>
              <w:left w:val="nil"/>
              <w:bottom w:val="single" w:color="auto" w:sz="4" w:space="0"/>
              <w:right w:val="single" w:color="auto" w:sz="4" w:space="0"/>
            </w:tcBorders>
          </w:tcPr>
          <w:p>
            <w:pPr>
              <w:widowControl/>
              <w:adjustRightInd w:val="0"/>
              <w:spacing w:line="360" w:lineRule="atLeast"/>
              <w:jc w:val="center"/>
              <w:textAlignment w:val="center"/>
              <w:rPr>
                <w:rFonts w:ascii="宋体" w:hAnsi="宋体"/>
                <w:color w:val="000000"/>
                <w:szCs w:val="21"/>
              </w:rPr>
            </w:pPr>
            <w:r>
              <w:rPr>
                <w:rFonts w:hint="eastAsia" w:ascii="宋体" w:hAnsi="宋体"/>
                <w:color w:val="000000"/>
                <w:szCs w:val="21"/>
              </w:rPr>
              <w:t>规格型号</w:t>
            </w:r>
          </w:p>
        </w:tc>
        <w:tc>
          <w:tcPr>
            <w:tcW w:w="837" w:type="dxa"/>
            <w:tcBorders>
              <w:top w:val="single" w:color="auto" w:sz="4" w:space="0"/>
              <w:left w:val="nil"/>
              <w:bottom w:val="single" w:color="auto" w:sz="4" w:space="0"/>
              <w:right w:val="single" w:color="auto" w:sz="4" w:space="0"/>
            </w:tcBorders>
          </w:tcPr>
          <w:p>
            <w:pPr>
              <w:widowControl/>
              <w:adjustRightInd w:val="0"/>
              <w:spacing w:line="360" w:lineRule="atLeast"/>
              <w:jc w:val="center"/>
              <w:textAlignment w:val="center"/>
              <w:rPr>
                <w:rFonts w:ascii="宋体" w:hAnsi="宋体"/>
                <w:color w:val="000000"/>
                <w:szCs w:val="21"/>
              </w:rPr>
            </w:pPr>
            <w:r>
              <w:rPr>
                <w:rFonts w:hint="eastAsia" w:ascii="宋体" w:hAnsi="宋体"/>
                <w:color w:val="000000"/>
                <w:szCs w:val="21"/>
              </w:rPr>
              <w:t>产地</w:t>
            </w:r>
          </w:p>
        </w:tc>
        <w:tc>
          <w:tcPr>
            <w:tcW w:w="1413" w:type="dxa"/>
            <w:tcBorders>
              <w:top w:val="single" w:color="auto" w:sz="4" w:space="0"/>
              <w:left w:val="nil"/>
              <w:bottom w:val="single" w:color="auto" w:sz="4" w:space="0"/>
              <w:right w:val="single" w:color="auto" w:sz="4" w:space="0"/>
            </w:tcBorders>
          </w:tcPr>
          <w:p>
            <w:pPr>
              <w:widowControl/>
              <w:adjustRightInd w:val="0"/>
              <w:spacing w:line="360" w:lineRule="atLeast"/>
              <w:jc w:val="center"/>
              <w:textAlignment w:val="center"/>
              <w:rPr>
                <w:rFonts w:ascii="宋体" w:hAnsi="宋体"/>
                <w:color w:val="000000"/>
                <w:szCs w:val="21"/>
              </w:rPr>
            </w:pPr>
            <w:r>
              <w:rPr>
                <w:rFonts w:hint="eastAsia" w:ascii="宋体" w:hAnsi="宋体"/>
                <w:color w:val="000000"/>
                <w:szCs w:val="21"/>
              </w:rPr>
              <w:t>生产厂家</w:t>
            </w:r>
          </w:p>
        </w:tc>
        <w:tc>
          <w:tcPr>
            <w:tcW w:w="711"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center"/>
              <w:rPr>
                <w:rFonts w:ascii="宋体" w:hAnsi="宋体"/>
                <w:color w:val="000000"/>
                <w:szCs w:val="21"/>
              </w:rPr>
            </w:pPr>
            <w:r>
              <w:rPr>
                <w:rFonts w:hint="eastAsia" w:ascii="宋体" w:hAnsi="宋体"/>
                <w:color w:val="000000"/>
                <w:szCs w:val="21"/>
              </w:rPr>
              <w:t>单位</w:t>
            </w:r>
          </w:p>
        </w:tc>
        <w:tc>
          <w:tcPr>
            <w:tcW w:w="775"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center"/>
              <w:rPr>
                <w:rFonts w:ascii="宋体" w:hAnsi="宋体"/>
                <w:color w:val="000000"/>
                <w:szCs w:val="21"/>
              </w:rPr>
            </w:pPr>
            <w:r>
              <w:rPr>
                <w:rFonts w:hint="eastAsia" w:ascii="宋体" w:hAnsi="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tLeast"/>
              <w:jc w:val="center"/>
              <w:textAlignment w:val="center"/>
              <w:rPr>
                <w:rFonts w:ascii="宋体" w:hAnsi="宋体"/>
                <w:color w:val="000000"/>
                <w:szCs w:val="21"/>
              </w:rPr>
            </w:pPr>
            <w:r>
              <w:rPr>
                <w:rFonts w:hint="eastAsia" w:ascii="宋体" w:hAnsi="宋体"/>
                <w:color w:val="000000"/>
                <w:szCs w:val="21"/>
              </w:rPr>
              <w:t>1</w:t>
            </w:r>
          </w:p>
        </w:tc>
        <w:tc>
          <w:tcPr>
            <w:tcW w:w="1855"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center"/>
              <w:rPr>
                <w:rFonts w:ascii="宋体" w:hAnsi="宋体"/>
                <w:color w:val="000000"/>
                <w:szCs w:val="21"/>
              </w:rPr>
            </w:pPr>
            <w:r>
              <w:rPr>
                <w:rFonts w:hint="eastAsia" w:ascii="宋体" w:hAnsi="宋体"/>
                <w:color w:val="000000"/>
                <w:szCs w:val="21"/>
              </w:rPr>
              <w:t>插件</w:t>
            </w:r>
          </w:p>
        </w:tc>
        <w:tc>
          <w:tcPr>
            <w:tcW w:w="1985" w:type="dxa"/>
            <w:tcBorders>
              <w:top w:val="single" w:color="auto" w:sz="4" w:space="0"/>
              <w:left w:val="nil"/>
              <w:bottom w:val="single" w:color="auto" w:sz="4" w:space="0"/>
              <w:right w:val="single" w:color="auto" w:sz="4" w:space="0"/>
            </w:tcBorders>
          </w:tcPr>
          <w:p>
            <w:pPr>
              <w:widowControl/>
              <w:adjustRightInd w:val="0"/>
              <w:spacing w:line="360" w:lineRule="atLeast"/>
              <w:jc w:val="center"/>
              <w:textAlignment w:val="center"/>
              <w:rPr>
                <w:rFonts w:ascii="宋体" w:hAnsi="宋体"/>
                <w:color w:val="000000"/>
                <w:szCs w:val="21"/>
              </w:rPr>
            </w:pPr>
            <w:r>
              <w:rPr>
                <w:rFonts w:hint="eastAsia" w:ascii="宋体" w:hAnsi="宋体"/>
                <w:color w:val="000000"/>
                <w:szCs w:val="21"/>
              </w:rPr>
              <w:t>各类型</w:t>
            </w:r>
          </w:p>
        </w:tc>
        <w:tc>
          <w:tcPr>
            <w:tcW w:w="837" w:type="dxa"/>
            <w:tcBorders>
              <w:top w:val="single" w:color="auto" w:sz="4" w:space="0"/>
              <w:left w:val="nil"/>
              <w:bottom w:val="single" w:color="auto" w:sz="4" w:space="0"/>
              <w:right w:val="single" w:color="auto" w:sz="4" w:space="0"/>
            </w:tcBorders>
          </w:tcPr>
          <w:p>
            <w:pPr>
              <w:widowControl/>
              <w:adjustRightInd w:val="0"/>
              <w:spacing w:line="360" w:lineRule="atLeast"/>
              <w:jc w:val="center"/>
              <w:textAlignment w:val="center"/>
              <w:rPr>
                <w:rFonts w:ascii="宋体" w:hAnsi="宋体"/>
                <w:color w:val="000000"/>
                <w:szCs w:val="21"/>
              </w:rPr>
            </w:pPr>
          </w:p>
        </w:tc>
        <w:tc>
          <w:tcPr>
            <w:tcW w:w="1413" w:type="dxa"/>
            <w:tcBorders>
              <w:top w:val="single" w:color="auto" w:sz="4" w:space="0"/>
              <w:left w:val="nil"/>
              <w:bottom w:val="single" w:color="auto" w:sz="4" w:space="0"/>
              <w:right w:val="single" w:color="auto" w:sz="4" w:space="0"/>
            </w:tcBorders>
          </w:tcPr>
          <w:p>
            <w:pPr>
              <w:widowControl/>
              <w:adjustRightInd w:val="0"/>
              <w:spacing w:line="360" w:lineRule="atLeast"/>
              <w:jc w:val="center"/>
              <w:textAlignment w:val="center"/>
              <w:rPr>
                <w:rFonts w:ascii="宋体" w:hAnsi="宋体"/>
                <w:color w:val="000000"/>
                <w:szCs w:val="21"/>
              </w:rPr>
            </w:pPr>
          </w:p>
        </w:tc>
        <w:tc>
          <w:tcPr>
            <w:tcW w:w="711"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center"/>
              <w:rPr>
                <w:rFonts w:ascii="宋体" w:hAnsi="宋体"/>
                <w:color w:val="000000"/>
                <w:szCs w:val="21"/>
              </w:rPr>
            </w:pPr>
            <w:r>
              <w:rPr>
                <w:rFonts w:hint="eastAsia" w:ascii="宋体" w:hAnsi="宋体"/>
                <w:color w:val="000000"/>
                <w:szCs w:val="21"/>
              </w:rPr>
              <w:t>套</w:t>
            </w:r>
          </w:p>
        </w:tc>
        <w:tc>
          <w:tcPr>
            <w:tcW w:w="775" w:type="dxa"/>
            <w:tcBorders>
              <w:top w:val="single" w:color="auto" w:sz="4" w:space="0"/>
              <w:left w:val="nil"/>
              <w:bottom w:val="single" w:color="auto" w:sz="4" w:space="0"/>
              <w:right w:val="single" w:color="auto" w:sz="4" w:space="0"/>
            </w:tcBorders>
            <w:vAlign w:val="center"/>
          </w:tcPr>
          <w:p>
            <w:pPr>
              <w:widowControl/>
              <w:adjustRightInd w:val="0"/>
              <w:spacing w:line="360" w:lineRule="atLeast"/>
              <w:jc w:val="center"/>
              <w:textAlignment w:val="center"/>
              <w:rPr>
                <w:rFonts w:ascii="宋体" w:hAnsi="宋体"/>
                <w:color w:val="000000"/>
                <w:szCs w:val="21"/>
              </w:rPr>
            </w:pPr>
            <w:r>
              <w:rPr>
                <w:rFonts w:hint="eastAsia" w:ascii="宋体" w:hAnsi="宋体"/>
                <w:color w:val="000000"/>
                <w:szCs w:val="21"/>
              </w:rPr>
              <w:t>1</w:t>
            </w:r>
          </w:p>
        </w:tc>
      </w:tr>
    </w:tbl>
    <w:p>
      <w:pPr>
        <w:rPr>
          <w:rFonts w:ascii="宋体" w:hAnsi="宋体"/>
          <w:szCs w:val="21"/>
        </w:rPr>
      </w:pPr>
    </w:p>
    <w:p>
      <w:pPr>
        <w:pStyle w:val="6"/>
        <w:widowControl w:val="0"/>
        <w:numPr>
          <w:ilvl w:val="1"/>
          <w:numId w:val="48"/>
        </w:numPr>
        <w:tabs>
          <w:tab w:val="left" w:pos="709"/>
          <w:tab w:val="clear" w:pos="1106"/>
        </w:tabs>
        <w:snapToGrid/>
        <w:spacing w:after="72" w:line="300" w:lineRule="auto"/>
        <w:ind w:left="709" w:hanging="709"/>
        <w:jc w:val="both"/>
        <w:rPr>
          <w:rFonts w:ascii="宋体" w:hAnsi="宋体" w:cs="Arial"/>
          <w:sz w:val="24"/>
          <w:szCs w:val="24"/>
        </w:rPr>
      </w:pPr>
      <w:bookmarkStart w:id="724" w:name="_Toc268184277"/>
      <w:bookmarkEnd w:id="724"/>
      <w:bookmarkStart w:id="725" w:name="_Toc268184278"/>
      <w:bookmarkEnd w:id="725"/>
      <w:bookmarkStart w:id="726" w:name="_Toc268184279"/>
      <w:bookmarkEnd w:id="726"/>
      <w:bookmarkStart w:id="727" w:name="_Toc268184264"/>
      <w:bookmarkEnd w:id="727"/>
      <w:bookmarkStart w:id="728" w:name="_Toc268184272"/>
      <w:bookmarkEnd w:id="728"/>
      <w:bookmarkStart w:id="729" w:name="_Hlt38127259"/>
      <w:bookmarkEnd w:id="729"/>
      <w:bookmarkStart w:id="730" w:name="_Toc268184269"/>
      <w:bookmarkEnd w:id="730"/>
      <w:bookmarkStart w:id="731" w:name="_Toc268184273"/>
      <w:bookmarkEnd w:id="731"/>
      <w:bookmarkStart w:id="732" w:name="_Toc268184266"/>
      <w:bookmarkEnd w:id="732"/>
      <w:bookmarkStart w:id="733" w:name="_Toc268184265"/>
      <w:bookmarkEnd w:id="733"/>
      <w:bookmarkStart w:id="734" w:name="_Hlt37731463"/>
      <w:bookmarkEnd w:id="734"/>
      <w:bookmarkStart w:id="735" w:name="_Hlt37732220"/>
      <w:bookmarkEnd w:id="735"/>
      <w:bookmarkStart w:id="736" w:name="_Toc268184275"/>
      <w:bookmarkEnd w:id="736"/>
      <w:bookmarkStart w:id="737" w:name="_Hlt37731308"/>
      <w:bookmarkEnd w:id="737"/>
      <w:bookmarkStart w:id="738" w:name="_Toc268184274"/>
      <w:bookmarkEnd w:id="738"/>
      <w:bookmarkStart w:id="739" w:name="_Toc268184262"/>
      <w:bookmarkEnd w:id="739"/>
      <w:bookmarkStart w:id="740" w:name="_Hlt37732295"/>
      <w:bookmarkEnd w:id="740"/>
      <w:bookmarkStart w:id="741" w:name="_Toc268184270"/>
      <w:bookmarkEnd w:id="741"/>
      <w:bookmarkStart w:id="742" w:name="_Toc268184267"/>
      <w:bookmarkEnd w:id="742"/>
      <w:bookmarkStart w:id="743" w:name="_Toc268184271"/>
      <w:bookmarkEnd w:id="743"/>
      <w:bookmarkStart w:id="744" w:name="_Toc268184276"/>
      <w:bookmarkEnd w:id="744"/>
      <w:bookmarkStart w:id="745" w:name="_Toc268184268"/>
      <w:bookmarkEnd w:id="745"/>
      <w:bookmarkStart w:id="746" w:name="_Toc268184263"/>
      <w:bookmarkEnd w:id="746"/>
      <w:bookmarkStart w:id="747" w:name="_Toc143589485"/>
      <w:r>
        <w:rPr>
          <w:rFonts w:hint="eastAsia" w:ascii="宋体" w:hAnsi="宋体" w:cs="Arial"/>
          <w:sz w:val="24"/>
          <w:szCs w:val="24"/>
        </w:rPr>
        <w:t>继电保护和故障录波子站</w:t>
      </w:r>
      <w:bookmarkEnd w:id="747"/>
    </w:p>
    <w:p>
      <w:pPr>
        <w:pStyle w:val="7"/>
        <w:widowControl w:val="0"/>
        <w:numPr>
          <w:ilvl w:val="2"/>
          <w:numId w:val="15"/>
        </w:numPr>
        <w:overflowPunct w:val="0"/>
        <w:snapToGrid/>
        <w:spacing w:before="78" w:beforeLines="25" w:after="100" w:afterAutospacing="1" w:line="300" w:lineRule="auto"/>
        <w:jc w:val="both"/>
        <w:rPr>
          <w:rFonts w:ascii="宋体" w:hAnsi="宋体"/>
          <w:b/>
          <w:bCs/>
          <w:sz w:val="21"/>
          <w:szCs w:val="21"/>
        </w:rPr>
      </w:pPr>
      <w:bookmarkStart w:id="748" w:name="_Toc12379050"/>
      <w:bookmarkEnd w:id="748"/>
      <w:r>
        <w:rPr>
          <w:rFonts w:hint="eastAsia" w:ascii="宋体" w:hAnsi="宋体"/>
          <w:b/>
          <w:bCs/>
          <w:sz w:val="21"/>
          <w:szCs w:val="21"/>
        </w:rPr>
        <w:t>概</w:t>
      </w:r>
      <w:r>
        <w:rPr>
          <w:rFonts w:ascii="宋体" w:hAnsi="宋体"/>
          <w:b/>
          <w:bCs/>
          <w:sz w:val="21"/>
          <w:szCs w:val="21"/>
        </w:rPr>
        <w:t>述</w:t>
      </w:r>
    </w:p>
    <w:p>
      <w:pPr>
        <w:pStyle w:val="8"/>
        <w:numPr>
          <w:ilvl w:val="3"/>
          <w:numId w:val="48"/>
        </w:numPr>
        <w:tabs>
          <w:tab w:val="clear" w:pos="1531"/>
        </w:tabs>
        <w:overflowPunct w:val="0"/>
        <w:spacing w:before="72" w:after="72" w:line="360" w:lineRule="auto"/>
        <w:ind w:left="964"/>
        <w:rPr>
          <w:rFonts w:ascii="宋体" w:hAnsi="宋体"/>
          <w:szCs w:val="21"/>
        </w:rPr>
      </w:pPr>
      <w:r>
        <w:rPr>
          <w:rFonts w:hint="eastAsia" w:ascii="宋体" w:hAnsi="宋体"/>
          <w:szCs w:val="21"/>
        </w:rPr>
        <w:t>卖方应提供一套继电保护和故障录波子站，用于采集本电站所有微机型继电保护设备及开关站故障录波设备的信息，并实现对各保护设备的远方管理。应满足“调继〔</w:t>
      </w:r>
      <w:r>
        <w:rPr>
          <w:rFonts w:ascii="宋体" w:hAnsi="宋体"/>
          <w:szCs w:val="21"/>
        </w:rPr>
        <w:t>2014</w:t>
      </w:r>
      <w:r>
        <w:rPr>
          <w:rFonts w:hint="eastAsia" w:ascii="宋体" w:hAnsi="宋体"/>
          <w:szCs w:val="21"/>
        </w:rPr>
        <w:t>〕</w:t>
      </w:r>
      <w:r>
        <w:rPr>
          <w:rFonts w:ascii="宋体" w:hAnsi="宋体"/>
          <w:szCs w:val="21"/>
        </w:rPr>
        <w:t>80</w:t>
      </w:r>
      <w:r>
        <w:rPr>
          <w:rFonts w:hint="eastAsia" w:ascii="宋体" w:hAnsi="宋体"/>
          <w:szCs w:val="21"/>
        </w:rPr>
        <w:t>号文《国调中心关于印发继电保护设备在线监视与分析应用提升方案的通知》等电力调度相关要求。</w:t>
      </w:r>
    </w:p>
    <w:p>
      <w:pPr>
        <w:pStyle w:val="8"/>
        <w:numPr>
          <w:ilvl w:val="3"/>
          <w:numId w:val="48"/>
        </w:numPr>
        <w:tabs>
          <w:tab w:val="clear" w:pos="1531"/>
        </w:tabs>
        <w:overflowPunct w:val="0"/>
        <w:spacing w:before="72" w:after="72" w:line="360" w:lineRule="auto"/>
        <w:ind w:left="964"/>
        <w:rPr>
          <w:rFonts w:ascii="宋体" w:hAnsi="宋体"/>
          <w:szCs w:val="21"/>
        </w:rPr>
      </w:pPr>
      <w:r>
        <w:rPr>
          <w:rFonts w:hint="eastAsia" w:ascii="宋体" w:hAnsi="宋体"/>
          <w:szCs w:val="21"/>
        </w:rPr>
        <w:t>系统应与重庆市调的继电保护信息管理主站通讯，上传各主站所需的保护信息，系统与各主站间信息传送的通信规约应满足IEC61850、IEC-60870-5-103通信规约的要求，数据格式应满足重庆市调要求。</w:t>
      </w:r>
    </w:p>
    <w:p>
      <w:pPr>
        <w:pStyle w:val="8"/>
        <w:numPr>
          <w:ilvl w:val="3"/>
          <w:numId w:val="48"/>
        </w:numPr>
        <w:tabs>
          <w:tab w:val="clear" w:pos="1531"/>
        </w:tabs>
        <w:overflowPunct w:val="0"/>
        <w:spacing w:before="72" w:after="72" w:line="360" w:lineRule="auto"/>
        <w:ind w:left="964"/>
        <w:rPr>
          <w:rFonts w:ascii="宋体" w:hAnsi="宋体"/>
          <w:szCs w:val="21"/>
        </w:rPr>
      </w:pPr>
      <w:r>
        <w:rPr>
          <w:rFonts w:hint="eastAsia" w:ascii="宋体" w:hAnsi="宋体"/>
          <w:szCs w:val="21"/>
        </w:rPr>
        <w:t>系统网络为1000Mbps交换式工业以太网，应按IEEE 802.3设计，采用全开放的分布式结构，通信规约采用IEC61850或TCP/IP，网络的传输速率不小于1000Mbps。传输介质采用光缆。</w:t>
      </w:r>
    </w:p>
    <w:p>
      <w:pPr>
        <w:pStyle w:val="8"/>
        <w:numPr>
          <w:ilvl w:val="3"/>
          <w:numId w:val="48"/>
        </w:numPr>
        <w:tabs>
          <w:tab w:val="clear" w:pos="1531"/>
        </w:tabs>
        <w:overflowPunct w:val="0"/>
        <w:spacing w:before="72" w:after="72" w:line="360" w:lineRule="auto"/>
        <w:ind w:left="964"/>
        <w:rPr>
          <w:rFonts w:ascii="宋体" w:hAnsi="宋体"/>
          <w:szCs w:val="21"/>
        </w:rPr>
      </w:pPr>
      <w:r>
        <w:rPr>
          <w:rFonts w:hint="eastAsia" w:ascii="宋体" w:hAnsi="宋体"/>
          <w:szCs w:val="21"/>
        </w:rPr>
        <w:t>以太网主交换机与站内所有保护装置、故障解列装置等进行连接和通信。</w:t>
      </w:r>
    </w:p>
    <w:p>
      <w:pPr>
        <w:pStyle w:val="8"/>
        <w:numPr>
          <w:ilvl w:val="3"/>
          <w:numId w:val="48"/>
        </w:numPr>
        <w:tabs>
          <w:tab w:val="clear" w:pos="1531"/>
        </w:tabs>
        <w:overflowPunct w:val="0"/>
        <w:spacing w:before="72" w:after="72" w:line="360" w:lineRule="auto"/>
        <w:ind w:left="964"/>
        <w:rPr>
          <w:rFonts w:ascii="宋体" w:hAnsi="宋体"/>
          <w:szCs w:val="21"/>
        </w:rPr>
      </w:pPr>
      <w:r>
        <w:rPr>
          <w:rFonts w:hint="eastAsia" w:ascii="宋体" w:hAnsi="宋体"/>
          <w:szCs w:val="21"/>
        </w:rPr>
        <w:t>信息管理系统软件主要技术指标、CPU负荷率，各系统应采用非windows系统。能够上装定值、下装定值和定值比对，并在数据库中保存所有定值信息。记录所有微机保护、自动装置等的自检信息（装置的运行工况）、事件信息（系统故障及装置动作报告等信息）、故障信息（各保护的动作详细报告、故障时刻采样值）、定值变化等信息。所有这些信息可以通过多种查询条件进行检索和查看。对保护、自动装置的采集的模拟量进行自动监视，并可设置阈值，实现越限告警。站内监控主机技术要求，具备完整报表生成和打印、编辑、任意设计表格形式、数量不限功能、事故追忆、事件浏览等功能。</w:t>
      </w:r>
    </w:p>
    <w:p>
      <w:pPr>
        <w:pStyle w:val="7"/>
        <w:widowControl w:val="0"/>
        <w:numPr>
          <w:ilvl w:val="2"/>
          <w:numId w:val="15"/>
        </w:numPr>
        <w:overflowPunct w:val="0"/>
        <w:snapToGrid/>
        <w:spacing w:before="78" w:beforeLines="25" w:after="100" w:afterAutospacing="1" w:line="300" w:lineRule="auto"/>
        <w:jc w:val="both"/>
        <w:rPr>
          <w:rFonts w:ascii="宋体" w:hAnsi="宋体"/>
          <w:b/>
          <w:bCs/>
          <w:sz w:val="21"/>
          <w:szCs w:val="21"/>
        </w:rPr>
      </w:pPr>
      <w:bookmarkStart w:id="749" w:name="_Toc12379051"/>
      <w:bookmarkEnd w:id="749"/>
      <w:bookmarkStart w:id="750" w:name="_Toc12379052"/>
      <w:r>
        <w:rPr>
          <w:rFonts w:hint="eastAsia" w:ascii="宋体" w:hAnsi="宋体"/>
          <w:b/>
          <w:bCs/>
          <w:sz w:val="21"/>
          <w:szCs w:val="21"/>
        </w:rPr>
        <w:t>接入系统的设备及设备布置</w:t>
      </w:r>
      <w:bookmarkEnd w:id="750"/>
    </w:p>
    <w:p>
      <w:pPr>
        <w:spacing w:line="360" w:lineRule="auto"/>
        <w:ind w:left="840" w:leftChars="400"/>
        <w:rPr>
          <w:rFonts w:ascii="宋体" w:hAnsi="宋体"/>
          <w:szCs w:val="21"/>
        </w:rPr>
      </w:pPr>
      <w:r>
        <w:rPr>
          <w:rFonts w:hint="eastAsia" w:ascii="宋体" w:hAnsi="宋体"/>
          <w:szCs w:val="21"/>
        </w:rPr>
        <w:t>本电站拟接入继电保护和故障录波子站的设备主要包括以下部分：</w:t>
      </w:r>
    </w:p>
    <w:p>
      <w:pPr>
        <w:pStyle w:val="120"/>
        <w:numPr>
          <w:ilvl w:val="0"/>
          <w:numId w:val="79"/>
        </w:numPr>
        <w:spacing w:before="0" w:after="0" w:line="360" w:lineRule="auto"/>
        <w:ind w:left="1470" w:hanging="420"/>
        <w:rPr>
          <w:rFonts w:hAnsi="宋体"/>
          <w:color w:val="000000"/>
          <w:sz w:val="21"/>
          <w:szCs w:val="21"/>
        </w:rPr>
      </w:pPr>
      <w:r>
        <w:rPr>
          <w:rFonts w:hint="eastAsia" w:hAnsi="宋体"/>
          <w:color w:val="000000"/>
          <w:sz w:val="21"/>
          <w:szCs w:val="21"/>
        </w:rPr>
        <w:t>发电机保护</w:t>
      </w:r>
      <w:r>
        <w:rPr>
          <w:rFonts w:hAnsi="宋体"/>
          <w:color w:val="000000"/>
          <w:sz w:val="21"/>
          <w:szCs w:val="21"/>
        </w:rPr>
        <w:t>3</w:t>
      </w:r>
      <w:r>
        <w:rPr>
          <w:rFonts w:hint="eastAsia" w:hAnsi="宋体"/>
          <w:color w:val="000000"/>
          <w:sz w:val="21"/>
          <w:szCs w:val="21"/>
        </w:rPr>
        <w:t>套（含励磁变保护）。</w:t>
      </w:r>
    </w:p>
    <w:p>
      <w:pPr>
        <w:pStyle w:val="120"/>
        <w:numPr>
          <w:ilvl w:val="0"/>
          <w:numId w:val="79"/>
        </w:numPr>
        <w:spacing w:before="0" w:after="0" w:line="360" w:lineRule="auto"/>
        <w:ind w:left="1470" w:hanging="420"/>
        <w:rPr>
          <w:rFonts w:hAnsi="宋体"/>
          <w:color w:val="000000"/>
          <w:sz w:val="21"/>
          <w:szCs w:val="21"/>
        </w:rPr>
      </w:pPr>
      <w:r>
        <w:rPr>
          <w:rFonts w:hint="eastAsia" w:hAnsi="宋体"/>
          <w:color w:val="000000"/>
          <w:sz w:val="21"/>
          <w:szCs w:val="21"/>
        </w:rPr>
        <w:t>主变保护</w:t>
      </w:r>
      <w:r>
        <w:rPr>
          <w:rFonts w:hAnsi="宋体"/>
          <w:color w:val="000000"/>
          <w:sz w:val="21"/>
          <w:szCs w:val="21"/>
        </w:rPr>
        <w:t>2</w:t>
      </w:r>
      <w:r>
        <w:rPr>
          <w:rFonts w:hint="eastAsia" w:hAnsi="宋体"/>
          <w:color w:val="000000"/>
          <w:sz w:val="21"/>
          <w:szCs w:val="21"/>
        </w:rPr>
        <w:t>套。</w:t>
      </w:r>
    </w:p>
    <w:p>
      <w:pPr>
        <w:pStyle w:val="120"/>
        <w:numPr>
          <w:ilvl w:val="0"/>
          <w:numId w:val="79"/>
        </w:numPr>
        <w:spacing w:before="0" w:after="0" w:line="360" w:lineRule="auto"/>
        <w:ind w:left="1470" w:hanging="420"/>
        <w:rPr>
          <w:rFonts w:hAnsi="宋体"/>
          <w:color w:val="000000"/>
          <w:sz w:val="21"/>
          <w:szCs w:val="21"/>
        </w:rPr>
      </w:pPr>
      <w:r>
        <w:rPr>
          <w:rFonts w:hint="eastAsia" w:hAnsi="宋体"/>
          <w:color w:val="000000"/>
          <w:sz w:val="21"/>
          <w:szCs w:val="21"/>
        </w:rPr>
        <w:t>110kV母线保护</w:t>
      </w:r>
      <w:r>
        <w:rPr>
          <w:rFonts w:hAnsi="宋体"/>
          <w:color w:val="000000"/>
          <w:sz w:val="21"/>
          <w:szCs w:val="21"/>
        </w:rPr>
        <w:t>1</w:t>
      </w:r>
      <w:r>
        <w:rPr>
          <w:rFonts w:hint="eastAsia" w:hAnsi="宋体"/>
          <w:color w:val="000000"/>
          <w:sz w:val="21"/>
          <w:szCs w:val="21"/>
        </w:rPr>
        <w:t>套。</w:t>
      </w:r>
    </w:p>
    <w:p>
      <w:pPr>
        <w:pStyle w:val="120"/>
        <w:numPr>
          <w:ilvl w:val="0"/>
          <w:numId w:val="79"/>
        </w:numPr>
        <w:spacing w:before="0" w:after="0" w:line="360" w:lineRule="auto"/>
        <w:ind w:left="1470" w:hanging="420"/>
        <w:rPr>
          <w:rFonts w:hAnsi="宋体"/>
          <w:color w:val="000000"/>
          <w:sz w:val="21"/>
          <w:szCs w:val="21"/>
        </w:rPr>
      </w:pPr>
      <w:r>
        <w:rPr>
          <w:rFonts w:hint="eastAsia" w:hAnsi="宋体"/>
          <w:color w:val="000000"/>
          <w:sz w:val="21"/>
          <w:szCs w:val="21"/>
        </w:rPr>
        <w:t>110kV线路保护</w:t>
      </w:r>
      <w:r>
        <w:rPr>
          <w:rFonts w:hAnsi="宋体"/>
          <w:color w:val="000000"/>
          <w:sz w:val="21"/>
          <w:szCs w:val="21"/>
        </w:rPr>
        <w:t>1</w:t>
      </w:r>
      <w:r>
        <w:rPr>
          <w:rFonts w:hint="eastAsia" w:hAnsi="宋体"/>
          <w:color w:val="000000"/>
          <w:sz w:val="21"/>
          <w:szCs w:val="21"/>
        </w:rPr>
        <w:t>套</w:t>
      </w:r>
      <w:r>
        <w:rPr>
          <w:rFonts w:hint="eastAsia" w:hAnsi="宋体"/>
          <w:spacing w:val="0"/>
          <w:kern w:val="2"/>
          <w:sz w:val="21"/>
          <w:szCs w:val="21"/>
        </w:rPr>
        <w:t>。</w:t>
      </w:r>
    </w:p>
    <w:p>
      <w:pPr>
        <w:pStyle w:val="120"/>
        <w:numPr>
          <w:ilvl w:val="0"/>
          <w:numId w:val="79"/>
        </w:numPr>
        <w:spacing w:before="0" w:after="0" w:line="360" w:lineRule="auto"/>
        <w:ind w:left="1470" w:hanging="420"/>
        <w:rPr>
          <w:rFonts w:hAnsi="宋体"/>
          <w:color w:val="000000"/>
          <w:sz w:val="21"/>
          <w:szCs w:val="21"/>
        </w:rPr>
      </w:pPr>
      <w:r>
        <w:rPr>
          <w:rFonts w:hint="eastAsia" w:hAnsi="宋体"/>
          <w:spacing w:val="0"/>
          <w:kern w:val="2"/>
          <w:sz w:val="21"/>
          <w:szCs w:val="21"/>
        </w:rPr>
        <w:t>开关站故障录波装置1套。</w:t>
      </w:r>
    </w:p>
    <w:p>
      <w:pPr>
        <w:pStyle w:val="120"/>
        <w:numPr>
          <w:ilvl w:val="0"/>
          <w:numId w:val="79"/>
        </w:numPr>
        <w:spacing w:before="0" w:after="0" w:line="360" w:lineRule="auto"/>
        <w:ind w:left="1470" w:hanging="420"/>
        <w:rPr>
          <w:rFonts w:hAnsi="宋体"/>
          <w:color w:val="000000"/>
          <w:sz w:val="21"/>
          <w:szCs w:val="21"/>
        </w:rPr>
      </w:pPr>
      <w:r>
        <w:rPr>
          <w:rFonts w:hint="eastAsia" w:hAnsi="宋体"/>
          <w:spacing w:val="0"/>
          <w:kern w:val="2"/>
          <w:sz w:val="21"/>
          <w:szCs w:val="21"/>
        </w:rPr>
        <w:t>故障解列装置1套。</w:t>
      </w:r>
    </w:p>
    <w:p>
      <w:pPr>
        <w:spacing w:line="360" w:lineRule="auto"/>
        <w:ind w:left="840" w:leftChars="400"/>
        <w:rPr>
          <w:rFonts w:ascii="宋体" w:hAnsi="宋体"/>
          <w:szCs w:val="21"/>
        </w:rPr>
      </w:pPr>
      <w:r>
        <w:rPr>
          <w:rFonts w:hint="eastAsia" w:ascii="宋体" w:hAnsi="宋体"/>
          <w:szCs w:val="21"/>
        </w:rPr>
        <w:t>继电保护和故障录波子站布置在副厂房二次屏柜室内，与中控室距离约为</w:t>
      </w:r>
      <w:r>
        <w:rPr>
          <w:rFonts w:ascii="宋体" w:hAnsi="宋体"/>
          <w:szCs w:val="21"/>
        </w:rPr>
        <w:t>30</w:t>
      </w:r>
      <w:r>
        <w:rPr>
          <w:rFonts w:hint="eastAsia" w:ascii="宋体" w:hAnsi="宋体"/>
          <w:szCs w:val="21"/>
        </w:rPr>
        <w:t>米；发电机保护装置布置在主厂房运行层，与继电保护和故障录波子站的最远距离约为</w:t>
      </w:r>
      <w:r>
        <w:rPr>
          <w:rFonts w:ascii="宋体" w:hAnsi="宋体"/>
          <w:szCs w:val="21"/>
        </w:rPr>
        <w:t>90</w:t>
      </w:r>
      <w:r>
        <w:rPr>
          <w:rFonts w:hint="eastAsia" w:ascii="宋体" w:hAnsi="宋体"/>
          <w:szCs w:val="21"/>
        </w:rPr>
        <w:t>米；110kV</w:t>
      </w:r>
      <w:r>
        <w:rPr>
          <w:rFonts w:ascii="宋体" w:hAnsi="宋体"/>
          <w:szCs w:val="21"/>
        </w:rPr>
        <w:t>系统</w:t>
      </w:r>
      <w:r>
        <w:rPr>
          <w:rFonts w:hint="eastAsia" w:ascii="宋体" w:hAnsi="宋体"/>
          <w:szCs w:val="21"/>
        </w:rPr>
        <w:t>保护装置、开关站故障录波装置、故障解列装置布置在GIS楼GIS层，与继电保护和故障录波子站的最远距离约为</w:t>
      </w:r>
      <w:r>
        <w:rPr>
          <w:rFonts w:ascii="宋体" w:hAnsi="宋体"/>
          <w:szCs w:val="21"/>
        </w:rPr>
        <w:t>100</w:t>
      </w:r>
      <w:r>
        <w:rPr>
          <w:rFonts w:hint="eastAsia" w:ascii="宋体" w:hAnsi="宋体"/>
          <w:szCs w:val="21"/>
        </w:rPr>
        <w:t>米。</w:t>
      </w:r>
    </w:p>
    <w:p>
      <w:pPr>
        <w:pStyle w:val="7"/>
        <w:widowControl w:val="0"/>
        <w:numPr>
          <w:ilvl w:val="2"/>
          <w:numId w:val="15"/>
        </w:numPr>
        <w:overflowPunct w:val="0"/>
        <w:snapToGrid/>
        <w:spacing w:before="78" w:beforeLines="25" w:after="100" w:afterAutospacing="1" w:line="300" w:lineRule="auto"/>
        <w:jc w:val="both"/>
        <w:rPr>
          <w:rFonts w:ascii="宋体" w:hAnsi="宋体"/>
          <w:b/>
          <w:bCs/>
          <w:color w:val="000000"/>
          <w:sz w:val="21"/>
          <w:szCs w:val="21"/>
        </w:rPr>
      </w:pPr>
      <w:bookmarkStart w:id="751" w:name="_Toc12379053"/>
      <w:bookmarkEnd w:id="751"/>
      <w:r>
        <w:rPr>
          <w:rFonts w:hint="eastAsia" w:ascii="宋体" w:hAnsi="宋体"/>
          <w:b/>
          <w:bCs/>
          <w:color w:val="000000"/>
          <w:sz w:val="21"/>
          <w:szCs w:val="21"/>
        </w:rPr>
        <w:t>系统的硬件要求</w:t>
      </w:r>
    </w:p>
    <w:p>
      <w:pPr>
        <w:pStyle w:val="8"/>
        <w:numPr>
          <w:ilvl w:val="3"/>
          <w:numId w:val="80"/>
        </w:numPr>
        <w:tabs>
          <w:tab w:val="clear" w:pos="1531"/>
        </w:tabs>
        <w:overflowPunct w:val="0"/>
        <w:spacing w:before="72" w:after="72" w:line="360" w:lineRule="auto"/>
        <w:ind w:left="964"/>
      </w:pPr>
      <w:r>
        <w:rPr>
          <w:rFonts w:hint="eastAsia"/>
        </w:rPr>
        <w:t>数据服务器</w:t>
      </w:r>
    </w:p>
    <w:p>
      <w:pPr>
        <w:spacing w:line="360" w:lineRule="auto"/>
        <w:ind w:left="840" w:leftChars="400"/>
        <w:rPr>
          <w:rFonts w:ascii="宋体" w:hAnsi="宋体"/>
          <w:szCs w:val="21"/>
        </w:rPr>
      </w:pPr>
      <w:r>
        <w:rPr>
          <w:rFonts w:hint="eastAsia" w:ascii="宋体" w:hAnsi="宋体"/>
          <w:szCs w:val="21"/>
        </w:rPr>
        <w:t>数据服务器应是高性能、工业级服务器。</w:t>
      </w:r>
    </w:p>
    <w:p>
      <w:pPr>
        <w:spacing w:line="360" w:lineRule="auto"/>
        <w:ind w:left="840" w:leftChars="400"/>
        <w:rPr>
          <w:rFonts w:ascii="宋体" w:hAnsi="宋体"/>
          <w:szCs w:val="21"/>
        </w:rPr>
      </w:pPr>
      <w:r>
        <w:rPr>
          <w:rFonts w:hint="eastAsia" w:ascii="宋体" w:hAnsi="宋体"/>
          <w:szCs w:val="21"/>
        </w:rPr>
        <w:t>主要配置应满足如下要求：</w:t>
      </w:r>
    </w:p>
    <w:p>
      <w:pPr>
        <w:pStyle w:val="120"/>
        <w:numPr>
          <w:ilvl w:val="0"/>
          <w:numId w:val="81"/>
        </w:numPr>
        <w:spacing w:before="0" w:after="0" w:line="360" w:lineRule="auto"/>
        <w:ind w:left="1470" w:hanging="420"/>
        <w:rPr>
          <w:rFonts w:hAnsi="宋体"/>
          <w:color w:val="000000"/>
          <w:sz w:val="21"/>
          <w:szCs w:val="21"/>
        </w:rPr>
      </w:pPr>
      <w:r>
        <w:rPr>
          <w:rFonts w:hint="eastAsia" w:hAnsi="宋体"/>
          <w:color w:val="000000"/>
          <w:sz w:val="21"/>
          <w:szCs w:val="21"/>
        </w:rPr>
        <w:t>结构：</w:t>
      </w:r>
      <w:r>
        <w:rPr>
          <w:rFonts w:hint="eastAsia" w:hAnsi="宋体"/>
          <w:color w:val="000000"/>
          <w:sz w:val="21"/>
          <w:szCs w:val="21"/>
        </w:rPr>
        <w:tab/>
      </w:r>
      <w:r>
        <w:rPr>
          <w:rFonts w:hint="eastAsia" w:hAnsi="宋体"/>
          <w:color w:val="000000"/>
          <w:sz w:val="21"/>
          <w:szCs w:val="21"/>
        </w:rPr>
        <w:t>机架式；</w:t>
      </w:r>
    </w:p>
    <w:p>
      <w:pPr>
        <w:pStyle w:val="120"/>
        <w:numPr>
          <w:ilvl w:val="0"/>
          <w:numId w:val="81"/>
        </w:numPr>
        <w:spacing w:before="0" w:after="0" w:line="360" w:lineRule="auto"/>
        <w:ind w:left="1470" w:hanging="420"/>
        <w:rPr>
          <w:rFonts w:hAnsi="宋体"/>
          <w:color w:val="000000"/>
          <w:sz w:val="21"/>
          <w:szCs w:val="21"/>
        </w:rPr>
      </w:pPr>
      <w:r>
        <w:rPr>
          <w:rFonts w:hint="eastAsia" w:hAnsi="宋体"/>
          <w:color w:val="000000"/>
          <w:sz w:val="21"/>
          <w:szCs w:val="21"/>
        </w:rPr>
        <w:t>CPU主频：</w:t>
      </w:r>
      <w:r>
        <w:rPr>
          <w:rFonts w:hint="eastAsia" w:hAnsi="宋体"/>
          <w:color w:val="000000"/>
          <w:sz w:val="21"/>
          <w:szCs w:val="21"/>
        </w:rPr>
        <w:tab/>
      </w:r>
      <w:r>
        <w:rPr>
          <w:rFonts w:hint="eastAsia" w:hAnsi="宋体"/>
          <w:color w:val="000000"/>
          <w:sz w:val="21"/>
          <w:szCs w:val="21"/>
        </w:rPr>
        <w:t>标配4颗,单颗核心数≥8，字长≥64位，主频≥3.0GHz</w:t>
      </w:r>
    </w:p>
    <w:p>
      <w:pPr>
        <w:pStyle w:val="120"/>
        <w:numPr>
          <w:ilvl w:val="0"/>
          <w:numId w:val="81"/>
        </w:numPr>
        <w:spacing w:before="0" w:after="0" w:line="360" w:lineRule="auto"/>
        <w:ind w:left="1470" w:hanging="420"/>
        <w:rPr>
          <w:rFonts w:hAnsi="宋体"/>
          <w:color w:val="000000"/>
          <w:sz w:val="21"/>
          <w:szCs w:val="21"/>
        </w:rPr>
      </w:pPr>
      <w:r>
        <w:rPr>
          <w:rFonts w:hint="eastAsia" w:hAnsi="宋体"/>
          <w:color w:val="000000"/>
          <w:sz w:val="21"/>
          <w:szCs w:val="21"/>
        </w:rPr>
        <w:t>内存：</w:t>
      </w:r>
      <w:r>
        <w:rPr>
          <w:rFonts w:hint="eastAsia" w:hAnsi="宋体"/>
          <w:color w:val="000000"/>
          <w:sz w:val="21"/>
          <w:szCs w:val="21"/>
        </w:rPr>
        <w:tab/>
      </w:r>
      <w:r>
        <w:rPr>
          <w:rFonts w:hint="eastAsia" w:hAnsi="宋体"/>
          <w:color w:val="000000"/>
          <w:sz w:val="21"/>
          <w:szCs w:val="21"/>
        </w:rPr>
        <w:t>≥16GB(可扩展)</w:t>
      </w:r>
    </w:p>
    <w:p>
      <w:pPr>
        <w:pStyle w:val="120"/>
        <w:numPr>
          <w:ilvl w:val="0"/>
          <w:numId w:val="81"/>
        </w:numPr>
        <w:spacing w:before="0" w:after="0" w:line="360" w:lineRule="auto"/>
        <w:ind w:left="1470" w:hanging="420"/>
        <w:rPr>
          <w:rFonts w:hAnsi="宋体"/>
          <w:color w:val="000000"/>
          <w:sz w:val="21"/>
          <w:szCs w:val="21"/>
        </w:rPr>
      </w:pPr>
      <w:r>
        <w:rPr>
          <w:rFonts w:hint="eastAsia" w:hAnsi="宋体"/>
          <w:color w:val="000000"/>
          <w:sz w:val="21"/>
          <w:szCs w:val="21"/>
        </w:rPr>
        <w:t>硬盘：</w:t>
      </w:r>
      <w:r>
        <w:rPr>
          <w:rFonts w:hint="eastAsia" w:hAnsi="宋体"/>
          <w:color w:val="000000"/>
          <w:sz w:val="21"/>
          <w:szCs w:val="21"/>
        </w:rPr>
        <w:tab/>
      </w:r>
      <w:r>
        <w:rPr>
          <w:rFonts w:hint="eastAsia" w:hAnsi="宋体"/>
          <w:color w:val="000000"/>
          <w:sz w:val="21"/>
          <w:szCs w:val="21"/>
        </w:rPr>
        <w:t>≥2×1TB SSD （RAID1方式冗余），可热插拔，可扩展至4块</w:t>
      </w:r>
    </w:p>
    <w:p>
      <w:pPr>
        <w:pStyle w:val="120"/>
        <w:numPr>
          <w:ilvl w:val="0"/>
          <w:numId w:val="81"/>
        </w:numPr>
        <w:spacing w:before="0" w:after="0" w:line="360" w:lineRule="auto"/>
        <w:ind w:left="1470" w:hanging="420"/>
        <w:rPr>
          <w:rFonts w:hAnsi="宋体"/>
          <w:color w:val="000000"/>
          <w:sz w:val="21"/>
          <w:szCs w:val="21"/>
        </w:rPr>
      </w:pPr>
      <w:r>
        <w:rPr>
          <w:rFonts w:hint="eastAsia" w:hAnsi="宋体"/>
          <w:color w:val="000000"/>
          <w:sz w:val="21"/>
          <w:szCs w:val="21"/>
        </w:rPr>
        <w:t>串行口：</w:t>
      </w:r>
      <w:r>
        <w:rPr>
          <w:rFonts w:hint="eastAsia" w:hAnsi="宋体"/>
          <w:color w:val="000000"/>
          <w:sz w:val="21"/>
          <w:szCs w:val="21"/>
        </w:rPr>
        <w:tab/>
      </w:r>
      <w:r>
        <w:rPr>
          <w:rFonts w:hint="eastAsia" w:hAnsi="宋体"/>
          <w:color w:val="000000"/>
          <w:sz w:val="21"/>
          <w:szCs w:val="21"/>
        </w:rPr>
        <w:t>≥4个；</w:t>
      </w:r>
    </w:p>
    <w:p>
      <w:pPr>
        <w:pStyle w:val="120"/>
        <w:numPr>
          <w:ilvl w:val="0"/>
          <w:numId w:val="81"/>
        </w:numPr>
        <w:spacing w:before="0" w:after="0" w:line="360" w:lineRule="auto"/>
        <w:ind w:left="1470" w:hanging="420"/>
        <w:rPr>
          <w:rFonts w:hAnsi="宋体"/>
          <w:color w:val="000000"/>
          <w:sz w:val="21"/>
          <w:szCs w:val="21"/>
        </w:rPr>
      </w:pPr>
      <w:r>
        <w:rPr>
          <w:rFonts w:hint="eastAsia" w:hAnsi="宋体"/>
          <w:color w:val="000000"/>
          <w:sz w:val="21"/>
          <w:szCs w:val="21"/>
        </w:rPr>
        <w:t>并行口：</w:t>
      </w:r>
      <w:r>
        <w:rPr>
          <w:rFonts w:hint="eastAsia" w:hAnsi="宋体"/>
          <w:color w:val="000000"/>
          <w:sz w:val="21"/>
          <w:szCs w:val="21"/>
        </w:rPr>
        <w:tab/>
      </w:r>
      <w:r>
        <w:rPr>
          <w:rFonts w:hint="eastAsia" w:hAnsi="宋体"/>
          <w:color w:val="000000"/>
          <w:sz w:val="21"/>
          <w:szCs w:val="21"/>
        </w:rPr>
        <w:t>≥1个；</w:t>
      </w:r>
    </w:p>
    <w:p>
      <w:pPr>
        <w:pStyle w:val="120"/>
        <w:numPr>
          <w:ilvl w:val="0"/>
          <w:numId w:val="81"/>
        </w:numPr>
        <w:spacing w:before="0" w:after="0" w:line="360" w:lineRule="auto"/>
        <w:ind w:left="1470" w:hanging="420"/>
        <w:rPr>
          <w:rFonts w:hAnsi="宋体"/>
          <w:color w:val="000000"/>
          <w:sz w:val="21"/>
          <w:szCs w:val="21"/>
        </w:rPr>
      </w:pPr>
      <w:r>
        <w:rPr>
          <w:rFonts w:hint="eastAsia" w:hAnsi="宋体"/>
          <w:color w:val="000000"/>
          <w:sz w:val="21"/>
          <w:szCs w:val="21"/>
        </w:rPr>
        <w:t>显卡：</w:t>
      </w:r>
      <w:r>
        <w:rPr>
          <w:rFonts w:hint="eastAsia" w:hAnsi="宋体"/>
          <w:color w:val="000000"/>
          <w:sz w:val="21"/>
          <w:szCs w:val="21"/>
        </w:rPr>
        <w:tab/>
      </w:r>
      <w:r>
        <w:rPr>
          <w:rFonts w:hint="eastAsia" w:hAnsi="宋体"/>
          <w:color w:val="000000"/>
          <w:sz w:val="21"/>
          <w:szCs w:val="21"/>
        </w:rPr>
        <w:t>1块；</w:t>
      </w:r>
    </w:p>
    <w:p>
      <w:pPr>
        <w:pStyle w:val="120"/>
        <w:numPr>
          <w:ilvl w:val="0"/>
          <w:numId w:val="81"/>
        </w:numPr>
        <w:spacing w:before="0" w:after="0" w:line="360" w:lineRule="auto"/>
        <w:ind w:left="1470" w:hanging="420"/>
        <w:rPr>
          <w:rFonts w:hAnsi="宋体"/>
          <w:color w:val="000000"/>
          <w:sz w:val="21"/>
          <w:szCs w:val="21"/>
        </w:rPr>
      </w:pPr>
      <w:r>
        <w:rPr>
          <w:rFonts w:hint="eastAsia" w:hAnsi="宋体"/>
          <w:color w:val="000000"/>
          <w:sz w:val="21"/>
          <w:szCs w:val="21"/>
        </w:rPr>
        <w:t>以太网接口：</w:t>
      </w:r>
      <w:r>
        <w:rPr>
          <w:rFonts w:hint="eastAsia" w:hAnsi="宋体"/>
          <w:color w:val="000000"/>
          <w:sz w:val="21"/>
          <w:szCs w:val="21"/>
        </w:rPr>
        <w:tab/>
      </w:r>
      <w:r>
        <w:rPr>
          <w:rFonts w:hint="eastAsia" w:hAnsi="宋体"/>
          <w:color w:val="000000"/>
          <w:sz w:val="21"/>
          <w:szCs w:val="21"/>
        </w:rPr>
        <w:t>1000MB以太网接口4块</w:t>
      </w:r>
    </w:p>
    <w:p>
      <w:pPr>
        <w:pStyle w:val="120"/>
        <w:numPr>
          <w:ilvl w:val="0"/>
          <w:numId w:val="81"/>
        </w:numPr>
        <w:spacing w:before="0" w:after="0" w:line="360" w:lineRule="auto"/>
        <w:ind w:left="1470" w:hanging="420"/>
        <w:rPr>
          <w:rFonts w:hAnsi="宋体"/>
          <w:color w:val="000000"/>
          <w:sz w:val="21"/>
          <w:szCs w:val="21"/>
        </w:rPr>
      </w:pPr>
      <w:r>
        <w:rPr>
          <w:rFonts w:hint="eastAsia" w:hAnsi="宋体"/>
          <w:color w:val="000000"/>
          <w:sz w:val="21"/>
          <w:szCs w:val="21"/>
        </w:rPr>
        <w:t>操作系统：</w:t>
      </w:r>
      <w:r>
        <w:rPr>
          <w:rFonts w:hint="eastAsia" w:hAnsi="宋体"/>
          <w:color w:val="000000"/>
          <w:sz w:val="21"/>
          <w:szCs w:val="21"/>
        </w:rPr>
        <w:tab/>
      </w:r>
      <w:r>
        <w:rPr>
          <w:rFonts w:hint="eastAsia" w:hAnsi="宋体"/>
          <w:color w:val="000000"/>
          <w:sz w:val="21"/>
          <w:szCs w:val="21"/>
        </w:rPr>
        <w:t>非windows嵌入式操作系统</w:t>
      </w:r>
    </w:p>
    <w:p>
      <w:pPr>
        <w:pStyle w:val="8"/>
        <w:numPr>
          <w:ilvl w:val="3"/>
          <w:numId w:val="80"/>
        </w:numPr>
        <w:tabs>
          <w:tab w:val="clear" w:pos="1531"/>
        </w:tabs>
        <w:overflowPunct w:val="0"/>
        <w:spacing w:before="72" w:after="72" w:line="360" w:lineRule="auto"/>
        <w:ind w:left="964"/>
      </w:pPr>
      <w:r>
        <w:rPr>
          <w:rFonts w:hint="eastAsia"/>
        </w:rPr>
        <w:t>图形网关机</w:t>
      </w:r>
    </w:p>
    <w:p>
      <w:pPr>
        <w:spacing w:line="360" w:lineRule="auto"/>
        <w:ind w:left="840" w:leftChars="400"/>
        <w:rPr>
          <w:rFonts w:ascii="宋体" w:hAnsi="宋体"/>
          <w:szCs w:val="21"/>
        </w:rPr>
      </w:pPr>
      <w:r>
        <w:rPr>
          <w:rFonts w:hint="eastAsia" w:ascii="宋体" w:hAnsi="宋体"/>
          <w:szCs w:val="21"/>
        </w:rPr>
        <w:t>应提供</w:t>
      </w:r>
      <w:r>
        <w:rPr>
          <w:rFonts w:ascii="宋体" w:hAnsi="宋体"/>
          <w:szCs w:val="21"/>
        </w:rPr>
        <w:t>2</w:t>
      </w:r>
      <w:r>
        <w:rPr>
          <w:rFonts w:hint="eastAsia" w:ascii="宋体" w:hAnsi="宋体"/>
          <w:szCs w:val="21"/>
        </w:rPr>
        <w:t>台图形网关机，图形网关机应采用无盘无风扇高性能的工作站，所有的程序应固化在硬件模块中，配置实时多任务操作系统。</w:t>
      </w:r>
      <w:r>
        <w:rPr>
          <w:rFonts w:ascii="宋体" w:hAnsi="宋体"/>
          <w:szCs w:val="21"/>
        </w:rPr>
        <w:t>1</w:t>
      </w:r>
      <w:r>
        <w:rPr>
          <w:rFonts w:hint="eastAsia" w:ascii="宋体" w:hAnsi="宋体"/>
          <w:szCs w:val="21"/>
        </w:rPr>
        <w:t>台数据服务器和</w:t>
      </w:r>
      <w:r>
        <w:rPr>
          <w:rFonts w:ascii="宋体" w:hAnsi="宋体"/>
          <w:szCs w:val="21"/>
        </w:rPr>
        <w:t>2</w:t>
      </w:r>
      <w:r>
        <w:rPr>
          <w:rFonts w:hint="eastAsia" w:ascii="宋体" w:hAnsi="宋体"/>
          <w:szCs w:val="21"/>
        </w:rPr>
        <w:t>台图形网关机组</w:t>
      </w:r>
      <w:r>
        <w:rPr>
          <w:rFonts w:ascii="宋体" w:hAnsi="宋体"/>
          <w:szCs w:val="21"/>
        </w:rPr>
        <w:t>1</w:t>
      </w:r>
      <w:r>
        <w:rPr>
          <w:rFonts w:hint="eastAsia" w:ascii="宋体" w:hAnsi="宋体"/>
          <w:szCs w:val="21"/>
        </w:rPr>
        <w:t>面柜。</w:t>
      </w:r>
    </w:p>
    <w:p>
      <w:pPr>
        <w:spacing w:line="360" w:lineRule="auto"/>
        <w:ind w:left="840" w:leftChars="400"/>
        <w:rPr>
          <w:rFonts w:ascii="宋体" w:hAnsi="宋体"/>
          <w:szCs w:val="21"/>
        </w:rPr>
      </w:pPr>
      <w:r>
        <w:rPr>
          <w:rFonts w:hint="eastAsia" w:ascii="宋体" w:hAnsi="宋体"/>
          <w:szCs w:val="21"/>
        </w:rPr>
        <w:t>主要配置应满足如下要求：</w:t>
      </w:r>
    </w:p>
    <w:p>
      <w:pPr>
        <w:pStyle w:val="120"/>
        <w:numPr>
          <w:ilvl w:val="0"/>
          <w:numId w:val="82"/>
        </w:numPr>
        <w:spacing w:before="0" w:after="0" w:line="360" w:lineRule="auto"/>
        <w:ind w:left="1470" w:hanging="420"/>
        <w:rPr>
          <w:rFonts w:hAnsi="宋体"/>
          <w:color w:val="000000"/>
          <w:sz w:val="21"/>
          <w:szCs w:val="21"/>
        </w:rPr>
      </w:pPr>
      <w:r>
        <w:rPr>
          <w:rFonts w:hint="eastAsia" w:hAnsi="宋体"/>
          <w:color w:val="000000"/>
          <w:sz w:val="21"/>
          <w:szCs w:val="21"/>
        </w:rPr>
        <w:t>结构：</w:t>
      </w:r>
      <w:r>
        <w:rPr>
          <w:rFonts w:hint="eastAsia" w:hAnsi="宋体"/>
          <w:color w:val="000000"/>
          <w:sz w:val="21"/>
          <w:szCs w:val="21"/>
        </w:rPr>
        <w:tab/>
      </w:r>
      <w:r>
        <w:rPr>
          <w:rFonts w:hint="eastAsia" w:hAnsi="宋体"/>
          <w:color w:val="000000"/>
          <w:sz w:val="21"/>
          <w:szCs w:val="21"/>
        </w:rPr>
        <w:t>机架式；</w:t>
      </w:r>
    </w:p>
    <w:p>
      <w:pPr>
        <w:pStyle w:val="120"/>
        <w:numPr>
          <w:ilvl w:val="0"/>
          <w:numId w:val="82"/>
        </w:numPr>
        <w:spacing w:before="0" w:after="0" w:line="360" w:lineRule="auto"/>
        <w:ind w:left="1470" w:hanging="420"/>
        <w:rPr>
          <w:rFonts w:hAnsi="宋体"/>
          <w:color w:val="000000"/>
          <w:sz w:val="21"/>
          <w:szCs w:val="21"/>
        </w:rPr>
      </w:pPr>
      <w:r>
        <w:rPr>
          <w:rFonts w:hint="eastAsia" w:hAnsi="宋体"/>
          <w:color w:val="000000"/>
          <w:sz w:val="21"/>
          <w:szCs w:val="21"/>
        </w:rPr>
        <w:t>CPU：</w:t>
      </w:r>
      <w:r>
        <w:rPr>
          <w:rFonts w:hint="eastAsia" w:hAnsi="宋体"/>
          <w:color w:val="000000"/>
          <w:sz w:val="21"/>
          <w:szCs w:val="21"/>
        </w:rPr>
        <w:tab/>
      </w:r>
      <w:r>
        <w:rPr>
          <w:rFonts w:hint="eastAsia" w:hAnsi="宋体"/>
          <w:color w:val="000000"/>
          <w:sz w:val="21"/>
          <w:szCs w:val="21"/>
        </w:rPr>
        <w:t xml:space="preserve">标配2颗,单颗核心数≥8，字长≥64位，主频≥2.5GHz </w:t>
      </w:r>
    </w:p>
    <w:p>
      <w:pPr>
        <w:pStyle w:val="120"/>
        <w:numPr>
          <w:ilvl w:val="0"/>
          <w:numId w:val="82"/>
        </w:numPr>
        <w:spacing w:before="0" w:after="0" w:line="360" w:lineRule="auto"/>
        <w:ind w:left="1470" w:hanging="420"/>
        <w:rPr>
          <w:rFonts w:hAnsi="宋体"/>
          <w:color w:val="000000"/>
          <w:sz w:val="21"/>
          <w:szCs w:val="21"/>
        </w:rPr>
      </w:pPr>
      <w:r>
        <w:rPr>
          <w:rFonts w:hint="eastAsia" w:hAnsi="宋体"/>
          <w:color w:val="000000"/>
          <w:sz w:val="21"/>
          <w:szCs w:val="21"/>
        </w:rPr>
        <w:t>内存：</w:t>
      </w:r>
      <w:r>
        <w:rPr>
          <w:rFonts w:hint="eastAsia" w:hAnsi="宋体"/>
          <w:color w:val="000000"/>
          <w:sz w:val="21"/>
          <w:szCs w:val="21"/>
        </w:rPr>
        <w:tab/>
      </w:r>
      <w:r>
        <w:rPr>
          <w:rFonts w:hint="eastAsia" w:hAnsi="宋体"/>
          <w:color w:val="000000"/>
          <w:sz w:val="21"/>
          <w:szCs w:val="21"/>
        </w:rPr>
        <w:t>≥16GB（可扩展）；</w:t>
      </w:r>
    </w:p>
    <w:p>
      <w:pPr>
        <w:pStyle w:val="120"/>
        <w:numPr>
          <w:ilvl w:val="0"/>
          <w:numId w:val="82"/>
        </w:numPr>
        <w:spacing w:before="0" w:after="0" w:line="360" w:lineRule="auto"/>
        <w:ind w:left="1470" w:hanging="420"/>
        <w:rPr>
          <w:rFonts w:hAnsi="宋体"/>
          <w:color w:val="000000"/>
          <w:sz w:val="21"/>
          <w:szCs w:val="21"/>
        </w:rPr>
      </w:pPr>
      <w:r>
        <w:rPr>
          <w:rFonts w:hint="eastAsia" w:hAnsi="宋体"/>
          <w:color w:val="000000"/>
          <w:sz w:val="21"/>
          <w:szCs w:val="21"/>
        </w:rPr>
        <w:t>CF卡：</w:t>
      </w:r>
      <w:r>
        <w:rPr>
          <w:rFonts w:hint="eastAsia" w:hAnsi="宋体"/>
          <w:color w:val="000000"/>
          <w:sz w:val="21"/>
          <w:szCs w:val="21"/>
        </w:rPr>
        <w:tab/>
      </w:r>
      <w:r>
        <w:rPr>
          <w:rFonts w:hint="eastAsia" w:hAnsi="宋体"/>
          <w:color w:val="000000"/>
          <w:sz w:val="21"/>
          <w:szCs w:val="21"/>
        </w:rPr>
        <w:t>≥8GB；</w:t>
      </w:r>
    </w:p>
    <w:p>
      <w:pPr>
        <w:pStyle w:val="120"/>
        <w:numPr>
          <w:ilvl w:val="0"/>
          <w:numId w:val="82"/>
        </w:numPr>
        <w:spacing w:before="0" w:after="0" w:line="360" w:lineRule="auto"/>
        <w:ind w:left="1470" w:hanging="420"/>
        <w:rPr>
          <w:rFonts w:hAnsi="宋体"/>
          <w:color w:val="000000"/>
          <w:sz w:val="21"/>
          <w:szCs w:val="21"/>
        </w:rPr>
      </w:pPr>
      <w:r>
        <w:rPr>
          <w:rFonts w:hint="eastAsia" w:hAnsi="宋体"/>
          <w:color w:val="000000"/>
          <w:sz w:val="21"/>
          <w:szCs w:val="21"/>
        </w:rPr>
        <w:t>人机接口：</w:t>
      </w:r>
      <w:r>
        <w:rPr>
          <w:rFonts w:hint="eastAsia" w:hAnsi="宋体"/>
          <w:color w:val="000000"/>
          <w:sz w:val="21"/>
          <w:szCs w:val="21"/>
        </w:rPr>
        <w:tab/>
      </w:r>
      <w:r>
        <w:rPr>
          <w:rFonts w:hint="eastAsia" w:hAnsi="宋体"/>
          <w:color w:val="000000"/>
          <w:sz w:val="21"/>
          <w:szCs w:val="21"/>
        </w:rPr>
        <w:t>数据服务器和图形网关机共用1台24"彩色TFT液晶显示器、鼠标和键盘，组柜布置，配置1个KVM切换装置（1切4）；1台24 "彩色TFT液晶显示器、鼠标和键盘，布置在中控室。中控室目前采购的24"彩色TFT液晶显示器型号为优派VA2461-5 24英寸宽屏，为保持中控室液晶显示器的统一性，建议投标人配置同种品牌和型号的液晶显示器。</w:t>
      </w:r>
    </w:p>
    <w:p>
      <w:pPr>
        <w:pStyle w:val="120"/>
        <w:numPr>
          <w:ilvl w:val="0"/>
          <w:numId w:val="82"/>
        </w:numPr>
        <w:spacing w:before="0" w:after="0" w:line="360" w:lineRule="auto"/>
        <w:ind w:left="1470" w:hanging="420"/>
        <w:rPr>
          <w:rFonts w:hAnsi="宋体"/>
          <w:color w:val="000000"/>
          <w:sz w:val="21"/>
          <w:szCs w:val="21"/>
        </w:rPr>
      </w:pPr>
      <w:r>
        <w:rPr>
          <w:rFonts w:hint="eastAsia" w:hAnsi="宋体"/>
          <w:color w:val="000000"/>
          <w:sz w:val="21"/>
          <w:szCs w:val="21"/>
        </w:rPr>
        <w:t>串行口：</w:t>
      </w:r>
      <w:r>
        <w:rPr>
          <w:rFonts w:hint="eastAsia" w:hAnsi="宋体"/>
          <w:color w:val="000000"/>
          <w:sz w:val="21"/>
          <w:szCs w:val="21"/>
        </w:rPr>
        <w:tab/>
      </w:r>
      <w:r>
        <w:rPr>
          <w:rFonts w:hint="eastAsia" w:hAnsi="宋体"/>
          <w:color w:val="000000"/>
          <w:sz w:val="21"/>
          <w:szCs w:val="21"/>
        </w:rPr>
        <w:t>≥4个；</w:t>
      </w:r>
    </w:p>
    <w:p>
      <w:pPr>
        <w:pStyle w:val="120"/>
        <w:numPr>
          <w:ilvl w:val="0"/>
          <w:numId w:val="82"/>
        </w:numPr>
        <w:spacing w:before="0" w:after="0" w:line="360" w:lineRule="auto"/>
        <w:ind w:left="1470" w:hanging="420"/>
        <w:rPr>
          <w:rFonts w:hAnsi="宋体"/>
          <w:color w:val="000000"/>
          <w:sz w:val="21"/>
          <w:szCs w:val="21"/>
        </w:rPr>
      </w:pPr>
      <w:r>
        <w:rPr>
          <w:rFonts w:hint="eastAsia" w:hAnsi="宋体"/>
          <w:color w:val="000000"/>
          <w:sz w:val="21"/>
          <w:szCs w:val="21"/>
        </w:rPr>
        <w:t>并行口：</w:t>
      </w:r>
      <w:r>
        <w:rPr>
          <w:rFonts w:hint="eastAsia" w:hAnsi="宋体"/>
          <w:color w:val="000000"/>
          <w:sz w:val="21"/>
          <w:szCs w:val="21"/>
        </w:rPr>
        <w:tab/>
      </w:r>
      <w:r>
        <w:rPr>
          <w:rFonts w:hint="eastAsia" w:hAnsi="宋体"/>
          <w:color w:val="000000"/>
          <w:sz w:val="21"/>
          <w:szCs w:val="21"/>
        </w:rPr>
        <w:t>≥1个；</w:t>
      </w:r>
    </w:p>
    <w:p>
      <w:pPr>
        <w:pStyle w:val="120"/>
        <w:numPr>
          <w:ilvl w:val="0"/>
          <w:numId w:val="82"/>
        </w:numPr>
        <w:spacing w:before="0" w:after="0" w:line="360" w:lineRule="auto"/>
        <w:ind w:left="1470" w:hanging="420"/>
        <w:rPr>
          <w:rFonts w:hAnsi="宋体"/>
          <w:color w:val="000000"/>
          <w:sz w:val="21"/>
          <w:szCs w:val="21"/>
        </w:rPr>
      </w:pPr>
      <w:r>
        <w:rPr>
          <w:rFonts w:hint="eastAsia" w:hAnsi="宋体"/>
          <w:color w:val="000000"/>
          <w:sz w:val="21"/>
          <w:szCs w:val="21"/>
        </w:rPr>
        <w:t>以太网接口：</w:t>
      </w:r>
      <w:r>
        <w:rPr>
          <w:rFonts w:hint="eastAsia" w:hAnsi="宋体"/>
          <w:color w:val="000000"/>
          <w:sz w:val="21"/>
          <w:szCs w:val="21"/>
        </w:rPr>
        <w:tab/>
      </w:r>
      <w:r>
        <w:rPr>
          <w:rFonts w:hint="eastAsia" w:hAnsi="宋体"/>
          <w:color w:val="000000"/>
          <w:sz w:val="21"/>
          <w:szCs w:val="21"/>
        </w:rPr>
        <w:t>≥5个；</w:t>
      </w:r>
    </w:p>
    <w:p>
      <w:pPr>
        <w:pStyle w:val="120"/>
        <w:numPr>
          <w:ilvl w:val="0"/>
          <w:numId w:val="82"/>
        </w:numPr>
        <w:spacing w:before="0" w:after="0" w:line="360" w:lineRule="auto"/>
        <w:ind w:left="1470" w:hanging="420"/>
        <w:rPr>
          <w:rFonts w:hAnsi="宋体"/>
          <w:color w:val="000000"/>
          <w:sz w:val="21"/>
          <w:szCs w:val="21"/>
        </w:rPr>
      </w:pPr>
      <w:r>
        <w:rPr>
          <w:rFonts w:hint="eastAsia" w:hAnsi="宋体"/>
          <w:color w:val="000000"/>
          <w:sz w:val="21"/>
          <w:szCs w:val="21"/>
        </w:rPr>
        <w:t>操作系统：</w:t>
      </w:r>
      <w:r>
        <w:rPr>
          <w:rFonts w:hint="eastAsia" w:hAnsi="宋体"/>
          <w:color w:val="000000"/>
          <w:sz w:val="21"/>
          <w:szCs w:val="21"/>
        </w:rPr>
        <w:tab/>
      </w:r>
      <w:r>
        <w:rPr>
          <w:rFonts w:hint="eastAsia" w:hAnsi="宋体"/>
          <w:color w:val="000000"/>
          <w:sz w:val="21"/>
          <w:szCs w:val="21"/>
        </w:rPr>
        <w:t>非windows操作系统；</w:t>
      </w:r>
    </w:p>
    <w:p>
      <w:pPr>
        <w:pStyle w:val="120"/>
        <w:numPr>
          <w:ilvl w:val="0"/>
          <w:numId w:val="82"/>
        </w:numPr>
        <w:spacing w:before="0" w:after="0" w:line="360" w:lineRule="auto"/>
        <w:ind w:left="1470" w:hanging="420"/>
        <w:rPr>
          <w:rFonts w:hAnsi="宋体"/>
          <w:color w:val="000000"/>
          <w:sz w:val="21"/>
          <w:szCs w:val="21"/>
        </w:rPr>
      </w:pPr>
      <w:r>
        <w:rPr>
          <w:rFonts w:hint="eastAsia" w:hAnsi="宋体"/>
          <w:color w:val="000000"/>
          <w:sz w:val="21"/>
          <w:szCs w:val="21"/>
        </w:rPr>
        <w:t>汉化功能：符合中国国标GB2312－80，支持双字节的汉字处理能力。命令和实用程序及Motif图形界面都应有相应的汉字功能；</w:t>
      </w:r>
    </w:p>
    <w:p>
      <w:pPr>
        <w:pStyle w:val="120"/>
        <w:numPr>
          <w:ilvl w:val="0"/>
          <w:numId w:val="82"/>
        </w:numPr>
        <w:spacing w:before="0" w:after="0" w:line="360" w:lineRule="auto"/>
        <w:ind w:left="1470" w:hanging="420"/>
        <w:rPr>
          <w:rFonts w:hAnsi="宋体"/>
          <w:color w:val="000000"/>
          <w:sz w:val="21"/>
          <w:szCs w:val="21"/>
        </w:rPr>
      </w:pPr>
      <w:r>
        <w:rPr>
          <w:rFonts w:hint="eastAsia" w:hAnsi="宋体"/>
          <w:color w:val="000000"/>
          <w:sz w:val="21"/>
          <w:szCs w:val="21"/>
        </w:rPr>
        <w:t>电源：硬件应支持掉电保护和电源恢复后的自动重新启动功能。</w:t>
      </w:r>
    </w:p>
    <w:p>
      <w:pPr>
        <w:pStyle w:val="8"/>
        <w:numPr>
          <w:ilvl w:val="3"/>
          <w:numId w:val="80"/>
        </w:numPr>
        <w:tabs>
          <w:tab w:val="clear" w:pos="1531"/>
        </w:tabs>
        <w:overflowPunct w:val="0"/>
        <w:spacing w:before="72" w:after="72" w:line="360" w:lineRule="auto"/>
        <w:ind w:left="964"/>
      </w:pPr>
      <w:r>
        <w:rPr>
          <w:rFonts w:hint="eastAsia"/>
        </w:rPr>
        <w:t>防火墙</w:t>
      </w:r>
    </w:p>
    <w:p>
      <w:pPr>
        <w:spacing w:line="360" w:lineRule="auto"/>
        <w:ind w:left="840" w:leftChars="400"/>
        <w:rPr>
          <w:rFonts w:ascii="宋体" w:hAnsi="宋体"/>
          <w:szCs w:val="21"/>
        </w:rPr>
      </w:pPr>
      <w:r>
        <w:rPr>
          <w:rFonts w:hint="eastAsia" w:ascii="宋体" w:hAnsi="宋体"/>
          <w:szCs w:val="21"/>
        </w:rPr>
        <w:t>配置</w:t>
      </w:r>
      <w:r>
        <w:rPr>
          <w:rFonts w:ascii="宋体" w:hAnsi="宋体"/>
          <w:szCs w:val="21"/>
        </w:rPr>
        <w:t>2</w:t>
      </w:r>
      <w:r>
        <w:rPr>
          <w:rFonts w:hint="eastAsia" w:ascii="宋体" w:hAnsi="宋体"/>
          <w:szCs w:val="21"/>
        </w:rPr>
        <w:t>套硬件防火墙，支持</w:t>
      </w:r>
      <w:r>
        <w:rPr>
          <w:rFonts w:ascii="宋体" w:hAnsi="宋体"/>
          <w:szCs w:val="21"/>
        </w:rPr>
        <w:t>1000Mbps</w:t>
      </w:r>
      <w:r>
        <w:rPr>
          <w:rFonts w:hint="eastAsia" w:ascii="宋体" w:hAnsi="宋体"/>
          <w:szCs w:val="21"/>
        </w:rPr>
        <w:t>，四进四出。防火墙必须使用经过有关部门认可的国产产品，其功能、性能、电磁兼容性必须经过相关测试。</w:t>
      </w:r>
    </w:p>
    <w:p>
      <w:pPr>
        <w:pStyle w:val="8"/>
        <w:numPr>
          <w:ilvl w:val="3"/>
          <w:numId w:val="80"/>
        </w:numPr>
        <w:tabs>
          <w:tab w:val="clear" w:pos="1531"/>
        </w:tabs>
        <w:overflowPunct w:val="0"/>
        <w:spacing w:before="72" w:after="72" w:line="360" w:lineRule="auto"/>
        <w:ind w:left="964"/>
      </w:pPr>
      <w:r>
        <w:rPr>
          <w:rFonts w:hint="eastAsia"/>
        </w:rPr>
        <w:t>网络打印机</w:t>
      </w:r>
    </w:p>
    <w:p>
      <w:pPr>
        <w:spacing w:line="360" w:lineRule="auto"/>
        <w:ind w:left="840" w:leftChars="400"/>
        <w:rPr>
          <w:rFonts w:ascii="宋体" w:hAnsi="宋体"/>
          <w:szCs w:val="21"/>
        </w:rPr>
      </w:pPr>
      <w:r>
        <w:rPr>
          <w:rFonts w:hint="eastAsia" w:ascii="宋体" w:hAnsi="宋体"/>
          <w:szCs w:val="21"/>
        </w:rPr>
        <w:t>配置</w:t>
      </w:r>
      <w:r>
        <w:rPr>
          <w:rFonts w:ascii="宋体" w:hAnsi="宋体"/>
          <w:szCs w:val="21"/>
        </w:rPr>
        <w:t>1</w:t>
      </w:r>
      <w:r>
        <w:rPr>
          <w:rFonts w:hint="eastAsia" w:ascii="宋体" w:hAnsi="宋体"/>
          <w:szCs w:val="21"/>
        </w:rPr>
        <w:t>台</w:t>
      </w:r>
      <w:r>
        <w:rPr>
          <w:rFonts w:ascii="宋体" w:hAnsi="宋体"/>
          <w:szCs w:val="21"/>
        </w:rPr>
        <w:t>A3</w:t>
      </w:r>
      <w:r>
        <w:rPr>
          <w:rFonts w:hint="eastAsia" w:ascii="宋体" w:hAnsi="宋体"/>
          <w:szCs w:val="21"/>
        </w:rPr>
        <w:t>彩色激光网络打印机。</w:t>
      </w:r>
    </w:p>
    <w:p>
      <w:pPr>
        <w:pStyle w:val="8"/>
        <w:numPr>
          <w:ilvl w:val="3"/>
          <w:numId w:val="80"/>
        </w:numPr>
        <w:tabs>
          <w:tab w:val="clear" w:pos="1531"/>
        </w:tabs>
        <w:overflowPunct w:val="0"/>
        <w:spacing w:before="72" w:after="72" w:line="360" w:lineRule="auto"/>
        <w:ind w:left="964"/>
      </w:pPr>
      <w:r>
        <w:rPr>
          <w:rFonts w:hint="eastAsia"/>
        </w:rPr>
        <w:t>主交换机</w:t>
      </w:r>
    </w:p>
    <w:p>
      <w:pPr>
        <w:pStyle w:val="120"/>
        <w:numPr>
          <w:ilvl w:val="0"/>
          <w:numId w:val="83"/>
        </w:numPr>
        <w:spacing w:before="0" w:after="0" w:line="360" w:lineRule="auto"/>
        <w:ind w:left="1470" w:hanging="420"/>
        <w:rPr>
          <w:rFonts w:hAnsi="宋体"/>
          <w:color w:val="000000"/>
          <w:sz w:val="21"/>
          <w:szCs w:val="21"/>
        </w:rPr>
      </w:pPr>
      <w:r>
        <w:rPr>
          <w:rFonts w:hint="eastAsia" w:hAnsi="宋体"/>
          <w:color w:val="000000"/>
          <w:sz w:val="21"/>
          <w:szCs w:val="21"/>
        </w:rPr>
        <w:t>应采用工业级网管型以太网交换机，采用24VDC电源（该电源模块由卖方提供）输入，允许运行温度范围为0～60℃，运行湿度10％～95％（无凝露），电磁兼容性指标应满足工业要求，交换机应是模块化交换机，交换机应采用自主可控安全产品，并在国内单机容量43MW以上水电站有成熟运行经验的国际知名品牌的产品。</w:t>
      </w:r>
    </w:p>
    <w:p>
      <w:pPr>
        <w:pStyle w:val="120"/>
        <w:numPr>
          <w:ilvl w:val="0"/>
          <w:numId w:val="83"/>
        </w:numPr>
        <w:spacing w:before="0" w:after="0" w:line="360" w:lineRule="auto"/>
        <w:ind w:left="1470" w:hanging="420"/>
        <w:rPr>
          <w:rFonts w:hAnsi="宋体"/>
          <w:color w:val="000000"/>
          <w:sz w:val="21"/>
          <w:szCs w:val="21"/>
        </w:rPr>
      </w:pPr>
      <w:r>
        <w:rPr>
          <w:rFonts w:hint="eastAsia" w:hAnsi="宋体"/>
          <w:color w:val="000000"/>
          <w:sz w:val="21"/>
          <w:szCs w:val="21"/>
        </w:rPr>
        <w:t>主交换机上应配有至少10个单模光口和10个RJ45电口。</w:t>
      </w:r>
    </w:p>
    <w:p>
      <w:pPr>
        <w:pStyle w:val="120"/>
        <w:numPr>
          <w:ilvl w:val="0"/>
          <w:numId w:val="83"/>
        </w:numPr>
        <w:spacing w:before="0" w:after="0" w:line="360" w:lineRule="auto"/>
        <w:ind w:left="1470" w:hanging="420"/>
        <w:rPr>
          <w:rFonts w:hAnsi="宋体"/>
          <w:color w:val="000000"/>
          <w:sz w:val="21"/>
          <w:szCs w:val="21"/>
        </w:rPr>
      </w:pPr>
      <w:r>
        <w:rPr>
          <w:rFonts w:hint="eastAsia" w:hAnsi="宋体"/>
          <w:color w:val="000000"/>
          <w:sz w:val="21"/>
          <w:szCs w:val="21"/>
        </w:rPr>
        <w:t>交换机应支持基于端口的VLAN（虚拟局域网）划分，IGMP Snooping（主播侦听），IEEE802.3x（流量控制）、广播限制器、DHCP Relay with Option82（动态主机配置协议），以及端口掉线后交换机的MAC地址表的快速更新功能。</w:t>
      </w:r>
    </w:p>
    <w:p>
      <w:pPr>
        <w:pStyle w:val="120"/>
        <w:numPr>
          <w:ilvl w:val="0"/>
          <w:numId w:val="83"/>
        </w:numPr>
        <w:spacing w:before="0" w:after="0" w:line="360" w:lineRule="auto"/>
        <w:ind w:left="1470" w:hanging="420"/>
        <w:rPr>
          <w:rFonts w:hAnsi="宋体"/>
          <w:color w:val="000000"/>
          <w:sz w:val="21"/>
          <w:szCs w:val="21"/>
        </w:rPr>
      </w:pPr>
      <w:r>
        <w:rPr>
          <w:rFonts w:hint="eastAsia" w:hAnsi="宋体"/>
          <w:color w:val="000000"/>
          <w:sz w:val="21"/>
          <w:szCs w:val="21"/>
        </w:rPr>
        <w:t>交换机设备需具有工业级安全认证 cUL508，支持SNMP V3，可以暂时关闭不用端口，支持端口与所连接设备的MAC地址绑定等网络安全功能。</w:t>
      </w:r>
    </w:p>
    <w:p>
      <w:pPr>
        <w:pStyle w:val="120"/>
        <w:numPr>
          <w:ilvl w:val="0"/>
          <w:numId w:val="83"/>
        </w:numPr>
        <w:spacing w:before="0" w:after="0" w:line="360" w:lineRule="auto"/>
        <w:ind w:left="1470" w:hanging="420"/>
        <w:rPr>
          <w:rFonts w:hAnsi="宋体"/>
          <w:color w:val="000000"/>
          <w:sz w:val="21"/>
          <w:szCs w:val="21"/>
        </w:rPr>
      </w:pPr>
      <w:r>
        <w:rPr>
          <w:rFonts w:hint="eastAsia" w:hAnsi="宋体"/>
          <w:color w:val="000000"/>
          <w:sz w:val="21"/>
          <w:szCs w:val="21"/>
        </w:rPr>
        <w:t>交换机支持SNMP V3网络管理功能，提供网络交换机自动搜索管理软件，便于系统管理权限的划分，能在未设定IP地址或IP地址重复的情况下也能自动发现连接在网络上的工业以太网交换机。</w:t>
      </w:r>
    </w:p>
    <w:p>
      <w:pPr>
        <w:pStyle w:val="120"/>
        <w:numPr>
          <w:ilvl w:val="0"/>
          <w:numId w:val="83"/>
        </w:numPr>
        <w:spacing w:before="0" w:after="0" w:line="360" w:lineRule="auto"/>
        <w:ind w:left="1470" w:hanging="420"/>
        <w:rPr>
          <w:rFonts w:hAnsi="宋体"/>
          <w:color w:val="000000"/>
          <w:sz w:val="21"/>
          <w:szCs w:val="21"/>
        </w:rPr>
      </w:pPr>
      <w:r>
        <w:rPr>
          <w:rFonts w:hint="eastAsia" w:hAnsi="宋体"/>
          <w:color w:val="000000"/>
          <w:sz w:val="21"/>
          <w:szCs w:val="21"/>
        </w:rPr>
        <w:t>为了实现网络设备的时间同步，交换机应支持RFC1769 SNTP简单网络时间协议。</w:t>
      </w:r>
    </w:p>
    <w:p>
      <w:pPr>
        <w:pStyle w:val="120"/>
        <w:numPr>
          <w:ilvl w:val="0"/>
          <w:numId w:val="83"/>
        </w:numPr>
        <w:spacing w:before="0" w:after="0" w:line="360" w:lineRule="auto"/>
        <w:ind w:left="1470" w:hanging="420"/>
        <w:rPr>
          <w:rFonts w:hAnsi="宋体"/>
          <w:color w:val="000000"/>
          <w:sz w:val="21"/>
          <w:szCs w:val="21"/>
        </w:rPr>
      </w:pPr>
      <w:r>
        <w:rPr>
          <w:rFonts w:hint="eastAsia" w:hAnsi="宋体"/>
          <w:color w:val="000000"/>
          <w:sz w:val="21"/>
          <w:szCs w:val="21"/>
        </w:rPr>
        <w:t>数据通讯网络应是全双工、交换式、无冲突的，数据通讯带宽应不小于10Mbps。任何时候，最大通讯负载量不得超过总带宽的40%。</w:t>
      </w:r>
    </w:p>
    <w:p>
      <w:pPr>
        <w:pStyle w:val="8"/>
        <w:numPr>
          <w:ilvl w:val="3"/>
          <w:numId w:val="80"/>
        </w:numPr>
        <w:tabs>
          <w:tab w:val="clear" w:pos="1531"/>
        </w:tabs>
        <w:overflowPunct w:val="0"/>
        <w:spacing w:before="72" w:after="72" w:line="360" w:lineRule="auto"/>
        <w:ind w:left="964"/>
      </w:pPr>
      <w:r>
        <w:rPr>
          <w:rFonts w:hint="eastAsia"/>
        </w:rPr>
        <w:t>子交换机</w:t>
      </w:r>
    </w:p>
    <w:p>
      <w:pPr>
        <w:pStyle w:val="120"/>
        <w:numPr>
          <w:ilvl w:val="0"/>
          <w:numId w:val="84"/>
        </w:numPr>
        <w:spacing w:before="0" w:after="0" w:line="360" w:lineRule="auto"/>
        <w:ind w:left="1470" w:hanging="420"/>
        <w:rPr>
          <w:rFonts w:hAnsi="宋体"/>
          <w:color w:val="000000"/>
          <w:sz w:val="21"/>
          <w:szCs w:val="21"/>
        </w:rPr>
      </w:pPr>
      <w:r>
        <w:rPr>
          <w:rFonts w:hint="eastAsia" w:hAnsi="宋体"/>
          <w:color w:val="000000"/>
          <w:sz w:val="21"/>
          <w:szCs w:val="21"/>
        </w:rPr>
        <w:t>子交换机与主交换机应选用相同品牌的产品，采用工业级网管型以太网交换机，采用24VDC电源（该电源模块由卖方提供）输入，允许运行温度范围为0～60℃，运行湿度10％～95％（无凝露），电磁兼容性指标应满足工业要求，子交换机其它性能要求同主交换机。</w:t>
      </w:r>
    </w:p>
    <w:p>
      <w:pPr>
        <w:pStyle w:val="120"/>
        <w:numPr>
          <w:ilvl w:val="0"/>
          <w:numId w:val="84"/>
        </w:numPr>
        <w:spacing w:before="0" w:after="0" w:line="360" w:lineRule="auto"/>
        <w:ind w:left="1470" w:hanging="420"/>
        <w:rPr>
          <w:rFonts w:hAnsi="宋体"/>
          <w:color w:val="000000"/>
          <w:sz w:val="21"/>
          <w:szCs w:val="21"/>
        </w:rPr>
      </w:pPr>
      <w:r>
        <w:rPr>
          <w:rFonts w:hint="eastAsia" w:hAnsi="宋体"/>
          <w:color w:val="000000"/>
          <w:sz w:val="21"/>
          <w:szCs w:val="21"/>
        </w:rPr>
        <w:t>GIS室110kV继保系统子交换机（布置在故障解列柜中）：含</w:t>
      </w:r>
      <w:r>
        <w:rPr>
          <w:rFonts w:hAnsi="宋体"/>
          <w:color w:val="000000"/>
          <w:sz w:val="21"/>
          <w:szCs w:val="21"/>
        </w:rPr>
        <w:t>1</w:t>
      </w:r>
      <w:r>
        <w:rPr>
          <w:rFonts w:hint="eastAsia" w:hAnsi="宋体"/>
          <w:color w:val="000000"/>
          <w:sz w:val="21"/>
          <w:szCs w:val="21"/>
        </w:rPr>
        <w:t>台子交换机，每台配置有14个RJ45口，2个光口。用于连接GIS室所有110kV系统保护装置，屏内还应安放电源模块等设备。</w:t>
      </w:r>
    </w:p>
    <w:p>
      <w:pPr>
        <w:pStyle w:val="120"/>
        <w:spacing w:before="0" w:after="0" w:line="360" w:lineRule="auto"/>
        <w:ind w:left="1472" w:hanging="422"/>
        <w:rPr>
          <w:rFonts w:hAnsi="宋体"/>
          <w:b/>
          <w:color w:val="000000"/>
          <w:sz w:val="21"/>
          <w:szCs w:val="21"/>
        </w:rPr>
      </w:pPr>
      <w:r>
        <w:rPr>
          <w:rFonts w:hint="eastAsia" w:hAnsi="宋体"/>
          <w:b/>
          <w:color w:val="000000"/>
          <w:sz w:val="21"/>
          <w:szCs w:val="21"/>
        </w:rPr>
        <w:t>卖方也可根据提供的设备特性提出其他的组网方案供买方抉择。</w:t>
      </w:r>
    </w:p>
    <w:p>
      <w:pPr>
        <w:pStyle w:val="8"/>
        <w:numPr>
          <w:ilvl w:val="3"/>
          <w:numId w:val="80"/>
        </w:numPr>
        <w:tabs>
          <w:tab w:val="clear" w:pos="1531"/>
        </w:tabs>
        <w:overflowPunct w:val="0"/>
        <w:spacing w:before="72" w:after="72" w:line="360" w:lineRule="auto"/>
        <w:ind w:left="964"/>
      </w:pPr>
      <w:r>
        <w:rPr>
          <w:rFonts w:hint="eastAsia"/>
        </w:rPr>
        <w:t>主交换机和子交换机间连接的光缆应采用多模光缆，卖方还应负责光缆的接续。</w:t>
      </w:r>
    </w:p>
    <w:p>
      <w:pPr>
        <w:pStyle w:val="7"/>
        <w:widowControl w:val="0"/>
        <w:numPr>
          <w:ilvl w:val="2"/>
          <w:numId w:val="15"/>
        </w:numPr>
        <w:overflowPunct w:val="0"/>
        <w:snapToGrid/>
        <w:spacing w:before="78" w:beforeLines="25" w:after="100" w:afterAutospacing="1" w:line="300" w:lineRule="auto"/>
        <w:jc w:val="both"/>
        <w:rPr>
          <w:rFonts w:ascii="宋体" w:hAnsi="宋体"/>
          <w:b/>
          <w:bCs/>
          <w:color w:val="000000"/>
          <w:sz w:val="21"/>
          <w:szCs w:val="21"/>
        </w:rPr>
      </w:pPr>
      <w:bookmarkStart w:id="752" w:name="_Toc12379054"/>
      <w:bookmarkEnd w:id="752"/>
      <w:r>
        <w:rPr>
          <w:rFonts w:hint="eastAsia" w:ascii="宋体" w:hAnsi="宋体"/>
          <w:b/>
          <w:bCs/>
          <w:color w:val="000000"/>
          <w:sz w:val="21"/>
          <w:szCs w:val="21"/>
        </w:rPr>
        <w:t>系统的功能要求</w:t>
      </w:r>
    </w:p>
    <w:p>
      <w:pPr>
        <w:pStyle w:val="8"/>
        <w:numPr>
          <w:ilvl w:val="3"/>
          <w:numId w:val="85"/>
        </w:numPr>
        <w:tabs>
          <w:tab w:val="clear" w:pos="1531"/>
        </w:tabs>
        <w:overflowPunct w:val="0"/>
        <w:spacing w:before="72" w:after="72" w:line="360" w:lineRule="auto"/>
        <w:ind w:left="964"/>
      </w:pPr>
      <w:r>
        <w:rPr>
          <w:rFonts w:hint="eastAsia"/>
        </w:rPr>
        <w:t>保护信息记录及上传功能</w:t>
      </w:r>
    </w:p>
    <w:p>
      <w:pPr>
        <w:pStyle w:val="120"/>
        <w:numPr>
          <w:ilvl w:val="0"/>
          <w:numId w:val="86"/>
        </w:numPr>
        <w:spacing w:before="0" w:after="0" w:line="360" w:lineRule="auto"/>
        <w:ind w:left="1470" w:hanging="420"/>
        <w:rPr>
          <w:rFonts w:hAnsi="宋体"/>
          <w:sz w:val="21"/>
          <w:szCs w:val="21"/>
        </w:rPr>
      </w:pPr>
      <w:r>
        <w:rPr>
          <w:rFonts w:hint="eastAsia" w:hAnsi="宋体"/>
          <w:sz w:val="21"/>
          <w:szCs w:val="21"/>
        </w:rPr>
        <w:t>电网或发变组故障时，记录各保护装置的动作行为，按预先确定的原则向各主站上传有关信息。</w:t>
      </w:r>
    </w:p>
    <w:p>
      <w:pPr>
        <w:pStyle w:val="120"/>
        <w:numPr>
          <w:ilvl w:val="0"/>
          <w:numId w:val="86"/>
        </w:numPr>
        <w:spacing w:before="0" w:after="0" w:line="360" w:lineRule="auto"/>
        <w:ind w:left="1470" w:hanging="420"/>
        <w:rPr>
          <w:rFonts w:hAnsi="宋体"/>
          <w:sz w:val="21"/>
          <w:szCs w:val="21"/>
        </w:rPr>
      </w:pPr>
      <w:r>
        <w:rPr>
          <w:rFonts w:hint="eastAsia" w:hAnsi="宋体"/>
          <w:sz w:val="21"/>
          <w:szCs w:val="21"/>
        </w:rPr>
        <w:t>系统设备应可自检及巡检接入的微机装置，自动收集装置故障报告，显示故障信号及打印，并根据要求上传主站并保存。</w:t>
      </w:r>
    </w:p>
    <w:p>
      <w:pPr>
        <w:pStyle w:val="8"/>
        <w:numPr>
          <w:ilvl w:val="3"/>
          <w:numId w:val="85"/>
        </w:numPr>
        <w:tabs>
          <w:tab w:val="clear" w:pos="1531"/>
        </w:tabs>
        <w:overflowPunct w:val="0"/>
        <w:spacing w:before="72" w:after="72" w:line="360" w:lineRule="auto"/>
        <w:ind w:left="964"/>
      </w:pPr>
      <w:r>
        <w:rPr>
          <w:rFonts w:hint="eastAsia"/>
        </w:rPr>
        <w:t>数据查询和检索功能</w:t>
      </w:r>
    </w:p>
    <w:p>
      <w:pPr>
        <w:spacing w:line="360" w:lineRule="auto"/>
        <w:ind w:left="840" w:leftChars="400"/>
        <w:rPr>
          <w:rFonts w:ascii="宋体" w:hAnsi="宋体"/>
          <w:szCs w:val="21"/>
        </w:rPr>
      </w:pPr>
      <w:r>
        <w:rPr>
          <w:rFonts w:hint="eastAsia" w:ascii="宋体" w:hAnsi="宋体"/>
          <w:szCs w:val="21"/>
        </w:rPr>
        <w:t>各主站可以随时查询系统管理的微机装置定值、开关量位置情况、历史动作报告和录波数据以及自检报告等。</w:t>
      </w:r>
    </w:p>
    <w:p>
      <w:pPr>
        <w:pStyle w:val="8"/>
        <w:numPr>
          <w:ilvl w:val="3"/>
          <w:numId w:val="85"/>
        </w:numPr>
        <w:tabs>
          <w:tab w:val="clear" w:pos="1531"/>
        </w:tabs>
        <w:overflowPunct w:val="0"/>
        <w:spacing w:before="72" w:after="72" w:line="360" w:lineRule="auto"/>
        <w:ind w:left="964"/>
      </w:pPr>
      <w:r>
        <w:rPr>
          <w:rFonts w:hint="eastAsia"/>
        </w:rPr>
        <w:t>故障信息分析功能</w:t>
      </w:r>
    </w:p>
    <w:p>
      <w:pPr>
        <w:spacing w:line="360" w:lineRule="auto"/>
        <w:ind w:left="840" w:leftChars="400"/>
        <w:rPr>
          <w:rFonts w:ascii="宋体" w:hAnsi="宋体"/>
          <w:szCs w:val="21"/>
        </w:rPr>
      </w:pPr>
      <w:r>
        <w:rPr>
          <w:rFonts w:hint="eastAsia" w:ascii="宋体" w:hAnsi="宋体"/>
          <w:szCs w:val="21"/>
        </w:rPr>
        <w:t>根据所记录的电网故障信息，可进行谐波分析，序分量分析，继电器动作特性及轨迹分析等。</w:t>
      </w:r>
    </w:p>
    <w:p>
      <w:pPr>
        <w:pStyle w:val="8"/>
        <w:numPr>
          <w:ilvl w:val="3"/>
          <w:numId w:val="85"/>
        </w:numPr>
        <w:tabs>
          <w:tab w:val="clear" w:pos="1531"/>
        </w:tabs>
        <w:overflowPunct w:val="0"/>
        <w:spacing w:before="72" w:after="72" w:line="360" w:lineRule="auto"/>
        <w:ind w:left="964"/>
      </w:pPr>
      <w:r>
        <w:rPr>
          <w:rFonts w:hint="eastAsia"/>
        </w:rPr>
        <w:t>远程通信</w:t>
      </w:r>
    </w:p>
    <w:p>
      <w:pPr>
        <w:spacing w:line="360" w:lineRule="auto"/>
        <w:ind w:left="840" w:leftChars="400"/>
        <w:rPr>
          <w:rFonts w:ascii="宋体" w:hAnsi="宋体"/>
          <w:szCs w:val="21"/>
        </w:rPr>
      </w:pPr>
      <w:r>
        <w:rPr>
          <w:rFonts w:hint="eastAsia" w:ascii="宋体" w:hAnsi="宋体"/>
          <w:szCs w:val="21"/>
        </w:rPr>
        <w:t>可进行系统和各主站的数据传输，应可通过数据网和光纤同步网完成数据传输。</w:t>
      </w:r>
    </w:p>
    <w:p>
      <w:pPr>
        <w:pStyle w:val="8"/>
        <w:numPr>
          <w:ilvl w:val="3"/>
          <w:numId w:val="85"/>
        </w:numPr>
        <w:tabs>
          <w:tab w:val="clear" w:pos="1531"/>
        </w:tabs>
        <w:overflowPunct w:val="0"/>
        <w:spacing w:before="72" w:after="72" w:line="360" w:lineRule="auto"/>
        <w:ind w:left="964"/>
      </w:pPr>
      <w:r>
        <w:rPr>
          <w:rFonts w:hint="eastAsia"/>
        </w:rPr>
        <w:t>对时功能</w:t>
      </w:r>
    </w:p>
    <w:p>
      <w:pPr>
        <w:spacing w:line="360" w:lineRule="auto"/>
        <w:ind w:left="840" w:leftChars="400"/>
        <w:rPr>
          <w:rFonts w:ascii="宋体" w:hAnsi="宋体"/>
          <w:szCs w:val="21"/>
        </w:rPr>
      </w:pPr>
      <w:r>
        <w:rPr>
          <w:rFonts w:hint="eastAsia" w:ascii="宋体" w:hAnsi="宋体"/>
          <w:szCs w:val="21"/>
        </w:rPr>
        <w:t>系统应能接受电站时钟同步信号，并可根据需要对本系统和所接保护装置等智能设备完成软件对时。</w:t>
      </w:r>
    </w:p>
    <w:p>
      <w:pPr>
        <w:pStyle w:val="8"/>
        <w:numPr>
          <w:ilvl w:val="3"/>
          <w:numId w:val="85"/>
        </w:numPr>
        <w:tabs>
          <w:tab w:val="clear" w:pos="1531"/>
        </w:tabs>
        <w:overflowPunct w:val="0"/>
        <w:spacing w:before="72" w:after="72" w:line="360" w:lineRule="auto"/>
        <w:ind w:left="964"/>
      </w:pPr>
      <w:r>
        <w:rPr>
          <w:rFonts w:hint="eastAsia"/>
        </w:rPr>
        <w:t>安全性能</w:t>
      </w:r>
    </w:p>
    <w:p>
      <w:pPr>
        <w:spacing w:line="360" w:lineRule="auto"/>
        <w:ind w:left="840" w:leftChars="400"/>
        <w:rPr>
          <w:rFonts w:ascii="宋体" w:hAnsi="宋体"/>
          <w:szCs w:val="21"/>
        </w:rPr>
      </w:pPr>
      <w:r>
        <w:rPr>
          <w:rFonts w:hint="eastAsia" w:ascii="宋体" w:hAnsi="宋体"/>
          <w:szCs w:val="21"/>
        </w:rPr>
        <w:t>为保证系统的安全，系统可根据需要设置运行访问的工作站和权限及用户名称、密码。</w:t>
      </w:r>
    </w:p>
    <w:p>
      <w:pPr>
        <w:pStyle w:val="8"/>
        <w:numPr>
          <w:ilvl w:val="3"/>
          <w:numId w:val="85"/>
        </w:numPr>
        <w:tabs>
          <w:tab w:val="clear" w:pos="1531"/>
        </w:tabs>
        <w:overflowPunct w:val="0"/>
        <w:spacing w:before="72" w:after="72" w:line="360" w:lineRule="auto"/>
        <w:ind w:left="964"/>
      </w:pPr>
      <w:r>
        <w:rPr>
          <w:rFonts w:hint="eastAsia"/>
        </w:rPr>
        <w:t>系统设置</w:t>
      </w:r>
    </w:p>
    <w:p>
      <w:pPr>
        <w:spacing w:line="360" w:lineRule="auto"/>
        <w:ind w:left="840" w:leftChars="400"/>
        <w:rPr>
          <w:rFonts w:ascii="宋体" w:hAnsi="宋体"/>
          <w:szCs w:val="21"/>
        </w:rPr>
      </w:pPr>
      <w:r>
        <w:rPr>
          <w:rFonts w:hint="eastAsia" w:ascii="宋体" w:hAnsi="宋体"/>
          <w:szCs w:val="21"/>
        </w:rPr>
        <w:t>设置巡检设备、对时、自动进行时间报告上传的时间间隔，</w:t>
      </w:r>
      <w:r>
        <w:rPr>
          <w:rFonts w:ascii="宋体" w:hAnsi="宋体"/>
          <w:szCs w:val="21"/>
        </w:rPr>
        <w:t>MODEM</w:t>
      </w:r>
      <w:r>
        <w:rPr>
          <w:rFonts w:hint="eastAsia" w:ascii="宋体" w:hAnsi="宋体"/>
          <w:szCs w:val="21"/>
        </w:rPr>
        <w:t>的参数设置，添加和删除用户等。</w:t>
      </w:r>
    </w:p>
    <w:p>
      <w:pPr>
        <w:pStyle w:val="8"/>
        <w:numPr>
          <w:ilvl w:val="3"/>
          <w:numId w:val="85"/>
        </w:numPr>
        <w:tabs>
          <w:tab w:val="clear" w:pos="1531"/>
        </w:tabs>
        <w:overflowPunct w:val="0"/>
        <w:spacing w:before="72" w:after="72" w:line="360" w:lineRule="auto"/>
        <w:ind w:left="964"/>
      </w:pPr>
      <w:r>
        <w:rPr>
          <w:rFonts w:hint="eastAsia"/>
        </w:rPr>
        <w:t>图形显示功能</w:t>
      </w:r>
    </w:p>
    <w:p>
      <w:pPr>
        <w:spacing w:line="360" w:lineRule="auto"/>
        <w:ind w:left="840" w:leftChars="400"/>
        <w:rPr>
          <w:rFonts w:ascii="宋体" w:hAnsi="宋体"/>
          <w:szCs w:val="21"/>
        </w:rPr>
      </w:pPr>
      <w:r>
        <w:rPr>
          <w:rFonts w:hint="eastAsia" w:ascii="宋体" w:hAnsi="宋体"/>
          <w:szCs w:val="21"/>
        </w:rPr>
        <w:t>系统应能显示本厂站的主接线图及开关状态，相关的软件应具有良好的界面及方便的图元编辑功能。在主接线图上可以定义相关的保护单元及开关量信息，并可传送至主站，做的设备原始参数的唯一性。</w:t>
      </w:r>
    </w:p>
    <w:p>
      <w:pPr>
        <w:pStyle w:val="8"/>
        <w:numPr>
          <w:ilvl w:val="3"/>
          <w:numId w:val="85"/>
        </w:numPr>
        <w:tabs>
          <w:tab w:val="clear" w:pos="1531"/>
        </w:tabs>
        <w:overflowPunct w:val="0"/>
        <w:spacing w:before="72" w:after="72" w:line="360" w:lineRule="auto"/>
        <w:ind w:left="964"/>
      </w:pPr>
      <w:r>
        <w:rPr>
          <w:rFonts w:hint="eastAsia"/>
        </w:rPr>
        <w:t>告警功能</w:t>
      </w:r>
    </w:p>
    <w:p>
      <w:pPr>
        <w:spacing w:line="360" w:lineRule="auto"/>
        <w:ind w:left="840" w:leftChars="400"/>
        <w:rPr>
          <w:rFonts w:ascii="宋体" w:hAnsi="宋体"/>
          <w:color w:val="000000"/>
          <w:szCs w:val="21"/>
        </w:rPr>
      </w:pPr>
      <w:r>
        <w:rPr>
          <w:rFonts w:hint="eastAsia" w:ascii="宋体" w:hAnsi="宋体"/>
          <w:color w:val="000000"/>
          <w:szCs w:val="21"/>
        </w:rPr>
        <w:t>子站设备装置故障和直流电源消失应有两对以上的接点输出，送至计算机监控系统。系统可对保护装置的动作信息进行智能化处理，包括信息过滤、信息分类和存储。</w:t>
      </w:r>
    </w:p>
    <w:p>
      <w:pPr>
        <w:pStyle w:val="7"/>
        <w:widowControl w:val="0"/>
        <w:numPr>
          <w:ilvl w:val="2"/>
          <w:numId w:val="15"/>
        </w:numPr>
        <w:overflowPunct w:val="0"/>
        <w:snapToGrid/>
        <w:spacing w:before="78" w:beforeLines="25" w:after="100" w:afterAutospacing="1" w:line="300" w:lineRule="auto"/>
        <w:jc w:val="both"/>
        <w:rPr>
          <w:rFonts w:ascii="宋体" w:hAnsi="宋体"/>
          <w:b/>
          <w:bCs/>
          <w:color w:val="000000"/>
          <w:sz w:val="21"/>
          <w:szCs w:val="21"/>
        </w:rPr>
      </w:pPr>
      <w:r>
        <w:rPr>
          <w:rFonts w:hint="eastAsia" w:ascii="宋体" w:hAnsi="宋体"/>
          <w:b/>
          <w:bCs/>
          <w:color w:val="000000"/>
          <w:sz w:val="21"/>
          <w:szCs w:val="21"/>
        </w:rPr>
        <w:t>供货设备</w:t>
      </w:r>
    </w:p>
    <w:tbl>
      <w:tblPr>
        <w:tblStyle w:val="71"/>
        <w:tblW w:w="408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0" w:type="dxa"/>
        </w:tblCellMar>
      </w:tblPr>
      <w:tblGrid>
        <w:gridCol w:w="871"/>
        <w:gridCol w:w="5463"/>
        <w:gridCol w:w="627"/>
        <w:gridCol w:w="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579" w:type="pct"/>
            <w:tcBorders>
              <w:top w:val="single" w:color="auto" w:sz="6" w:space="0"/>
              <w:left w:val="single" w:color="auto" w:sz="6" w:space="0"/>
              <w:bottom w:val="single" w:color="auto" w:sz="6" w:space="0"/>
              <w:right w:val="single" w:color="auto" w:sz="6"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序号</w:t>
            </w:r>
          </w:p>
        </w:tc>
        <w:tc>
          <w:tcPr>
            <w:tcW w:w="3632" w:type="pct"/>
            <w:tcBorders>
              <w:top w:val="single" w:color="auto" w:sz="6" w:space="0"/>
              <w:left w:val="nil"/>
              <w:bottom w:val="single" w:color="auto" w:sz="6" w:space="0"/>
              <w:right w:val="single" w:color="auto" w:sz="6"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名称</w:t>
            </w:r>
          </w:p>
        </w:tc>
        <w:tc>
          <w:tcPr>
            <w:tcW w:w="417" w:type="pct"/>
            <w:tcBorders>
              <w:top w:val="single" w:color="auto" w:sz="6" w:space="0"/>
              <w:left w:val="nil"/>
              <w:bottom w:val="single" w:color="auto" w:sz="6" w:space="0"/>
              <w:right w:val="single" w:color="auto" w:sz="6"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单位</w:t>
            </w:r>
          </w:p>
        </w:tc>
        <w:tc>
          <w:tcPr>
            <w:tcW w:w="372" w:type="pct"/>
            <w:tcBorders>
              <w:top w:val="single" w:color="auto" w:sz="6" w:space="0"/>
              <w:left w:val="nil"/>
              <w:bottom w:val="single" w:color="auto" w:sz="6" w:space="0"/>
              <w:right w:val="single" w:color="auto" w:sz="6"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0" w:type="dxa"/>
          </w:tblCellMar>
        </w:tblPrEx>
        <w:trPr>
          <w:cantSplit/>
          <w:jc w:val="center"/>
        </w:trPr>
        <w:tc>
          <w:tcPr>
            <w:tcW w:w="579" w:type="pct"/>
            <w:tcBorders>
              <w:top w:val="single" w:color="auto" w:sz="6" w:space="0"/>
              <w:left w:val="single" w:color="auto" w:sz="6" w:space="0"/>
              <w:bottom w:val="single" w:color="auto" w:sz="6" w:space="0"/>
              <w:right w:val="single" w:color="auto" w:sz="6" w:space="0"/>
            </w:tcBorders>
            <w:vAlign w:val="center"/>
          </w:tcPr>
          <w:p>
            <w:pPr>
              <w:numPr>
                <w:ilvl w:val="0"/>
                <w:numId w:val="87"/>
              </w:numPr>
              <w:adjustRightInd w:val="0"/>
              <w:spacing w:line="360" w:lineRule="auto"/>
              <w:jc w:val="center"/>
              <w:textAlignment w:val="baseline"/>
              <w:rPr>
                <w:rFonts w:ascii="宋体" w:hAnsi="宋体"/>
                <w:szCs w:val="21"/>
              </w:rPr>
            </w:pPr>
          </w:p>
        </w:tc>
        <w:tc>
          <w:tcPr>
            <w:tcW w:w="3632" w:type="pct"/>
            <w:tcBorders>
              <w:top w:val="single" w:color="auto" w:sz="6" w:space="0"/>
              <w:left w:val="nil"/>
              <w:bottom w:val="single" w:color="auto" w:sz="6" w:space="0"/>
              <w:right w:val="single" w:color="auto" w:sz="6" w:space="0"/>
            </w:tcBorders>
            <w:vAlign w:val="center"/>
          </w:tcPr>
          <w:p>
            <w:pPr>
              <w:adjustRightInd w:val="0"/>
              <w:snapToGrid w:val="0"/>
              <w:spacing w:line="360" w:lineRule="auto"/>
              <w:textAlignment w:val="baseline"/>
              <w:rPr>
                <w:rFonts w:ascii="宋体" w:hAnsi="宋体" w:cs="Arial"/>
                <w:color w:val="000000"/>
                <w:szCs w:val="21"/>
              </w:rPr>
            </w:pPr>
            <w:r>
              <w:rPr>
                <w:rFonts w:hint="eastAsia" w:ascii="宋体" w:hAnsi="宋体" w:cs="Arial"/>
                <w:color w:val="000000"/>
                <w:szCs w:val="21"/>
              </w:rPr>
              <w:t>数据服务器</w:t>
            </w:r>
          </w:p>
        </w:tc>
        <w:tc>
          <w:tcPr>
            <w:tcW w:w="417"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套</w:t>
            </w:r>
          </w:p>
        </w:tc>
        <w:tc>
          <w:tcPr>
            <w:tcW w:w="372"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0" w:type="dxa"/>
          </w:tblCellMar>
        </w:tblPrEx>
        <w:trPr>
          <w:cantSplit/>
          <w:jc w:val="center"/>
        </w:trPr>
        <w:tc>
          <w:tcPr>
            <w:tcW w:w="579" w:type="pct"/>
            <w:tcBorders>
              <w:top w:val="single" w:color="auto" w:sz="6" w:space="0"/>
              <w:left w:val="single" w:color="auto" w:sz="6" w:space="0"/>
              <w:bottom w:val="single" w:color="auto" w:sz="6" w:space="0"/>
              <w:right w:val="single" w:color="auto" w:sz="6" w:space="0"/>
            </w:tcBorders>
            <w:vAlign w:val="center"/>
          </w:tcPr>
          <w:p>
            <w:pPr>
              <w:numPr>
                <w:ilvl w:val="0"/>
                <w:numId w:val="87"/>
              </w:numPr>
              <w:adjustRightInd w:val="0"/>
              <w:spacing w:line="360" w:lineRule="auto"/>
              <w:jc w:val="center"/>
              <w:textAlignment w:val="baseline"/>
              <w:rPr>
                <w:rFonts w:ascii="宋体" w:hAnsi="宋体"/>
                <w:szCs w:val="21"/>
              </w:rPr>
            </w:pPr>
          </w:p>
        </w:tc>
        <w:tc>
          <w:tcPr>
            <w:tcW w:w="3632" w:type="pct"/>
            <w:tcBorders>
              <w:top w:val="single" w:color="auto" w:sz="6" w:space="0"/>
              <w:left w:val="nil"/>
              <w:bottom w:val="single" w:color="auto" w:sz="6" w:space="0"/>
              <w:right w:val="single" w:color="auto" w:sz="6" w:space="0"/>
            </w:tcBorders>
            <w:vAlign w:val="center"/>
          </w:tcPr>
          <w:p>
            <w:pPr>
              <w:adjustRightInd w:val="0"/>
              <w:snapToGrid w:val="0"/>
              <w:spacing w:line="360" w:lineRule="auto"/>
              <w:textAlignment w:val="baseline"/>
              <w:rPr>
                <w:rFonts w:ascii="宋体" w:hAnsi="宋体" w:cs="Arial"/>
                <w:color w:val="000000"/>
                <w:szCs w:val="21"/>
              </w:rPr>
            </w:pPr>
            <w:r>
              <w:rPr>
                <w:rFonts w:hint="eastAsia" w:ascii="宋体" w:hAnsi="宋体" w:cs="Arial"/>
                <w:color w:val="000000"/>
                <w:szCs w:val="21"/>
              </w:rPr>
              <w:t>图形网关器</w:t>
            </w:r>
          </w:p>
        </w:tc>
        <w:tc>
          <w:tcPr>
            <w:tcW w:w="417"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套</w:t>
            </w:r>
          </w:p>
        </w:tc>
        <w:tc>
          <w:tcPr>
            <w:tcW w:w="372"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0" w:type="dxa"/>
          </w:tblCellMar>
        </w:tblPrEx>
        <w:trPr>
          <w:cantSplit/>
          <w:jc w:val="center"/>
        </w:trPr>
        <w:tc>
          <w:tcPr>
            <w:tcW w:w="579" w:type="pct"/>
            <w:tcBorders>
              <w:top w:val="single" w:color="auto" w:sz="6" w:space="0"/>
              <w:left w:val="single" w:color="auto" w:sz="6" w:space="0"/>
              <w:bottom w:val="single" w:color="auto" w:sz="6" w:space="0"/>
              <w:right w:val="single" w:color="auto" w:sz="6" w:space="0"/>
            </w:tcBorders>
            <w:vAlign w:val="center"/>
          </w:tcPr>
          <w:p>
            <w:pPr>
              <w:numPr>
                <w:ilvl w:val="0"/>
                <w:numId w:val="87"/>
              </w:numPr>
              <w:adjustRightInd w:val="0"/>
              <w:spacing w:line="360" w:lineRule="auto"/>
              <w:jc w:val="center"/>
              <w:textAlignment w:val="baseline"/>
              <w:rPr>
                <w:rFonts w:ascii="宋体" w:hAnsi="宋体"/>
                <w:szCs w:val="21"/>
              </w:rPr>
            </w:pPr>
          </w:p>
        </w:tc>
        <w:tc>
          <w:tcPr>
            <w:tcW w:w="3632" w:type="pct"/>
            <w:tcBorders>
              <w:top w:val="single" w:color="auto" w:sz="6" w:space="0"/>
              <w:left w:val="nil"/>
              <w:bottom w:val="single" w:color="auto" w:sz="6" w:space="0"/>
              <w:right w:val="single" w:color="auto" w:sz="6" w:space="0"/>
            </w:tcBorders>
            <w:vAlign w:val="center"/>
          </w:tcPr>
          <w:p>
            <w:pPr>
              <w:adjustRightInd w:val="0"/>
              <w:snapToGrid w:val="0"/>
              <w:spacing w:line="360" w:lineRule="auto"/>
              <w:textAlignment w:val="baseline"/>
              <w:rPr>
                <w:rFonts w:ascii="宋体" w:hAnsi="宋体" w:cs="Arial"/>
                <w:color w:val="000000"/>
                <w:szCs w:val="21"/>
              </w:rPr>
            </w:pPr>
            <w:r>
              <w:rPr>
                <w:rFonts w:hint="eastAsia" w:ascii="宋体" w:hAnsi="宋体" w:cs="Arial"/>
                <w:color w:val="000000"/>
                <w:szCs w:val="21"/>
              </w:rPr>
              <w:t>防火墙</w:t>
            </w:r>
          </w:p>
        </w:tc>
        <w:tc>
          <w:tcPr>
            <w:tcW w:w="417"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套</w:t>
            </w:r>
          </w:p>
        </w:tc>
        <w:tc>
          <w:tcPr>
            <w:tcW w:w="372"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0" w:type="dxa"/>
          </w:tblCellMar>
        </w:tblPrEx>
        <w:trPr>
          <w:cantSplit/>
          <w:jc w:val="center"/>
        </w:trPr>
        <w:tc>
          <w:tcPr>
            <w:tcW w:w="579" w:type="pct"/>
            <w:tcBorders>
              <w:top w:val="single" w:color="auto" w:sz="6" w:space="0"/>
              <w:left w:val="single" w:color="auto" w:sz="6" w:space="0"/>
              <w:bottom w:val="single" w:color="auto" w:sz="6" w:space="0"/>
              <w:right w:val="single" w:color="auto" w:sz="6" w:space="0"/>
            </w:tcBorders>
            <w:vAlign w:val="center"/>
          </w:tcPr>
          <w:p>
            <w:pPr>
              <w:numPr>
                <w:ilvl w:val="0"/>
                <w:numId w:val="87"/>
              </w:numPr>
              <w:adjustRightInd w:val="0"/>
              <w:spacing w:line="360" w:lineRule="auto"/>
              <w:jc w:val="center"/>
              <w:textAlignment w:val="baseline"/>
              <w:rPr>
                <w:rFonts w:ascii="宋体" w:hAnsi="宋体"/>
                <w:szCs w:val="21"/>
              </w:rPr>
            </w:pPr>
          </w:p>
        </w:tc>
        <w:tc>
          <w:tcPr>
            <w:tcW w:w="3632" w:type="pct"/>
            <w:tcBorders>
              <w:top w:val="single" w:color="auto" w:sz="6" w:space="0"/>
              <w:left w:val="nil"/>
              <w:bottom w:val="single" w:color="auto" w:sz="6" w:space="0"/>
              <w:right w:val="single" w:color="auto" w:sz="6" w:space="0"/>
            </w:tcBorders>
            <w:vAlign w:val="center"/>
          </w:tcPr>
          <w:p>
            <w:pPr>
              <w:adjustRightInd w:val="0"/>
              <w:snapToGrid w:val="0"/>
              <w:spacing w:line="360" w:lineRule="auto"/>
              <w:textAlignment w:val="baseline"/>
              <w:rPr>
                <w:rFonts w:ascii="宋体" w:hAnsi="宋体" w:cs="Arial"/>
                <w:color w:val="000000"/>
                <w:szCs w:val="21"/>
              </w:rPr>
            </w:pPr>
            <w:r>
              <w:rPr>
                <w:rFonts w:hint="eastAsia" w:ascii="宋体" w:hAnsi="宋体" w:cs="Arial"/>
                <w:szCs w:val="21"/>
              </w:rPr>
              <w:t>中控室监视终端</w:t>
            </w:r>
          </w:p>
        </w:tc>
        <w:tc>
          <w:tcPr>
            <w:tcW w:w="417"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套</w:t>
            </w:r>
          </w:p>
        </w:tc>
        <w:tc>
          <w:tcPr>
            <w:tcW w:w="372"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0" w:type="dxa"/>
          </w:tblCellMar>
        </w:tblPrEx>
        <w:trPr>
          <w:cantSplit/>
          <w:jc w:val="center"/>
        </w:trPr>
        <w:tc>
          <w:tcPr>
            <w:tcW w:w="579" w:type="pct"/>
            <w:tcBorders>
              <w:top w:val="single" w:color="auto" w:sz="6" w:space="0"/>
              <w:left w:val="single" w:color="auto" w:sz="6" w:space="0"/>
              <w:bottom w:val="single" w:color="auto" w:sz="6" w:space="0"/>
              <w:right w:val="single" w:color="auto" w:sz="6" w:space="0"/>
            </w:tcBorders>
            <w:vAlign w:val="center"/>
          </w:tcPr>
          <w:p>
            <w:pPr>
              <w:numPr>
                <w:ilvl w:val="0"/>
                <w:numId w:val="87"/>
              </w:numPr>
              <w:adjustRightInd w:val="0"/>
              <w:spacing w:line="360" w:lineRule="auto"/>
              <w:jc w:val="center"/>
              <w:textAlignment w:val="baseline"/>
              <w:rPr>
                <w:rFonts w:ascii="宋体" w:hAnsi="宋体"/>
                <w:szCs w:val="21"/>
              </w:rPr>
            </w:pPr>
          </w:p>
        </w:tc>
        <w:tc>
          <w:tcPr>
            <w:tcW w:w="3632" w:type="pct"/>
            <w:tcBorders>
              <w:top w:val="single" w:color="auto" w:sz="6" w:space="0"/>
              <w:left w:val="nil"/>
              <w:bottom w:val="single" w:color="auto" w:sz="6" w:space="0"/>
              <w:right w:val="single" w:color="auto" w:sz="6" w:space="0"/>
            </w:tcBorders>
            <w:vAlign w:val="center"/>
          </w:tcPr>
          <w:p>
            <w:pPr>
              <w:adjustRightInd w:val="0"/>
              <w:snapToGrid w:val="0"/>
              <w:spacing w:line="360" w:lineRule="auto"/>
              <w:textAlignment w:val="baseline"/>
              <w:rPr>
                <w:rFonts w:ascii="宋体" w:hAnsi="宋体" w:cs="Arial"/>
                <w:color w:val="000000"/>
                <w:szCs w:val="21"/>
              </w:rPr>
            </w:pPr>
            <w:r>
              <w:rPr>
                <w:rFonts w:hint="eastAsia" w:ascii="宋体" w:hAnsi="宋体" w:cs="Arial"/>
                <w:color w:val="000000"/>
                <w:szCs w:val="21"/>
              </w:rPr>
              <w:t>A3网络打印机</w:t>
            </w:r>
          </w:p>
        </w:tc>
        <w:tc>
          <w:tcPr>
            <w:tcW w:w="417"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套</w:t>
            </w:r>
          </w:p>
        </w:tc>
        <w:tc>
          <w:tcPr>
            <w:tcW w:w="372"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0" w:type="dxa"/>
          </w:tblCellMar>
        </w:tblPrEx>
        <w:trPr>
          <w:cantSplit/>
          <w:jc w:val="center"/>
        </w:trPr>
        <w:tc>
          <w:tcPr>
            <w:tcW w:w="579" w:type="pct"/>
            <w:tcBorders>
              <w:top w:val="single" w:color="auto" w:sz="6" w:space="0"/>
              <w:left w:val="single" w:color="auto" w:sz="6" w:space="0"/>
              <w:bottom w:val="single" w:color="auto" w:sz="6" w:space="0"/>
              <w:right w:val="single" w:color="auto" w:sz="6" w:space="0"/>
            </w:tcBorders>
            <w:vAlign w:val="center"/>
          </w:tcPr>
          <w:p>
            <w:pPr>
              <w:numPr>
                <w:ilvl w:val="0"/>
                <w:numId w:val="87"/>
              </w:numPr>
              <w:adjustRightInd w:val="0"/>
              <w:spacing w:line="360" w:lineRule="auto"/>
              <w:jc w:val="center"/>
              <w:textAlignment w:val="baseline"/>
              <w:rPr>
                <w:rFonts w:ascii="宋体" w:hAnsi="宋体"/>
                <w:szCs w:val="21"/>
              </w:rPr>
            </w:pPr>
          </w:p>
        </w:tc>
        <w:tc>
          <w:tcPr>
            <w:tcW w:w="3632" w:type="pct"/>
            <w:tcBorders>
              <w:top w:val="single" w:color="auto" w:sz="6" w:space="0"/>
              <w:left w:val="nil"/>
              <w:bottom w:val="single" w:color="auto" w:sz="6" w:space="0"/>
              <w:right w:val="single" w:color="auto" w:sz="6" w:space="0"/>
            </w:tcBorders>
            <w:vAlign w:val="center"/>
          </w:tcPr>
          <w:p>
            <w:pPr>
              <w:adjustRightInd w:val="0"/>
              <w:snapToGrid w:val="0"/>
              <w:spacing w:line="360" w:lineRule="auto"/>
              <w:textAlignment w:val="baseline"/>
              <w:rPr>
                <w:rFonts w:ascii="宋体" w:hAnsi="宋体" w:cs="Arial"/>
                <w:color w:val="000000"/>
                <w:szCs w:val="21"/>
              </w:rPr>
            </w:pPr>
            <w:r>
              <w:rPr>
                <w:rFonts w:hint="eastAsia" w:ascii="宋体" w:hAnsi="宋体" w:cs="Arial"/>
                <w:color w:val="000000"/>
                <w:szCs w:val="21"/>
              </w:rPr>
              <w:t>主交换机</w:t>
            </w:r>
          </w:p>
        </w:tc>
        <w:tc>
          <w:tcPr>
            <w:tcW w:w="417"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套</w:t>
            </w:r>
          </w:p>
        </w:tc>
        <w:tc>
          <w:tcPr>
            <w:tcW w:w="372"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0" w:type="dxa"/>
          </w:tblCellMar>
        </w:tblPrEx>
        <w:trPr>
          <w:cantSplit/>
          <w:jc w:val="center"/>
        </w:trPr>
        <w:tc>
          <w:tcPr>
            <w:tcW w:w="579" w:type="pct"/>
            <w:tcBorders>
              <w:top w:val="single" w:color="auto" w:sz="6" w:space="0"/>
              <w:left w:val="single" w:color="auto" w:sz="6" w:space="0"/>
              <w:bottom w:val="single" w:color="auto" w:sz="6" w:space="0"/>
              <w:right w:val="single" w:color="auto" w:sz="6" w:space="0"/>
            </w:tcBorders>
            <w:vAlign w:val="center"/>
          </w:tcPr>
          <w:p>
            <w:pPr>
              <w:numPr>
                <w:ilvl w:val="0"/>
                <w:numId w:val="87"/>
              </w:numPr>
              <w:adjustRightInd w:val="0"/>
              <w:spacing w:line="360" w:lineRule="auto"/>
              <w:jc w:val="center"/>
              <w:textAlignment w:val="baseline"/>
              <w:rPr>
                <w:rFonts w:ascii="宋体" w:hAnsi="宋体"/>
                <w:szCs w:val="21"/>
              </w:rPr>
            </w:pPr>
          </w:p>
        </w:tc>
        <w:tc>
          <w:tcPr>
            <w:tcW w:w="3632" w:type="pct"/>
            <w:tcBorders>
              <w:top w:val="single" w:color="auto" w:sz="6" w:space="0"/>
              <w:left w:val="nil"/>
              <w:bottom w:val="single" w:color="auto" w:sz="6" w:space="0"/>
              <w:right w:val="single" w:color="auto" w:sz="6" w:space="0"/>
            </w:tcBorders>
            <w:vAlign w:val="center"/>
          </w:tcPr>
          <w:p>
            <w:pPr>
              <w:adjustRightInd w:val="0"/>
              <w:snapToGrid w:val="0"/>
              <w:spacing w:line="360" w:lineRule="auto"/>
              <w:textAlignment w:val="baseline"/>
              <w:rPr>
                <w:rFonts w:ascii="宋体" w:hAnsi="宋体" w:cs="Arial"/>
                <w:color w:val="000000"/>
                <w:szCs w:val="21"/>
              </w:rPr>
            </w:pPr>
            <w:r>
              <w:rPr>
                <w:rFonts w:hint="eastAsia" w:ascii="宋体" w:hAnsi="宋体" w:cs="Arial"/>
                <w:color w:val="000000"/>
                <w:szCs w:val="21"/>
              </w:rPr>
              <w:t>继电保护信息子站柜及附属设备</w:t>
            </w:r>
          </w:p>
        </w:tc>
        <w:tc>
          <w:tcPr>
            <w:tcW w:w="417"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套</w:t>
            </w:r>
          </w:p>
        </w:tc>
        <w:tc>
          <w:tcPr>
            <w:tcW w:w="372"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0" w:type="dxa"/>
          </w:tblCellMar>
        </w:tblPrEx>
        <w:trPr>
          <w:cantSplit/>
          <w:jc w:val="center"/>
        </w:trPr>
        <w:tc>
          <w:tcPr>
            <w:tcW w:w="579" w:type="pct"/>
            <w:tcBorders>
              <w:top w:val="single" w:color="auto" w:sz="6" w:space="0"/>
              <w:left w:val="single" w:color="auto" w:sz="6" w:space="0"/>
              <w:bottom w:val="single" w:color="auto" w:sz="6" w:space="0"/>
              <w:right w:val="single" w:color="auto" w:sz="6" w:space="0"/>
            </w:tcBorders>
            <w:vAlign w:val="center"/>
          </w:tcPr>
          <w:p>
            <w:pPr>
              <w:numPr>
                <w:ilvl w:val="0"/>
                <w:numId w:val="87"/>
              </w:numPr>
              <w:adjustRightInd w:val="0"/>
              <w:spacing w:line="360" w:lineRule="auto"/>
              <w:jc w:val="center"/>
              <w:textAlignment w:val="baseline"/>
              <w:rPr>
                <w:rFonts w:ascii="宋体" w:hAnsi="宋体"/>
                <w:szCs w:val="21"/>
              </w:rPr>
            </w:pPr>
          </w:p>
        </w:tc>
        <w:tc>
          <w:tcPr>
            <w:tcW w:w="3632" w:type="pct"/>
            <w:tcBorders>
              <w:top w:val="single" w:color="auto" w:sz="6" w:space="0"/>
              <w:left w:val="nil"/>
              <w:bottom w:val="single" w:color="auto" w:sz="6" w:space="0"/>
              <w:right w:val="single" w:color="auto" w:sz="6" w:space="0"/>
            </w:tcBorders>
            <w:vAlign w:val="center"/>
          </w:tcPr>
          <w:p>
            <w:pPr>
              <w:adjustRightInd w:val="0"/>
              <w:snapToGrid w:val="0"/>
              <w:spacing w:line="360" w:lineRule="auto"/>
              <w:textAlignment w:val="baseline"/>
              <w:rPr>
                <w:rFonts w:ascii="宋体" w:hAnsi="宋体" w:cs="Arial"/>
                <w:color w:val="000000"/>
                <w:szCs w:val="21"/>
              </w:rPr>
            </w:pPr>
            <w:r>
              <w:rPr>
                <w:rFonts w:hint="eastAsia" w:ascii="宋体" w:hAnsi="宋体" w:cs="Arial"/>
                <w:color w:val="000000"/>
                <w:szCs w:val="21"/>
              </w:rPr>
              <w:t>子交换机（14电口，2光口）</w:t>
            </w:r>
          </w:p>
        </w:tc>
        <w:tc>
          <w:tcPr>
            <w:tcW w:w="417"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套</w:t>
            </w:r>
          </w:p>
        </w:tc>
        <w:tc>
          <w:tcPr>
            <w:tcW w:w="372"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ascii="宋体" w:hAnsi="宋体"/>
                <w:szCs w:val="21"/>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0" w:type="dxa"/>
          </w:tblCellMar>
        </w:tblPrEx>
        <w:trPr>
          <w:cantSplit/>
          <w:jc w:val="center"/>
        </w:trPr>
        <w:tc>
          <w:tcPr>
            <w:tcW w:w="579" w:type="pct"/>
            <w:tcBorders>
              <w:top w:val="single" w:color="auto" w:sz="6" w:space="0"/>
              <w:left w:val="single" w:color="auto" w:sz="6" w:space="0"/>
              <w:bottom w:val="single" w:color="auto" w:sz="6" w:space="0"/>
              <w:right w:val="single" w:color="auto" w:sz="6" w:space="0"/>
            </w:tcBorders>
            <w:vAlign w:val="center"/>
          </w:tcPr>
          <w:p>
            <w:pPr>
              <w:numPr>
                <w:ilvl w:val="0"/>
                <w:numId w:val="87"/>
              </w:numPr>
              <w:adjustRightInd w:val="0"/>
              <w:spacing w:line="360" w:lineRule="auto"/>
              <w:jc w:val="center"/>
              <w:textAlignment w:val="baseline"/>
              <w:rPr>
                <w:rFonts w:ascii="宋体" w:hAnsi="宋体"/>
                <w:szCs w:val="21"/>
              </w:rPr>
            </w:pPr>
          </w:p>
        </w:tc>
        <w:tc>
          <w:tcPr>
            <w:tcW w:w="3632" w:type="pct"/>
            <w:tcBorders>
              <w:top w:val="single" w:color="auto" w:sz="6" w:space="0"/>
              <w:left w:val="nil"/>
              <w:bottom w:val="single" w:color="auto" w:sz="6" w:space="0"/>
              <w:right w:val="single" w:color="auto" w:sz="6" w:space="0"/>
            </w:tcBorders>
            <w:vAlign w:val="center"/>
          </w:tcPr>
          <w:p>
            <w:pPr>
              <w:adjustRightInd w:val="0"/>
              <w:snapToGrid w:val="0"/>
              <w:spacing w:line="360" w:lineRule="auto"/>
              <w:textAlignment w:val="baseline"/>
              <w:rPr>
                <w:rFonts w:ascii="宋体" w:hAnsi="宋体" w:cs="Arial"/>
                <w:color w:val="000000"/>
                <w:szCs w:val="21"/>
              </w:rPr>
            </w:pPr>
            <w:r>
              <w:rPr>
                <w:rFonts w:ascii="宋体" w:hAnsi="宋体" w:cs="Arial"/>
                <w:color w:val="000000"/>
                <w:szCs w:val="21"/>
              </w:rPr>
              <w:t>4芯</w:t>
            </w:r>
            <w:r>
              <w:rPr>
                <w:rFonts w:hint="eastAsia" w:ascii="宋体" w:hAnsi="宋体" w:cs="Arial"/>
                <w:color w:val="000000"/>
                <w:szCs w:val="21"/>
              </w:rPr>
              <w:t>多模光缆</w:t>
            </w:r>
          </w:p>
        </w:tc>
        <w:tc>
          <w:tcPr>
            <w:tcW w:w="417"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ascii="宋体" w:hAnsi="宋体"/>
                <w:szCs w:val="21"/>
              </w:rPr>
              <w:t>km</w:t>
            </w:r>
          </w:p>
        </w:tc>
        <w:tc>
          <w:tcPr>
            <w:tcW w:w="372" w:type="pct"/>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textAlignment w:val="baseline"/>
              <w:rPr>
                <w:rFonts w:ascii="宋体" w:hAnsi="宋体"/>
                <w:szCs w:val="21"/>
              </w:rPr>
            </w:pPr>
            <w:r>
              <w:rPr>
                <w:rFonts w:ascii="宋体" w:hAnsi="宋体"/>
                <w:szCs w:val="21"/>
              </w:rPr>
              <w:t>1</w:t>
            </w:r>
          </w:p>
        </w:tc>
      </w:tr>
    </w:tbl>
    <w:p>
      <w:pPr>
        <w:spacing w:line="360" w:lineRule="auto"/>
        <w:ind w:left="840" w:leftChars="400"/>
        <w:rPr>
          <w:rFonts w:ascii="宋体" w:hAnsi="宋体"/>
          <w:color w:val="000000"/>
          <w:szCs w:val="21"/>
        </w:rPr>
      </w:pPr>
    </w:p>
    <w:p>
      <w:pPr>
        <w:pStyle w:val="2"/>
      </w:pPr>
    </w:p>
    <w:p>
      <w:pPr>
        <w:pStyle w:val="6"/>
        <w:widowControl w:val="0"/>
        <w:numPr>
          <w:ilvl w:val="1"/>
          <w:numId w:val="48"/>
        </w:numPr>
        <w:tabs>
          <w:tab w:val="left" w:pos="709"/>
          <w:tab w:val="clear" w:pos="1106"/>
        </w:tabs>
        <w:snapToGrid/>
        <w:spacing w:after="72" w:line="300" w:lineRule="auto"/>
        <w:ind w:left="709" w:hanging="709"/>
        <w:jc w:val="both"/>
        <w:rPr>
          <w:rFonts w:ascii="宋体" w:hAnsi="宋体" w:cs="Arial"/>
          <w:sz w:val="24"/>
          <w:szCs w:val="24"/>
        </w:rPr>
      </w:pPr>
      <w:bookmarkStart w:id="753" w:name="_Toc72415716"/>
      <w:bookmarkStart w:id="754" w:name="_Toc143589486"/>
      <w:r>
        <w:rPr>
          <w:rFonts w:hint="eastAsia" w:ascii="宋体" w:hAnsi="宋体" w:cs="Arial"/>
          <w:sz w:val="24"/>
          <w:szCs w:val="24"/>
        </w:rPr>
        <w:t>故障解列装置</w:t>
      </w:r>
      <w:bookmarkEnd w:id="753"/>
      <w:bookmarkEnd w:id="754"/>
    </w:p>
    <w:p>
      <w:pPr>
        <w:spacing w:line="360" w:lineRule="auto"/>
        <w:ind w:left="840" w:leftChars="400"/>
        <w:rPr>
          <w:rFonts w:ascii="宋体" w:hAnsi="宋体"/>
          <w:color w:val="000000"/>
          <w:szCs w:val="21"/>
        </w:rPr>
      </w:pPr>
      <w:r>
        <w:rPr>
          <w:rFonts w:hint="eastAsia" w:ascii="宋体" w:hAnsi="宋体"/>
          <w:color w:val="000000"/>
          <w:szCs w:val="21"/>
        </w:rPr>
        <w:t>配置1套故障解列装置，以满足在系统频率、电压异常时切除电站并网线路的要求。故障解列装置应符合《10kV～110（66）kV线路保护及辅助装置标准化设计规范》(Q/GDW 10766-2015</w:t>
      </w:r>
      <w:r>
        <w:rPr>
          <w:rFonts w:ascii="宋体" w:hAnsi="宋体"/>
          <w:color w:val="000000"/>
          <w:szCs w:val="21"/>
        </w:rPr>
        <w:t>)</w:t>
      </w:r>
      <w:r>
        <w:rPr>
          <w:rFonts w:hint="eastAsia" w:ascii="宋体" w:hAnsi="宋体"/>
          <w:color w:val="000000"/>
          <w:szCs w:val="21"/>
        </w:rPr>
        <w:t>并满足上级调度的相关要求。</w:t>
      </w:r>
    </w:p>
    <w:p>
      <w:pPr>
        <w:spacing w:line="360" w:lineRule="auto"/>
        <w:ind w:left="840" w:leftChars="400"/>
        <w:rPr>
          <w:rFonts w:ascii="宋体" w:hAnsi="宋体"/>
          <w:b/>
          <w:bCs/>
          <w:color w:val="000000"/>
          <w:szCs w:val="21"/>
        </w:rPr>
      </w:pPr>
      <w:r>
        <w:rPr>
          <w:rFonts w:hint="eastAsia" w:ascii="宋体" w:hAnsi="宋体"/>
          <w:b/>
          <w:bCs/>
          <w:color w:val="000000"/>
          <w:szCs w:val="21"/>
        </w:rPr>
        <w:t>供货设备</w:t>
      </w:r>
    </w:p>
    <w:tbl>
      <w:tblPr>
        <w:tblStyle w:val="71"/>
        <w:tblW w:w="75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9"/>
        <w:gridCol w:w="3035"/>
        <w:gridCol w:w="981"/>
        <w:gridCol w:w="1302"/>
        <w:gridCol w:w="13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9" w:type="dxa"/>
            <w:tcBorders>
              <w:top w:val="single" w:color="auto" w:sz="2" w:space="0"/>
              <w:left w:val="single" w:color="auto" w:sz="4" w:space="0"/>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序号</w:t>
            </w:r>
          </w:p>
        </w:tc>
        <w:tc>
          <w:tcPr>
            <w:tcW w:w="3035"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名称</w:t>
            </w:r>
          </w:p>
        </w:tc>
        <w:tc>
          <w:tcPr>
            <w:tcW w:w="981"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单位</w:t>
            </w:r>
          </w:p>
        </w:tc>
        <w:tc>
          <w:tcPr>
            <w:tcW w:w="1302"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数量</w:t>
            </w:r>
          </w:p>
        </w:tc>
        <w:tc>
          <w:tcPr>
            <w:tcW w:w="1302"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9" w:type="dxa"/>
            <w:tcBorders>
              <w:top w:val="single" w:color="auto" w:sz="2" w:space="0"/>
              <w:left w:val="single" w:color="auto" w:sz="4" w:space="0"/>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p>
        </w:tc>
        <w:tc>
          <w:tcPr>
            <w:tcW w:w="3035"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color w:val="000000"/>
                <w:szCs w:val="21"/>
              </w:rPr>
              <w:t>故障解列装置</w:t>
            </w:r>
            <w:r>
              <w:rPr>
                <w:rFonts w:hint="eastAsia" w:ascii="宋体" w:hAnsi="宋体"/>
                <w:bCs/>
                <w:color w:val="000000"/>
                <w:szCs w:val="21"/>
              </w:rPr>
              <w:t>（双江航电枢纽侧）</w:t>
            </w:r>
          </w:p>
        </w:tc>
        <w:tc>
          <w:tcPr>
            <w:tcW w:w="981"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套</w:t>
            </w:r>
          </w:p>
        </w:tc>
        <w:tc>
          <w:tcPr>
            <w:tcW w:w="1302"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p>
        </w:tc>
        <w:tc>
          <w:tcPr>
            <w:tcW w:w="1302"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9" w:type="dxa"/>
            <w:tcBorders>
              <w:top w:val="single" w:color="auto" w:sz="2" w:space="0"/>
              <w:left w:val="single" w:color="auto" w:sz="4" w:space="0"/>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1.1</w:t>
            </w:r>
          </w:p>
        </w:tc>
        <w:tc>
          <w:tcPr>
            <w:tcW w:w="3035"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color w:val="000000"/>
                <w:szCs w:val="21"/>
              </w:rPr>
              <w:t>故障解列装置屏</w:t>
            </w:r>
            <w:r>
              <w:rPr>
                <w:rFonts w:hint="eastAsia" w:ascii="宋体" w:hAnsi="宋体"/>
                <w:bCs/>
                <w:color w:val="000000"/>
                <w:szCs w:val="21"/>
              </w:rPr>
              <w:t>（含打印机）</w:t>
            </w:r>
          </w:p>
        </w:tc>
        <w:tc>
          <w:tcPr>
            <w:tcW w:w="981"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面</w:t>
            </w:r>
          </w:p>
        </w:tc>
        <w:tc>
          <w:tcPr>
            <w:tcW w:w="1302"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p>
        </w:tc>
        <w:tc>
          <w:tcPr>
            <w:tcW w:w="1302"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9" w:type="dxa"/>
            <w:tcBorders>
              <w:top w:val="single" w:color="auto" w:sz="2" w:space="0"/>
              <w:left w:val="single" w:color="auto" w:sz="4" w:space="0"/>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1.2</w:t>
            </w:r>
          </w:p>
        </w:tc>
        <w:tc>
          <w:tcPr>
            <w:tcW w:w="3035"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协议转换装置（若有）</w:t>
            </w:r>
          </w:p>
        </w:tc>
        <w:tc>
          <w:tcPr>
            <w:tcW w:w="981"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台</w:t>
            </w:r>
          </w:p>
        </w:tc>
        <w:tc>
          <w:tcPr>
            <w:tcW w:w="1302"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p>
        </w:tc>
        <w:tc>
          <w:tcPr>
            <w:tcW w:w="1302"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9" w:type="dxa"/>
            <w:tcBorders>
              <w:top w:val="single" w:color="auto" w:sz="2" w:space="0"/>
              <w:left w:val="single" w:color="auto" w:sz="4" w:space="0"/>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1.3</w:t>
            </w:r>
          </w:p>
        </w:tc>
        <w:tc>
          <w:tcPr>
            <w:tcW w:w="3035"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其他</w:t>
            </w:r>
          </w:p>
        </w:tc>
        <w:tc>
          <w:tcPr>
            <w:tcW w:w="981"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套</w:t>
            </w:r>
          </w:p>
        </w:tc>
        <w:tc>
          <w:tcPr>
            <w:tcW w:w="1302"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p>
        </w:tc>
        <w:tc>
          <w:tcPr>
            <w:tcW w:w="1302"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p>
        </w:tc>
      </w:tr>
    </w:tbl>
    <w:p>
      <w:pPr>
        <w:pStyle w:val="6"/>
        <w:widowControl w:val="0"/>
        <w:numPr>
          <w:ilvl w:val="1"/>
          <w:numId w:val="48"/>
        </w:numPr>
        <w:tabs>
          <w:tab w:val="left" w:pos="709"/>
          <w:tab w:val="clear" w:pos="1106"/>
        </w:tabs>
        <w:snapToGrid/>
        <w:spacing w:after="72" w:line="300" w:lineRule="auto"/>
        <w:ind w:left="709" w:hanging="709"/>
        <w:jc w:val="both"/>
        <w:rPr>
          <w:rFonts w:ascii="宋体" w:hAnsi="宋体" w:cs="Arial"/>
          <w:sz w:val="24"/>
          <w:szCs w:val="24"/>
        </w:rPr>
      </w:pPr>
      <w:bookmarkStart w:id="755" w:name="_Toc143589487"/>
      <w:r>
        <w:rPr>
          <w:rFonts w:hint="eastAsia" w:ascii="宋体" w:hAnsi="宋体" w:cs="Arial"/>
          <w:sz w:val="24"/>
          <w:szCs w:val="24"/>
        </w:rPr>
        <w:t>1</w:t>
      </w:r>
      <w:r>
        <w:rPr>
          <w:rFonts w:ascii="宋体" w:hAnsi="宋体" w:cs="Arial"/>
          <w:sz w:val="24"/>
          <w:szCs w:val="24"/>
        </w:rPr>
        <w:t>10</w:t>
      </w:r>
      <w:r>
        <w:rPr>
          <w:rFonts w:hint="eastAsia" w:ascii="宋体" w:hAnsi="宋体" w:cs="Arial"/>
          <w:sz w:val="24"/>
          <w:szCs w:val="24"/>
        </w:rPr>
        <w:t>k</w:t>
      </w:r>
      <w:r>
        <w:rPr>
          <w:rFonts w:ascii="宋体" w:hAnsi="宋体" w:cs="Arial"/>
          <w:sz w:val="24"/>
          <w:szCs w:val="24"/>
        </w:rPr>
        <w:t>V</w:t>
      </w:r>
      <w:r>
        <w:rPr>
          <w:rFonts w:hint="eastAsia" w:ascii="宋体" w:hAnsi="宋体" w:cs="Arial"/>
          <w:sz w:val="24"/>
          <w:szCs w:val="24"/>
        </w:rPr>
        <w:t>线路保护装置</w:t>
      </w:r>
      <w:bookmarkEnd w:id="755"/>
      <w:r>
        <w:rPr>
          <w:rFonts w:hint="eastAsia" w:ascii="宋体" w:hAnsi="宋体" w:cs="Arial"/>
          <w:sz w:val="24"/>
          <w:szCs w:val="24"/>
        </w:rPr>
        <w:t xml:space="preserve"> </w:t>
      </w:r>
      <w:r>
        <w:rPr>
          <w:rFonts w:ascii="宋体" w:hAnsi="宋体" w:cs="Arial"/>
          <w:sz w:val="24"/>
          <w:szCs w:val="24"/>
        </w:rPr>
        <w:t xml:space="preserve">  </w:t>
      </w:r>
    </w:p>
    <w:p>
      <w:pPr>
        <w:spacing w:line="360" w:lineRule="auto"/>
        <w:ind w:left="840" w:leftChars="400"/>
        <w:rPr>
          <w:rFonts w:ascii="宋体" w:hAnsi="宋体"/>
          <w:szCs w:val="21"/>
        </w:rPr>
      </w:pPr>
      <w:r>
        <w:rPr>
          <w:rFonts w:hint="eastAsia" w:ascii="宋体" w:hAnsi="宋体"/>
          <w:szCs w:val="21"/>
        </w:rPr>
        <w:t>配置一套线路光纤电流差动保护装置，保护装置以分相电流差动为著保护，以包含过负荷报警功能的三段相间和接地距离保护、四段零序方向电流保护为后备保护，配置三相一次重合闸(重合闸具备检同期、检无压功能，可实现三重、禁止和停用方式</w:t>
      </w:r>
      <w:r>
        <w:rPr>
          <w:rFonts w:ascii="宋体" w:hAnsi="宋体"/>
          <w:szCs w:val="21"/>
        </w:rPr>
        <w:t>)</w:t>
      </w:r>
      <w:r>
        <w:rPr>
          <w:rFonts w:hint="eastAsia" w:ascii="宋体" w:hAnsi="宋体"/>
          <w:szCs w:val="21"/>
        </w:rPr>
        <w:t>，以及三相操作箱等设备。光纤差动保护装置型号及软件版本与对侧徐家湾1</w:t>
      </w:r>
      <w:r>
        <w:rPr>
          <w:rFonts w:ascii="宋体" w:hAnsi="宋体"/>
          <w:szCs w:val="21"/>
        </w:rPr>
        <w:t>10kV</w:t>
      </w:r>
      <w:r>
        <w:rPr>
          <w:rFonts w:hint="eastAsia" w:ascii="宋体" w:hAnsi="宋体"/>
          <w:szCs w:val="21"/>
        </w:rPr>
        <w:t>变电站侧保持一致。因对端徐家湾变电站线路光纤电流差动保护装置招标在前，已确定厂家和型号，且根据国家电网重庆电力公司要求，两端需采用同一厂家、品牌的产品，故买方须采用</w:t>
      </w:r>
      <w:r>
        <w:rPr>
          <w:rFonts w:ascii="宋体" w:hAnsi="宋体"/>
          <w:szCs w:val="21"/>
        </w:rPr>
        <w:t>PCS-943A-FA-G-C-G9</w:t>
      </w:r>
      <w:r>
        <w:rPr>
          <w:rFonts w:hint="eastAsia" w:ascii="宋体" w:hAnsi="宋体"/>
          <w:szCs w:val="21"/>
        </w:rPr>
        <w:t>型线路光纤电流差动保护装置。</w:t>
      </w:r>
    </w:p>
    <w:p>
      <w:pPr>
        <w:pStyle w:val="7"/>
        <w:widowControl w:val="0"/>
        <w:numPr>
          <w:ilvl w:val="2"/>
          <w:numId w:val="15"/>
        </w:numPr>
        <w:overflowPunct w:val="0"/>
        <w:snapToGrid/>
        <w:spacing w:before="78" w:beforeLines="25" w:after="100" w:afterAutospacing="1" w:line="300" w:lineRule="auto"/>
        <w:jc w:val="both"/>
        <w:rPr>
          <w:rFonts w:ascii="宋体" w:hAnsi="宋体"/>
          <w:b/>
          <w:bCs/>
          <w:color w:val="000000"/>
          <w:sz w:val="21"/>
          <w:szCs w:val="21"/>
        </w:rPr>
      </w:pPr>
      <w:r>
        <w:rPr>
          <w:rFonts w:hint="eastAsia" w:ascii="宋体" w:hAnsi="宋体"/>
          <w:b/>
          <w:bCs/>
          <w:color w:val="000000"/>
          <w:sz w:val="21"/>
          <w:szCs w:val="21"/>
        </w:rPr>
        <w:t>供货设备</w:t>
      </w:r>
    </w:p>
    <w:tbl>
      <w:tblPr>
        <w:tblStyle w:val="71"/>
        <w:tblW w:w="75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9"/>
        <w:gridCol w:w="3035"/>
        <w:gridCol w:w="981"/>
        <w:gridCol w:w="1302"/>
        <w:gridCol w:w="13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9" w:type="dxa"/>
            <w:tcBorders>
              <w:top w:val="single" w:color="auto" w:sz="2" w:space="0"/>
              <w:left w:val="single" w:color="auto" w:sz="4" w:space="0"/>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序号</w:t>
            </w:r>
          </w:p>
        </w:tc>
        <w:tc>
          <w:tcPr>
            <w:tcW w:w="3035"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名称</w:t>
            </w:r>
          </w:p>
        </w:tc>
        <w:tc>
          <w:tcPr>
            <w:tcW w:w="981"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单位</w:t>
            </w:r>
          </w:p>
        </w:tc>
        <w:tc>
          <w:tcPr>
            <w:tcW w:w="1302"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数量</w:t>
            </w:r>
          </w:p>
        </w:tc>
        <w:tc>
          <w:tcPr>
            <w:tcW w:w="1302"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9" w:type="dxa"/>
            <w:tcBorders>
              <w:top w:val="single" w:color="auto" w:sz="2" w:space="0"/>
              <w:left w:val="single" w:color="auto" w:sz="4" w:space="0"/>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p>
        </w:tc>
        <w:tc>
          <w:tcPr>
            <w:tcW w:w="3035"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r>
              <w:rPr>
                <w:rFonts w:ascii="宋体" w:hAnsi="宋体"/>
                <w:bCs/>
                <w:color w:val="000000"/>
                <w:szCs w:val="21"/>
              </w:rPr>
              <w:t>10</w:t>
            </w:r>
            <w:r>
              <w:rPr>
                <w:rFonts w:hint="eastAsia" w:ascii="宋体" w:hAnsi="宋体"/>
                <w:bCs/>
                <w:color w:val="000000"/>
                <w:szCs w:val="21"/>
              </w:rPr>
              <w:t>k</w:t>
            </w:r>
            <w:r>
              <w:rPr>
                <w:rFonts w:ascii="宋体" w:hAnsi="宋体"/>
                <w:bCs/>
                <w:color w:val="000000"/>
                <w:szCs w:val="21"/>
              </w:rPr>
              <w:t>V</w:t>
            </w:r>
            <w:r>
              <w:rPr>
                <w:rFonts w:hint="eastAsia" w:ascii="宋体" w:hAnsi="宋体"/>
                <w:bCs/>
                <w:color w:val="000000"/>
                <w:szCs w:val="21"/>
              </w:rPr>
              <w:t>线路保护柜（双江航电枢纽侧）</w:t>
            </w:r>
          </w:p>
        </w:tc>
        <w:tc>
          <w:tcPr>
            <w:tcW w:w="981"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套</w:t>
            </w:r>
          </w:p>
        </w:tc>
        <w:tc>
          <w:tcPr>
            <w:tcW w:w="1302"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p>
        </w:tc>
        <w:tc>
          <w:tcPr>
            <w:tcW w:w="1302"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ascii="宋体" w:hAnsi="宋体" w:cs="Arial"/>
                <w:sz w:val="24"/>
                <w:szCs w:val="24"/>
              </w:rPr>
              <w:t>PCS-943A-FA-G-C-G9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9" w:type="dxa"/>
            <w:tcBorders>
              <w:top w:val="single" w:color="auto" w:sz="2" w:space="0"/>
              <w:left w:val="single" w:color="auto" w:sz="4" w:space="0"/>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1.1</w:t>
            </w:r>
          </w:p>
        </w:tc>
        <w:tc>
          <w:tcPr>
            <w:tcW w:w="3035"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r>
              <w:rPr>
                <w:rFonts w:ascii="宋体" w:hAnsi="宋体"/>
                <w:bCs/>
                <w:color w:val="000000"/>
                <w:szCs w:val="21"/>
              </w:rPr>
              <w:t>10</w:t>
            </w:r>
            <w:r>
              <w:rPr>
                <w:rFonts w:hint="eastAsia" w:ascii="宋体" w:hAnsi="宋体"/>
                <w:bCs/>
                <w:color w:val="000000"/>
                <w:szCs w:val="21"/>
              </w:rPr>
              <w:t>k</w:t>
            </w:r>
            <w:r>
              <w:rPr>
                <w:rFonts w:ascii="宋体" w:hAnsi="宋体"/>
                <w:bCs/>
                <w:color w:val="000000"/>
                <w:szCs w:val="21"/>
              </w:rPr>
              <w:t>V</w:t>
            </w:r>
            <w:r>
              <w:rPr>
                <w:rFonts w:hint="eastAsia" w:ascii="宋体" w:hAnsi="宋体"/>
                <w:bCs/>
                <w:color w:val="000000"/>
                <w:szCs w:val="21"/>
              </w:rPr>
              <w:t>线路保护装置(含操作箱</w:t>
            </w:r>
            <w:r>
              <w:rPr>
                <w:rFonts w:ascii="宋体" w:hAnsi="宋体"/>
                <w:bCs/>
                <w:color w:val="000000"/>
                <w:szCs w:val="21"/>
              </w:rPr>
              <w:t>)</w:t>
            </w:r>
          </w:p>
        </w:tc>
        <w:tc>
          <w:tcPr>
            <w:tcW w:w="981"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面</w:t>
            </w:r>
          </w:p>
        </w:tc>
        <w:tc>
          <w:tcPr>
            <w:tcW w:w="1302"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p>
        </w:tc>
        <w:tc>
          <w:tcPr>
            <w:tcW w:w="1302"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9" w:type="dxa"/>
            <w:tcBorders>
              <w:top w:val="single" w:color="auto" w:sz="2" w:space="0"/>
              <w:left w:val="single" w:color="auto" w:sz="4" w:space="0"/>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r>
              <w:rPr>
                <w:rFonts w:ascii="宋体" w:hAnsi="宋体"/>
                <w:bCs/>
                <w:color w:val="000000"/>
                <w:szCs w:val="21"/>
              </w:rPr>
              <w:t>2</w:t>
            </w:r>
          </w:p>
        </w:tc>
        <w:tc>
          <w:tcPr>
            <w:tcW w:w="3035"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cs="宋体" w:asciiTheme="minorEastAsia" w:hAnsiTheme="minorEastAsia"/>
                <w:szCs w:val="21"/>
              </w:rPr>
              <w:t>光纤复接通道接口装置</w:t>
            </w:r>
          </w:p>
        </w:tc>
        <w:tc>
          <w:tcPr>
            <w:tcW w:w="981"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套</w:t>
            </w:r>
          </w:p>
        </w:tc>
        <w:tc>
          <w:tcPr>
            <w:tcW w:w="1302"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p>
        </w:tc>
        <w:tc>
          <w:tcPr>
            <w:tcW w:w="1302"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9" w:type="dxa"/>
            <w:tcBorders>
              <w:top w:val="single" w:color="auto" w:sz="2" w:space="0"/>
              <w:left w:val="single" w:color="auto" w:sz="4" w:space="0"/>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r>
              <w:rPr>
                <w:rFonts w:ascii="宋体" w:hAnsi="宋体"/>
                <w:bCs/>
                <w:color w:val="000000"/>
                <w:szCs w:val="21"/>
              </w:rPr>
              <w:t>.3</w:t>
            </w:r>
          </w:p>
        </w:tc>
        <w:tc>
          <w:tcPr>
            <w:tcW w:w="3035"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rPr>
              <w:t>打印机</w:t>
            </w:r>
          </w:p>
        </w:tc>
        <w:tc>
          <w:tcPr>
            <w:tcW w:w="981"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套</w:t>
            </w:r>
          </w:p>
        </w:tc>
        <w:tc>
          <w:tcPr>
            <w:tcW w:w="1302"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p>
        </w:tc>
        <w:tc>
          <w:tcPr>
            <w:tcW w:w="1302"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9" w:type="dxa"/>
            <w:tcBorders>
              <w:top w:val="single" w:color="auto" w:sz="2" w:space="0"/>
              <w:left w:val="single" w:color="auto" w:sz="4" w:space="0"/>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r>
              <w:rPr>
                <w:rFonts w:ascii="宋体" w:hAnsi="宋体"/>
                <w:bCs/>
                <w:color w:val="000000"/>
                <w:szCs w:val="21"/>
              </w:rPr>
              <w:t>.4</w:t>
            </w:r>
          </w:p>
        </w:tc>
        <w:tc>
          <w:tcPr>
            <w:tcW w:w="3035"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cs="宋体"/>
                <w:szCs w:val="21"/>
              </w:rPr>
              <w:t>柜体及附件</w:t>
            </w:r>
          </w:p>
        </w:tc>
        <w:tc>
          <w:tcPr>
            <w:tcW w:w="981"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面</w:t>
            </w:r>
          </w:p>
        </w:tc>
        <w:tc>
          <w:tcPr>
            <w:tcW w:w="1302"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p>
        </w:tc>
        <w:tc>
          <w:tcPr>
            <w:tcW w:w="1302"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9" w:type="dxa"/>
            <w:tcBorders>
              <w:top w:val="single" w:color="auto" w:sz="2" w:space="0"/>
              <w:left w:val="single" w:color="auto" w:sz="4" w:space="0"/>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r>
              <w:rPr>
                <w:rFonts w:ascii="宋体" w:hAnsi="宋体"/>
                <w:bCs/>
                <w:color w:val="000000"/>
                <w:szCs w:val="21"/>
              </w:rPr>
              <w:t>.5</w:t>
            </w:r>
          </w:p>
        </w:tc>
        <w:tc>
          <w:tcPr>
            <w:tcW w:w="3035"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cs="宋体"/>
                <w:szCs w:val="21"/>
              </w:rPr>
              <w:t>其他</w:t>
            </w:r>
          </w:p>
        </w:tc>
        <w:tc>
          <w:tcPr>
            <w:tcW w:w="981"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套</w:t>
            </w:r>
          </w:p>
        </w:tc>
        <w:tc>
          <w:tcPr>
            <w:tcW w:w="1302" w:type="dxa"/>
            <w:tcBorders>
              <w:top w:val="single" w:color="auto" w:sz="2" w:space="0"/>
              <w:left w:val="nil"/>
              <w:bottom w:val="single" w:color="auto" w:sz="2" w:space="0"/>
              <w:right w:val="single" w:color="auto" w:sz="2" w:space="0"/>
            </w:tcBorders>
            <w:vAlign w:val="center"/>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r>
              <w:rPr>
                <w:rFonts w:hint="eastAsia" w:ascii="宋体" w:hAnsi="宋体"/>
                <w:bCs/>
                <w:color w:val="000000"/>
                <w:szCs w:val="21"/>
              </w:rPr>
              <w:t>1</w:t>
            </w:r>
          </w:p>
        </w:tc>
        <w:tc>
          <w:tcPr>
            <w:tcW w:w="1302" w:type="dxa"/>
            <w:tcBorders>
              <w:top w:val="single" w:color="auto" w:sz="2" w:space="0"/>
              <w:left w:val="nil"/>
              <w:bottom w:val="single" w:color="auto" w:sz="2" w:space="0"/>
              <w:right w:val="single" w:color="auto" w:sz="2" w:space="0"/>
            </w:tcBorders>
          </w:tcPr>
          <w:p>
            <w:pPr>
              <w:widowControl/>
              <w:adjustRightInd w:val="0"/>
              <w:spacing w:before="46" w:beforeLines="15" w:after="46" w:afterLines="15" w:line="420" w:lineRule="exact"/>
              <w:ind w:left="-218" w:leftChars="-104" w:right="-51"/>
              <w:jc w:val="center"/>
              <w:textAlignment w:val="baseline"/>
              <w:rPr>
                <w:rFonts w:ascii="宋体" w:hAnsi="宋体"/>
                <w:bCs/>
                <w:color w:val="000000"/>
                <w:szCs w:val="21"/>
              </w:rPr>
            </w:pPr>
          </w:p>
        </w:tc>
      </w:tr>
    </w:tbl>
    <w:p>
      <w:pPr>
        <w:pStyle w:val="6"/>
        <w:widowControl w:val="0"/>
        <w:numPr>
          <w:ilvl w:val="1"/>
          <w:numId w:val="48"/>
        </w:numPr>
        <w:tabs>
          <w:tab w:val="left" w:pos="709"/>
          <w:tab w:val="clear" w:pos="1106"/>
        </w:tabs>
        <w:snapToGrid/>
        <w:spacing w:after="72" w:line="300" w:lineRule="auto"/>
        <w:ind w:left="709" w:hanging="709"/>
        <w:jc w:val="both"/>
        <w:rPr>
          <w:rFonts w:ascii="宋体" w:hAnsi="宋体" w:cs="Arial"/>
          <w:sz w:val="24"/>
          <w:szCs w:val="24"/>
        </w:rPr>
      </w:pPr>
      <w:bookmarkStart w:id="756" w:name="_Toc143589488"/>
      <w:r>
        <w:rPr>
          <w:rFonts w:hint="eastAsia" w:ascii="宋体" w:hAnsi="宋体" w:cs="Arial"/>
          <w:sz w:val="24"/>
          <w:szCs w:val="24"/>
        </w:rPr>
        <w:t>U</w:t>
      </w:r>
      <w:r>
        <w:rPr>
          <w:rFonts w:ascii="宋体" w:hAnsi="宋体" w:cs="Arial"/>
          <w:sz w:val="24"/>
          <w:szCs w:val="24"/>
        </w:rPr>
        <w:t>PS</w:t>
      </w:r>
      <w:r>
        <w:rPr>
          <w:rFonts w:hint="eastAsia" w:ascii="宋体" w:hAnsi="宋体" w:cs="Arial"/>
          <w:sz w:val="24"/>
          <w:szCs w:val="24"/>
        </w:rPr>
        <w:t>电源</w:t>
      </w:r>
      <w:bookmarkEnd w:id="756"/>
    </w:p>
    <w:p>
      <w:pPr>
        <w:pStyle w:val="8"/>
        <w:numPr>
          <w:ilvl w:val="3"/>
          <w:numId w:val="88"/>
        </w:numPr>
        <w:tabs>
          <w:tab w:val="left" w:pos="709"/>
        </w:tabs>
        <w:adjustRightInd/>
        <w:spacing w:before="93" w:beforeLines="30" w:after="93" w:afterLines="30" w:line="300" w:lineRule="auto"/>
        <w:textAlignment w:val="auto"/>
        <w:rPr>
          <w:snapToGrid w:val="0"/>
          <w:sz w:val="28"/>
          <w:szCs w:val="28"/>
        </w:rPr>
      </w:pPr>
      <w:r>
        <w:rPr>
          <w:rFonts w:hint="eastAsia"/>
          <w:snapToGrid w:val="0"/>
          <w:sz w:val="28"/>
          <w:szCs w:val="28"/>
        </w:rPr>
        <w:t xml:space="preserve"> 概述</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UPS</w:t>
      </w:r>
      <w:r>
        <w:rPr>
          <w:rFonts w:asciiTheme="minorEastAsia" w:hAnsiTheme="minorEastAsia" w:eastAsiaTheme="minorEastAsia"/>
          <w:sz w:val="21"/>
          <w:szCs w:val="21"/>
        </w:rPr>
        <w:t>产品应取得IS9000质量认证证书及通过权威试验中心型式试验的认证。</w:t>
      </w:r>
      <w:r>
        <w:rPr>
          <w:rFonts w:hint="eastAsia" w:asciiTheme="minorEastAsia" w:hAnsiTheme="minorEastAsia" w:eastAsiaTheme="minorEastAsia"/>
          <w:sz w:val="21"/>
          <w:szCs w:val="21"/>
        </w:rPr>
        <w:t>应选用国际知名品牌的工业级U</w:t>
      </w:r>
      <w:r>
        <w:rPr>
          <w:rFonts w:asciiTheme="minorEastAsia" w:hAnsiTheme="minorEastAsia" w:eastAsiaTheme="minorEastAsia"/>
          <w:sz w:val="21"/>
          <w:szCs w:val="21"/>
        </w:rPr>
        <w:t>PS</w:t>
      </w:r>
      <w:r>
        <w:rPr>
          <w:rFonts w:hint="eastAsia" w:asciiTheme="minorEastAsia" w:hAnsiTheme="minorEastAsia" w:eastAsiaTheme="minorEastAsia"/>
          <w:sz w:val="21"/>
          <w:szCs w:val="21"/>
        </w:rPr>
        <w:t>装置。</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UPS</w:t>
      </w:r>
      <w:r>
        <w:rPr>
          <w:rFonts w:hint="eastAsia" w:asciiTheme="minorEastAsia" w:hAnsiTheme="minorEastAsia" w:eastAsiaTheme="minorEastAsia"/>
          <w:sz w:val="21"/>
          <w:szCs w:val="21"/>
        </w:rPr>
        <w:t>电源系统由整流器/充电器、逆变器、</w:t>
      </w:r>
      <w:r>
        <w:rPr>
          <w:rFonts w:hint="eastAsia" w:asciiTheme="minorEastAsia" w:hAnsiTheme="minorEastAsia" w:eastAsiaTheme="minorEastAsia"/>
          <w:b/>
          <w:sz w:val="21"/>
          <w:szCs w:val="21"/>
        </w:rPr>
        <w:t>输出隔离变压器</w:t>
      </w:r>
      <w:r>
        <w:rPr>
          <w:rFonts w:hint="eastAsia" w:asciiTheme="minorEastAsia" w:hAnsiTheme="minorEastAsia" w:eastAsiaTheme="minorEastAsia"/>
          <w:sz w:val="21"/>
          <w:szCs w:val="21"/>
        </w:rPr>
        <w:t>、输入/输出开关、控制单元、LCD液晶显示单元、</w:t>
      </w:r>
      <w:r>
        <w:rPr>
          <w:rFonts w:hint="eastAsia" w:asciiTheme="minorEastAsia" w:hAnsiTheme="minorEastAsia" w:eastAsiaTheme="minorEastAsia"/>
          <w:b/>
          <w:sz w:val="21"/>
          <w:szCs w:val="21"/>
        </w:rPr>
        <w:t>输入隔离变压器</w:t>
      </w: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旁路稳压隔离变压器</w:t>
      </w:r>
      <w:r>
        <w:rPr>
          <w:rFonts w:hint="eastAsia" w:asciiTheme="minorEastAsia" w:hAnsiTheme="minorEastAsia" w:eastAsiaTheme="minorEastAsia"/>
          <w:sz w:val="21"/>
          <w:szCs w:val="21"/>
        </w:rPr>
        <w:t>、静态开关、配电装置等组成。配电装置由多路微型断路器组成，并包括电流、电压表和指示灯等必须的监控设备</w:t>
      </w:r>
      <w:r>
        <w:rPr>
          <w:rFonts w:asciiTheme="minorEastAsia" w:hAnsiTheme="minorEastAsia" w:eastAsiaTheme="minorEastAsia"/>
          <w:sz w:val="21"/>
          <w:szCs w:val="21"/>
        </w:rPr>
        <w:t>。</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UPS</w:t>
      </w:r>
      <w:r>
        <w:rPr>
          <w:rFonts w:hint="eastAsia" w:asciiTheme="minorEastAsia" w:hAnsiTheme="minorEastAsia" w:eastAsiaTheme="minorEastAsia"/>
          <w:sz w:val="21"/>
          <w:szCs w:val="21"/>
        </w:rPr>
        <w:t>装置应是微机型。采样、控制、监视应由内部微机完成，参数通过微机单元设置，以提高运行可靠性和调节精度。应具有自诊断功能和事件记录功能电。</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UPS</w:t>
      </w:r>
      <w:r>
        <w:rPr>
          <w:rFonts w:hint="eastAsia" w:asciiTheme="minorEastAsia" w:hAnsiTheme="minorEastAsia" w:eastAsiaTheme="minorEastAsia"/>
          <w:sz w:val="21"/>
          <w:szCs w:val="21"/>
        </w:rPr>
        <w:t>面板上应具有控制和监测盘，通过液晶显示屏能显示运行状态、运行参数，当出现异常事件时，应能给出文字说明及记录相关事件。人机对话通过薄膜键盘进行，可进行编程、整定和修改功能。</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正常情况下，由交流电源整流逆变后对负荷进行供电，当交流电源中断时，负荷应不间断地转换到由直流逆变器供电，逆变器应连续运行。</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隔离变压器应有极好的调节和瞬态滤波能力，静态开关应能无扰动切换，控制器应采用32位DSP数字处理器，带有LCD液晶显示和智能通信接口单元。</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当装置交流输入电压下降或超过规定的输入电压时，不应发生任何损坏，并提供电源故障、过压和过流等报警信号（空接点）供计算机监控系统监视用。</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UPS装置应设有完善的保护，当UPS装置故障时，不应影响电站220V直流电源系统和电站交流厂用电系统。</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设备内部直流稳压电源应有过压过流保护及电源故障报警信号。应提供保护装置以防止由于输出的干扰使得连接到输出回路上的设备被损坏。电源接线应满足隔离要求。</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在外电源内阻小于</w:t>
      </w:r>
      <w:r>
        <w:rPr>
          <w:rFonts w:asciiTheme="minorEastAsia" w:hAnsiTheme="minorEastAsia" w:eastAsiaTheme="minorEastAsia"/>
          <w:sz w:val="21"/>
          <w:szCs w:val="21"/>
        </w:rPr>
        <w:t>0.1</w:t>
      </w:r>
      <w:r>
        <w:rPr>
          <w:rFonts w:hint="eastAsia" w:asciiTheme="minorEastAsia" w:hAnsiTheme="minorEastAsia" w:eastAsiaTheme="minorEastAsia"/>
          <w:sz w:val="21"/>
          <w:szCs w:val="21"/>
        </w:rPr>
        <w:t>Ω时，设备所产生的电噪声</w:t>
      </w:r>
      <w:r>
        <w:rPr>
          <w:rFonts w:asciiTheme="minorEastAsia" w:hAnsiTheme="minorEastAsia" w:eastAsiaTheme="minorEastAsia"/>
          <w:sz w:val="21"/>
          <w:szCs w:val="21"/>
        </w:rPr>
        <w:t>(1kHz-100kHz)</w:t>
      </w:r>
      <w:r>
        <w:rPr>
          <w:rFonts w:hint="eastAsia" w:asciiTheme="minorEastAsia" w:hAnsiTheme="minorEastAsia" w:eastAsiaTheme="minorEastAsia"/>
          <w:sz w:val="21"/>
          <w:szCs w:val="21"/>
        </w:rPr>
        <w:t>在电源输入端上所形成的峰</w:t>
      </w:r>
      <w:r>
        <w:rPr>
          <w:rFonts w:asciiTheme="minorEastAsia" w:hAnsiTheme="minorEastAsia" w:eastAsiaTheme="minorEastAsia"/>
          <w:sz w:val="21"/>
          <w:szCs w:val="21"/>
        </w:rPr>
        <w:t>-</w:t>
      </w:r>
      <w:r>
        <w:rPr>
          <w:rFonts w:hint="eastAsia" w:asciiTheme="minorEastAsia" w:hAnsiTheme="minorEastAsia" w:eastAsiaTheme="minorEastAsia"/>
          <w:sz w:val="21"/>
          <w:szCs w:val="21"/>
        </w:rPr>
        <w:t>峰值电压应小于外部电源电压的</w:t>
      </w:r>
      <w:r>
        <w:rPr>
          <w:rFonts w:asciiTheme="minorEastAsia" w:hAnsiTheme="minorEastAsia" w:eastAsiaTheme="minorEastAsia"/>
          <w:sz w:val="21"/>
          <w:szCs w:val="21"/>
        </w:rPr>
        <w:t>1.5</w:t>
      </w:r>
      <w:r>
        <w:rPr>
          <w:rFonts w:hint="eastAsia" w:asciiTheme="minorEastAsia" w:hAnsiTheme="minorEastAsia" w:eastAsiaTheme="minorEastAsia"/>
          <w:sz w:val="21"/>
          <w:szCs w:val="21"/>
        </w:rPr>
        <w:t>％。</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每套UPS</w:t>
      </w:r>
      <w:r>
        <w:rPr>
          <w:rFonts w:hint="eastAsia" w:asciiTheme="minorEastAsia" w:hAnsiTheme="minorEastAsia" w:eastAsiaTheme="minorEastAsia"/>
          <w:sz w:val="21"/>
          <w:szCs w:val="21"/>
        </w:rPr>
        <w:t>的</w:t>
      </w:r>
      <w:r>
        <w:rPr>
          <w:rFonts w:asciiTheme="minorEastAsia" w:hAnsiTheme="minorEastAsia" w:eastAsiaTheme="minorEastAsia"/>
          <w:sz w:val="21"/>
          <w:szCs w:val="21"/>
        </w:rPr>
        <w:t>交流</w:t>
      </w:r>
      <w:r>
        <w:rPr>
          <w:rFonts w:hint="eastAsia" w:asciiTheme="minorEastAsia" w:hAnsiTheme="minorEastAsia" w:eastAsiaTheme="minorEastAsia"/>
          <w:sz w:val="21"/>
          <w:szCs w:val="21"/>
        </w:rPr>
        <w:t>电源</w:t>
      </w:r>
      <w:r>
        <w:rPr>
          <w:rFonts w:asciiTheme="minorEastAsia" w:hAnsiTheme="minorEastAsia" w:eastAsiaTheme="minorEastAsia"/>
          <w:sz w:val="21"/>
          <w:szCs w:val="21"/>
        </w:rPr>
        <w:t>进线</w:t>
      </w:r>
      <w:r>
        <w:rPr>
          <w:rFonts w:hint="eastAsia" w:asciiTheme="minorEastAsia" w:hAnsiTheme="minorEastAsia" w:eastAsiaTheme="minorEastAsia"/>
          <w:sz w:val="21"/>
          <w:szCs w:val="21"/>
        </w:rPr>
        <w:t>端，提供一回三相交流</w:t>
      </w:r>
      <w:r>
        <w:rPr>
          <w:rFonts w:asciiTheme="minorEastAsia" w:hAnsiTheme="minorEastAsia" w:eastAsiaTheme="minorEastAsia"/>
          <w:sz w:val="21"/>
          <w:szCs w:val="21"/>
        </w:rPr>
        <w:t>380</w:t>
      </w:r>
      <w:r>
        <w:rPr>
          <w:rFonts w:hint="eastAsia" w:asciiTheme="minorEastAsia" w:hAnsiTheme="minorEastAsia" w:eastAsiaTheme="minorEastAsia"/>
          <w:sz w:val="21"/>
          <w:szCs w:val="21"/>
        </w:rPr>
        <w:t>电源</w:t>
      </w:r>
      <w:r>
        <w:rPr>
          <w:rFonts w:asciiTheme="minorEastAsia" w:hAnsiTheme="minorEastAsia" w:eastAsiaTheme="minorEastAsia"/>
          <w:sz w:val="21"/>
          <w:szCs w:val="21"/>
        </w:rPr>
        <w:t>。UPS直流进线引自厂用直流220V电源。另外，厂用电还提供一路检修旁路电源，供检修UPS工况时使用。设计时应考虑备用电源开关与主供电源开关之间的操作闭锁。</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UPS屏内</w:t>
      </w:r>
      <w:r>
        <w:rPr>
          <w:rFonts w:hint="eastAsia" w:asciiTheme="minorEastAsia" w:hAnsiTheme="minorEastAsia" w:eastAsiaTheme="minorEastAsia"/>
          <w:sz w:val="21"/>
          <w:szCs w:val="21"/>
        </w:rPr>
        <w:t>，</w:t>
      </w:r>
      <w:r>
        <w:rPr>
          <w:rFonts w:asciiTheme="minorEastAsia" w:hAnsiTheme="minorEastAsia" w:eastAsiaTheme="minorEastAsia"/>
          <w:sz w:val="21"/>
          <w:szCs w:val="21"/>
        </w:rPr>
        <w:t>应</w:t>
      </w:r>
      <w:r>
        <w:rPr>
          <w:rFonts w:hint="eastAsia" w:asciiTheme="minorEastAsia" w:hAnsiTheme="minorEastAsia" w:eastAsiaTheme="minorEastAsia"/>
          <w:sz w:val="21"/>
          <w:szCs w:val="21"/>
        </w:rPr>
        <w:t>各</w:t>
      </w:r>
      <w:r>
        <w:rPr>
          <w:rFonts w:asciiTheme="minorEastAsia" w:hAnsiTheme="minorEastAsia" w:eastAsiaTheme="minorEastAsia"/>
          <w:sz w:val="21"/>
          <w:szCs w:val="21"/>
        </w:rPr>
        <w:t>装设3只电量变送器，用于测UPS输出交流电流、母线电压和频率，变送器输出4～20mA送至电站计算机监控系统。电量变送器</w:t>
      </w:r>
      <w:r>
        <w:rPr>
          <w:rFonts w:hint="eastAsia" w:asciiTheme="minorEastAsia" w:hAnsiTheme="minorEastAsia" w:eastAsiaTheme="minorEastAsia"/>
          <w:sz w:val="21"/>
          <w:szCs w:val="21"/>
        </w:rPr>
        <w:t>应为国际知名品牌产品。</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UPS电源屏内应装设必要的测量表计、按钮、开关和反映设备运行状况的各种信号指示灯，供运行人员现地巡视和操作。</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每回馈线开关应带有报警辅助接点引上端子供监控系统采集。</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应将反映设备运行、故障情况的部分开关量信号应引至端子排，送往电站计算机监控系统，开关量主要应包括：</w:t>
      </w:r>
      <w:r>
        <w:rPr>
          <w:rFonts w:hint="eastAsia" w:asciiTheme="minorEastAsia" w:hAnsiTheme="minorEastAsia" w:eastAsiaTheme="minorEastAsia"/>
          <w:sz w:val="21"/>
          <w:szCs w:val="21"/>
        </w:rPr>
        <w:t>输入/输出回路各断路器位置信号、主机工作信号、旁路运行信号等，以及各种报警信号如输入电源故障、馈出母线断路器事故跳闸总信号、逆变器故障信号、</w:t>
      </w:r>
      <w:r>
        <w:rPr>
          <w:rFonts w:asciiTheme="minorEastAsia" w:hAnsiTheme="minorEastAsia" w:eastAsiaTheme="minorEastAsia"/>
          <w:sz w:val="21"/>
          <w:szCs w:val="21"/>
        </w:rPr>
        <w:t>UPS</w:t>
      </w:r>
      <w:r>
        <w:rPr>
          <w:rFonts w:hint="eastAsia" w:asciiTheme="minorEastAsia" w:hAnsiTheme="minorEastAsia" w:eastAsiaTheme="minorEastAsia"/>
          <w:sz w:val="21"/>
          <w:szCs w:val="21"/>
        </w:rPr>
        <w:t>退出运行报警信号、馈出母线低电压报警等信号</w:t>
      </w:r>
      <w:r>
        <w:rPr>
          <w:rFonts w:asciiTheme="minorEastAsia" w:hAnsiTheme="minorEastAsia" w:eastAsiaTheme="minorEastAsia"/>
          <w:sz w:val="21"/>
          <w:szCs w:val="21"/>
        </w:rPr>
        <w:t>。</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UPS系统应提供实时监控和智能化诊断系统软件，</w:t>
      </w:r>
      <w:r>
        <w:rPr>
          <w:rFonts w:asciiTheme="minorEastAsia" w:hAnsiTheme="minorEastAsia" w:eastAsiaTheme="minorEastAsia"/>
          <w:sz w:val="21"/>
          <w:szCs w:val="21"/>
        </w:rPr>
        <w:t>应有与电站计算机监控系统通讯的串行接口</w:t>
      </w:r>
      <w:r>
        <w:rPr>
          <w:rFonts w:hint="eastAsia" w:asciiTheme="minorEastAsia" w:hAnsiTheme="minorEastAsia" w:eastAsiaTheme="minorEastAsia"/>
          <w:sz w:val="21"/>
          <w:szCs w:val="21"/>
        </w:rPr>
        <w:t>（</w:t>
      </w:r>
      <w:r>
        <w:rPr>
          <w:rFonts w:asciiTheme="minorEastAsia" w:hAnsiTheme="minorEastAsia" w:eastAsiaTheme="minorEastAsia"/>
          <w:sz w:val="21"/>
          <w:szCs w:val="21"/>
        </w:rPr>
        <w:t>RS485等</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卖方提供的UPS电源系统应为完整的系统，凡属于UPS电源系统必须的设备，即使本招标文件没有详细列出，也应由卖方成套提供，以组成完整的UPS电源系统。其价格应包含在合同总价内。</w:t>
      </w:r>
    </w:p>
    <w:p>
      <w:pPr>
        <w:pStyle w:val="120"/>
        <w:numPr>
          <w:ilvl w:val="0"/>
          <w:numId w:val="89"/>
        </w:numPr>
        <w:spacing w:before="93" w:beforeLines="30" w:after="93" w:afterLines="3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双电源静态切换开关应能保证两路交流输入无缝切换输出。</w:t>
      </w:r>
    </w:p>
    <w:p>
      <w:pPr>
        <w:pStyle w:val="8"/>
        <w:numPr>
          <w:ilvl w:val="3"/>
          <w:numId w:val="88"/>
        </w:numPr>
        <w:tabs>
          <w:tab w:val="left" w:pos="709"/>
        </w:tabs>
        <w:adjustRightInd/>
        <w:spacing w:before="93" w:beforeLines="30" w:after="93" w:afterLines="30" w:line="300" w:lineRule="auto"/>
        <w:textAlignment w:val="auto"/>
        <w:rPr>
          <w:rFonts w:asciiTheme="minorEastAsia" w:hAnsiTheme="minorEastAsia" w:eastAsiaTheme="minorEastAsia"/>
          <w:snapToGrid w:val="0"/>
          <w:szCs w:val="21"/>
        </w:rPr>
      </w:pPr>
      <w:r>
        <w:rPr>
          <w:rFonts w:asciiTheme="minorEastAsia" w:hAnsiTheme="minorEastAsia" w:eastAsiaTheme="minorEastAsia"/>
          <w:snapToGrid w:val="0"/>
          <w:szCs w:val="21"/>
        </w:rPr>
        <w:t>UPS</w:t>
      </w:r>
      <w:r>
        <w:rPr>
          <w:rFonts w:hint="eastAsia" w:asciiTheme="minorEastAsia" w:hAnsiTheme="minorEastAsia" w:eastAsiaTheme="minorEastAsia"/>
          <w:snapToGrid w:val="0"/>
          <w:szCs w:val="21"/>
        </w:rPr>
        <w:t>装置技术要求</w:t>
      </w:r>
    </w:p>
    <w:p>
      <w:pPr>
        <w:autoSpaceDE w:val="0"/>
        <w:autoSpaceDN w:val="0"/>
        <w:snapToGrid w:val="0"/>
        <w:spacing w:line="360" w:lineRule="auto"/>
        <w:ind w:right="-8" w:firstLine="510"/>
        <w:textAlignment w:val="bottom"/>
        <w:rPr>
          <w:rFonts w:asciiTheme="minorEastAsia" w:hAnsiTheme="minorEastAsia" w:eastAsiaTheme="minorEastAsia"/>
          <w:szCs w:val="21"/>
        </w:rPr>
      </w:pPr>
      <w:r>
        <w:rPr>
          <w:rFonts w:hint="eastAsia" w:asciiTheme="minorEastAsia" w:hAnsiTheme="minorEastAsia" w:eastAsiaTheme="minorEastAsia"/>
          <w:szCs w:val="21"/>
        </w:rPr>
        <w:t>卖方应提供两套相同的UPS电源装置，每套UPS电源装置独立运行，各</w:t>
      </w:r>
      <w:r>
        <w:rPr>
          <w:rFonts w:asciiTheme="minorEastAsia" w:hAnsiTheme="minorEastAsia" w:eastAsiaTheme="minorEastAsia"/>
          <w:szCs w:val="21"/>
        </w:rPr>
        <w:t>带</w:t>
      </w:r>
      <w:r>
        <w:rPr>
          <w:rFonts w:hint="eastAsia" w:asciiTheme="minorEastAsia" w:hAnsiTheme="minorEastAsia" w:eastAsiaTheme="minorEastAsia"/>
          <w:szCs w:val="21"/>
        </w:rPr>
        <w:t>1段</w:t>
      </w:r>
      <w:r>
        <w:rPr>
          <w:rFonts w:asciiTheme="minorEastAsia" w:hAnsiTheme="minorEastAsia" w:eastAsiaTheme="minorEastAsia"/>
          <w:szCs w:val="21"/>
        </w:rPr>
        <w:t>母线运行。</w:t>
      </w:r>
      <w:r>
        <w:rPr>
          <w:rFonts w:hint="eastAsia" w:asciiTheme="minorEastAsia" w:hAnsiTheme="minorEastAsia" w:eastAsiaTheme="minorEastAsia"/>
          <w:szCs w:val="21"/>
        </w:rPr>
        <w:t>每套UPS电源装置额定总容量为10kVA。</w:t>
      </w:r>
      <w:bookmarkStart w:id="757" w:name="_Hlk139963628"/>
      <w:r>
        <w:rPr>
          <w:rFonts w:hint="eastAsia" w:asciiTheme="minorEastAsia" w:hAnsiTheme="minorEastAsia" w:eastAsiaTheme="minorEastAsia"/>
          <w:szCs w:val="21"/>
        </w:rPr>
        <w:t>U</w:t>
      </w:r>
      <w:r>
        <w:rPr>
          <w:rFonts w:asciiTheme="minorEastAsia" w:hAnsiTheme="minorEastAsia" w:eastAsiaTheme="minorEastAsia"/>
          <w:szCs w:val="21"/>
        </w:rPr>
        <w:t>PS</w:t>
      </w:r>
      <w:r>
        <w:rPr>
          <w:rFonts w:hint="eastAsia" w:asciiTheme="minorEastAsia" w:hAnsiTheme="minorEastAsia" w:eastAsiaTheme="minorEastAsia"/>
          <w:szCs w:val="21"/>
        </w:rPr>
        <w:t>装置应采用溯高美索克曼、克劳瑞德、固特等同等档次及以上品牌产品，最终品牌在设计联络会上确定。</w:t>
      </w:r>
    </w:p>
    <w:bookmarkEnd w:id="757"/>
    <w:p>
      <w:pPr>
        <w:autoSpaceDE w:val="0"/>
        <w:autoSpaceDN w:val="0"/>
        <w:snapToGrid w:val="0"/>
        <w:spacing w:line="360" w:lineRule="auto"/>
        <w:ind w:right="-8" w:firstLine="510"/>
        <w:textAlignment w:val="bottom"/>
        <w:rPr>
          <w:rFonts w:asciiTheme="minorEastAsia" w:hAnsiTheme="minorEastAsia" w:eastAsiaTheme="minorEastAsia"/>
          <w:szCs w:val="21"/>
        </w:rPr>
      </w:pPr>
      <w:r>
        <w:rPr>
          <w:rFonts w:asciiTheme="minorEastAsia" w:hAnsiTheme="minorEastAsia" w:eastAsiaTheme="minorEastAsia"/>
          <w:szCs w:val="21"/>
        </w:rPr>
        <w:t>UPS电源装置技术要求</w:t>
      </w:r>
      <w:r>
        <w:rPr>
          <w:rFonts w:hint="eastAsia" w:asciiTheme="minorEastAsia" w:hAnsiTheme="minorEastAsia" w:eastAsiaTheme="minorEastAsia"/>
          <w:szCs w:val="21"/>
        </w:rPr>
        <w:t>：</w:t>
      </w:r>
    </w:p>
    <w:p>
      <w:pPr>
        <w:pStyle w:val="120"/>
        <w:numPr>
          <w:ilvl w:val="0"/>
          <w:numId w:val="90"/>
        </w:numPr>
        <w:spacing w:before="93" w:beforeLines="30" w:after="93" w:afterLines="3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交流输入电压（三相）：</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380V</w:t>
      </w:r>
      <w:r>
        <w:rPr>
          <w:rFonts w:asciiTheme="minorEastAsia" w:hAnsiTheme="minorEastAsia" w:eastAsiaTheme="minorEastAsia"/>
          <w:sz w:val="21"/>
          <w:szCs w:val="21"/>
        </w:rPr>
        <w:t>×(85%~110%)</w:t>
      </w:r>
    </w:p>
    <w:p>
      <w:pPr>
        <w:pStyle w:val="120"/>
        <w:numPr>
          <w:ilvl w:val="0"/>
          <w:numId w:val="90"/>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交流输</w:t>
      </w:r>
      <w:r>
        <w:rPr>
          <w:rFonts w:hint="eastAsia" w:asciiTheme="minorEastAsia" w:hAnsiTheme="minorEastAsia" w:eastAsiaTheme="minorEastAsia"/>
          <w:sz w:val="21"/>
          <w:szCs w:val="21"/>
        </w:rPr>
        <w:t>出</w:t>
      </w:r>
      <w:r>
        <w:rPr>
          <w:rFonts w:asciiTheme="minorEastAsia" w:hAnsiTheme="minorEastAsia" w:eastAsiaTheme="minorEastAsia"/>
          <w:sz w:val="21"/>
          <w:szCs w:val="21"/>
        </w:rPr>
        <w:t>电压（单相）：     220V ±1%</w:t>
      </w:r>
    </w:p>
    <w:p>
      <w:pPr>
        <w:pStyle w:val="120"/>
        <w:numPr>
          <w:ilvl w:val="0"/>
          <w:numId w:val="90"/>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直流输入电压：</w:t>
      </w:r>
      <w:r>
        <w:rPr>
          <w:rFonts w:asciiTheme="minorEastAsia" w:hAnsiTheme="minorEastAsia" w:eastAsiaTheme="minorEastAsia"/>
          <w:sz w:val="21"/>
          <w:szCs w:val="21"/>
        </w:rPr>
        <w:tab/>
      </w:r>
      <w:r>
        <w:rPr>
          <w:rFonts w:asciiTheme="minorEastAsia" w:hAnsiTheme="minorEastAsia" w:eastAsiaTheme="minorEastAsia"/>
          <w:sz w:val="21"/>
          <w:szCs w:val="21"/>
        </w:rPr>
        <w:t xml:space="preserve">         220V×(85%~110%)</w:t>
      </w:r>
    </w:p>
    <w:p>
      <w:pPr>
        <w:pStyle w:val="120"/>
        <w:numPr>
          <w:ilvl w:val="0"/>
          <w:numId w:val="90"/>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输出功率：</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2× 1</w:t>
      </w:r>
      <w:r>
        <w:rPr>
          <w:rFonts w:hint="eastAsia" w:asciiTheme="minorEastAsia" w:hAnsiTheme="minorEastAsia" w:eastAsiaTheme="minorEastAsia"/>
          <w:sz w:val="21"/>
          <w:szCs w:val="21"/>
        </w:rPr>
        <w:t>0</w:t>
      </w:r>
      <w:r>
        <w:rPr>
          <w:rFonts w:asciiTheme="minorEastAsia" w:hAnsiTheme="minorEastAsia" w:eastAsiaTheme="minorEastAsia"/>
          <w:sz w:val="21"/>
          <w:szCs w:val="21"/>
        </w:rPr>
        <w:t>kVA</w:t>
      </w:r>
    </w:p>
    <w:p>
      <w:pPr>
        <w:pStyle w:val="120"/>
        <w:numPr>
          <w:ilvl w:val="0"/>
          <w:numId w:val="90"/>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稳压范围：静态0～100%负荷：</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p>
    <w:p>
      <w:pPr>
        <w:pStyle w:val="120"/>
        <w:spacing w:before="93" w:beforeLines="30" w:after="93" w:afterLines="30" w:line="300" w:lineRule="auto"/>
        <w:ind w:left="964" w:firstLine="0"/>
        <w:rPr>
          <w:rFonts w:asciiTheme="minorEastAsia" w:hAnsiTheme="minorEastAsia" w:eastAsiaTheme="minorEastAsia"/>
          <w:sz w:val="21"/>
          <w:szCs w:val="21"/>
        </w:rPr>
      </w:pPr>
      <w:r>
        <w:rPr>
          <w:rFonts w:asciiTheme="minorEastAsia" w:hAnsiTheme="minorEastAsia" w:eastAsiaTheme="minorEastAsia"/>
          <w:sz w:val="21"/>
          <w:szCs w:val="21"/>
        </w:rPr>
        <w:t xml:space="preserve">          动态100%负荷突变：</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p>
    <w:p>
      <w:pPr>
        <w:pStyle w:val="120"/>
        <w:numPr>
          <w:ilvl w:val="0"/>
          <w:numId w:val="90"/>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波形失真系数：</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≤4%线性负荷</w:t>
      </w:r>
    </w:p>
    <w:p>
      <w:pPr>
        <w:pStyle w:val="120"/>
        <w:numPr>
          <w:ilvl w:val="0"/>
          <w:numId w:val="90"/>
        </w:numPr>
        <w:spacing w:before="93" w:beforeLines="30" w:after="93" w:afterLines="30" w:line="30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额定输出时功率因数应满足从0超前到0滞后的任何负载</w:t>
      </w:r>
    </w:p>
    <w:p>
      <w:pPr>
        <w:pStyle w:val="120"/>
        <w:numPr>
          <w:ilvl w:val="0"/>
          <w:numId w:val="90"/>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输出频率：</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50Hz±0.05%</w:t>
      </w:r>
    </w:p>
    <w:p>
      <w:pPr>
        <w:pStyle w:val="120"/>
        <w:numPr>
          <w:ilvl w:val="0"/>
          <w:numId w:val="90"/>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波形畸变：</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&lt;2%</w:t>
      </w:r>
    </w:p>
    <w:p>
      <w:pPr>
        <w:pStyle w:val="120"/>
        <w:numPr>
          <w:ilvl w:val="0"/>
          <w:numId w:val="90"/>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噪音：</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&lt;55db</w:t>
      </w:r>
    </w:p>
    <w:p>
      <w:pPr>
        <w:pStyle w:val="120"/>
        <w:numPr>
          <w:ilvl w:val="0"/>
          <w:numId w:val="90"/>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过负荷能力：</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120%</w:t>
      </w:r>
    </w:p>
    <w:p>
      <w:pPr>
        <w:pStyle w:val="120"/>
        <w:numPr>
          <w:ilvl w:val="0"/>
          <w:numId w:val="90"/>
        </w:numPr>
        <w:spacing w:before="93" w:beforeLines="30" w:after="93" w:afterLines="30" w:line="300" w:lineRule="auto"/>
        <w:rPr>
          <w:rFonts w:asciiTheme="minorEastAsia" w:hAnsiTheme="minorEastAsia" w:eastAsiaTheme="minorEastAsia"/>
          <w:sz w:val="21"/>
          <w:szCs w:val="21"/>
        </w:rPr>
      </w:pPr>
      <w:r>
        <w:rPr>
          <w:rFonts w:asciiTheme="minorEastAsia" w:hAnsiTheme="minorEastAsia" w:eastAsiaTheme="minorEastAsia"/>
          <w:sz w:val="21"/>
          <w:szCs w:val="21"/>
        </w:rPr>
        <w:t>可靠使用寿命不低于5年</w:t>
      </w:r>
    </w:p>
    <w:p>
      <w:pPr>
        <w:pStyle w:val="8"/>
        <w:numPr>
          <w:ilvl w:val="3"/>
          <w:numId w:val="88"/>
        </w:numPr>
        <w:tabs>
          <w:tab w:val="left" w:pos="709"/>
        </w:tabs>
        <w:adjustRightInd/>
        <w:spacing w:before="93" w:beforeLines="30" w:after="93" w:afterLines="30" w:line="300" w:lineRule="auto"/>
        <w:textAlignment w:val="auto"/>
        <w:rPr>
          <w:rFonts w:asciiTheme="minorEastAsia" w:hAnsiTheme="minorEastAsia" w:eastAsiaTheme="minorEastAsia"/>
          <w:snapToGrid w:val="0"/>
          <w:szCs w:val="21"/>
        </w:rPr>
      </w:pPr>
      <w:r>
        <w:rPr>
          <w:rFonts w:asciiTheme="minorEastAsia" w:hAnsiTheme="minorEastAsia" w:eastAsiaTheme="minorEastAsia"/>
          <w:snapToGrid w:val="0"/>
          <w:szCs w:val="21"/>
        </w:rPr>
        <w:t>馈电回路采用单母线</w:t>
      </w:r>
      <w:r>
        <w:rPr>
          <w:rFonts w:hint="eastAsia" w:asciiTheme="minorEastAsia" w:hAnsiTheme="minorEastAsia" w:eastAsiaTheme="minorEastAsia"/>
          <w:snapToGrid w:val="0"/>
          <w:szCs w:val="21"/>
        </w:rPr>
        <w:t>分段</w:t>
      </w:r>
      <w:r>
        <w:rPr>
          <w:rFonts w:asciiTheme="minorEastAsia" w:hAnsiTheme="minorEastAsia" w:eastAsiaTheme="minorEastAsia"/>
          <w:snapToGrid w:val="0"/>
          <w:szCs w:val="21"/>
        </w:rPr>
        <w:t>方式</w:t>
      </w:r>
      <w:r>
        <w:rPr>
          <w:rFonts w:hint="eastAsia" w:asciiTheme="minorEastAsia" w:hAnsiTheme="minorEastAsia" w:eastAsiaTheme="minorEastAsia"/>
          <w:snapToGrid w:val="0"/>
          <w:szCs w:val="21"/>
        </w:rPr>
        <w:t>。</w:t>
      </w:r>
    </w:p>
    <w:p>
      <w:pPr>
        <w:autoSpaceDE w:val="0"/>
        <w:autoSpaceDN w:val="0"/>
        <w:snapToGrid w:val="0"/>
        <w:spacing w:line="360" w:lineRule="auto"/>
        <w:ind w:left="420" w:leftChars="200" w:firstLine="510"/>
        <w:textAlignment w:val="bottom"/>
        <w:rPr>
          <w:rFonts w:asciiTheme="minorEastAsia" w:hAnsiTheme="minorEastAsia" w:eastAsiaTheme="minorEastAsia"/>
          <w:szCs w:val="21"/>
        </w:rPr>
      </w:pPr>
      <w:r>
        <w:rPr>
          <w:rFonts w:asciiTheme="minorEastAsia" w:hAnsiTheme="minorEastAsia" w:eastAsiaTheme="minorEastAsia"/>
          <w:szCs w:val="21"/>
        </w:rPr>
        <w:t>交流馈电回路数如下：</w:t>
      </w:r>
    </w:p>
    <w:p>
      <w:pPr>
        <w:autoSpaceDE w:val="0"/>
        <w:autoSpaceDN w:val="0"/>
        <w:snapToGrid w:val="0"/>
        <w:spacing w:line="360" w:lineRule="auto"/>
        <w:ind w:left="420" w:leftChars="200" w:firstLine="510"/>
        <w:textAlignment w:val="bottom"/>
        <w:rPr>
          <w:rFonts w:asciiTheme="minorEastAsia" w:hAnsiTheme="minorEastAsia" w:eastAsiaTheme="minorEastAsia"/>
          <w:szCs w:val="21"/>
        </w:rPr>
      </w:pPr>
      <w:r>
        <w:rPr>
          <w:rFonts w:hint="eastAsia" w:asciiTheme="minorEastAsia" w:hAnsiTheme="minorEastAsia" w:eastAsiaTheme="minorEastAsia"/>
          <w:szCs w:val="21"/>
        </w:rPr>
        <w:t>I段：</w:t>
      </w:r>
    </w:p>
    <w:p>
      <w:pPr>
        <w:autoSpaceDE w:val="0"/>
        <w:autoSpaceDN w:val="0"/>
        <w:snapToGrid w:val="0"/>
        <w:spacing w:line="360" w:lineRule="auto"/>
        <w:ind w:left="420" w:leftChars="200" w:firstLine="510"/>
        <w:textAlignment w:val="bottom"/>
        <w:rPr>
          <w:rFonts w:asciiTheme="minorEastAsia" w:hAnsiTheme="minorEastAsia" w:eastAsiaTheme="minorEastAsia"/>
          <w:szCs w:val="21"/>
        </w:rPr>
      </w:pPr>
      <w:r>
        <w:rPr>
          <w:rFonts w:asciiTheme="minorEastAsia" w:hAnsiTheme="minorEastAsia" w:eastAsiaTheme="minorEastAsia"/>
          <w:szCs w:val="21"/>
        </w:rPr>
        <w:t>控制及备用回路：</w:t>
      </w:r>
      <w:r>
        <w:rPr>
          <w:rFonts w:asciiTheme="minorEastAsia" w:hAnsiTheme="minorEastAsia" w:eastAsiaTheme="minorEastAsia"/>
          <w:szCs w:val="21"/>
        </w:rPr>
        <w:tab/>
      </w:r>
      <w:r>
        <w:rPr>
          <w:rFonts w:asciiTheme="minorEastAsia" w:hAnsiTheme="minorEastAsia" w:eastAsiaTheme="minorEastAsia"/>
          <w:szCs w:val="21"/>
        </w:rPr>
        <w:t xml:space="preserve">   25回(16A)</w:t>
      </w:r>
    </w:p>
    <w:p>
      <w:pPr>
        <w:autoSpaceDE w:val="0"/>
        <w:autoSpaceDN w:val="0"/>
        <w:snapToGrid w:val="0"/>
        <w:spacing w:line="360" w:lineRule="auto"/>
        <w:ind w:left="420" w:leftChars="200" w:firstLine="510"/>
        <w:textAlignment w:val="bottom"/>
        <w:rPr>
          <w:rFonts w:asciiTheme="minorEastAsia" w:hAnsiTheme="minorEastAsia" w:eastAsiaTheme="minorEastAsia"/>
          <w:szCs w:val="21"/>
        </w:rPr>
      </w:pPr>
      <w:r>
        <w:rPr>
          <w:rFonts w:hint="eastAsia" w:asciiTheme="minorEastAsia" w:hAnsiTheme="minorEastAsia" w:eastAsiaTheme="minorEastAsia"/>
          <w:szCs w:val="21"/>
        </w:rPr>
        <w:t>I</w:t>
      </w:r>
      <w:r>
        <w:rPr>
          <w:rFonts w:asciiTheme="minorEastAsia" w:hAnsiTheme="minorEastAsia" w:eastAsiaTheme="minorEastAsia"/>
          <w:szCs w:val="21"/>
        </w:rPr>
        <w:t>I</w:t>
      </w:r>
      <w:r>
        <w:rPr>
          <w:rFonts w:hint="eastAsia" w:asciiTheme="minorEastAsia" w:hAnsiTheme="minorEastAsia" w:eastAsiaTheme="minorEastAsia"/>
          <w:szCs w:val="21"/>
        </w:rPr>
        <w:t>段：</w:t>
      </w:r>
    </w:p>
    <w:p>
      <w:pPr>
        <w:autoSpaceDE w:val="0"/>
        <w:autoSpaceDN w:val="0"/>
        <w:snapToGrid w:val="0"/>
        <w:spacing w:line="360" w:lineRule="auto"/>
        <w:ind w:left="420" w:leftChars="200" w:firstLine="510"/>
        <w:textAlignment w:val="bottom"/>
        <w:rPr>
          <w:rFonts w:ascii="宋体" w:hAnsi="宋体"/>
          <w:color w:val="000000"/>
          <w:szCs w:val="21"/>
        </w:rPr>
      </w:pPr>
      <w:r>
        <w:rPr>
          <w:rFonts w:asciiTheme="minorEastAsia" w:hAnsiTheme="minorEastAsia" w:eastAsiaTheme="minorEastAsia"/>
          <w:szCs w:val="21"/>
        </w:rPr>
        <w:t>控制及备用回路：</w:t>
      </w:r>
      <w:r>
        <w:rPr>
          <w:rFonts w:asciiTheme="minorEastAsia" w:hAnsiTheme="minorEastAsia" w:eastAsiaTheme="minorEastAsia"/>
          <w:szCs w:val="21"/>
        </w:rPr>
        <w:tab/>
      </w:r>
      <w:r>
        <w:rPr>
          <w:rFonts w:asciiTheme="minorEastAsia" w:hAnsiTheme="minorEastAsia" w:eastAsiaTheme="minorEastAsia"/>
          <w:szCs w:val="21"/>
        </w:rPr>
        <w:t xml:space="preserve">   25回(16A)</w:t>
      </w:r>
    </w:p>
    <w:p>
      <w:pPr>
        <w:pStyle w:val="5"/>
        <w:widowControl w:val="0"/>
        <w:numPr>
          <w:ilvl w:val="0"/>
          <w:numId w:val="15"/>
        </w:numPr>
        <w:snapToGrid/>
        <w:spacing w:before="156" w:after="156" w:line="360" w:lineRule="auto"/>
        <w:ind w:left="1494" w:hanging="1134"/>
        <w:jc w:val="center"/>
        <w:rPr>
          <w:rFonts w:ascii="宋体" w:hAnsi="宋体" w:eastAsia="宋体"/>
          <w:sz w:val="28"/>
          <w:szCs w:val="28"/>
        </w:rPr>
      </w:pPr>
      <w:bookmarkStart w:id="758" w:name="_Toc175977911"/>
      <w:bookmarkEnd w:id="758"/>
      <w:bookmarkStart w:id="759" w:name="_Toc413679761"/>
      <w:bookmarkEnd w:id="759"/>
      <w:bookmarkStart w:id="760" w:name="_Toc228873318"/>
      <w:bookmarkEnd w:id="760"/>
      <w:bookmarkStart w:id="761" w:name="_Toc263063593"/>
      <w:bookmarkEnd w:id="761"/>
      <w:bookmarkStart w:id="762" w:name="_Toc72142327"/>
      <w:bookmarkEnd w:id="762"/>
      <w:bookmarkStart w:id="763" w:name="_Toc116636653"/>
      <w:r>
        <w:rPr>
          <w:rFonts w:ascii="宋体" w:hAnsi="宋体" w:eastAsia="宋体"/>
          <w:sz w:val="28"/>
          <w:szCs w:val="28"/>
        </w:rPr>
        <w:br w:type="page"/>
      </w:r>
      <w:bookmarkStart w:id="764" w:name="_Toc72415717"/>
      <w:bookmarkStart w:id="765" w:name="_Toc143589489"/>
      <w:r>
        <w:rPr>
          <w:rFonts w:ascii="宋体" w:hAnsi="宋体" w:eastAsia="宋体"/>
          <w:sz w:val="28"/>
          <w:szCs w:val="28"/>
        </w:rPr>
        <w:t>招标图</w:t>
      </w:r>
      <w:bookmarkEnd w:id="763"/>
      <w:r>
        <w:rPr>
          <w:rFonts w:ascii="宋体" w:hAnsi="宋体" w:eastAsia="宋体"/>
          <w:sz w:val="28"/>
          <w:szCs w:val="28"/>
        </w:rPr>
        <w:t>纸</w:t>
      </w:r>
      <w:bookmarkEnd w:id="764"/>
      <w:bookmarkEnd w:id="765"/>
    </w:p>
    <w:p>
      <w:pPr>
        <w:pStyle w:val="6"/>
        <w:widowControl w:val="0"/>
        <w:numPr>
          <w:ilvl w:val="1"/>
          <w:numId w:val="15"/>
        </w:numPr>
        <w:tabs>
          <w:tab w:val="left" w:pos="851"/>
          <w:tab w:val="clear" w:pos="964"/>
        </w:tabs>
        <w:snapToGrid/>
        <w:spacing w:after="100" w:afterAutospacing="1" w:line="360" w:lineRule="auto"/>
        <w:ind w:left="1388" w:hanging="1388"/>
        <w:jc w:val="both"/>
        <w:rPr>
          <w:rFonts w:ascii="宋体" w:hAnsi="宋体"/>
          <w:sz w:val="24"/>
          <w:szCs w:val="24"/>
        </w:rPr>
      </w:pPr>
      <w:bookmarkStart w:id="766" w:name="_Toc175977912"/>
      <w:bookmarkEnd w:id="766"/>
      <w:bookmarkStart w:id="767" w:name="_Toc116636654"/>
      <w:bookmarkEnd w:id="767"/>
      <w:bookmarkStart w:id="768" w:name="_Toc435621296"/>
      <w:bookmarkEnd w:id="768"/>
      <w:bookmarkStart w:id="769" w:name="_Toc435075571"/>
      <w:bookmarkEnd w:id="769"/>
      <w:bookmarkStart w:id="770" w:name="_Toc228873319"/>
      <w:bookmarkEnd w:id="770"/>
      <w:bookmarkStart w:id="771" w:name="_Toc72142328"/>
      <w:bookmarkEnd w:id="771"/>
      <w:bookmarkStart w:id="772" w:name="_Toc413679762"/>
      <w:bookmarkEnd w:id="772"/>
      <w:bookmarkStart w:id="773" w:name="_Toc72415718"/>
      <w:bookmarkStart w:id="774" w:name="_Toc143589490"/>
      <w:bookmarkStart w:id="775" w:name="_Toc263063594"/>
      <w:r>
        <w:rPr>
          <w:rFonts w:ascii="宋体" w:hAnsi="宋体"/>
          <w:sz w:val="24"/>
          <w:szCs w:val="24"/>
        </w:rPr>
        <w:t>概述</w:t>
      </w:r>
      <w:bookmarkEnd w:id="773"/>
      <w:bookmarkEnd w:id="774"/>
      <w:bookmarkEnd w:id="775"/>
    </w:p>
    <w:p>
      <w:pPr>
        <w:spacing w:line="360" w:lineRule="auto"/>
        <w:ind w:left="840" w:leftChars="400"/>
        <w:rPr>
          <w:rFonts w:ascii="宋体" w:hAnsi="宋体"/>
          <w:szCs w:val="21"/>
        </w:rPr>
      </w:pPr>
      <w:r>
        <w:rPr>
          <w:rFonts w:hint="eastAsia" w:ascii="宋体" w:hAnsi="宋体"/>
          <w:szCs w:val="21"/>
        </w:rPr>
        <w:t>投标</w:t>
      </w:r>
      <w:r>
        <w:rPr>
          <w:rFonts w:ascii="宋体" w:hAnsi="宋体"/>
          <w:szCs w:val="21"/>
        </w:rPr>
        <w:t>人提供的设备应符合</w:t>
      </w:r>
      <w:r>
        <w:rPr>
          <w:rFonts w:hint="eastAsia" w:ascii="宋体" w:hAnsi="宋体"/>
          <w:szCs w:val="21"/>
        </w:rPr>
        <w:t>招标</w:t>
      </w:r>
      <w:r>
        <w:rPr>
          <w:rFonts w:ascii="宋体" w:hAnsi="宋体"/>
          <w:szCs w:val="21"/>
        </w:rPr>
        <w:t>人所提供的图纸。</w:t>
      </w:r>
    </w:p>
    <w:p>
      <w:pPr>
        <w:spacing w:line="360" w:lineRule="auto"/>
        <w:ind w:left="840" w:leftChars="400"/>
        <w:rPr>
          <w:rFonts w:ascii="宋体" w:hAnsi="宋体"/>
          <w:szCs w:val="21"/>
        </w:rPr>
      </w:pPr>
      <w:r>
        <w:rPr>
          <w:rFonts w:ascii="宋体" w:hAnsi="宋体"/>
          <w:szCs w:val="21"/>
        </w:rPr>
        <w:t>图纸并非用来确定提供的设备的设计，除表示有限制性或强制性尺寸和高程的以外，仅用于示意合同设备的总体布置。</w:t>
      </w:r>
    </w:p>
    <w:p>
      <w:pPr>
        <w:pStyle w:val="6"/>
        <w:widowControl w:val="0"/>
        <w:numPr>
          <w:ilvl w:val="1"/>
          <w:numId w:val="15"/>
        </w:numPr>
        <w:tabs>
          <w:tab w:val="left" w:pos="851"/>
          <w:tab w:val="clear" w:pos="964"/>
        </w:tabs>
        <w:snapToGrid/>
        <w:spacing w:after="100" w:afterAutospacing="1" w:line="360" w:lineRule="auto"/>
        <w:ind w:left="1388" w:hanging="1388"/>
        <w:jc w:val="both"/>
        <w:rPr>
          <w:rFonts w:ascii="宋体" w:hAnsi="宋体"/>
          <w:szCs w:val="21"/>
        </w:rPr>
      </w:pPr>
      <w:bookmarkStart w:id="776" w:name="_Toc435075572"/>
      <w:bookmarkEnd w:id="776"/>
      <w:bookmarkStart w:id="777" w:name="_Toc435621297"/>
      <w:bookmarkEnd w:id="777"/>
      <w:bookmarkStart w:id="778" w:name="_Toc228873320"/>
      <w:bookmarkEnd w:id="778"/>
      <w:bookmarkStart w:id="779" w:name="_Toc175977913"/>
      <w:bookmarkEnd w:id="779"/>
      <w:bookmarkStart w:id="780" w:name="_Toc263063595"/>
      <w:bookmarkEnd w:id="780"/>
      <w:bookmarkStart w:id="781" w:name="_Toc116636655"/>
      <w:bookmarkEnd w:id="781"/>
      <w:bookmarkStart w:id="782" w:name="_Toc72142329"/>
      <w:bookmarkEnd w:id="782"/>
      <w:bookmarkStart w:id="783" w:name="_Toc413679763"/>
      <w:bookmarkStart w:id="784" w:name="_Toc72415719"/>
      <w:bookmarkStart w:id="785" w:name="_Toc143589491"/>
      <w:r>
        <w:rPr>
          <w:rFonts w:hint="eastAsia" w:ascii="宋体" w:hAnsi="宋体"/>
          <w:szCs w:val="21"/>
        </w:rPr>
        <w:t>招标</w:t>
      </w:r>
      <w:bookmarkEnd w:id="783"/>
      <w:r>
        <w:rPr>
          <w:rFonts w:ascii="宋体" w:hAnsi="宋体"/>
          <w:szCs w:val="21"/>
        </w:rPr>
        <w:t>人图纸目录</w:t>
      </w:r>
      <w:bookmarkEnd w:id="784"/>
      <w:bookmarkEnd w:id="785"/>
    </w:p>
    <w:tbl>
      <w:tblPr>
        <w:tblStyle w:val="71"/>
        <w:tblW w:w="4133" w:type="pct"/>
        <w:tblInd w:w="106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7" w:type="dxa"/>
          <w:bottom w:w="0" w:type="dxa"/>
          <w:right w:w="107" w:type="dxa"/>
        </w:tblCellMar>
      </w:tblPr>
      <w:tblGrid>
        <w:gridCol w:w="1405"/>
        <w:gridCol w:w="63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c>
          <w:tcPr>
            <w:tcW w:w="905" w:type="pct"/>
            <w:tcBorders>
              <w:top w:val="single" w:color="auto" w:sz="4" w:space="0"/>
              <w:left w:val="single" w:color="auto" w:sz="4" w:space="0"/>
              <w:bottom w:val="single" w:color="auto" w:sz="6" w:space="0"/>
              <w:right w:val="single" w:color="auto" w:sz="6" w:space="0"/>
            </w:tcBorders>
          </w:tcPr>
          <w:p>
            <w:pPr>
              <w:adjustRightInd w:val="0"/>
              <w:spacing w:line="360" w:lineRule="auto"/>
              <w:textAlignment w:val="baseline"/>
              <w:rPr>
                <w:rFonts w:ascii="宋体" w:hAnsi="宋体"/>
                <w:szCs w:val="21"/>
              </w:rPr>
            </w:pPr>
            <w:r>
              <w:rPr>
                <w:rFonts w:ascii="宋体" w:hAnsi="宋体"/>
                <w:szCs w:val="21"/>
              </w:rPr>
              <w:t>附图1</w:t>
            </w:r>
          </w:p>
        </w:tc>
        <w:tc>
          <w:tcPr>
            <w:tcW w:w="4095" w:type="pct"/>
            <w:tcBorders>
              <w:top w:val="single" w:color="auto" w:sz="4" w:space="0"/>
              <w:left w:val="single" w:color="auto" w:sz="6" w:space="0"/>
              <w:bottom w:val="single" w:color="auto" w:sz="6" w:space="0"/>
              <w:right w:val="single" w:color="auto" w:sz="4" w:space="0"/>
            </w:tcBorders>
          </w:tcPr>
          <w:p>
            <w:pPr>
              <w:adjustRightInd w:val="0"/>
              <w:spacing w:line="360" w:lineRule="auto"/>
              <w:textAlignment w:val="baseline"/>
              <w:rPr>
                <w:rFonts w:ascii="宋体" w:hAnsi="宋体"/>
                <w:szCs w:val="21"/>
              </w:rPr>
            </w:pPr>
            <w:r>
              <w:rPr>
                <w:rFonts w:hint="eastAsia" w:ascii="宋体" w:hAnsi="宋体"/>
                <w:szCs w:val="21"/>
              </w:rPr>
              <w:t>电气主接线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7" w:type="dxa"/>
            <w:bottom w:w="0" w:type="dxa"/>
            <w:right w:w="107" w:type="dxa"/>
          </w:tblCellMar>
        </w:tblPrEx>
        <w:tc>
          <w:tcPr>
            <w:tcW w:w="905" w:type="pct"/>
            <w:tcBorders>
              <w:top w:val="single" w:color="auto" w:sz="6" w:space="0"/>
              <w:left w:val="single" w:color="auto" w:sz="4" w:space="0"/>
              <w:bottom w:val="single" w:color="auto" w:sz="4" w:space="0"/>
              <w:right w:val="single" w:color="auto" w:sz="6" w:space="0"/>
            </w:tcBorders>
          </w:tcPr>
          <w:p>
            <w:pPr>
              <w:adjustRightInd w:val="0"/>
              <w:spacing w:line="360" w:lineRule="auto"/>
              <w:textAlignment w:val="baseline"/>
              <w:rPr>
                <w:rFonts w:ascii="宋体" w:hAnsi="宋体"/>
                <w:szCs w:val="21"/>
              </w:rPr>
            </w:pPr>
            <w:r>
              <w:rPr>
                <w:rFonts w:hint="eastAsia" w:ascii="宋体" w:hAnsi="宋体"/>
                <w:szCs w:val="21"/>
              </w:rPr>
              <w:t>附图2</w:t>
            </w:r>
          </w:p>
        </w:tc>
        <w:tc>
          <w:tcPr>
            <w:tcW w:w="4095" w:type="pct"/>
            <w:tcBorders>
              <w:top w:val="single" w:color="auto" w:sz="6" w:space="0"/>
              <w:left w:val="single" w:color="auto" w:sz="6" w:space="0"/>
              <w:bottom w:val="single" w:color="auto" w:sz="4" w:space="0"/>
              <w:right w:val="single" w:color="auto" w:sz="4" w:space="0"/>
            </w:tcBorders>
          </w:tcPr>
          <w:p>
            <w:pPr>
              <w:adjustRightInd w:val="0"/>
              <w:spacing w:line="360" w:lineRule="auto"/>
              <w:textAlignment w:val="baseline"/>
              <w:rPr>
                <w:rFonts w:ascii="宋体" w:hAnsi="宋体"/>
                <w:szCs w:val="21"/>
              </w:rPr>
            </w:pPr>
            <w:r>
              <w:rPr>
                <w:rFonts w:hint="eastAsia" w:ascii="宋体" w:hAnsi="宋体"/>
                <w:szCs w:val="21"/>
              </w:rPr>
              <w:t>继电保护,安全自动装置及测量仪表配置图</w:t>
            </w:r>
          </w:p>
        </w:tc>
      </w:tr>
    </w:tbl>
    <w:p>
      <w:pPr>
        <w:spacing w:before="93" w:beforeLines="30" w:after="93" w:afterLines="30" w:line="300" w:lineRule="auto"/>
        <w:rPr>
          <w:rFonts w:ascii="宋体" w:hAnsi="宋体"/>
          <w:spacing w:val="5"/>
          <w:szCs w:val="21"/>
        </w:rPr>
      </w:pPr>
    </w:p>
    <w:bookmarkEnd w:id="14"/>
    <w:p>
      <w:pPr>
        <w:rPr>
          <w:rFonts w:ascii="宋体" w:hAnsi="宋体"/>
        </w:rPr>
      </w:pPr>
      <w:bookmarkStart w:id="786" w:name="_GoBack"/>
      <w:bookmarkEnd w:id="786"/>
    </w:p>
    <w:sectPr>
      <w:footerReference r:id="rId4" w:type="first"/>
      <w:pgSz w:w="11906" w:h="16838"/>
      <w:pgMar w:top="1440" w:right="926"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LinePrinter">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TimesNewRomanPSMT">
    <w:altName w:val="Times New Roman"/>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简魏碑">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Narrow">
    <w:panose1 w:val="020B0606020202030204"/>
    <w:charset w:val="00"/>
    <w:family w:val="swiss"/>
    <w:pitch w:val="default"/>
    <w:sig w:usb0="00000287" w:usb1="00000800" w:usb2="00000000" w:usb3="00000000" w:csb0="2000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0563019"/>
    </w:sdtPr>
    <w:sdtContent>
      <w:p>
        <w:pPr>
          <w:pStyle w:val="46"/>
          <w:jc w:val="center"/>
        </w:pPr>
        <w:r>
          <w:fldChar w:fldCharType="begin"/>
        </w:r>
        <w:r>
          <w:instrText xml:space="preserve">PAGE   \* MERGEFORMAT</w:instrText>
        </w:r>
        <w:r>
          <w:fldChar w:fldCharType="separate"/>
        </w:r>
        <w:r>
          <w:rPr>
            <w:lang w:val="zh-CN"/>
          </w:rPr>
          <w:t>1</w:t>
        </w:r>
        <w:r>
          <w:fldChar w:fldCharType="end"/>
        </w:r>
      </w:p>
    </w:sdtContent>
  </w:sdt>
  <w:p>
    <w:pPr>
      <w:pStyle w:val="4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tabs>
        <w:tab w:val="center" w:pos="4153"/>
        <w:tab w:val="right" w:pos="8306"/>
      </w:tabs>
    </w:pPr>
    <w:r>
      <w:rPr>
        <w:rFonts w:hint="eastAsia"/>
      </w:rPr>
      <w:t>涪江干流梯级渠化双江航电枢纽工程接入系统设备采购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1">
    <w:nsid w:val="00000003"/>
    <w:multiLevelType w:val="singleLevel"/>
    <w:tmpl w:val="00000003"/>
    <w:lvl w:ilvl="0" w:tentative="0">
      <w:start w:val="1"/>
      <w:numFmt w:val="bullet"/>
      <w:pStyle w:val="205"/>
      <w:lvlText w:val=""/>
      <w:lvlJc w:val="left"/>
      <w:pPr>
        <w:tabs>
          <w:tab w:val="left" w:pos="1200"/>
        </w:tabs>
        <w:ind w:left="1200" w:hanging="360"/>
      </w:pPr>
      <w:rPr>
        <w:rFonts w:hint="default" w:ascii="Wingdings" w:hAnsi="Wingdings"/>
      </w:rPr>
    </w:lvl>
  </w:abstractNum>
  <w:abstractNum w:abstractNumId="2">
    <w:nsid w:val="00000006"/>
    <w:multiLevelType w:val="singleLevel"/>
    <w:tmpl w:val="00000006"/>
    <w:lvl w:ilvl="0" w:tentative="0">
      <w:start w:val="1"/>
      <w:numFmt w:val="lowerLetter"/>
      <w:pStyle w:val="207"/>
      <w:lvlText w:val="(%1)"/>
      <w:lvlJc w:val="left"/>
      <w:pPr>
        <w:tabs>
          <w:tab w:val="left" w:pos="851"/>
        </w:tabs>
        <w:ind w:left="851" w:hanging="426"/>
      </w:pPr>
      <w:rPr>
        <w:rFonts w:cs="Times New Roman"/>
      </w:rPr>
    </w:lvl>
  </w:abstractNum>
  <w:abstractNum w:abstractNumId="3">
    <w:nsid w:val="0000000F"/>
    <w:multiLevelType w:val="multilevel"/>
    <w:tmpl w:val="0000000F"/>
    <w:lvl w:ilvl="0" w:tentative="0">
      <w:start w:val="1"/>
      <w:numFmt w:val="decimal"/>
      <w:pStyle w:val="158"/>
      <w:lvlText w:val="6.2.%1"/>
      <w:lvlJc w:val="left"/>
      <w:pPr>
        <w:tabs>
          <w:tab w:val="left" w:pos="720"/>
        </w:tabs>
        <w:ind w:left="360" w:hanging="360"/>
      </w:pPr>
      <w:rPr>
        <w:rFonts w:hint="default" w:ascii="Arial" w:hAnsi="Arial" w:cs="Times New Roman"/>
        <w:b w:val="0"/>
        <w:sz w:val="21"/>
        <w:szCs w:val="21"/>
      </w:rPr>
    </w:lvl>
    <w:lvl w:ilvl="1" w:tentative="0">
      <w:start w:val="1"/>
      <w:numFmt w:val="decimal"/>
      <w:lvlText w:val="12.%2"/>
      <w:lvlJc w:val="left"/>
      <w:pPr>
        <w:tabs>
          <w:tab w:val="left" w:pos="720"/>
        </w:tabs>
        <w:ind w:left="360" w:hanging="360"/>
      </w:pPr>
      <w:rPr>
        <w:rFonts w:hint="default" w:ascii="Arial" w:hAnsi="Arial" w:eastAsia="宋体" w:cs="Times New Roman"/>
        <w:b/>
        <w:i w:val="0"/>
        <w:sz w:val="24"/>
      </w:rPr>
    </w:lvl>
    <w:lvl w:ilvl="2" w:tentative="0">
      <w:start w:val="1"/>
      <w:numFmt w:val="decimal"/>
      <w:lvlText w:val="12.7.%3"/>
      <w:lvlJc w:val="left"/>
      <w:pPr>
        <w:tabs>
          <w:tab w:val="left" w:pos="720"/>
        </w:tabs>
        <w:ind w:left="720" w:hanging="720"/>
      </w:pPr>
      <w:rPr>
        <w:rFonts w:hint="default" w:ascii="Arial" w:hAnsi="Arial" w:cs="Times New Roman"/>
        <w:b w:val="0"/>
        <w:i w:val="0"/>
        <w:sz w:val="24"/>
      </w:rPr>
    </w:lvl>
    <w:lvl w:ilvl="3" w:tentative="0">
      <w:start w:val="1"/>
      <w:numFmt w:val="decimal"/>
      <w:lvlText w:val="12.6.2.%4"/>
      <w:lvlJc w:val="left"/>
      <w:pPr>
        <w:tabs>
          <w:tab w:val="left" w:pos="1080"/>
        </w:tabs>
        <w:ind w:left="1080" w:hanging="1080"/>
      </w:pPr>
      <w:rPr>
        <w:rFonts w:hint="default" w:ascii="Arial" w:hAnsi="Arial" w:cs="Times New Roman"/>
        <w:sz w:val="24"/>
      </w:rPr>
    </w:lvl>
    <w:lvl w:ilvl="4" w:tentative="0">
      <w:start w:val="1"/>
      <w:numFmt w:val="decimal"/>
      <w:lvlText w:val="1.3.%5"/>
      <w:lvlJc w:val="left"/>
      <w:pPr>
        <w:tabs>
          <w:tab w:val="left" w:pos="1080"/>
        </w:tabs>
        <w:ind w:left="1080" w:hanging="1080"/>
      </w:pPr>
      <w:rPr>
        <w:rFonts w:hint="default" w:ascii="Arial" w:hAnsi="Arial" w:eastAsia="宋体" w:cs="Times New Roman"/>
        <w:b w:val="0"/>
        <w:i w:val="0"/>
        <w:sz w:val="24"/>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800"/>
        </w:tabs>
        <w:ind w:left="1800" w:hanging="180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2160"/>
        </w:tabs>
        <w:ind w:left="2160" w:hanging="2160"/>
      </w:pPr>
      <w:rPr>
        <w:rFonts w:hint="default" w:cs="Times New Roman"/>
      </w:rPr>
    </w:lvl>
  </w:abstractNum>
  <w:abstractNum w:abstractNumId="4">
    <w:nsid w:val="00000014"/>
    <w:multiLevelType w:val="singleLevel"/>
    <w:tmpl w:val="00000014"/>
    <w:lvl w:ilvl="0" w:tentative="0">
      <w:start w:val="1"/>
      <w:numFmt w:val="bullet"/>
      <w:pStyle w:val="190"/>
      <w:lvlText w:val=""/>
      <w:lvlJc w:val="left"/>
      <w:pPr>
        <w:tabs>
          <w:tab w:val="left" w:pos="780"/>
        </w:tabs>
        <w:ind w:left="780" w:hanging="360"/>
      </w:pPr>
      <w:rPr>
        <w:rFonts w:hint="default" w:ascii="Wingdings" w:hAnsi="Wingdings"/>
      </w:rPr>
    </w:lvl>
  </w:abstractNum>
  <w:abstractNum w:abstractNumId="5">
    <w:nsid w:val="00000019"/>
    <w:multiLevelType w:val="multilevel"/>
    <w:tmpl w:val="00000019"/>
    <w:lvl w:ilvl="0" w:tentative="0">
      <w:start w:val="3"/>
      <w:numFmt w:val="decimal"/>
      <w:pStyle w:val="492"/>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6">
    <w:nsid w:val="00000020"/>
    <w:multiLevelType w:val="multilevel"/>
    <w:tmpl w:val="00000020"/>
    <w:lvl w:ilvl="0" w:tentative="0">
      <w:start w:val="1"/>
      <w:numFmt w:val="decimal"/>
      <w:lvlText w:val="%1"/>
      <w:lvlJc w:val="left"/>
      <w:pPr>
        <w:tabs>
          <w:tab w:val="left" w:pos="284"/>
        </w:tabs>
        <w:ind w:left="284" w:hanging="284"/>
      </w:pPr>
      <w:rPr>
        <w:rFonts w:hint="eastAsia" w:cs="Times New Roman"/>
      </w:rPr>
    </w:lvl>
    <w:lvl w:ilvl="1" w:tentative="0">
      <w:start w:val="1"/>
      <w:numFmt w:val="decimal"/>
      <w:pStyle w:val="109"/>
      <w:lvlText w:val="%1.%2"/>
      <w:lvlJc w:val="left"/>
      <w:pPr>
        <w:tabs>
          <w:tab w:val="left" w:pos="180"/>
        </w:tabs>
        <w:ind w:left="180"/>
      </w:pPr>
      <w:rPr>
        <w:rFonts w:hint="default" w:ascii="Times New Roman" w:hAnsi="Times New Roman" w:cs="Times New Roman"/>
      </w:rPr>
    </w:lvl>
    <w:lvl w:ilvl="2" w:tentative="0">
      <w:start w:val="1"/>
      <w:numFmt w:val="decimal"/>
      <w:pStyle w:val="139"/>
      <w:lvlText w:val="%1.%2.%3"/>
      <w:lvlJc w:val="left"/>
      <w:pPr>
        <w:tabs>
          <w:tab w:val="left" w:pos="710"/>
        </w:tabs>
        <w:ind w:left="710" w:hanging="170"/>
      </w:pPr>
      <w:rPr>
        <w:rFonts w:hint="default" w:ascii="Times New Roman" w:hAnsi="Times New Roman" w:cs="Times New Roman"/>
        <w:color w:val="auto"/>
        <w:sz w:val="24"/>
        <w:szCs w:val="24"/>
      </w:rPr>
    </w:lvl>
    <w:lvl w:ilvl="3" w:tentative="0">
      <w:start w:val="1"/>
      <w:numFmt w:val="decimal"/>
      <w:lvlText w:val="%1.%2.%3.%4"/>
      <w:lvlJc w:val="left"/>
      <w:pPr>
        <w:tabs>
          <w:tab w:val="left" w:pos="454"/>
        </w:tabs>
        <w:ind w:left="454" w:firstLine="113"/>
      </w:pPr>
      <w:rPr>
        <w:rFonts w:hint="default" w:ascii="Times New Roman" w:hAnsi="Times New Roman" w:eastAsia="宋体" w:cs="Times New Roman"/>
        <w:color w:val="auto"/>
      </w:rPr>
    </w:lvl>
    <w:lvl w:ilvl="4" w:tentative="0">
      <w:start w:val="1"/>
      <w:numFmt w:val="decimal"/>
      <w:lvlText w:val="%1.%2.%3.%4.%5"/>
      <w:lvlJc w:val="left"/>
      <w:pPr>
        <w:tabs>
          <w:tab w:val="left" w:pos="2126"/>
        </w:tabs>
        <w:ind w:left="2126" w:hanging="850"/>
      </w:pPr>
      <w:rPr>
        <w:rFonts w:hint="eastAsia" w:cs="Times New Roman"/>
      </w:rPr>
    </w:lvl>
    <w:lvl w:ilvl="5" w:tentative="0">
      <w:start w:val="1"/>
      <w:numFmt w:val="decimal"/>
      <w:lvlText w:val="%1.%2.%3.%4.%5.%6"/>
      <w:lvlJc w:val="left"/>
      <w:pPr>
        <w:tabs>
          <w:tab w:val="left" w:pos="2835"/>
        </w:tabs>
        <w:ind w:left="2835" w:hanging="1134"/>
      </w:pPr>
      <w:rPr>
        <w:rFonts w:hint="eastAsia" w:cs="Times New Roman"/>
      </w:rPr>
    </w:lvl>
    <w:lvl w:ilvl="6" w:tentative="0">
      <w:start w:val="1"/>
      <w:numFmt w:val="decimal"/>
      <w:lvlText w:val="%1.%2.%3.%4.%5.%6.%7"/>
      <w:lvlJc w:val="left"/>
      <w:pPr>
        <w:tabs>
          <w:tab w:val="left" w:pos="3402"/>
        </w:tabs>
        <w:ind w:left="3402" w:hanging="1276"/>
      </w:pPr>
      <w:rPr>
        <w:rFonts w:hint="eastAsia" w:cs="Times New Roman"/>
      </w:rPr>
    </w:lvl>
    <w:lvl w:ilvl="7" w:tentative="0">
      <w:start w:val="1"/>
      <w:numFmt w:val="decimal"/>
      <w:lvlText w:val="%1.%2.%3.%4.%5.%6.%7.%8"/>
      <w:lvlJc w:val="left"/>
      <w:pPr>
        <w:tabs>
          <w:tab w:val="left" w:pos="3969"/>
        </w:tabs>
        <w:ind w:left="3969" w:hanging="1418"/>
      </w:pPr>
      <w:rPr>
        <w:rFonts w:hint="eastAsia" w:cs="Times New Roman"/>
      </w:rPr>
    </w:lvl>
    <w:lvl w:ilvl="8" w:tentative="0">
      <w:start w:val="1"/>
      <w:numFmt w:val="decimal"/>
      <w:lvlText w:val="%1.%2.%3.%4.%5.%6.%7.%8.%9"/>
      <w:lvlJc w:val="left"/>
      <w:pPr>
        <w:tabs>
          <w:tab w:val="left" w:pos="4677"/>
        </w:tabs>
        <w:ind w:left="4677" w:hanging="1700"/>
      </w:pPr>
      <w:rPr>
        <w:rFonts w:hint="eastAsia" w:cs="Times New Roman"/>
      </w:rPr>
    </w:lvl>
  </w:abstractNum>
  <w:abstractNum w:abstractNumId="7">
    <w:nsid w:val="00000024"/>
    <w:multiLevelType w:val="multilevel"/>
    <w:tmpl w:val="00000024"/>
    <w:lvl w:ilvl="0" w:tentative="0">
      <w:start w:val="1"/>
      <w:numFmt w:val="decimal"/>
      <w:pStyle w:val="333"/>
      <w:lvlText w:val="%1"/>
      <w:lvlJc w:val="left"/>
      <w:pPr>
        <w:tabs>
          <w:tab w:val="left" w:pos="425"/>
        </w:tabs>
        <w:ind w:left="425" w:hanging="425"/>
      </w:pPr>
      <w:rPr>
        <w:rFonts w:hint="default" w:ascii="Times New Roman" w:hAnsi="Times New Roman" w:cs="Times New Roman"/>
      </w:rPr>
    </w:lvl>
    <w:lvl w:ilvl="1" w:tentative="0">
      <w:start w:val="1"/>
      <w:numFmt w:val="decimal"/>
      <w:pStyle w:val="162"/>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8">
    <w:nsid w:val="00000029"/>
    <w:multiLevelType w:val="multilevel"/>
    <w:tmpl w:val="00000029"/>
    <w:lvl w:ilvl="0" w:tentative="0">
      <w:start w:val="1"/>
      <w:numFmt w:val="none"/>
      <w:pStyle w:val="502"/>
      <w:suff w:val="space"/>
      <w:lvlText w:val="第一章"/>
      <w:lvlJc w:val="left"/>
      <w:pPr>
        <w:ind w:left="0" w:firstLine="0"/>
      </w:pPr>
      <w:rPr>
        <w:rFonts w:hint="default" w:ascii="Times New Roman" w:hAnsi="Times New Roman" w:cs="Times New Roman"/>
        <w:b/>
        <w:i w:val="0"/>
        <w:sz w:val="24"/>
        <w:szCs w:val="24"/>
      </w:rPr>
    </w:lvl>
    <w:lvl w:ilvl="1" w:tentative="0">
      <w:start w:val="1"/>
      <w:numFmt w:val="decimal"/>
      <w:lvlText w:val="%1.%2"/>
      <w:lvlJc w:val="left"/>
      <w:pPr>
        <w:tabs>
          <w:tab w:val="left" w:pos="1172"/>
        </w:tabs>
        <w:ind w:left="1172" w:hanging="992"/>
      </w:pPr>
      <w:rPr>
        <w:rFonts w:hint="default" w:ascii="Times New Roman" w:hAnsi="Times New Roman" w:cs="Times New Roman"/>
        <w:b/>
        <w:i w:val="0"/>
        <w:sz w:val="21"/>
        <w:szCs w:val="21"/>
      </w:rPr>
    </w:lvl>
    <w:lvl w:ilvl="2" w:tentative="0">
      <w:start w:val="1"/>
      <w:numFmt w:val="decimal"/>
      <w:lvlText w:val="%1.%2.%3"/>
      <w:lvlJc w:val="left"/>
      <w:pPr>
        <w:tabs>
          <w:tab w:val="left" w:pos="984"/>
        </w:tabs>
        <w:ind w:left="984" w:hanging="624"/>
      </w:pPr>
      <w:rPr>
        <w:rFonts w:hint="default" w:ascii="Times New Roman" w:hAnsi="Times New Roman" w:cs="Times New Roman"/>
        <w:b w:val="0"/>
        <w:i w:val="0"/>
        <w:color w:val="auto"/>
        <w:sz w:val="21"/>
        <w:szCs w:val="21"/>
      </w:rPr>
    </w:lvl>
    <w:lvl w:ilvl="3" w:tentative="0">
      <w:start w:val="1"/>
      <w:numFmt w:val="decimal"/>
      <w:lvlText w:val="%1.%2.%3.%4"/>
      <w:lvlJc w:val="left"/>
      <w:pPr>
        <w:tabs>
          <w:tab w:val="left" w:pos="680"/>
        </w:tabs>
        <w:ind w:left="851" w:hanging="851"/>
      </w:pPr>
      <w:rPr>
        <w:rFonts w:hint="default" w:ascii="Times New Roman" w:hAnsi="Times New Roman" w:eastAsia="仿宋_GB2312" w:cs="Times New Roman"/>
        <w:sz w:val="21"/>
        <w:szCs w:val="21"/>
      </w:rPr>
    </w:lvl>
    <w:lvl w:ilvl="4" w:tentative="0">
      <w:start w:val="1"/>
      <w:numFmt w:val="decimal"/>
      <w:lvlText w:val="%1.%2.%3.%4.%5"/>
      <w:lvlJc w:val="left"/>
      <w:pPr>
        <w:tabs>
          <w:tab w:val="left" w:pos="2781"/>
        </w:tabs>
        <w:ind w:left="2551" w:hanging="850"/>
      </w:pPr>
      <w:rPr>
        <w:rFonts w:hint="eastAsia" w:cs="Times New Roman"/>
        <w:b w:val="0"/>
        <w:i w:val="0"/>
        <w:sz w:val="24"/>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399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202"/>
        </w:tabs>
        <w:ind w:left="5102" w:hanging="1700"/>
      </w:pPr>
      <w:rPr>
        <w:rFonts w:hint="eastAsia" w:cs="Times New Roman"/>
      </w:rPr>
    </w:lvl>
  </w:abstractNum>
  <w:abstractNum w:abstractNumId="9">
    <w:nsid w:val="00000036"/>
    <w:multiLevelType w:val="multilevel"/>
    <w:tmpl w:val="00000036"/>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85"/>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0">
    <w:nsid w:val="03C707E3"/>
    <w:multiLevelType w:val="multilevel"/>
    <w:tmpl w:val="03C707E3"/>
    <w:lvl w:ilvl="0" w:tentative="0">
      <w:start w:val="6"/>
      <w:numFmt w:val="decimal"/>
      <w:lvlText w:val="第%1章"/>
      <w:lvlJc w:val="center"/>
      <w:pPr>
        <w:tabs>
          <w:tab w:val="left" w:pos="432"/>
        </w:tabs>
        <w:ind w:left="432" w:hanging="144"/>
      </w:pPr>
      <w:rPr>
        <w:rFonts w:hint="eastAsia" w:ascii="宋体" w:hAnsi="宋体" w:eastAsia="宋体"/>
      </w:rPr>
    </w:lvl>
    <w:lvl w:ilvl="1" w:tentative="0">
      <w:start w:val="1"/>
      <w:numFmt w:val="decimal"/>
      <w:lvlText w:val="%1.%2"/>
      <w:lvlJc w:val="left"/>
      <w:pPr>
        <w:tabs>
          <w:tab w:val="left" w:pos="964"/>
        </w:tabs>
        <w:ind w:left="964" w:hanging="964"/>
      </w:pPr>
      <w:rPr>
        <w:rFonts w:hint="eastAsia" w:ascii="宋体" w:hAnsi="宋体" w:eastAsia="宋体"/>
      </w:rPr>
    </w:lvl>
    <w:lvl w:ilvl="2" w:tentative="0">
      <w:start w:val="1"/>
      <w:numFmt w:val="decimal"/>
      <w:lvlText w:val="%1.1.%3"/>
      <w:lvlJc w:val="left"/>
      <w:pPr>
        <w:tabs>
          <w:tab w:val="left" w:pos="964"/>
        </w:tabs>
        <w:ind w:left="964" w:hanging="964"/>
      </w:pPr>
      <w:rPr>
        <w:rFonts w:hint="eastAsia" w:ascii="宋体" w:hAnsi="宋体" w:eastAsia="宋体"/>
        <w:b w:val="0"/>
        <w:i w:val="0"/>
        <w:sz w:val="21"/>
        <w:szCs w:val="21"/>
      </w:rPr>
    </w:lvl>
    <w:lvl w:ilvl="3" w:tentative="0">
      <w:start w:val="1"/>
      <w:numFmt w:val="decimal"/>
      <w:lvlText w:val="1.5.5.%4"/>
      <w:lvlJc w:val="left"/>
      <w:pPr>
        <w:tabs>
          <w:tab w:val="left" w:pos="964"/>
        </w:tabs>
        <w:ind w:left="964" w:hanging="964"/>
      </w:pPr>
      <w:rPr>
        <w:rFonts w:hint="eastAsia" w:ascii="宋体" w:hAnsi="宋体" w:eastAsia="宋体"/>
        <w:b w:val="0"/>
      </w:rPr>
    </w:lvl>
    <w:lvl w:ilvl="4" w:tentative="0">
      <w:start w:val="1"/>
      <w:numFmt w:val="decimal"/>
      <w:lvlText w:val="1.5.5.%4.%5"/>
      <w:lvlJc w:val="left"/>
      <w:pPr>
        <w:tabs>
          <w:tab w:val="left" w:pos="1008"/>
        </w:tabs>
        <w:ind w:left="1008" w:hanging="1008"/>
      </w:pPr>
      <w:rPr>
        <w:rFonts w:hint="eastAsia" w:ascii="宋体" w:hAnsi="宋体" w:eastAsia="宋体"/>
        <w:b w:val="0"/>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11">
    <w:nsid w:val="04EE55E9"/>
    <w:multiLevelType w:val="multilevel"/>
    <w:tmpl w:val="04EE55E9"/>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12">
    <w:nsid w:val="06E3539B"/>
    <w:multiLevelType w:val="multilevel"/>
    <w:tmpl w:val="06E3539B"/>
    <w:lvl w:ilvl="0" w:tentative="0">
      <w:start w:val="1"/>
      <w:numFmt w:val="decimal"/>
      <w:lvlText w:val="(%1)"/>
      <w:lvlJc w:val="left"/>
      <w:pPr>
        <w:tabs>
          <w:tab w:val="left" w:pos="1004"/>
        </w:tabs>
        <w:ind w:left="1004"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3">
    <w:nsid w:val="08D925C0"/>
    <w:multiLevelType w:val="multilevel"/>
    <w:tmpl w:val="08D925C0"/>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14">
    <w:nsid w:val="094A0F0A"/>
    <w:multiLevelType w:val="multilevel"/>
    <w:tmpl w:val="094A0F0A"/>
    <w:lvl w:ilvl="0" w:tentative="0">
      <w:start w:val="1"/>
      <w:numFmt w:val="decimal"/>
      <w:lvlText w:val="第%1章"/>
      <w:lvlJc w:val="center"/>
      <w:pPr>
        <w:tabs>
          <w:tab w:val="left" w:pos="432"/>
        </w:tabs>
        <w:ind w:left="432" w:hanging="144"/>
      </w:pPr>
      <w:rPr>
        <w:rFonts w:hint="eastAsia" w:ascii="宋体" w:hAnsi="宋体" w:eastAsia="宋体"/>
      </w:rPr>
    </w:lvl>
    <w:lvl w:ilvl="1" w:tentative="0">
      <w:start w:val="1"/>
      <w:numFmt w:val="decimal"/>
      <w:lvlText w:val="%1.%2"/>
      <w:lvlJc w:val="left"/>
      <w:pPr>
        <w:tabs>
          <w:tab w:val="left" w:pos="964"/>
        </w:tabs>
        <w:ind w:left="964" w:hanging="964"/>
      </w:pPr>
      <w:rPr>
        <w:rFonts w:hint="eastAsia" w:ascii="宋体" w:hAnsi="宋体" w:eastAsia="宋体"/>
      </w:rPr>
    </w:lvl>
    <w:lvl w:ilvl="2" w:tentative="0">
      <w:start w:val="1"/>
      <w:numFmt w:val="decimal"/>
      <w:lvlText w:val="%1.1.%3"/>
      <w:lvlJc w:val="left"/>
      <w:pPr>
        <w:tabs>
          <w:tab w:val="left" w:pos="964"/>
        </w:tabs>
        <w:ind w:left="964" w:hanging="964"/>
      </w:pPr>
      <w:rPr>
        <w:rFonts w:hint="eastAsia" w:ascii="宋体" w:hAnsi="宋体" w:eastAsia="宋体"/>
        <w:b w:val="0"/>
        <w:i w:val="0"/>
        <w:sz w:val="21"/>
        <w:szCs w:val="21"/>
      </w:rPr>
    </w:lvl>
    <w:lvl w:ilvl="3" w:tentative="0">
      <w:start w:val="1"/>
      <w:numFmt w:val="decimal"/>
      <w:lvlText w:val="%1.2.6.%4"/>
      <w:lvlJc w:val="left"/>
      <w:pPr>
        <w:tabs>
          <w:tab w:val="left" w:pos="964"/>
        </w:tabs>
        <w:ind w:left="964" w:hanging="964"/>
      </w:pPr>
      <w:rPr>
        <w:rFonts w:hint="eastAsia" w:ascii="宋体" w:hAnsi="宋体" w:eastAsia="宋体"/>
        <w:b w:val="0"/>
      </w:rPr>
    </w:lvl>
    <w:lvl w:ilvl="4" w:tentative="0">
      <w:start w:val="1"/>
      <w:numFmt w:val="decimal"/>
      <w:lvlText w:val="%1.%2.%3.%4.%5"/>
      <w:lvlJc w:val="left"/>
      <w:pPr>
        <w:tabs>
          <w:tab w:val="left" w:pos="1008"/>
        </w:tabs>
        <w:ind w:left="1008" w:hanging="1008"/>
      </w:pPr>
      <w:rPr>
        <w:rFonts w:hint="eastAsia" w:ascii="宋体" w:hAnsi="宋体" w:eastAsia="宋体"/>
        <w:b w:val="0"/>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15">
    <w:nsid w:val="09E0138D"/>
    <w:multiLevelType w:val="multilevel"/>
    <w:tmpl w:val="09E0138D"/>
    <w:lvl w:ilvl="0" w:tentative="0">
      <w:start w:val="6"/>
      <w:numFmt w:val="decimal"/>
      <w:lvlText w:val="第%1章"/>
      <w:lvlJc w:val="center"/>
      <w:pPr>
        <w:tabs>
          <w:tab w:val="left" w:pos="432"/>
        </w:tabs>
        <w:ind w:left="432" w:hanging="144"/>
      </w:pPr>
      <w:rPr>
        <w:rFonts w:hint="eastAsia" w:ascii="宋体" w:hAnsi="宋体" w:eastAsia="宋体"/>
      </w:rPr>
    </w:lvl>
    <w:lvl w:ilvl="1" w:tentative="0">
      <w:start w:val="1"/>
      <w:numFmt w:val="decimal"/>
      <w:lvlText w:val="%1.%2"/>
      <w:lvlJc w:val="left"/>
      <w:pPr>
        <w:tabs>
          <w:tab w:val="left" w:pos="964"/>
        </w:tabs>
        <w:ind w:left="964" w:hanging="964"/>
      </w:pPr>
      <w:rPr>
        <w:rFonts w:hint="eastAsia" w:ascii="宋体" w:hAnsi="宋体" w:eastAsia="宋体"/>
      </w:rPr>
    </w:lvl>
    <w:lvl w:ilvl="2" w:tentative="0">
      <w:start w:val="1"/>
      <w:numFmt w:val="decimal"/>
      <w:lvlText w:val="1.11.%3"/>
      <w:lvlJc w:val="left"/>
      <w:pPr>
        <w:tabs>
          <w:tab w:val="left" w:pos="964"/>
        </w:tabs>
        <w:ind w:left="964" w:hanging="964"/>
      </w:pPr>
      <w:rPr>
        <w:rFonts w:hint="eastAsia" w:ascii="宋体" w:hAnsi="宋体" w:eastAsia="宋体"/>
        <w:b w:val="0"/>
        <w:i w:val="0"/>
        <w:sz w:val="21"/>
        <w:szCs w:val="21"/>
      </w:rPr>
    </w:lvl>
    <w:lvl w:ilvl="3" w:tentative="0">
      <w:start w:val="1"/>
      <w:numFmt w:val="decimal"/>
      <w:lvlText w:val="%1.5.6.%4"/>
      <w:lvlJc w:val="left"/>
      <w:pPr>
        <w:tabs>
          <w:tab w:val="left" w:pos="964"/>
        </w:tabs>
        <w:ind w:left="964" w:hanging="964"/>
      </w:pPr>
      <w:rPr>
        <w:rFonts w:hint="eastAsia" w:ascii="宋体" w:hAnsi="宋体" w:eastAsia="宋体"/>
        <w:b w:val="0"/>
      </w:rPr>
    </w:lvl>
    <w:lvl w:ilvl="4" w:tentative="0">
      <w:start w:val="1"/>
      <w:numFmt w:val="decimal"/>
      <w:lvlText w:val="%1.5.5.%4.%5"/>
      <w:lvlJc w:val="left"/>
      <w:pPr>
        <w:tabs>
          <w:tab w:val="left" w:pos="1008"/>
        </w:tabs>
        <w:ind w:left="1008" w:hanging="1008"/>
      </w:pPr>
      <w:rPr>
        <w:rFonts w:hint="eastAsia" w:ascii="宋体" w:hAnsi="宋体" w:eastAsia="宋体"/>
        <w:b w:val="0"/>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16">
    <w:nsid w:val="0A2D01E4"/>
    <w:multiLevelType w:val="multilevel"/>
    <w:tmpl w:val="0A2D01E4"/>
    <w:lvl w:ilvl="0" w:tentative="0">
      <w:start w:val="1"/>
      <w:numFmt w:val="decimal"/>
      <w:lvlText w:val="%1"/>
      <w:lvlJc w:val="left"/>
      <w:pPr>
        <w:tabs>
          <w:tab w:val="left" w:pos="425"/>
        </w:tabs>
        <w:ind w:left="425" w:hanging="425"/>
      </w:pPr>
      <w:rPr>
        <w:rFonts w:hint="eastAsia" w:ascii="宋体" w:hAnsi="宋体" w:eastAsia="宋体"/>
        <w:sz w:val="21"/>
        <w:szCs w:val="21"/>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rPr>
        <w:rFonts w:hint="eastAsia" w:ascii="宋体" w:hAnsi="宋体" w:eastAsia="宋体"/>
      </w:rPr>
    </w:lvl>
    <w:lvl w:ilvl="3" w:tentative="0">
      <w:start w:val="1"/>
      <w:numFmt w:val="decimal"/>
      <w:lvlText w:val="%4)"/>
      <w:lvlJc w:val="left"/>
      <w:pPr>
        <w:tabs>
          <w:tab w:val="left" w:pos="1103"/>
        </w:tabs>
        <w:ind w:left="1103" w:hanging="851"/>
      </w:pPr>
      <w:rPr>
        <w:rFonts w:hint="default" w:ascii="Times New Roman" w:hAnsi="Times New Roman" w:cs="Times New Roman"/>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17">
    <w:nsid w:val="0B197E58"/>
    <w:multiLevelType w:val="multilevel"/>
    <w:tmpl w:val="0B197E58"/>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18">
    <w:nsid w:val="0C2E708D"/>
    <w:multiLevelType w:val="multilevel"/>
    <w:tmpl w:val="0C2E708D"/>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19">
    <w:nsid w:val="0C2E75E0"/>
    <w:multiLevelType w:val="multilevel"/>
    <w:tmpl w:val="0C2E75E0"/>
    <w:lvl w:ilvl="0" w:tentative="0">
      <w:start w:val="1"/>
      <w:numFmt w:val="decimal"/>
      <w:lvlText w:val="第%1章"/>
      <w:lvlJc w:val="center"/>
      <w:pPr>
        <w:tabs>
          <w:tab w:val="left" w:pos="432"/>
        </w:tabs>
        <w:ind w:left="432" w:hanging="144"/>
      </w:pPr>
      <w:rPr>
        <w:rFonts w:hint="eastAsia" w:ascii="宋体" w:hAnsi="宋体" w:eastAsia="宋体"/>
      </w:rPr>
    </w:lvl>
    <w:lvl w:ilvl="1" w:tentative="0">
      <w:start w:val="1"/>
      <w:numFmt w:val="decimal"/>
      <w:lvlText w:val="%1.%2"/>
      <w:lvlJc w:val="left"/>
      <w:pPr>
        <w:tabs>
          <w:tab w:val="left" w:pos="964"/>
        </w:tabs>
        <w:ind w:left="964" w:hanging="964"/>
      </w:pPr>
      <w:rPr>
        <w:rFonts w:hint="eastAsia" w:ascii="宋体" w:hAnsi="宋体" w:eastAsia="宋体"/>
      </w:rPr>
    </w:lvl>
    <w:lvl w:ilvl="2" w:tentative="0">
      <w:start w:val="1"/>
      <w:numFmt w:val="decimal"/>
      <w:lvlText w:val="%1.1.%3"/>
      <w:lvlJc w:val="left"/>
      <w:pPr>
        <w:tabs>
          <w:tab w:val="left" w:pos="964"/>
        </w:tabs>
        <w:ind w:left="964" w:hanging="964"/>
      </w:pPr>
      <w:rPr>
        <w:rFonts w:hint="eastAsia" w:ascii="宋体" w:hAnsi="宋体" w:eastAsia="宋体"/>
        <w:b w:val="0"/>
        <w:i w:val="0"/>
        <w:sz w:val="21"/>
        <w:szCs w:val="21"/>
      </w:rPr>
    </w:lvl>
    <w:lvl w:ilvl="3" w:tentative="0">
      <w:start w:val="1"/>
      <w:numFmt w:val="decimal"/>
      <w:lvlText w:val="%1.2.5.%4"/>
      <w:lvlJc w:val="left"/>
      <w:pPr>
        <w:tabs>
          <w:tab w:val="left" w:pos="964"/>
        </w:tabs>
        <w:ind w:left="964" w:hanging="964"/>
      </w:pPr>
      <w:rPr>
        <w:rFonts w:hint="eastAsia" w:ascii="宋体" w:hAnsi="宋体" w:eastAsia="宋体"/>
        <w:b w:val="0"/>
      </w:rPr>
    </w:lvl>
    <w:lvl w:ilvl="4" w:tentative="0">
      <w:start w:val="1"/>
      <w:numFmt w:val="decimal"/>
      <w:lvlText w:val="%1.%2.%3.%4.%5"/>
      <w:lvlJc w:val="left"/>
      <w:pPr>
        <w:tabs>
          <w:tab w:val="left" w:pos="1008"/>
        </w:tabs>
        <w:ind w:left="1008" w:hanging="1008"/>
      </w:pPr>
      <w:rPr>
        <w:rFonts w:hint="eastAsia" w:ascii="宋体" w:hAnsi="宋体" w:eastAsia="宋体"/>
        <w:b w:val="0"/>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20">
    <w:nsid w:val="0CA13CA5"/>
    <w:multiLevelType w:val="multilevel"/>
    <w:tmpl w:val="0CA13CA5"/>
    <w:lvl w:ilvl="0" w:tentative="0">
      <w:start w:val="1"/>
      <w:numFmt w:val="decimal"/>
      <w:lvlText w:val="%1)"/>
      <w:lvlJc w:val="left"/>
      <w:pPr>
        <w:tabs>
          <w:tab w:val="left" w:pos="964"/>
        </w:tabs>
        <w:ind w:left="964" w:hanging="680"/>
      </w:pPr>
      <w:rPr>
        <w:rFonts w:hint="eastAsia" w:ascii="宋体" w:hAnsi="宋体" w:eastAsia="宋体"/>
        <w:sz w:val="24"/>
        <w:szCs w:val="24"/>
      </w:rPr>
    </w:lvl>
    <w:lvl w:ilvl="1" w:tentative="0">
      <w:start w:val="1"/>
      <w:numFmt w:val="decimal"/>
      <w:lvlText w:val="%2)"/>
      <w:lvlJc w:val="left"/>
      <w:pPr>
        <w:tabs>
          <w:tab w:val="left" w:pos="964"/>
        </w:tabs>
        <w:ind w:left="964" w:hanging="567"/>
      </w:pPr>
      <w:rPr>
        <w:rFonts w:hint="eastAsia" w:ascii="宋体" w:hAnsi="宋体" w:eastAsia="宋体"/>
        <w:sz w:val="21"/>
        <w:szCs w:val="21"/>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21">
    <w:nsid w:val="0CFB36EF"/>
    <w:multiLevelType w:val="multilevel"/>
    <w:tmpl w:val="0CFB36EF"/>
    <w:lvl w:ilvl="0" w:tentative="0">
      <w:start w:val="1"/>
      <w:numFmt w:val="decimal"/>
      <w:lvlText w:val="(%1)"/>
      <w:lvlJc w:val="left"/>
      <w:pPr>
        <w:tabs>
          <w:tab w:val="left" w:pos="1004"/>
        </w:tabs>
        <w:ind w:left="1004"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2">
    <w:nsid w:val="0D216F96"/>
    <w:multiLevelType w:val="multilevel"/>
    <w:tmpl w:val="0D216F96"/>
    <w:lvl w:ilvl="0" w:tentative="0">
      <w:start w:val="1"/>
      <w:numFmt w:val="decimal"/>
      <w:lvlText w:val="(%1)"/>
      <w:lvlJc w:val="left"/>
      <w:pPr>
        <w:tabs>
          <w:tab w:val="left" w:pos="964"/>
        </w:tabs>
        <w:ind w:left="964" w:hanging="680"/>
      </w:pPr>
      <w:rPr>
        <w:rFonts w:hint="eastAsia" w:ascii="宋体" w:hAnsi="宋体" w:eastAsia="宋体"/>
        <w:sz w:val="24"/>
        <w:szCs w:val="24"/>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23">
    <w:nsid w:val="0D245981"/>
    <w:multiLevelType w:val="multilevel"/>
    <w:tmpl w:val="0D245981"/>
    <w:lvl w:ilvl="0" w:tentative="0">
      <w:start w:val="1"/>
      <w:numFmt w:val="decimal"/>
      <w:lvlText w:val="%1)"/>
      <w:lvlJc w:val="left"/>
      <w:pPr>
        <w:tabs>
          <w:tab w:val="left" w:pos="964"/>
        </w:tabs>
        <w:ind w:left="964" w:hanging="680"/>
      </w:pPr>
      <w:rPr>
        <w:rFonts w:hint="eastAsia" w:ascii="宋体" w:hAnsi="宋体" w:eastAsia="宋体"/>
        <w:sz w:val="24"/>
        <w:szCs w:val="24"/>
      </w:rPr>
    </w:lvl>
    <w:lvl w:ilvl="1" w:tentative="0">
      <w:start w:val="1"/>
      <w:numFmt w:val="decimal"/>
      <w:lvlText w:val="%2)"/>
      <w:lvlJc w:val="left"/>
      <w:pPr>
        <w:tabs>
          <w:tab w:val="left" w:pos="964"/>
        </w:tabs>
        <w:ind w:left="964" w:hanging="567"/>
      </w:pPr>
      <w:rPr>
        <w:rFonts w:hint="eastAsia" w:ascii="宋体" w:hAnsi="宋体" w:eastAsia="宋体"/>
        <w:sz w:val="21"/>
        <w:szCs w:val="21"/>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24">
    <w:nsid w:val="0DB86CAB"/>
    <w:multiLevelType w:val="multilevel"/>
    <w:tmpl w:val="0DB86CAB"/>
    <w:lvl w:ilvl="0" w:tentative="0">
      <w:start w:val="2"/>
      <w:numFmt w:val="decimal"/>
      <w:lvlText w:val="%1"/>
      <w:lvlJc w:val="left"/>
      <w:pPr>
        <w:ind w:left="435" w:hanging="435"/>
      </w:pPr>
      <w:rPr>
        <w:rFonts w:hint="default" w:cs="Times New Roman"/>
      </w:rPr>
    </w:lvl>
    <w:lvl w:ilvl="1" w:tentative="0">
      <w:start w:val="5"/>
      <w:numFmt w:val="decimal"/>
      <w:pStyle w:val="525"/>
      <w:lvlText w:val="%1.%2"/>
      <w:lvlJc w:val="left"/>
      <w:pPr>
        <w:ind w:left="435" w:hanging="435"/>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080" w:hanging="108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440" w:hanging="1440"/>
      </w:pPr>
      <w:rPr>
        <w:rFonts w:hint="default" w:cs="Times New Roman"/>
      </w:rPr>
    </w:lvl>
  </w:abstractNum>
  <w:abstractNum w:abstractNumId="25">
    <w:nsid w:val="0E64378F"/>
    <w:multiLevelType w:val="multilevel"/>
    <w:tmpl w:val="0E64378F"/>
    <w:lvl w:ilvl="0" w:tentative="0">
      <w:start w:val="1"/>
      <w:numFmt w:val="decimal"/>
      <w:lvlText w:val="(%1)"/>
      <w:lvlJc w:val="left"/>
      <w:pPr>
        <w:tabs>
          <w:tab w:val="left" w:pos="1004"/>
        </w:tabs>
        <w:ind w:left="1004"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6">
    <w:nsid w:val="106B1EED"/>
    <w:multiLevelType w:val="multilevel"/>
    <w:tmpl w:val="106B1EED"/>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1"/>
        <w:szCs w:val="21"/>
      </w:rPr>
    </w:lvl>
    <w:lvl w:ilvl="2" w:tentative="0">
      <w:start w:val="1"/>
      <w:numFmt w:val="lowerLetter"/>
      <w:lvlText w:val="(%3)"/>
      <w:lvlJc w:val="left"/>
      <w:pPr>
        <w:tabs>
          <w:tab w:val="left" w:pos="964"/>
        </w:tabs>
        <w:ind w:left="964" w:hanging="624"/>
      </w:pPr>
      <w:rPr>
        <w:rFonts w:hint="default" w:ascii="Times New Roman" w:hAnsi="Times New Roman" w:cs="Times New Roman"/>
        <w:sz w:val="21"/>
        <w:szCs w:val="21"/>
      </w:rPr>
    </w:lvl>
    <w:lvl w:ilvl="3" w:tentative="0">
      <w:start w:val="1"/>
      <w:numFmt w:val="lowerLetter"/>
      <w:lvlText w:val="%4)"/>
      <w:lvlJc w:val="left"/>
      <w:pPr>
        <w:tabs>
          <w:tab w:val="left" w:pos="964"/>
        </w:tabs>
        <w:ind w:left="964" w:hanging="510"/>
      </w:pPr>
      <w:rPr>
        <w:rFonts w:hint="eastAsia" w:ascii="宋体" w:hAnsi="宋体" w:eastAsia="宋体"/>
      </w:rPr>
    </w:lvl>
    <w:lvl w:ilvl="4" w:tentative="0">
      <w:start w:val="1"/>
      <w:numFmt w:val="lowerRoman"/>
      <w:lvlText w:val="%5)"/>
      <w:lvlJc w:val="left"/>
      <w:pPr>
        <w:tabs>
          <w:tab w:val="left" w:pos="964"/>
        </w:tabs>
        <w:ind w:left="964" w:hanging="510"/>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27">
    <w:nsid w:val="14037536"/>
    <w:multiLevelType w:val="multilevel"/>
    <w:tmpl w:val="14037536"/>
    <w:lvl w:ilvl="0" w:tentative="0">
      <w:start w:val="1"/>
      <w:numFmt w:val="decimal"/>
      <w:lvlText w:val="%1)"/>
      <w:lvlJc w:val="left"/>
      <w:pPr>
        <w:tabs>
          <w:tab w:val="left" w:pos="964"/>
        </w:tabs>
        <w:ind w:left="964" w:hanging="680"/>
      </w:pPr>
      <w:rPr>
        <w:rFonts w:hint="eastAsia" w:ascii="宋体" w:hAnsi="宋体" w:eastAsia="宋体"/>
        <w:sz w:val="24"/>
        <w:szCs w:val="24"/>
      </w:rPr>
    </w:lvl>
    <w:lvl w:ilvl="1" w:tentative="0">
      <w:start w:val="1"/>
      <w:numFmt w:val="decimal"/>
      <w:lvlText w:val="%2)"/>
      <w:lvlJc w:val="left"/>
      <w:pPr>
        <w:tabs>
          <w:tab w:val="left" w:pos="964"/>
        </w:tabs>
        <w:ind w:left="964" w:hanging="567"/>
      </w:pPr>
      <w:rPr>
        <w:rFonts w:hint="eastAsia" w:ascii="宋体" w:hAnsi="宋体" w:eastAsia="宋体"/>
        <w:sz w:val="21"/>
        <w:szCs w:val="21"/>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28">
    <w:nsid w:val="151208D9"/>
    <w:multiLevelType w:val="multilevel"/>
    <w:tmpl w:val="151208D9"/>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lowerLetter"/>
      <w:lvlText w:val="%3"/>
      <w:lvlJc w:val="left"/>
      <w:pPr>
        <w:tabs>
          <w:tab w:val="left" w:pos="964"/>
        </w:tabs>
        <w:ind w:left="964" w:hanging="397"/>
      </w:pPr>
      <w:rPr>
        <w:rFonts w:hint="default" w:ascii="Times New Roman" w:hAnsi="Times New Roman" w:cs="Times New Roman"/>
        <w:sz w:val="24"/>
        <w:szCs w:val="24"/>
      </w:rPr>
    </w:lvl>
    <w:lvl w:ilvl="3" w:tentative="0">
      <w:start w:val="1"/>
      <w:numFmt w:val="lowerLetter"/>
      <w:lvlText w:val="(%4)"/>
      <w:lvlJc w:val="left"/>
      <w:pPr>
        <w:tabs>
          <w:tab w:val="left" w:pos="851"/>
        </w:tabs>
        <w:ind w:left="851" w:hanging="851"/>
      </w:pPr>
      <w:rPr>
        <w:rFonts w:hint="eastAsia" w:ascii="宋体" w:hAnsi="宋体" w:eastAsia="宋体"/>
      </w:rPr>
    </w:lvl>
    <w:lvl w:ilvl="4" w:tentative="0">
      <w:start w:val="1"/>
      <w:numFmt w:val="lowerLetter"/>
      <w:lvlText w:val="%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29">
    <w:nsid w:val="18E07090"/>
    <w:multiLevelType w:val="multilevel"/>
    <w:tmpl w:val="18E07090"/>
    <w:lvl w:ilvl="0" w:tentative="0">
      <w:start w:val="1"/>
      <w:numFmt w:val="decimal"/>
      <w:lvlText w:val="%1)"/>
      <w:lvlJc w:val="left"/>
      <w:pPr>
        <w:tabs>
          <w:tab w:val="left" w:pos="964"/>
        </w:tabs>
        <w:ind w:left="964" w:hanging="680"/>
      </w:pPr>
      <w:rPr>
        <w:rFonts w:hint="eastAsia" w:ascii="宋体" w:hAnsi="宋体" w:eastAsia="宋体"/>
        <w:sz w:val="24"/>
        <w:szCs w:val="24"/>
      </w:rPr>
    </w:lvl>
    <w:lvl w:ilvl="1" w:tentative="0">
      <w:start w:val="1"/>
      <w:numFmt w:val="decimal"/>
      <w:lvlText w:val="%2)"/>
      <w:lvlJc w:val="left"/>
      <w:pPr>
        <w:tabs>
          <w:tab w:val="left" w:pos="964"/>
        </w:tabs>
        <w:ind w:left="964" w:hanging="567"/>
      </w:pPr>
      <w:rPr>
        <w:rFonts w:hint="eastAsia" w:ascii="宋体" w:hAnsi="宋体" w:eastAsia="宋体"/>
        <w:sz w:val="21"/>
        <w:szCs w:val="21"/>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30">
    <w:nsid w:val="19383DCE"/>
    <w:multiLevelType w:val="multilevel"/>
    <w:tmpl w:val="19383DCE"/>
    <w:lvl w:ilvl="0" w:tentative="0">
      <w:start w:val="1"/>
      <w:numFmt w:val="decimal"/>
      <w:lvlText w:val="(%1)"/>
      <w:lvlJc w:val="left"/>
      <w:pPr>
        <w:tabs>
          <w:tab w:val="left" w:pos="1004"/>
        </w:tabs>
        <w:ind w:left="1004"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1">
    <w:nsid w:val="193C4677"/>
    <w:multiLevelType w:val="multilevel"/>
    <w:tmpl w:val="193C4677"/>
    <w:lvl w:ilvl="0" w:tentative="0">
      <w:start w:val="1"/>
      <w:numFmt w:val="bullet"/>
      <w:lvlText w:val=""/>
      <w:lvlJc w:val="left"/>
      <w:pPr>
        <w:tabs>
          <w:tab w:val="left" w:pos="737"/>
        </w:tabs>
        <w:ind w:left="737" w:hanging="312"/>
      </w:pPr>
      <w:rPr>
        <w:rFonts w:hint="default" w:ascii="Wingdings" w:hAnsi="Wingdings"/>
        <w:color w:val="FF0000"/>
      </w:rPr>
    </w:lvl>
    <w:lvl w:ilvl="1" w:tentative="0">
      <w:start w:val="1"/>
      <w:numFmt w:val="bullet"/>
      <w:pStyle w:val="613"/>
      <w:lvlText w:val=""/>
      <w:lvlJc w:val="left"/>
      <w:pPr>
        <w:tabs>
          <w:tab w:val="left" w:pos="737"/>
        </w:tabs>
        <w:ind w:left="737" w:hanging="312"/>
      </w:pPr>
      <w:rPr>
        <w:rFonts w:hint="default" w:ascii="Wingdings" w:hAnsi="Wingdings"/>
        <w:strike w:val="0"/>
        <w:dstrike w:val="0"/>
        <w:color w:val="FF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195A3E46"/>
    <w:multiLevelType w:val="multilevel"/>
    <w:tmpl w:val="195A3E46"/>
    <w:lvl w:ilvl="0" w:tentative="0">
      <w:start w:val="1"/>
      <w:numFmt w:val="decimal"/>
      <w:lvlText w:val="(%1)"/>
      <w:lvlJc w:val="left"/>
      <w:pPr>
        <w:tabs>
          <w:tab w:val="left" w:pos="964"/>
        </w:tabs>
        <w:ind w:left="964" w:hanging="680"/>
      </w:pPr>
      <w:rPr>
        <w:rFonts w:hint="eastAsia"/>
        <w:sz w:val="21"/>
        <w:szCs w:val="21"/>
      </w:rPr>
    </w:lvl>
    <w:lvl w:ilvl="1" w:tentative="0">
      <w:start w:val="1"/>
      <w:numFmt w:val="decimal"/>
      <w:lvlText w:val="%2)"/>
      <w:lvlJc w:val="left"/>
      <w:pPr>
        <w:tabs>
          <w:tab w:val="left" w:pos="964"/>
        </w:tabs>
        <w:ind w:left="964" w:hanging="567"/>
      </w:pPr>
      <w:rPr>
        <w:rFonts w:hint="eastAsia"/>
        <w:sz w:val="24"/>
        <w:szCs w:val="24"/>
      </w:rPr>
    </w:lvl>
    <w:lvl w:ilvl="2" w:tentative="0">
      <w:start w:val="1"/>
      <w:numFmt w:val="bullet"/>
      <w:lvlText w:val=""/>
      <w:lvlJc w:val="left"/>
      <w:pPr>
        <w:tabs>
          <w:tab w:val="left" w:pos="964"/>
        </w:tabs>
        <w:ind w:left="964" w:hanging="397"/>
      </w:pPr>
      <w:rPr>
        <w:rFonts w:hint="default" w:ascii="Symbol" w:hAnsi="Symbol"/>
        <w:color w:val="auto"/>
        <w:sz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1B5839D4"/>
    <w:multiLevelType w:val="multilevel"/>
    <w:tmpl w:val="1B5839D4"/>
    <w:lvl w:ilvl="0" w:tentative="0">
      <w:start w:val="1"/>
      <w:numFmt w:val="decimal"/>
      <w:lvlText w:val="(%1)"/>
      <w:lvlJc w:val="left"/>
      <w:pPr>
        <w:tabs>
          <w:tab w:val="left" w:pos="964"/>
        </w:tabs>
        <w:ind w:left="3799" w:hanging="3515"/>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34">
    <w:nsid w:val="1C6C1494"/>
    <w:multiLevelType w:val="multilevel"/>
    <w:tmpl w:val="1C6C1494"/>
    <w:lvl w:ilvl="0" w:tentative="0">
      <w:start w:val="1"/>
      <w:numFmt w:val="decimal"/>
      <w:lvlText w:val="%1)"/>
      <w:lvlJc w:val="left"/>
      <w:pPr>
        <w:ind w:left="1260" w:hanging="420"/>
      </w:pPr>
      <w:rPr>
        <w:rFonts w:hint="default" w:ascii="Times New Roman" w:hAnsi="Times New Roman" w:cs="Times New Roman"/>
      </w:rPr>
    </w:lvl>
    <w:lvl w:ilvl="1" w:tentative="0">
      <w:start w:val="1"/>
      <w:numFmt w:val="lowerLetter"/>
      <w:lvlText w:val="%2)"/>
      <w:lvlJc w:val="left"/>
      <w:pPr>
        <w:ind w:left="1680" w:hanging="420"/>
      </w:pPr>
      <w:rPr>
        <w:rFonts w:hint="default" w:ascii="Times New Roman" w:hAnsi="Times New Roman" w:cs="Times New Roman"/>
      </w:rPr>
    </w:lvl>
    <w:lvl w:ilvl="2" w:tentative="0">
      <w:start w:val="1"/>
      <w:numFmt w:val="lowerRoman"/>
      <w:lvlText w:val="%3."/>
      <w:lvlJc w:val="right"/>
      <w:pPr>
        <w:ind w:left="2100" w:hanging="420"/>
      </w:pPr>
      <w:rPr>
        <w:rFonts w:hint="default" w:ascii="Times New Roman" w:hAnsi="Times New Roman" w:cs="Times New Roman"/>
      </w:rPr>
    </w:lvl>
    <w:lvl w:ilvl="3" w:tentative="0">
      <w:start w:val="1"/>
      <w:numFmt w:val="decimal"/>
      <w:lvlText w:val="%4."/>
      <w:lvlJc w:val="left"/>
      <w:pPr>
        <w:ind w:left="2520" w:hanging="420"/>
      </w:pPr>
      <w:rPr>
        <w:rFonts w:hint="default" w:ascii="Times New Roman" w:hAnsi="Times New Roman" w:cs="Times New Roman"/>
      </w:rPr>
    </w:lvl>
    <w:lvl w:ilvl="4" w:tentative="0">
      <w:start w:val="1"/>
      <w:numFmt w:val="lowerLetter"/>
      <w:lvlText w:val="%5)"/>
      <w:lvlJc w:val="left"/>
      <w:pPr>
        <w:ind w:left="2940" w:hanging="420"/>
      </w:pPr>
      <w:rPr>
        <w:rFonts w:hint="default" w:ascii="Times New Roman" w:hAnsi="Times New Roman" w:cs="Times New Roman"/>
      </w:rPr>
    </w:lvl>
    <w:lvl w:ilvl="5" w:tentative="0">
      <w:start w:val="1"/>
      <w:numFmt w:val="lowerRoman"/>
      <w:lvlText w:val="%6."/>
      <w:lvlJc w:val="right"/>
      <w:pPr>
        <w:ind w:left="3360" w:hanging="420"/>
      </w:pPr>
      <w:rPr>
        <w:rFonts w:hint="default" w:ascii="Times New Roman" w:hAnsi="Times New Roman" w:cs="Times New Roman"/>
      </w:rPr>
    </w:lvl>
    <w:lvl w:ilvl="6" w:tentative="0">
      <w:start w:val="1"/>
      <w:numFmt w:val="decimal"/>
      <w:lvlText w:val="%7."/>
      <w:lvlJc w:val="left"/>
      <w:pPr>
        <w:ind w:left="3780" w:hanging="420"/>
      </w:pPr>
      <w:rPr>
        <w:rFonts w:hint="default" w:ascii="Times New Roman" w:hAnsi="Times New Roman" w:cs="Times New Roman"/>
      </w:rPr>
    </w:lvl>
    <w:lvl w:ilvl="7" w:tentative="0">
      <w:start w:val="1"/>
      <w:numFmt w:val="lowerLetter"/>
      <w:lvlText w:val="%8)"/>
      <w:lvlJc w:val="left"/>
      <w:pPr>
        <w:ind w:left="4200" w:hanging="420"/>
      </w:pPr>
      <w:rPr>
        <w:rFonts w:hint="default" w:ascii="Times New Roman" w:hAnsi="Times New Roman" w:cs="Times New Roman"/>
      </w:rPr>
    </w:lvl>
    <w:lvl w:ilvl="8" w:tentative="0">
      <w:start w:val="1"/>
      <w:numFmt w:val="lowerRoman"/>
      <w:lvlText w:val="%9."/>
      <w:lvlJc w:val="right"/>
      <w:pPr>
        <w:ind w:left="4620" w:hanging="420"/>
      </w:pPr>
      <w:rPr>
        <w:rFonts w:hint="default" w:ascii="Times New Roman" w:hAnsi="Times New Roman" w:cs="Times New Roman"/>
      </w:rPr>
    </w:lvl>
  </w:abstractNum>
  <w:abstractNum w:abstractNumId="35">
    <w:nsid w:val="1E7E7691"/>
    <w:multiLevelType w:val="multilevel"/>
    <w:tmpl w:val="1E7E7691"/>
    <w:lvl w:ilvl="0" w:tentative="0">
      <w:start w:val="1"/>
      <w:numFmt w:val="decimal"/>
      <w:lvlText w:val="(%1)"/>
      <w:lvlJc w:val="left"/>
      <w:pPr>
        <w:tabs>
          <w:tab w:val="left" w:pos="1004"/>
        </w:tabs>
        <w:ind w:left="1004" w:hanging="720"/>
      </w:pPr>
      <w:rPr>
        <w:rFonts w:hint="default" w:ascii="Times New Roman" w:hAnsi="Times New Roman" w:cs="Times New Roman"/>
        <w:sz w:val="21"/>
        <w:szCs w:val="21"/>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6">
    <w:nsid w:val="23495C8A"/>
    <w:multiLevelType w:val="multilevel"/>
    <w:tmpl w:val="23495C8A"/>
    <w:lvl w:ilvl="0" w:tentative="0">
      <w:start w:val="1"/>
      <w:numFmt w:val="decimal"/>
      <w:lvlText w:val="%1)"/>
      <w:lvlJc w:val="left"/>
      <w:pPr>
        <w:tabs>
          <w:tab w:val="left" w:pos="964"/>
        </w:tabs>
        <w:ind w:left="964" w:hanging="680"/>
      </w:pPr>
      <w:rPr>
        <w:rFonts w:hint="eastAsia" w:ascii="宋体" w:hAnsi="宋体" w:eastAsia="宋体"/>
        <w:sz w:val="24"/>
        <w:szCs w:val="24"/>
      </w:rPr>
    </w:lvl>
    <w:lvl w:ilvl="1" w:tentative="0">
      <w:start w:val="1"/>
      <w:numFmt w:val="decimal"/>
      <w:lvlText w:val="%2)"/>
      <w:lvlJc w:val="left"/>
      <w:pPr>
        <w:tabs>
          <w:tab w:val="left" w:pos="964"/>
        </w:tabs>
        <w:ind w:left="964" w:hanging="567"/>
      </w:pPr>
      <w:rPr>
        <w:rFonts w:hint="eastAsia" w:ascii="宋体" w:hAnsi="宋体" w:eastAsia="宋体"/>
        <w:sz w:val="21"/>
        <w:szCs w:val="21"/>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37">
    <w:nsid w:val="23F220C3"/>
    <w:multiLevelType w:val="multilevel"/>
    <w:tmpl w:val="23F220C3"/>
    <w:lvl w:ilvl="0" w:tentative="0">
      <w:start w:val="1"/>
      <w:numFmt w:val="decimal"/>
      <w:lvlText w:val="%1)"/>
      <w:lvlJc w:val="left"/>
      <w:pPr>
        <w:tabs>
          <w:tab w:val="left" w:pos="960"/>
        </w:tabs>
        <w:ind w:left="960" w:hanging="720"/>
      </w:pPr>
      <w:rPr>
        <w:rFonts w:hint="eastAsia" w:ascii="宋体" w:hAnsi="宋体" w:eastAsia="宋体"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8">
    <w:nsid w:val="243413C9"/>
    <w:multiLevelType w:val="multilevel"/>
    <w:tmpl w:val="243413C9"/>
    <w:lvl w:ilvl="0" w:tentative="0">
      <w:start w:val="1"/>
      <w:numFmt w:val="decimal"/>
      <w:lvlText w:val="(%1)"/>
      <w:lvlJc w:val="left"/>
      <w:pPr>
        <w:tabs>
          <w:tab w:val="left" w:pos="1200"/>
        </w:tabs>
        <w:ind w:left="1200"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9">
    <w:nsid w:val="24DE0AC6"/>
    <w:multiLevelType w:val="multilevel"/>
    <w:tmpl w:val="24DE0AC6"/>
    <w:lvl w:ilvl="0" w:tentative="0">
      <w:start w:val="1"/>
      <w:numFmt w:val="decimal"/>
      <w:lvlText w:val="(%1)"/>
      <w:lvlJc w:val="left"/>
      <w:pPr>
        <w:tabs>
          <w:tab w:val="left" w:pos="1004"/>
        </w:tabs>
        <w:ind w:left="1004"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0">
    <w:nsid w:val="2C613D09"/>
    <w:multiLevelType w:val="multilevel"/>
    <w:tmpl w:val="2C613D09"/>
    <w:lvl w:ilvl="0" w:tentative="0">
      <w:start w:val="1"/>
      <w:numFmt w:val="decimal"/>
      <w:lvlText w:val="(%1)"/>
      <w:lvlJc w:val="left"/>
      <w:pPr>
        <w:tabs>
          <w:tab w:val="left" w:pos="1004"/>
        </w:tabs>
        <w:ind w:left="1004"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1">
    <w:nsid w:val="2F4A7118"/>
    <w:multiLevelType w:val="multilevel"/>
    <w:tmpl w:val="2F4A7118"/>
    <w:lvl w:ilvl="0" w:tentative="0">
      <w:start w:val="1"/>
      <w:numFmt w:val="decimal"/>
      <w:lvlText w:val="%1"/>
      <w:lvlJc w:val="left"/>
      <w:pPr>
        <w:tabs>
          <w:tab w:val="left" w:pos="425"/>
        </w:tabs>
        <w:ind w:left="425" w:hanging="425"/>
      </w:pPr>
      <w:rPr>
        <w:rFonts w:hint="default" w:ascii="Times New Roman" w:hAnsi="Times New Roman" w:cs="Times New Roman"/>
        <w:b/>
        <w:i w:val="0"/>
        <w:sz w:val="24"/>
        <w:szCs w:val="24"/>
      </w:rPr>
    </w:lvl>
    <w:lvl w:ilvl="1" w:tentative="0">
      <w:start w:val="1"/>
      <w:numFmt w:val="decimal"/>
      <w:lvlText w:val="%1.%2"/>
      <w:lvlJc w:val="left"/>
      <w:pPr>
        <w:tabs>
          <w:tab w:val="left" w:pos="992"/>
        </w:tabs>
        <w:ind w:left="992" w:hanging="992"/>
      </w:pPr>
      <w:rPr>
        <w:rFonts w:hint="default" w:ascii="Times New Roman" w:hAnsi="Times New Roman" w:cs="Times New Roman"/>
        <w:b/>
        <w:i w:val="0"/>
        <w:sz w:val="21"/>
        <w:szCs w:val="21"/>
      </w:rPr>
    </w:lvl>
    <w:lvl w:ilvl="2" w:tentative="0">
      <w:start w:val="1"/>
      <w:numFmt w:val="decimal"/>
      <w:lvlText w:val="6.14.%3"/>
      <w:lvlJc w:val="left"/>
      <w:pPr>
        <w:tabs>
          <w:tab w:val="left" w:pos="1050"/>
        </w:tabs>
        <w:ind w:left="1050" w:hanging="624"/>
      </w:pPr>
      <w:rPr>
        <w:rFonts w:hint="eastAsia"/>
        <w:b w:val="0"/>
        <w:i w:val="0"/>
        <w:color w:val="auto"/>
        <w:sz w:val="21"/>
        <w:szCs w:val="21"/>
      </w:rPr>
    </w:lvl>
    <w:lvl w:ilvl="3" w:tentative="0">
      <w:start w:val="1"/>
      <w:numFmt w:val="decimal"/>
      <w:lvlText w:val="2.12.%4"/>
      <w:lvlJc w:val="left"/>
      <w:pPr>
        <w:tabs>
          <w:tab w:val="left" w:pos="680"/>
        </w:tabs>
        <w:ind w:left="851" w:hanging="851"/>
      </w:pPr>
      <w:rPr>
        <w:rFonts w:hint="default" w:ascii="Times New Roman" w:hAnsi="Times New Roman" w:eastAsia="仿宋_GB2312" w:cs="Times New Roman"/>
        <w:b w:val="0"/>
        <w:sz w:val="21"/>
        <w:szCs w:val="21"/>
      </w:rPr>
    </w:lvl>
    <w:lvl w:ilvl="4" w:tentative="0">
      <w:start w:val="1"/>
      <w:numFmt w:val="decimal"/>
      <w:lvlText w:val="%1.%2.%3.%4.%5"/>
      <w:lvlJc w:val="left"/>
      <w:pPr>
        <w:tabs>
          <w:tab w:val="left" w:pos="2781"/>
        </w:tabs>
        <w:ind w:left="2551" w:hanging="850"/>
      </w:pPr>
      <w:rPr>
        <w:rFonts w:hint="eastAsia"/>
        <w:b w:val="0"/>
        <w:i w:val="0"/>
        <w:sz w:val="24"/>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42">
    <w:nsid w:val="35AE0991"/>
    <w:multiLevelType w:val="multilevel"/>
    <w:tmpl w:val="35AE0991"/>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43">
    <w:nsid w:val="367A156D"/>
    <w:multiLevelType w:val="multilevel"/>
    <w:tmpl w:val="367A156D"/>
    <w:lvl w:ilvl="0" w:tentative="0">
      <w:start w:val="1"/>
      <w:numFmt w:val="upperLetter"/>
      <w:lvlText w:val="%1."/>
      <w:lvlJc w:val="left"/>
      <w:pPr>
        <w:tabs>
          <w:tab w:val="left" w:pos="1847"/>
        </w:tabs>
        <w:ind w:left="1847" w:hanging="765"/>
      </w:pPr>
      <w:rPr>
        <w:rFonts w:hint="eastAsia" w:cs="Times New Roman"/>
      </w:rPr>
    </w:lvl>
    <w:lvl w:ilvl="1" w:tentative="0">
      <w:start w:val="1"/>
      <w:numFmt w:val="upperLetter"/>
      <w:pStyle w:val="750"/>
      <w:lvlText w:val="%2."/>
      <w:lvlJc w:val="left"/>
      <w:pPr>
        <w:tabs>
          <w:tab w:val="left" w:pos="1051"/>
        </w:tabs>
        <w:ind w:left="1051" w:hanging="765"/>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4">
    <w:nsid w:val="369A6792"/>
    <w:multiLevelType w:val="multilevel"/>
    <w:tmpl w:val="369A6792"/>
    <w:lvl w:ilvl="0" w:tentative="0">
      <w:start w:val="6"/>
      <w:numFmt w:val="decimal"/>
      <w:lvlText w:val="第%1章"/>
      <w:lvlJc w:val="center"/>
      <w:pPr>
        <w:tabs>
          <w:tab w:val="left" w:pos="432"/>
        </w:tabs>
        <w:ind w:left="432" w:hanging="144"/>
      </w:pPr>
      <w:rPr>
        <w:rFonts w:hint="eastAsia" w:ascii="宋体" w:hAnsi="宋体" w:eastAsia="宋体"/>
      </w:rPr>
    </w:lvl>
    <w:lvl w:ilvl="1" w:tentative="0">
      <w:start w:val="1"/>
      <w:numFmt w:val="decimal"/>
      <w:lvlText w:val="%1.%2"/>
      <w:lvlJc w:val="left"/>
      <w:pPr>
        <w:tabs>
          <w:tab w:val="left" w:pos="964"/>
        </w:tabs>
        <w:ind w:left="964" w:hanging="964"/>
      </w:pPr>
      <w:rPr>
        <w:rFonts w:hint="eastAsia" w:ascii="宋体" w:hAnsi="宋体" w:eastAsia="宋体"/>
      </w:rPr>
    </w:lvl>
    <w:lvl w:ilvl="2" w:tentative="0">
      <w:start w:val="1"/>
      <w:numFmt w:val="decimal"/>
      <w:lvlText w:val="%1.1.%3"/>
      <w:lvlJc w:val="left"/>
      <w:pPr>
        <w:tabs>
          <w:tab w:val="left" w:pos="964"/>
        </w:tabs>
        <w:ind w:left="964" w:hanging="964"/>
      </w:pPr>
      <w:rPr>
        <w:rFonts w:hint="eastAsia" w:ascii="宋体" w:hAnsi="宋体" w:eastAsia="宋体"/>
        <w:b w:val="0"/>
        <w:i w:val="0"/>
        <w:sz w:val="21"/>
        <w:szCs w:val="21"/>
      </w:rPr>
    </w:lvl>
    <w:lvl w:ilvl="3" w:tentative="0">
      <w:start w:val="1"/>
      <w:numFmt w:val="decimal"/>
      <w:lvlText w:val="1.5.1.%4"/>
      <w:lvlJc w:val="left"/>
      <w:pPr>
        <w:tabs>
          <w:tab w:val="left" w:pos="964"/>
        </w:tabs>
        <w:ind w:left="964" w:hanging="964"/>
      </w:pPr>
      <w:rPr>
        <w:rFonts w:hint="eastAsia" w:ascii="宋体" w:hAnsi="宋体" w:eastAsia="宋体"/>
        <w:b w:val="0"/>
      </w:rPr>
    </w:lvl>
    <w:lvl w:ilvl="4" w:tentative="0">
      <w:start w:val="1"/>
      <w:numFmt w:val="decimal"/>
      <w:lvlText w:val="%1.%2.%3.%4.%5"/>
      <w:lvlJc w:val="left"/>
      <w:pPr>
        <w:tabs>
          <w:tab w:val="left" w:pos="1008"/>
        </w:tabs>
        <w:ind w:left="1008" w:hanging="1008"/>
      </w:pPr>
      <w:rPr>
        <w:rFonts w:hint="eastAsia" w:ascii="宋体" w:hAnsi="宋体" w:eastAsia="宋体"/>
        <w:b w:val="0"/>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45">
    <w:nsid w:val="39716EAB"/>
    <w:multiLevelType w:val="multilevel"/>
    <w:tmpl w:val="39716EAB"/>
    <w:lvl w:ilvl="0" w:tentative="0">
      <w:start w:val="1"/>
      <w:numFmt w:val="decimal"/>
      <w:lvlText w:val="%1)"/>
      <w:lvlJc w:val="left"/>
      <w:pPr>
        <w:tabs>
          <w:tab w:val="left" w:pos="987"/>
        </w:tabs>
        <w:ind w:left="987" w:hanging="567"/>
      </w:pPr>
      <w:rPr>
        <w:rFonts w:hint="eastAsia" w:ascii="宋体" w:hAnsi="宋体" w:eastAsia="宋体"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6">
    <w:nsid w:val="3DB0434E"/>
    <w:multiLevelType w:val="multilevel"/>
    <w:tmpl w:val="3DB0434E"/>
    <w:lvl w:ilvl="0" w:tentative="0">
      <w:start w:val="8"/>
      <w:numFmt w:val="decimal"/>
      <w:pStyle w:val="516"/>
      <w:lvlText w:val="第%1节"/>
      <w:lvlJc w:val="left"/>
      <w:pPr>
        <w:tabs>
          <w:tab w:val="left" w:pos="0"/>
        </w:tabs>
        <w:ind w:left="420" w:hanging="420"/>
      </w:pPr>
      <w:rPr>
        <w:rFonts w:hint="default" w:ascii="Times New Roman" w:hAnsi="Times New Roman" w:eastAsia="宋体"/>
        <w:b/>
        <w:i w:val="0"/>
        <w:sz w:val="30"/>
      </w:rPr>
    </w:lvl>
    <w:lvl w:ilvl="1" w:tentative="0">
      <w:start w:val="5"/>
      <w:numFmt w:val="decimal"/>
      <w:pStyle w:val="407"/>
      <w:lvlText w:val="%1.%2"/>
      <w:lvlJc w:val="left"/>
      <w:pPr>
        <w:tabs>
          <w:tab w:val="left" w:pos="1628"/>
        </w:tabs>
        <w:ind w:left="1628" w:hanging="1208"/>
      </w:pPr>
      <w:rPr>
        <w:rFonts w:hint="default" w:ascii="Times New Roman" w:hAnsi="Times New Roman" w:eastAsia="宋体"/>
        <w:b/>
        <w:i w:val="0"/>
      </w:rPr>
    </w:lvl>
    <w:lvl w:ilvl="2" w:tentative="0">
      <w:start w:val="1"/>
      <w:numFmt w:val="decimal"/>
      <w:pStyle w:val="403"/>
      <w:lvlText w:val="%1.%2.%3"/>
      <w:lvlJc w:val="left"/>
      <w:pPr>
        <w:tabs>
          <w:tab w:val="left" w:pos="1418"/>
        </w:tabs>
        <w:ind w:left="1418" w:hanging="1208"/>
      </w:pPr>
      <w:rPr>
        <w:rFonts w:hint="default" w:ascii="Times New Roman" w:hAnsi="Times New Roman" w:eastAsia="宋体"/>
        <w:b w:val="0"/>
        <w:i w:val="0"/>
        <w:color w:val="000000"/>
        <w:sz w:val="24"/>
        <w:szCs w:val="24"/>
      </w:rPr>
    </w:lvl>
    <w:lvl w:ilvl="3" w:tentative="0">
      <w:start w:val="1"/>
      <w:numFmt w:val="decimal"/>
      <w:pStyle w:val="458"/>
      <w:lvlText w:val="%1.%2.%3.%4"/>
      <w:lvlJc w:val="left"/>
      <w:pPr>
        <w:tabs>
          <w:tab w:val="left" w:pos="1208"/>
        </w:tabs>
        <w:ind w:left="1208" w:hanging="1208"/>
      </w:pPr>
      <w:rPr>
        <w:rFonts w:hint="default" w:ascii="Times New Roman" w:hAnsi="Times New Roman" w:eastAsia="宋体" w:cs="Times New Roman"/>
        <w:b w:val="0"/>
        <w:i w:val="0"/>
      </w:rPr>
    </w:lvl>
    <w:lvl w:ilvl="4" w:tentative="0">
      <w:start w:val="1"/>
      <w:numFmt w:val="decimal"/>
      <w:lvlText w:val="%5."/>
      <w:lvlJc w:val="left"/>
      <w:pPr>
        <w:tabs>
          <w:tab w:val="left" w:pos="1208"/>
        </w:tabs>
        <w:ind w:left="1208" w:hanging="1208"/>
      </w:pPr>
      <w:rPr>
        <w:rFonts w:hint="default" w:ascii="Arial" w:hAnsi="Arial" w:eastAsia="宋体"/>
      </w:rPr>
    </w:lvl>
    <w:lvl w:ilvl="5" w:tentative="0">
      <w:start w:val="1"/>
      <w:numFmt w:val="decimal"/>
      <w:lvlText w:val="%6)"/>
      <w:lvlJc w:val="left"/>
      <w:pPr>
        <w:tabs>
          <w:tab w:val="left" w:pos="1219"/>
        </w:tabs>
        <w:ind w:left="1219" w:hanging="368"/>
      </w:pPr>
      <w:rPr>
        <w:rFonts w:hint="default" w:ascii="Times New Roman" w:hAnsi="Times New Roman" w:eastAsia="宋体"/>
      </w:rPr>
    </w:lvl>
    <w:lvl w:ilvl="6" w:tentative="0">
      <w:start w:val="1"/>
      <w:numFmt w:val="decimal"/>
      <w:lvlText w:val="%7)"/>
      <w:lvlJc w:val="left"/>
      <w:pPr>
        <w:tabs>
          <w:tab w:val="left" w:pos="1219"/>
        </w:tabs>
        <w:ind w:left="1219" w:hanging="368"/>
      </w:pPr>
      <w:rPr>
        <w:rFonts w:hint="default" w:ascii="Times New Roman" w:hAnsi="Times New Roman" w:eastAsia="宋体"/>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3F042C90"/>
    <w:multiLevelType w:val="multilevel"/>
    <w:tmpl w:val="3F042C90"/>
    <w:lvl w:ilvl="0" w:tentative="0">
      <w:start w:val="6"/>
      <w:numFmt w:val="decimal"/>
      <w:lvlText w:val="第%1章"/>
      <w:lvlJc w:val="center"/>
      <w:pPr>
        <w:tabs>
          <w:tab w:val="left" w:pos="432"/>
        </w:tabs>
        <w:ind w:left="432" w:hanging="144"/>
      </w:pPr>
      <w:rPr>
        <w:rFonts w:hint="eastAsia" w:ascii="宋体" w:hAnsi="宋体" w:eastAsia="宋体"/>
      </w:rPr>
    </w:lvl>
    <w:lvl w:ilvl="1" w:tentative="0">
      <w:start w:val="1"/>
      <w:numFmt w:val="decimal"/>
      <w:lvlText w:val="%1.%2"/>
      <w:lvlJc w:val="left"/>
      <w:pPr>
        <w:tabs>
          <w:tab w:val="left" w:pos="964"/>
        </w:tabs>
        <w:ind w:left="964" w:hanging="964"/>
      </w:pPr>
      <w:rPr>
        <w:rFonts w:hint="eastAsia" w:ascii="宋体" w:hAnsi="宋体" w:eastAsia="宋体"/>
      </w:rPr>
    </w:lvl>
    <w:lvl w:ilvl="2" w:tentative="0">
      <w:start w:val="1"/>
      <w:numFmt w:val="decimal"/>
      <w:lvlText w:val="1.10.%3"/>
      <w:lvlJc w:val="left"/>
      <w:pPr>
        <w:tabs>
          <w:tab w:val="left" w:pos="964"/>
        </w:tabs>
        <w:ind w:left="964" w:hanging="964"/>
      </w:pPr>
      <w:rPr>
        <w:rFonts w:hint="eastAsia" w:ascii="宋体" w:hAnsi="宋体" w:eastAsia="宋体"/>
        <w:b w:val="0"/>
        <w:i w:val="0"/>
        <w:sz w:val="21"/>
        <w:szCs w:val="21"/>
      </w:rPr>
    </w:lvl>
    <w:lvl w:ilvl="3" w:tentative="0">
      <w:start w:val="1"/>
      <w:numFmt w:val="decimal"/>
      <w:lvlText w:val="%1.5.6.%4"/>
      <w:lvlJc w:val="left"/>
      <w:pPr>
        <w:tabs>
          <w:tab w:val="left" w:pos="964"/>
        </w:tabs>
        <w:ind w:left="964" w:hanging="964"/>
      </w:pPr>
      <w:rPr>
        <w:rFonts w:hint="eastAsia" w:ascii="宋体" w:hAnsi="宋体" w:eastAsia="宋体"/>
        <w:b w:val="0"/>
      </w:rPr>
    </w:lvl>
    <w:lvl w:ilvl="4" w:tentative="0">
      <w:start w:val="1"/>
      <w:numFmt w:val="decimal"/>
      <w:lvlText w:val="%1.5.5.%4.%5"/>
      <w:lvlJc w:val="left"/>
      <w:pPr>
        <w:tabs>
          <w:tab w:val="left" w:pos="1008"/>
        </w:tabs>
        <w:ind w:left="1008" w:hanging="1008"/>
      </w:pPr>
      <w:rPr>
        <w:rFonts w:hint="eastAsia" w:ascii="宋体" w:hAnsi="宋体" w:eastAsia="宋体"/>
        <w:b w:val="0"/>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48">
    <w:nsid w:val="3F2C4DC2"/>
    <w:multiLevelType w:val="multilevel"/>
    <w:tmpl w:val="3F2C4DC2"/>
    <w:lvl w:ilvl="0" w:tentative="0">
      <w:start w:val="6"/>
      <w:numFmt w:val="decimal"/>
      <w:lvlText w:val="第%1章"/>
      <w:lvlJc w:val="center"/>
      <w:pPr>
        <w:tabs>
          <w:tab w:val="left" w:pos="432"/>
        </w:tabs>
        <w:ind w:left="432" w:hanging="144"/>
      </w:pPr>
      <w:rPr>
        <w:rFonts w:hint="eastAsia" w:ascii="宋体" w:hAnsi="宋体" w:eastAsia="宋体"/>
      </w:rPr>
    </w:lvl>
    <w:lvl w:ilvl="1" w:tentative="0">
      <w:start w:val="1"/>
      <w:numFmt w:val="decimal"/>
      <w:lvlText w:val="%1.%2"/>
      <w:lvlJc w:val="left"/>
      <w:pPr>
        <w:tabs>
          <w:tab w:val="left" w:pos="964"/>
        </w:tabs>
        <w:ind w:left="964" w:hanging="964"/>
      </w:pPr>
      <w:rPr>
        <w:rFonts w:hint="eastAsia" w:ascii="宋体" w:hAnsi="宋体" w:eastAsia="宋体"/>
      </w:rPr>
    </w:lvl>
    <w:lvl w:ilvl="2" w:tentative="0">
      <w:start w:val="1"/>
      <w:numFmt w:val="decimal"/>
      <w:lvlText w:val="1.7.%3"/>
      <w:lvlJc w:val="left"/>
      <w:pPr>
        <w:tabs>
          <w:tab w:val="left" w:pos="964"/>
        </w:tabs>
        <w:ind w:left="964" w:hanging="964"/>
      </w:pPr>
      <w:rPr>
        <w:rFonts w:hint="eastAsia" w:ascii="宋体" w:hAnsi="宋体" w:eastAsia="宋体"/>
        <w:b w:val="0"/>
        <w:i w:val="0"/>
        <w:sz w:val="21"/>
        <w:szCs w:val="21"/>
      </w:rPr>
    </w:lvl>
    <w:lvl w:ilvl="3" w:tentative="0">
      <w:start w:val="1"/>
      <w:numFmt w:val="decimal"/>
      <w:lvlText w:val="%1.5.6.%4"/>
      <w:lvlJc w:val="left"/>
      <w:pPr>
        <w:tabs>
          <w:tab w:val="left" w:pos="964"/>
        </w:tabs>
        <w:ind w:left="964" w:hanging="964"/>
      </w:pPr>
      <w:rPr>
        <w:rFonts w:hint="eastAsia" w:ascii="宋体" w:hAnsi="宋体" w:eastAsia="宋体"/>
        <w:b w:val="0"/>
      </w:rPr>
    </w:lvl>
    <w:lvl w:ilvl="4" w:tentative="0">
      <w:start w:val="1"/>
      <w:numFmt w:val="decimal"/>
      <w:lvlText w:val="%1.5.5.%4.%5"/>
      <w:lvlJc w:val="left"/>
      <w:pPr>
        <w:tabs>
          <w:tab w:val="left" w:pos="1008"/>
        </w:tabs>
        <w:ind w:left="1008" w:hanging="1008"/>
      </w:pPr>
      <w:rPr>
        <w:rFonts w:hint="eastAsia" w:ascii="宋体" w:hAnsi="宋体" w:eastAsia="宋体"/>
        <w:b w:val="0"/>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49">
    <w:nsid w:val="3FFF53C8"/>
    <w:multiLevelType w:val="multilevel"/>
    <w:tmpl w:val="3FFF53C8"/>
    <w:lvl w:ilvl="0" w:tentative="0">
      <w:start w:val="1"/>
      <w:numFmt w:val="decimal"/>
      <w:lvlText w:val="(%1)"/>
      <w:lvlJc w:val="left"/>
      <w:pPr>
        <w:tabs>
          <w:tab w:val="left" w:pos="1004"/>
        </w:tabs>
        <w:ind w:left="1004"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0">
    <w:nsid w:val="432B031A"/>
    <w:multiLevelType w:val="multilevel"/>
    <w:tmpl w:val="432B031A"/>
    <w:lvl w:ilvl="0" w:tentative="0">
      <w:start w:val="1"/>
      <w:numFmt w:val="decimal"/>
      <w:lvlText w:val="(%1)"/>
      <w:lvlJc w:val="left"/>
      <w:pPr>
        <w:tabs>
          <w:tab w:val="left" w:pos="1200"/>
        </w:tabs>
        <w:ind w:left="1200"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ascii="宋体" w:hAnsi="宋体" w:eastAsia="宋体"/>
      </w:rPr>
    </w:lvl>
    <w:lvl w:ilvl="3" w:tentative="0">
      <w:start w:val="1"/>
      <w:numFmt w:val="decimal"/>
      <w:lvlText w:val="%4."/>
      <w:lvlJc w:val="left"/>
      <w:pPr>
        <w:tabs>
          <w:tab w:val="left" w:pos="1680"/>
        </w:tabs>
        <w:ind w:left="1680" w:hanging="420"/>
      </w:pPr>
      <w:rPr>
        <w:rFonts w:hint="eastAsia" w:ascii="宋体" w:hAnsi="宋体" w:eastAsia="宋体"/>
      </w:rPr>
    </w:lvl>
    <w:lvl w:ilvl="4" w:tentative="0">
      <w:start w:val="1"/>
      <w:numFmt w:val="lowerLetter"/>
      <w:lvlText w:val="%5)"/>
      <w:lvlJc w:val="left"/>
      <w:pPr>
        <w:tabs>
          <w:tab w:val="left" w:pos="2100"/>
        </w:tabs>
        <w:ind w:left="2100" w:hanging="420"/>
      </w:pPr>
      <w:rPr>
        <w:rFonts w:hint="eastAsia" w:ascii="宋体" w:hAnsi="宋体" w:eastAsia="宋体"/>
      </w:rPr>
    </w:lvl>
    <w:lvl w:ilvl="5" w:tentative="0">
      <w:start w:val="1"/>
      <w:numFmt w:val="lowerRoman"/>
      <w:lvlText w:val="%6."/>
      <w:lvlJc w:val="right"/>
      <w:pPr>
        <w:tabs>
          <w:tab w:val="left" w:pos="2520"/>
        </w:tabs>
        <w:ind w:left="2520" w:hanging="420"/>
      </w:pPr>
      <w:rPr>
        <w:rFonts w:hint="eastAsia" w:ascii="宋体" w:hAnsi="宋体" w:eastAsia="宋体"/>
      </w:rPr>
    </w:lvl>
    <w:lvl w:ilvl="6" w:tentative="0">
      <w:start w:val="1"/>
      <w:numFmt w:val="decimal"/>
      <w:lvlText w:val="%7."/>
      <w:lvlJc w:val="left"/>
      <w:pPr>
        <w:tabs>
          <w:tab w:val="left" w:pos="2940"/>
        </w:tabs>
        <w:ind w:left="2940" w:hanging="420"/>
      </w:pPr>
      <w:rPr>
        <w:rFonts w:hint="eastAsia" w:ascii="宋体" w:hAnsi="宋体" w:eastAsia="宋体"/>
      </w:rPr>
    </w:lvl>
    <w:lvl w:ilvl="7" w:tentative="0">
      <w:start w:val="1"/>
      <w:numFmt w:val="lowerLetter"/>
      <w:lvlText w:val="%8)"/>
      <w:lvlJc w:val="left"/>
      <w:pPr>
        <w:tabs>
          <w:tab w:val="left" w:pos="3360"/>
        </w:tabs>
        <w:ind w:left="3360" w:hanging="420"/>
      </w:pPr>
      <w:rPr>
        <w:rFonts w:hint="eastAsia" w:ascii="宋体" w:hAnsi="宋体" w:eastAsia="宋体"/>
      </w:rPr>
    </w:lvl>
    <w:lvl w:ilvl="8" w:tentative="0">
      <w:start w:val="1"/>
      <w:numFmt w:val="lowerRoman"/>
      <w:lvlText w:val="%9."/>
      <w:lvlJc w:val="right"/>
      <w:pPr>
        <w:tabs>
          <w:tab w:val="left" w:pos="3780"/>
        </w:tabs>
        <w:ind w:left="3780" w:hanging="420"/>
      </w:pPr>
      <w:rPr>
        <w:rFonts w:hint="eastAsia" w:ascii="宋体" w:hAnsi="宋体" w:eastAsia="宋体"/>
      </w:rPr>
    </w:lvl>
  </w:abstractNum>
  <w:abstractNum w:abstractNumId="51">
    <w:nsid w:val="45CD0D9E"/>
    <w:multiLevelType w:val="multilevel"/>
    <w:tmpl w:val="45CD0D9E"/>
    <w:lvl w:ilvl="0" w:tentative="0">
      <w:start w:val="1"/>
      <w:numFmt w:val="decimal"/>
      <w:lvlText w:val="(%1)"/>
      <w:lvlJc w:val="left"/>
      <w:pPr>
        <w:tabs>
          <w:tab w:val="left" w:pos="1004"/>
        </w:tabs>
        <w:ind w:left="1004"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2">
    <w:nsid w:val="4771796D"/>
    <w:multiLevelType w:val="multilevel"/>
    <w:tmpl w:val="4771796D"/>
    <w:lvl w:ilvl="0" w:tentative="0">
      <w:start w:val="1"/>
      <w:numFmt w:val="decimal"/>
      <w:lvlText w:val="(%1)"/>
      <w:lvlJc w:val="left"/>
      <w:pPr>
        <w:tabs>
          <w:tab w:val="left" w:pos="1200"/>
        </w:tabs>
        <w:ind w:left="1200"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3">
    <w:nsid w:val="489E293D"/>
    <w:multiLevelType w:val="multilevel"/>
    <w:tmpl w:val="489E293D"/>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54">
    <w:nsid w:val="4A956FE9"/>
    <w:multiLevelType w:val="multilevel"/>
    <w:tmpl w:val="4A956FE9"/>
    <w:lvl w:ilvl="0" w:tentative="0">
      <w:start w:val="6"/>
      <w:numFmt w:val="decimal"/>
      <w:lvlText w:val="第%1章"/>
      <w:lvlJc w:val="center"/>
      <w:pPr>
        <w:tabs>
          <w:tab w:val="left" w:pos="432"/>
        </w:tabs>
        <w:ind w:left="432" w:hanging="144"/>
      </w:pPr>
      <w:rPr>
        <w:rFonts w:hint="eastAsia" w:ascii="宋体" w:hAnsi="宋体" w:eastAsia="宋体"/>
      </w:rPr>
    </w:lvl>
    <w:lvl w:ilvl="1" w:tentative="0">
      <w:start w:val="1"/>
      <w:numFmt w:val="decimal"/>
      <w:lvlText w:val="%1.%2"/>
      <w:lvlJc w:val="left"/>
      <w:pPr>
        <w:tabs>
          <w:tab w:val="left" w:pos="964"/>
        </w:tabs>
        <w:ind w:left="964" w:hanging="964"/>
      </w:pPr>
      <w:rPr>
        <w:rFonts w:hint="eastAsia" w:ascii="宋体" w:hAnsi="宋体" w:eastAsia="宋体"/>
      </w:rPr>
    </w:lvl>
    <w:lvl w:ilvl="2" w:tentative="0">
      <w:start w:val="1"/>
      <w:numFmt w:val="decimal"/>
      <w:lvlText w:val="%1.1.%3"/>
      <w:lvlJc w:val="left"/>
      <w:pPr>
        <w:tabs>
          <w:tab w:val="left" w:pos="964"/>
        </w:tabs>
        <w:ind w:left="964" w:hanging="964"/>
      </w:pPr>
      <w:rPr>
        <w:rFonts w:hint="eastAsia" w:ascii="宋体" w:hAnsi="宋体" w:eastAsia="宋体"/>
        <w:b w:val="0"/>
        <w:i w:val="0"/>
        <w:sz w:val="21"/>
        <w:szCs w:val="21"/>
      </w:rPr>
    </w:lvl>
    <w:lvl w:ilvl="3" w:tentative="0">
      <w:start w:val="1"/>
      <w:numFmt w:val="decimal"/>
      <w:lvlText w:val="1.5.3.%4"/>
      <w:lvlJc w:val="left"/>
      <w:pPr>
        <w:tabs>
          <w:tab w:val="left" w:pos="964"/>
        </w:tabs>
        <w:ind w:left="964" w:hanging="964"/>
      </w:pPr>
      <w:rPr>
        <w:rFonts w:hint="eastAsia" w:ascii="宋体" w:hAnsi="宋体" w:eastAsia="宋体"/>
        <w:b w:val="0"/>
      </w:rPr>
    </w:lvl>
    <w:lvl w:ilvl="4" w:tentative="0">
      <w:start w:val="1"/>
      <w:numFmt w:val="decimal"/>
      <w:lvlText w:val="%1.%2.%3.%4.%5"/>
      <w:lvlJc w:val="left"/>
      <w:pPr>
        <w:tabs>
          <w:tab w:val="left" w:pos="1008"/>
        </w:tabs>
        <w:ind w:left="1008" w:hanging="1008"/>
      </w:pPr>
      <w:rPr>
        <w:rFonts w:hint="eastAsia" w:ascii="宋体" w:hAnsi="宋体" w:eastAsia="宋体"/>
        <w:b w:val="0"/>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55">
    <w:nsid w:val="4D9802C9"/>
    <w:multiLevelType w:val="multilevel"/>
    <w:tmpl w:val="4D9802C9"/>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lowerLetter"/>
      <w:lvlText w:val="(%3)"/>
      <w:lvlJc w:val="left"/>
      <w:pPr>
        <w:tabs>
          <w:tab w:val="left" w:pos="964"/>
        </w:tabs>
        <w:ind w:left="964" w:hanging="624"/>
      </w:pPr>
      <w:rPr>
        <w:rFonts w:hint="default" w:ascii="Times New Roman" w:hAnsi="Times New Roman" w:cs="Times New Roman"/>
        <w:sz w:val="24"/>
        <w:szCs w:val="24"/>
      </w:rPr>
    </w:lvl>
    <w:lvl w:ilvl="3" w:tentative="0">
      <w:start w:val="1"/>
      <w:numFmt w:val="lowerLetter"/>
      <w:lvlText w:val="%4)"/>
      <w:lvlJc w:val="left"/>
      <w:pPr>
        <w:tabs>
          <w:tab w:val="left" w:pos="964"/>
        </w:tabs>
        <w:ind w:left="964" w:hanging="510"/>
      </w:pPr>
      <w:rPr>
        <w:rFonts w:hint="eastAsia" w:ascii="宋体" w:hAnsi="宋体" w:eastAsia="宋体"/>
      </w:rPr>
    </w:lvl>
    <w:lvl w:ilvl="4" w:tentative="0">
      <w:start w:val="1"/>
      <w:numFmt w:val="lowerRoman"/>
      <w:lvlText w:val="%5)"/>
      <w:lvlJc w:val="left"/>
      <w:pPr>
        <w:tabs>
          <w:tab w:val="left" w:pos="964"/>
        </w:tabs>
        <w:ind w:left="964" w:hanging="510"/>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56">
    <w:nsid w:val="4E9566D5"/>
    <w:multiLevelType w:val="multilevel"/>
    <w:tmpl w:val="4E9566D5"/>
    <w:lvl w:ilvl="0" w:tentative="0">
      <w:start w:val="1"/>
      <w:numFmt w:val="decimal"/>
      <w:lvlText w:val="(%1)"/>
      <w:lvlJc w:val="left"/>
      <w:pPr>
        <w:tabs>
          <w:tab w:val="left" w:pos="1004"/>
        </w:tabs>
        <w:ind w:left="1004"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7">
    <w:nsid w:val="502553E7"/>
    <w:multiLevelType w:val="multilevel"/>
    <w:tmpl w:val="502553E7"/>
    <w:lvl w:ilvl="0" w:tentative="0">
      <w:start w:val="1"/>
      <w:numFmt w:val="decimal"/>
      <w:lvlText w:val="%1)"/>
      <w:lvlJc w:val="left"/>
      <w:pPr>
        <w:tabs>
          <w:tab w:val="left" w:pos="964"/>
        </w:tabs>
        <w:ind w:left="964" w:hanging="680"/>
      </w:pPr>
      <w:rPr>
        <w:rFonts w:hint="eastAsia" w:ascii="宋体" w:hAnsi="宋体" w:eastAsia="宋体"/>
        <w:sz w:val="24"/>
        <w:szCs w:val="24"/>
      </w:rPr>
    </w:lvl>
    <w:lvl w:ilvl="1" w:tentative="0">
      <w:start w:val="1"/>
      <w:numFmt w:val="decimal"/>
      <w:lvlText w:val="%2)"/>
      <w:lvlJc w:val="left"/>
      <w:pPr>
        <w:tabs>
          <w:tab w:val="left" w:pos="964"/>
        </w:tabs>
        <w:ind w:left="964" w:hanging="567"/>
      </w:pPr>
      <w:rPr>
        <w:rFonts w:hint="eastAsia" w:ascii="宋体" w:hAnsi="宋体" w:eastAsia="宋体"/>
        <w:sz w:val="21"/>
        <w:szCs w:val="21"/>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58">
    <w:nsid w:val="515D28DF"/>
    <w:multiLevelType w:val="multilevel"/>
    <w:tmpl w:val="515D28DF"/>
    <w:lvl w:ilvl="0" w:tentative="0">
      <w:start w:val="1"/>
      <w:numFmt w:val="decimal"/>
      <w:lvlText w:val="%1)"/>
      <w:lvlJc w:val="left"/>
      <w:pPr>
        <w:tabs>
          <w:tab w:val="left" w:pos="964"/>
        </w:tabs>
        <w:ind w:left="964" w:hanging="680"/>
      </w:pPr>
      <w:rPr>
        <w:rFonts w:hint="eastAsia" w:ascii="宋体" w:hAnsi="宋体" w:eastAsia="宋体"/>
        <w:sz w:val="24"/>
        <w:szCs w:val="24"/>
      </w:rPr>
    </w:lvl>
    <w:lvl w:ilvl="1" w:tentative="0">
      <w:start w:val="1"/>
      <w:numFmt w:val="decimal"/>
      <w:lvlText w:val="%2)"/>
      <w:lvlJc w:val="left"/>
      <w:pPr>
        <w:tabs>
          <w:tab w:val="left" w:pos="964"/>
        </w:tabs>
        <w:ind w:left="964" w:hanging="567"/>
      </w:pPr>
      <w:rPr>
        <w:rFonts w:hint="eastAsia" w:ascii="宋体" w:hAnsi="宋体" w:eastAsia="宋体"/>
        <w:sz w:val="21"/>
        <w:szCs w:val="21"/>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59">
    <w:nsid w:val="52D0376D"/>
    <w:multiLevelType w:val="multilevel"/>
    <w:tmpl w:val="52D0376D"/>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60">
    <w:nsid w:val="536C1415"/>
    <w:multiLevelType w:val="multilevel"/>
    <w:tmpl w:val="536C1415"/>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61">
    <w:nsid w:val="548B1D7E"/>
    <w:multiLevelType w:val="multilevel"/>
    <w:tmpl w:val="548B1D7E"/>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62">
    <w:nsid w:val="574F4C02"/>
    <w:multiLevelType w:val="multilevel"/>
    <w:tmpl w:val="574F4C02"/>
    <w:lvl w:ilvl="0" w:tentative="0">
      <w:start w:val="1"/>
      <w:numFmt w:val="decimal"/>
      <w:lvlText w:val="第%1章"/>
      <w:lvlJc w:val="center"/>
      <w:pPr>
        <w:tabs>
          <w:tab w:val="left" w:pos="432"/>
        </w:tabs>
        <w:ind w:left="432" w:hanging="144"/>
      </w:pPr>
      <w:rPr>
        <w:rFonts w:hint="eastAsia" w:ascii="宋体" w:hAnsi="宋体" w:eastAsia="宋体"/>
      </w:rPr>
    </w:lvl>
    <w:lvl w:ilvl="1" w:tentative="0">
      <w:start w:val="1"/>
      <w:numFmt w:val="decimal"/>
      <w:lvlText w:val="%1.%2"/>
      <w:lvlJc w:val="left"/>
      <w:pPr>
        <w:tabs>
          <w:tab w:val="left" w:pos="964"/>
        </w:tabs>
        <w:ind w:left="964" w:hanging="964"/>
      </w:pPr>
      <w:rPr>
        <w:rFonts w:hint="eastAsia" w:ascii="宋体" w:hAnsi="宋体" w:eastAsia="宋体"/>
        <w:b/>
        <w:sz w:val="24"/>
        <w:szCs w:val="24"/>
      </w:rPr>
    </w:lvl>
    <w:lvl w:ilvl="2" w:tentative="0">
      <w:start w:val="1"/>
      <w:numFmt w:val="decimal"/>
      <w:lvlText w:val="%1.10.1"/>
      <w:lvlJc w:val="left"/>
      <w:pPr>
        <w:tabs>
          <w:tab w:val="left" w:pos="964"/>
        </w:tabs>
        <w:ind w:left="964" w:hanging="964"/>
      </w:pPr>
      <w:rPr>
        <w:rFonts w:hint="eastAsia" w:ascii="宋体" w:hAnsi="宋体" w:eastAsia="宋体"/>
        <w:b w:val="0"/>
        <w:i w:val="0"/>
        <w:sz w:val="21"/>
        <w:szCs w:val="21"/>
      </w:rPr>
    </w:lvl>
    <w:lvl w:ilvl="3" w:tentative="0">
      <w:start w:val="1"/>
      <w:numFmt w:val="decimal"/>
      <w:lvlText w:val="%1.9.1.%4"/>
      <w:lvlJc w:val="left"/>
      <w:pPr>
        <w:tabs>
          <w:tab w:val="left" w:pos="964"/>
        </w:tabs>
        <w:ind w:left="964" w:hanging="964"/>
      </w:pPr>
      <w:rPr>
        <w:rFonts w:hint="eastAsia" w:ascii="宋体" w:hAnsi="宋体" w:eastAsia="宋体"/>
        <w:b w:val="0"/>
      </w:rPr>
    </w:lvl>
    <w:lvl w:ilvl="4" w:tentative="0">
      <w:start w:val="1"/>
      <w:numFmt w:val="decimal"/>
      <w:lvlText w:val="%1.5.5.%4.%5"/>
      <w:lvlJc w:val="left"/>
      <w:pPr>
        <w:tabs>
          <w:tab w:val="left" w:pos="1008"/>
        </w:tabs>
        <w:ind w:left="1008" w:hanging="1008"/>
      </w:pPr>
      <w:rPr>
        <w:rFonts w:hint="eastAsia" w:ascii="宋体" w:hAnsi="宋体" w:eastAsia="宋体"/>
        <w:b w:val="0"/>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63">
    <w:nsid w:val="57C96F8B"/>
    <w:multiLevelType w:val="multilevel"/>
    <w:tmpl w:val="57C96F8B"/>
    <w:lvl w:ilvl="0" w:tentative="0">
      <w:start w:val="1"/>
      <w:numFmt w:val="decimal"/>
      <w:lvlText w:val="%1."/>
      <w:lvlJc w:val="left"/>
      <w:pPr>
        <w:tabs>
          <w:tab w:val="left" w:pos="425"/>
        </w:tabs>
        <w:ind w:left="425" w:hanging="425"/>
      </w:pPr>
      <w:rPr>
        <w:rFonts w:hint="default" w:ascii="Arial" w:hAnsi="Arial" w:cs="Arial"/>
        <w:sz w:val="24"/>
        <w:szCs w:val="24"/>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default" w:ascii="Times New Roman" w:hAnsi="Times New Roman" w:cs="Times New Roman"/>
      </w:rPr>
    </w:lvl>
    <w:lvl w:ilvl="4" w:tentative="0">
      <w:start w:val="1"/>
      <w:numFmt w:val="decimal"/>
      <w:lvlText w:val="%1.%2.%3.%4.%5."/>
      <w:lvlJc w:val="left"/>
      <w:pPr>
        <w:tabs>
          <w:tab w:val="left" w:pos="992"/>
        </w:tabs>
        <w:ind w:left="992" w:hanging="992"/>
      </w:pPr>
      <w:rPr>
        <w:rFonts w:hint="default" w:ascii="Times New Roman" w:hAnsi="Times New Roman" w:cs="Times New Roman"/>
      </w:rPr>
    </w:lvl>
    <w:lvl w:ilvl="5" w:tentative="0">
      <w:start w:val="1"/>
      <w:numFmt w:val="decimal"/>
      <w:lvlText w:val="%1.%2.%3.%4.%5.%6."/>
      <w:lvlJc w:val="left"/>
      <w:pPr>
        <w:tabs>
          <w:tab w:val="left" w:pos="1134"/>
        </w:tabs>
        <w:ind w:left="1134" w:hanging="1134"/>
      </w:pPr>
      <w:rPr>
        <w:rFonts w:hint="default" w:ascii="Times New Roman" w:hAnsi="Times New Roman" w:cs="Times New Roman"/>
      </w:rPr>
    </w:lvl>
    <w:lvl w:ilvl="6" w:tentative="0">
      <w:start w:val="1"/>
      <w:numFmt w:val="decimal"/>
      <w:lvlText w:val="%1.%2.%3.%4.%5.%6.%7."/>
      <w:lvlJc w:val="left"/>
      <w:pPr>
        <w:tabs>
          <w:tab w:val="left" w:pos="1276"/>
        </w:tabs>
        <w:ind w:left="1276" w:hanging="1276"/>
      </w:pPr>
      <w:rPr>
        <w:rFonts w:hint="default" w:ascii="Times New Roman" w:hAnsi="Times New Roman" w:cs="Times New Roman"/>
      </w:rPr>
    </w:lvl>
    <w:lvl w:ilvl="7" w:tentative="0">
      <w:start w:val="1"/>
      <w:numFmt w:val="decimal"/>
      <w:lvlText w:val="%1.%2.%3.%4.%5.%6.%7.%8."/>
      <w:lvlJc w:val="left"/>
      <w:pPr>
        <w:tabs>
          <w:tab w:val="left" w:pos="1418"/>
        </w:tabs>
        <w:ind w:left="1418" w:hanging="1418"/>
      </w:pPr>
      <w:rPr>
        <w:rFonts w:hint="default" w:ascii="Times New Roman" w:hAnsi="Times New Roman" w:cs="Times New Roman"/>
      </w:rPr>
    </w:lvl>
    <w:lvl w:ilvl="8" w:tentative="0">
      <w:start w:val="1"/>
      <w:numFmt w:val="decimal"/>
      <w:lvlText w:val="%1.%2.%3.%4.%5.%6.%7.%8.%9."/>
      <w:lvlJc w:val="left"/>
      <w:pPr>
        <w:tabs>
          <w:tab w:val="left" w:pos="1559"/>
        </w:tabs>
        <w:ind w:left="1559" w:hanging="1559"/>
      </w:pPr>
      <w:rPr>
        <w:rFonts w:hint="default" w:ascii="Times New Roman" w:hAnsi="Times New Roman" w:cs="Times New Roman"/>
      </w:rPr>
    </w:lvl>
  </w:abstractNum>
  <w:abstractNum w:abstractNumId="64">
    <w:nsid w:val="5908537E"/>
    <w:multiLevelType w:val="multilevel"/>
    <w:tmpl w:val="5908537E"/>
    <w:lvl w:ilvl="0" w:tentative="0">
      <w:start w:val="6"/>
      <w:numFmt w:val="decimal"/>
      <w:lvlText w:val="第%1章"/>
      <w:lvlJc w:val="center"/>
      <w:pPr>
        <w:tabs>
          <w:tab w:val="left" w:pos="432"/>
        </w:tabs>
        <w:ind w:left="432" w:hanging="144"/>
      </w:pPr>
      <w:rPr>
        <w:rFonts w:hint="eastAsia" w:ascii="宋体" w:hAnsi="宋体" w:eastAsia="宋体"/>
      </w:rPr>
    </w:lvl>
    <w:lvl w:ilvl="1" w:tentative="0">
      <w:start w:val="1"/>
      <w:numFmt w:val="decimal"/>
      <w:lvlText w:val="%1.%2"/>
      <w:lvlJc w:val="left"/>
      <w:pPr>
        <w:tabs>
          <w:tab w:val="left" w:pos="964"/>
        </w:tabs>
        <w:ind w:left="964" w:hanging="964"/>
      </w:pPr>
      <w:rPr>
        <w:rFonts w:hint="eastAsia" w:ascii="宋体" w:hAnsi="宋体" w:eastAsia="宋体"/>
      </w:rPr>
    </w:lvl>
    <w:lvl w:ilvl="2" w:tentative="0">
      <w:start w:val="1"/>
      <w:numFmt w:val="decimal"/>
      <w:lvlText w:val="%1.1.%3"/>
      <w:lvlJc w:val="left"/>
      <w:pPr>
        <w:tabs>
          <w:tab w:val="left" w:pos="964"/>
        </w:tabs>
        <w:ind w:left="964" w:hanging="964"/>
      </w:pPr>
      <w:rPr>
        <w:rFonts w:hint="eastAsia" w:ascii="宋体" w:hAnsi="宋体" w:eastAsia="宋体"/>
        <w:b w:val="0"/>
        <w:i w:val="0"/>
        <w:sz w:val="21"/>
        <w:szCs w:val="21"/>
      </w:rPr>
    </w:lvl>
    <w:lvl w:ilvl="3" w:tentative="0">
      <w:start w:val="1"/>
      <w:numFmt w:val="decimal"/>
      <w:lvlText w:val="1.5.4.%4"/>
      <w:lvlJc w:val="left"/>
      <w:pPr>
        <w:tabs>
          <w:tab w:val="left" w:pos="964"/>
        </w:tabs>
        <w:ind w:left="964" w:hanging="964"/>
      </w:pPr>
      <w:rPr>
        <w:rFonts w:hint="eastAsia" w:ascii="宋体" w:hAnsi="宋体" w:eastAsia="宋体"/>
        <w:b w:val="0"/>
      </w:rPr>
    </w:lvl>
    <w:lvl w:ilvl="4" w:tentative="0">
      <w:start w:val="1"/>
      <w:numFmt w:val="decimal"/>
      <w:lvlText w:val="%1.%2.%3.%4.%5"/>
      <w:lvlJc w:val="left"/>
      <w:pPr>
        <w:tabs>
          <w:tab w:val="left" w:pos="1008"/>
        </w:tabs>
        <w:ind w:left="1008" w:hanging="1008"/>
      </w:pPr>
      <w:rPr>
        <w:rFonts w:hint="eastAsia" w:ascii="宋体" w:hAnsi="宋体" w:eastAsia="宋体"/>
        <w:b w:val="0"/>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65">
    <w:nsid w:val="5A6F18FB"/>
    <w:multiLevelType w:val="multilevel"/>
    <w:tmpl w:val="5A6F18FB"/>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66">
    <w:nsid w:val="5F8964F4"/>
    <w:multiLevelType w:val="multilevel"/>
    <w:tmpl w:val="5F8964F4"/>
    <w:lvl w:ilvl="0" w:tentative="0">
      <w:start w:val="1"/>
      <w:numFmt w:val="decimal"/>
      <w:lvlText w:val="(%1)"/>
      <w:lvlJc w:val="left"/>
      <w:pPr>
        <w:tabs>
          <w:tab w:val="left" w:pos="900"/>
        </w:tabs>
        <w:ind w:left="900" w:hanging="420"/>
      </w:pPr>
      <w:rPr>
        <w:rFonts w:hint="eastAsia" w:ascii="宋体" w:hAnsi="宋体" w:eastAsia="宋体" w:cs="Times New Roman"/>
      </w:rPr>
    </w:lvl>
    <w:lvl w:ilvl="1" w:tentative="0">
      <w:start w:val="1"/>
      <w:numFmt w:val="decimal"/>
      <w:lvlText w:val="(%2)"/>
      <w:lvlJc w:val="left"/>
      <w:pPr>
        <w:tabs>
          <w:tab w:val="left" w:pos="987"/>
        </w:tabs>
        <w:ind w:left="987" w:hanging="567"/>
      </w:pPr>
      <w:rPr>
        <w:rFonts w:hint="eastAsia" w:ascii="宋体" w:hAnsi="宋体" w:eastAsia="宋体"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67">
    <w:nsid w:val="601371DB"/>
    <w:multiLevelType w:val="multilevel"/>
    <w:tmpl w:val="601371DB"/>
    <w:lvl w:ilvl="0" w:tentative="0">
      <w:start w:val="1"/>
      <w:numFmt w:val="decimal"/>
      <w:lvlText w:val="%1)"/>
      <w:lvlJc w:val="left"/>
      <w:pPr>
        <w:tabs>
          <w:tab w:val="left" w:pos="964"/>
        </w:tabs>
        <w:ind w:left="964" w:hanging="680"/>
      </w:pPr>
      <w:rPr>
        <w:rFonts w:hint="eastAsia" w:ascii="宋体" w:hAnsi="宋体" w:eastAsia="宋体"/>
        <w:sz w:val="24"/>
        <w:szCs w:val="24"/>
      </w:rPr>
    </w:lvl>
    <w:lvl w:ilvl="1" w:tentative="0">
      <w:start w:val="1"/>
      <w:numFmt w:val="decimal"/>
      <w:lvlText w:val="%2)"/>
      <w:lvlJc w:val="left"/>
      <w:pPr>
        <w:tabs>
          <w:tab w:val="left" w:pos="964"/>
        </w:tabs>
        <w:ind w:left="964" w:hanging="567"/>
      </w:pPr>
      <w:rPr>
        <w:rFonts w:hint="eastAsia" w:ascii="宋体" w:hAnsi="宋体" w:eastAsia="宋体"/>
        <w:sz w:val="21"/>
        <w:szCs w:val="21"/>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68">
    <w:nsid w:val="63494434"/>
    <w:multiLevelType w:val="multilevel"/>
    <w:tmpl w:val="63494434"/>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69">
    <w:nsid w:val="64C81588"/>
    <w:multiLevelType w:val="multilevel"/>
    <w:tmpl w:val="64C81588"/>
    <w:lvl w:ilvl="0" w:tentative="0">
      <w:start w:val="6"/>
      <w:numFmt w:val="decimal"/>
      <w:lvlText w:val="第%1章"/>
      <w:lvlJc w:val="center"/>
      <w:pPr>
        <w:tabs>
          <w:tab w:val="left" w:pos="432"/>
        </w:tabs>
        <w:ind w:left="432" w:hanging="144"/>
      </w:pPr>
      <w:rPr>
        <w:rFonts w:hint="eastAsia" w:ascii="宋体" w:hAnsi="宋体" w:eastAsia="宋体"/>
      </w:rPr>
    </w:lvl>
    <w:lvl w:ilvl="1" w:tentative="0">
      <w:start w:val="1"/>
      <w:numFmt w:val="decimal"/>
      <w:lvlText w:val="%1.%2"/>
      <w:lvlJc w:val="left"/>
      <w:pPr>
        <w:tabs>
          <w:tab w:val="left" w:pos="964"/>
        </w:tabs>
        <w:ind w:left="964" w:hanging="964"/>
      </w:pPr>
      <w:rPr>
        <w:rFonts w:hint="eastAsia" w:ascii="宋体" w:hAnsi="宋体" w:eastAsia="宋体"/>
      </w:rPr>
    </w:lvl>
    <w:lvl w:ilvl="2" w:tentative="0">
      <w:start w:val="1"/>
      <w:numFmt w:val="decimal"/>
      <w:lvlText w:val="%1.1.%3"/>
      <w:lvlJc w:val="left"/>
      <w:pPr>
        <w:tabs>
          <w:tab w:val="left" w:pos="964"/>
        </w:tabs>
        <w:ind w:left="964" w:hanging="964"/>
      </w:pPr>
      <w:rPr>
        <w:rFonts w:hint="eastAsia" w:ascii="宋体" w:hAnsi="宋体" w:eastAsia="宋体"/>
        <w:b w:val="0"/>
        <w:i w:val="0"/>
        <w:sz w:val="21"/>
        <w:szCs w:val="21"/>
      </w:rPr>
    </w:lvl>
    <w:lvl w:ilvl="3" w:tentative="0">
      <w:start w:val="1"/>
      <w:numFmt w:val="decimal"/>
      <w:lvlText w:val="1.5.6.%4"/>
      <w:lvlJc w:val="left"/>
      <w:pPr>
        <w:tabs>
          <w:tab w:val="left" w:pos="964"/>
        </w:tabs>
        <w:ind w:left="964" w:hanging="964"/>
      </w:pPr>
      <w:rPr>
        <w:rFonts w:hint="eastAsia" w:ascii="宋体" w:hAnsi="宋体" w:eastAsia="宋体"/>
        <w:b w:val="0"/>
      </w:rPr>
    </w:lvl>
    <w:lvl w:ilvl="4" w:tentative="0">
      <w:start w:val="1"/>
      <w:numFmt w:val="decimal"/>
      <w:lvlText w:val="%1.5.5.%4.%5"/>
      <w:lvlJc w:val="left"/>
      <w:pPr>
        <w:tabs>
          <w:tab w:val="left" w:pos="1008"/>
        </w:tabs>
        <w:ind w:left="1008" w:hanging="1008"/>
      </w:pPr>
      <w:rPr>
        <w:rFonts w:hint="eastAsia" w:ascii="宋体" w:hAnsi="宋体" w:eastAsia="宋体"/>
        <w:b w:val="0"/>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70">
    <w:nsid w:val="658E455F"/>
    <w:multiLevelType w:val="multilevel"/>
    <w:tmpl w:val="658E455F"/>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71">
    <w:nsid w:val="65ED7E10"/>
    <w:multiLevelType w:val="multilevel"/>
    <w:tmpl w:val="65ED7E10"/>
    <w:lvl w:ilvl="0" w:tentative="0">
      <w:start w:val="2"/>
      <w:numFmt w:val="decimal"/>
      <w:lvlText w:val="第%1章"/>
      <w:lvlJc w:val="center"/>
      <w:pPr>
        <w:tabs>
          <w:tab w:val="left" w:pos="432"/>
        </w:tabs>
        <w:ind w:left="432" w:hanging="144"/>
      </w:pPr>
      <w:rPr>
        <w:rFonts w:hint="eastAsia" w:ascii="宋体" w:hAnsi="宋体" w:eastAsia="宋体"/>
      </w:rPr>
    </w:lvl>
    <w:lvl w:ilvl="1" w:tentative="0">
      <w:start w:val="1"/>
      <w:numFmt w:val="decimal"/>
      <w:lvlText w:val="2.%2"/>
      <w:lvlJc w:val="left"/>
      <w:pPr>
        <w:tabs>
          <w:tab w:val="left" w:pos="1106"/>
        </w:tabs>
        <w:ind w:left="1106" w:hanging="964"/>
      </w:pPr>
      <w:rPr>
        <w:rFonts w:hint="eastAsia" w:ascii="宋体" w:hAnsi="宋体" w:eastAsia="宋体"/>
      </w:rPr>
    </w:lvl>
    <w:lvl w:ilvl="2" w:tentative="0">
      <w:start w:val="1"/>
      <w:numFmt w:val="decimal"/>
      <w:lvlText w:val="2.%2.%3"/>
      <w:lvlJc w:val="left"/>
      <w:pPr>
        <w:tabs>
          <w:tab w:val="left" w:pos="964"/>
        </w:tabs>
        <w:ind w:left="964" w:hanging="964"/>
      </w:pPr>
      <w:rPr>
        <w:rFonts w:hint="eastAsia" w:ascii="宋体" w:hAnsi="宋体" w:eastAsia="宋体"/>
        <w:b w:val="0"/>
        <w:i w:val="0"/>
        <w:sz w:val="21"/>
        <w:szCs w:val="21"/>
      </w:rPr>
    </w:lvl>
    <w:lvl w:ilvl="3" w:tentative="0">
      <w:start w:val="1"/>
      <w:numFmt w:val="decimal"/>
      <w:lvlText w:val="2.9.4.%4"/>
      <w:lvlJc w:val="left"/>
      <w:pPr>
        <w:tabs>
          <w:tab w:val="left" w:pos="1531"/>
        </w:tabs>
        <w:ind w:left="1531" w:hanging="964"/>
      </w:pPr>
      <w:rPr>
        <w:rFonts w:hint="eastAsia" w:ascii="宋体" w:hAnsi="宋体" w:eastAsia="宋体"/>
        <w:b w:val="0"/>
      </w:rPr>
    </w:lvl>
    <w:lvl w:ilvl="4" w:tentative="0">
      <w:start w:val="1"/>
      <w:numFmt w:val="decimal"/>
      <w:lvlText w:val="%1.%2.%3.%4.%5"/>
      <w:lvlJc w:val="left"/>
      <w:pPr>
        <w:tabs>
          <w:tab w:val="left" w:pos="1008"/>
        </w:tabs>
        <w:ind w:left="1008" w:hanging="1008"/>
      </w:pPr>
      <w:rPr>
        <w:rFonts w:hint="eastAsia" w:ascii="宋体" w:hAnsi="宋体" w:eastAsia="宋体"/>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72">
    <w:nsid w:val="676842AC"/>
    <w:multiLevelType w:val="multilevel"/>
    <w:tmpl w:val="676842AC"/>
    <w:lvl w:ilvl="0" w:tentative="0">
      <w:start w:val="6"/>
      <w:numFmt w:val="decimal"/>
      <w:lvlText w:val="第%1章"/>
      <w:lvlJc w:val="center"/>
      <w:pPr>
        <w:tabs>
          <w:tab w:val="left" w:pos="432"/>
        </w:tabs>
        <w:ind w:left="432" w:hanging="144"/>
      </w:pPr>
      <w:rPr>
        <w:rFonts w:hint="eastAsia" w:ascii="宋体" w:hAnsi="宋体" w:eastAsia="宋体"/>
      </w:rPr>
    </w:lvl>
    <w:lvl w:ilvl="1" w:tentative="0">
      <w:start w:val="1"/>
      <w:numFmt w:val="decimal"/>
      <w:lvlText w:val="%1.%2"/>
      <w:lvlJc w:val="left"/>
      <w:pPr>
        <w:tabs>
          <w:tab w:val="left" w:pos="964"/>
        </w:tabs>
        <w:ind w:left="964" w:hanging="964"/>
      </w:pPr>
      <w:rPr>
        <w:rFonts w:hint="eastAsia" w:ascii="宋体" w:hAnsi="宋体" w:eastAsia="宋体"/>
      </w:rPr>
    </w:lvl>
    <w:lvl w:ilvl="2" w:tentative="0">
      <w:start w:val="1"/>
      <w:numFmt w:val="decimal"/>
      <w:lvlText w:val="1.8.%3"/>
      <w:lvlJc w:val="left"/>
      <w:pPr>
        <w:tabs>
          <w:tab w:val="left" w:pos="964"/>
        </w:tabs>
        <w:ind w:left="964" w:hanging="964"/>
      </w:pPr>
      <w:rPr>
        <w:rFonts w:hint="eastAsia" w:ascii="宋体" w:hAnsi="宋体" w:eastAsia="宋体"/>
        <w:b w:val="0"/>
        <w:i w:val="0"/>
        <w:sz w:val="21"/>
        <w:szCs w:val="21"/>
      </w:rPr>
    </w:lvl>
    <w:lvl w:ilvl="3" w:tentative="0">
      <w:start w:val="1"/>
      <w:numFmt w:val="decimal"/>
      <w:lvlText w:val="%1.5.6.%4"/>
      <w:lvlJc w:val="left"/>
      <w:pPr>
        <w:tabs>
          <w:tab w:val="left" w:pos="964"/>
        </w:tabs>
        <w:ind w:left="964" w:hanging="964"/>
      </w:pPr>
      <w:rPr>
        <w:rFonts w:hint="eastAsia" w:ascii="宋体" w:hAnsi="宋体" w:eastAsia="宋体"/>
        <w:b w:val="0"/>
      </w:rPr>
    </w:lvl>
    <w:lvl w:ilvl="4" w:tentative="0">
      <w:start w:val="1"/>
      <w:numFmt w:val="decimal"/>
      <w:lvlText w:val="%1.5.5.%4.%5"/>
      <w:lvlJc w:val="left"/>
      <w:pPr>
        <w:tabs>
          <w:tab w:val="left" w:pos="1008"/>
        </w:tabs>
        <w:ind w:left="1008" w:hanging="1008"/>
      </w:pPr>
      <w:rPr>
        <w:rFonts w:hint="eastAsia" w:ascii="宋体" w:hAnsi="宋体" w:eastAsia="宋体"/>
        <w:b w:val="0"/>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73">
    <w:nsid w:val="67EF7B06"/>
    <w:multiLevelType w:val="multilevel"/>
    <w:tmpl w:val="67EF7B06"/>
    <w:lvl w:ilvl="0" w:tentative="0">
      <w:start w:val="2"/>
      <w:numFmt w:val="decimal"/>
      <w:lvlText w:val="第%1章"/>
      <w:lvlJc w:val="center"/>
      <w:pPr>
        <w:tabs>
          <w:tab w:val="left" w:pos="432"/>
        </w:tabs>
        <w:ind w:left="432" w:hanging="144"/>
      </w:pPr>
      <w:rPr>
        <w:rFonts w:hint="eastAsia" w:ascii="宋体" w:hAnsi="宋体" w:eastAsia="宋体"/>
      </w:rPr>
    </w:lvl>
    <w:lvl w:ilvl="1" w:tentative="0">
      <w:start w:val="1"/>
      <w:numFmt w:val="decimal"/>
      <w:lvlText w:val="2.%2"/>
      <w:lvlJc w:val="left"/>
      <w:pPr>
        <w:tabs>
          <w:tab w:val="left" w:pos="1106"/>
        </w:tabs>
        <w:ind w:left="1106" w:hanging="964"/>
      </w:pPr>
      <w:rPr>
        <w:rFonts w:hint="eastAsia" w:ascii="宋体" w:hAnsi="宋体" w:eastAsia="宋体"/>
      </w:rPr>
    </w:lvl>
    <w:lvl w:ilvl="2" w:tentative="0">
      <w:start w:val="1"/>
      <w:numFmt w:val="decimal"/>
      <w:lvlText w:val="2.%2.%3"/>
      <w:lvlJc w:val="left"/>
      <w:pPr>
        <w:tabs>
          <w:tab w:val="left" w:pos="964"/>
        </w:tabs>
        <w:ind w:left="964" w:hanging="964"/>
      </w:pPr>
      <w:rPr>
        <w:rFonts w:hint="eastAsia" w:ascii="宋体" w:hAnsi="宋体" w:eastAsia="宋体"/>
        <w:b w:val="0"/>
        <w:i w:val="0"/>
        <w:sz w:val="21"/>
        <w:szCs w:val="21"/>
      </w:rPr>
    </w:lvl>
    <w:lvl w:ilvl="3" w:tentative="0">
      <w:start w:val="1"/>
      <w:numFmt w:val="decimal"/>
      <w:lvlText w:val="2.9.3.%4"/>
      <w:lvlJc w:val="left"/>
      <w:pPr>
        <w:tabs>
          <w:tab w:val="left" w:pos="1531"/>
        </w:tabs>
        <w:ind w:left="1531" w:hanging="964"/>
      </w:pPr>
      <w:rPr>
        <w:rFonts w:hint="eastAsia" w:ascii="宋体" w:hAnsi="宋体" w:eastAsia="宋体"/>
        <w:b w:val="0"/>
      </w:rPr>
    </w:lvl>
    <w:lvl w:ilvl="4" w:tentative="0">
      <w:start w:val="1"/>
      <w:numFmt w:val="decimal"/>
      <w:lvlText w:val="%1.%2.%3.%4.%5"/>
      <w:lvlJc w:val="left"/>
      <w:pPr>
        <w:tabs>
          <w:tab w:val="left" w:pos="1008"/>
        </w:tabs>
        <w:ind w:left="1008" w:hanging="1008"/>
      </w:pPr>
      <w:rPr>
        <w:rFonts w:hint="eastAsia" w:ascii="宋体" w:hAnsi="宋体" w:eastAsia="宋体"/>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74">
    <w:nsid w:val="68BB1167"/>
    <w:multiLevelType w:val="multilevel"/>
    <w:tmpl w:val="68BB1167"/>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75">
    <w:nsid w:val="69C90C3F"/>
    <w:multiLevelType w:val="multilevel"/>
    <w:tmpl w:val="69C90C3F"/>
    <w:lvl w:ilvl="0" w:tentative="0">
      <w:start w:val="1"/>
      <w:numFmt w:val="decimal"/>
      <w:lvlText w:val="(%1)"/>
      <w:lvlJc w:val="left"/>
      <w:pPr>
        <w:tabs>
          <w:tab w:val="left" w:pos="964"/>
        </w:tabs>
        <w:ind w:left="964" w:hanging="680"/>
      </w:pPr>
      <w:rPr>
        <w:rFonts w:hint="eastAsia"/>
        <w:sz w:val="21"/>
        <w:szCs w:val="21"/>
      </w:rPr>
    </w:lvl>
    <w:lvl w:ilvl="1" w:tentative="0">
      <w:start w:val="1"/>
      <w:numFmt w:val="decimal"/>
      <w:lvlText w:val="%2)"/>
      <w:lvlJc w:val="left"/>
      <w:pPr>
        <w:tabs>
          <w:tab w:val="left" w:pos="964"/>
        </w:tabs>
        <w:ind w:left="964" w:hanging="567"/>
      </w:pPr>
      <w:rPr>
        <w:rFonts w:hint="eastAsia"/>
        <w:sz w:val="24"/>
        <w:szCs w:val="24"/>
      </w:rPr>
    </w:lvl>
    <w:lvl w:ilvl="2" w:tentative="0">
      <w:start w:val="1"/>
      <w:numFmt w:val="bullet"/>
      <w:lvlText w:val=""/>
      <w:lvlJc w:val="left"/>
      <w:pPr>
        <w:tabs>
          <w:tab w:val="left" w:pos="964"/>
        </w:tabs>
        <w:ind w:left="964" w:hanging="397"/>
      </w:pPr>
      <w:rPr>
        <w:rFonts w:hint="default" w:ascii="Symbol" w:hAnsi="Symbol"/>
        <w:color w:val="auto"/>
        <w:sz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6">
    <w:nsid w:val="6BFF5FED"/>
    <w:multiLevelType w:val="multilevel"/>
    <w:tmpl w:val="6BFF5FED"/>
    <w:lvl w:ilvl="0" w:tentative="0">
      <w:start w:val="6"/>
      <w:numFmt w:val="decimal"/>
      <w:lvlText w:val="第%1章"/>
      <w:lvlJc w:val="center"/>
      <w:pPr>
        <w:tabs>
          <w:tab w:val="left" w:pos="432"/>
        </w:tabs>
        <w:ind w:left="432" w:hanging="144"/>
      </w:pPr>
      <w:rPr>
        <w:rFonts w:hint="eastAsia" w:ascii="宋体" w:hAnsi="宋体" w:eastAsia="宋体"/>
      </w:rPr>
    </w:lvl>
    <w:lvl w:ilvl="1" w:tentative="0">
      <w:start w:val="1"/>
      <w:numFmt w:val="decimal"/>
      <w:lvlText w:val="%1.%2"/>
      <w:lvlJc w:val="left"/>
      <w:pPr>
        <w:tabs>
          <w:tab w:val="left" w:pos="964"/>
        </w:tabs>
        <w:ind w:left="964" w:hanging="964"/>
      </w:pPr>
      <w:rPr>
        <w:rFonts w:hint="eastAsia" w:ascii="宋体" w:hAnsi="宋体" w:eastAsia="宋体"/>
      </w:rPr>
    </w:lvl>
    <w:lvl w:ilvl="2" w:tentative="0">
      <w:start w:val="1"/>
      <w:numFmt w:val="decimal"/>
      <w:lvlText w:val="1.14.%3"/>
      <w:lvlJc w:val="left"/>
      <w:pPr>
        <w:tabs>
          <w:tab w:val="left" w:pos="964"/>
        </w:tabs>
        <w:ind w:left="964" w:hanging="964"/>
      </w:pPr>
      <w:rPr>
        <w:rFonts w:hint="eastAsia" w:ascii="宋体" w:hAnsi="宋体" w:eastAsia="宋体"/>
        <w:b w:val="0"/>
        <w:i w:val="0"/>
        <w:sz w:val="21"/>
        <w:szCs w:val="21"/>
      </w:rPr>
    </w:lvl>
    <w:lvl w:ilvl="3" w:tentative="0">
      <w:start w:val="1"/>
      <w:numFmt w:val="decimal"/>
      <w:lvlText w:val="%1.13.1.%4"/>
      <w:lvlJc w:val="left"/>
      <w:pPr>
        <w:tabs>
          <w:tab w:val="left" w:pos="964"/>
        </w:tabs>
        <w:ind w:left="964" w:hanging="964"/>
      </w:pPr>
      <w:rPr>
        <w:rFonts w:hint="eastAsia" w:ascii="宋体" w:hAnsi="宋体" w:eastAsia="宋体"/>
        <w:b w:val="0"/>
      </w:rPr>
    </w:lvl>
    <w:lvl w:ilvl="4" w:tentative="0">
      <w:start w:val="1"/>
      <w:numFmt w:val="decimal"/>
      <w:lvlText w:val="%1.5.5.%4.%5"/>
      <w:lvlJc w:val="left"/>
      <w:pPr>
        <w:tabs>
          <w:tab w:val="left" w:pos="1008"/>
        </w:tabs>
        <w:ind w:left="1008" w:hanging="1008"/>
      </w:pPr>
      <w:rPr>
        <w:rFonts w:hint="eastAsia" w:ascii="宋体" w:hAnsi="宋体" w:eastAsia="宋体"/>
        <w:b w:val="0"/>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77">
    <w:nsid w:val="6CB11808"/>
    <w:multiLevelType w:val="multilevel"/>
    <w:tmpl w:val="6CB11808"/>
    <w:lvl w:ilvl="0" w:tentative="0">
      <w:start w:val="1"/>
      <w:numFmt w:val="decimal"/>
      <w:lvlText w:val="(%1)"/>
      <w:lvlJc w:val="left"/>
      <w:pPr>
        <w:tabs>
          <w:tab w:val="left" w:pos="1004"/>
        </w:tabs>
        <w:ind w:left="1004"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8">
    <w:nsid w:val="6ED526B1"/>
    <w:multiLevelType w:val="multilevel"/>
    <w:tmpl w:val="6ED526B1"/>
    <w:lvl w:ilvl="0" w:tentative="0">
      <w:start w:val="6"/>
      <w:numFmt w:val="decimal"/>
      <w:lvlText w:val="第%1章"/>
      <w:lvlJc w:val="center"/>
      <w:pPr>
        <w:tabs>
          <w:tab w:val="left" w:pos="432"/>
        </w:tabs>
        <w:ind w:left="432" w:hanging="144"/>
      </w:pPr>
      <w:rPr>
        <w:rFonts w:hint="eastAsia" w:ascii="宋体" w:hAnsi="宋体" w:eastAsia="宋体"/>
      </w:rPr>
    </w:lvl>
    <w:lvl w:ilvl="1" w:tentative="0">
      <w:start w:val="1"/>
      <w:numFmt w:val="decimal"/>
      <w:lvlText w:val="%1.%2"/>
      <w:lvlJc w:val="left"/>
      <w:pPr>
        <w:tabs>
          <w:tab w:val="left" w:pos="964"/>
        </w:tabs>
        <w:ind w:left="964" w:hanging="964"/>
      </w:pPr>
      <w:rPr>
        <w:rFonts w:hint="eastAsia" w:ascii="宋体" w:hAnsi="宋体" w:eastAsia="宋体"/>
      </w:rPr>
    </w:lvl>
    <w:lvl w:ilvl="2" w:tentative="0">
      <w:start w:val="1"/>
      <w:numFmt w:val="decimal"/>
      <w:lvlText w:val="1.6.%3"/>
      <w:lvlJc w:val="left"/>
      <w:pPr>
        <w:tabs>
          <w:tab w:val="left" w:pos="964"/>
        </w:tabs>
        <w:ind w:left="964" w:hanging="964"/>
      </w:pPr>
      <w:rPr>
        <w:rFonts w:hint="eastAsia" w:ascii="宋体" w:hAnsi="宋体" w:eastAsia="宋体"/>
        <w:b w:val="0"/>
        <w:i w:val="0"/>
        <w:sz w:val="21"/>
        <w:szCs w:val="21"/>
      </w:rPr>
    </w:lvl>
    <w:lvl w:ilvl="3" w:tentative="0">
      <w:start w:val="1"/>
      <w:numFmt w:val="decimal"/>
      <w:lvlText w:val="%1.5.6.%4"/>
      <w:lvlJc w:val="left"/>
      <w:pPr>
        <w:tabs>
          <w:tab w:val="left" w:pos="964"/>
        </w:tabs>
        <w:ind w:left="964" w:hanging="964"/>
      </w:pPr>
      <w:rPr>
        <w:rFonts w:hint="eastAsia" w:ascii="宋体" w:hAnsi="宋体" w:eastAsia="宋体"/>
        <w:b w:val="0"/>
      </w:rPr>
    </w:lvl>
    <w:lvl w:ilvl="4" w:tentative="0">
      <w:start w:val="1"/>
      <w:numFmt w:val="decimal"/>
      <w:lvlText w:val="%1.5.5.%4.%5"/>
      <w:lvlJc w:val="left"/>
      <w:pPr>
        <w:tabs>
          <w:tab w:val="left" w:pos="1008"/>
        </w:tabs>
        <w:ind w:left="1008" w:hanging="1008"/>
      </w:pPr>
      <w:rPr>
        <w:rFonts w:hint="eastAsia" w:ascii="宋体" w:hAnsi="宋体" w:eastAsia="宋体"/>
        <w:b w:val="0"/>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79">
    <w:nsid w:val="70147B84"/>
    <w:multiLevelType w:val="multilevel"/>
    <w:tmpl w:val="70147B84"/>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80">
    <w:nsid w:val="71227C8A"/>
    <w:multiLevelType w:val="multilevel"/>
    <w:tmpl w:val="71227C8A"/>
    <w:lvl w:ilvl="0" w:tentative="0">
      <w:start w:val="1"/>
      <w:numFmt w:val="bullet"/>
      <w:lvlText w:val=""/>
      <w:lvlJc w:val="left"/>
      <w:pPr>
        <w:tabs>
          <w:tab w:val="left" w:pos="1380"/>
        </w:tabs>
        <w:ind w:left="1380" w:hanging="420"/>
      </w:pPr>
      <w:rPr>
        <w:rFonts w:hint="default" w:ascii="Wingdings" w:hAnsi="Wingdings"/>
      </w:rPr>
    </w:lvl>
    <w:lvl w:ilvl="1" w:tentative="0">
      <w:start w:val="0"/>
      <w:numFmt w:val="bullet"/>
      <w:lvlText w:val="—"/>
      <w:lvlJc w:val="left"/>
      <w:pPr>
        <w:tabs>
          <w:tab w:val="left" w:pos="1740"/>
        </w:tabs>
        <w:ind w:left="1740" w:hanging="360"/>
      </w:pPr>
      <w:rPr>
        <w:rFonts w:hint="eastAsia" w:ascii="新宋体" w:hAnsi="新宋体" w:eastAsia="新宋体" w:cs="Times New Roman"/>
      </w:rPr>
    </w:lvl>
    <w:lvl w:ilvl="2" w:tentative="0">
      <w:start w:val="7"/>
      <w:numFmt w:val="bullet"/>
      <w:lvlText w:val=""/>
      <w:lvlJc w:val="left"/>
      <w:pPr>
        <w:tabs>
          <w:tab w:val="left" w:pos="2160"/>
        </w:tabs>
        <w:ind w:left="2160" w:hanging="360"/>
      </w:pPr>
      <w:rPr>
        <w:rFonts w:hint="default" w:ascii="Wingdings 2" w:hAnsi="Wingdings 2" w:eastAsia="宋体" w:cs="Times New Roman"/>
      </w:rPr>
    </w:lvl>
    <w:lvl w:ilvl="3" w:tentative="0">
      <w:start w:val="1"/>
      <w:numFmt w:val="bullet"/>
      <w:lvlText w:val=""/>
      <w:lvlJc w:val="left"/>
      <w:pPr>
        <w:tabs>
          <w:tab w:val="left" w:pos="2640"/>
        </w:tabs>
        <w:ind w:left="2640" w:hanging="420"/>
      </w:pPr>
      <w:rPr>
        <w:rFonts w:hint="default" w:ascii="Wingdings" w:hAnsi="Wingdings"/>
      </w:rPr>
    </w:lvl>
    <w:lvl w:ilvl="4" w:tentative="0">
      <w:start w:val="1"/>
      <w:numFmt w:val="bullet"/>
      <w:lvlText w:val=""/>
      <w:lvlJc w:val="left"/>
      <w:pPr>
        <w:tabs>
          <w:tab w:val="left" w:pos="3060"/>
        </w:tabs>
        <w:ind w:left="3060" w:hanging="420"/>
      </w:pPr>
      <w:rPr>
        <w:rFonts w:hint="default" w:ascii="Wingdings" w:hAnsi="Wingdings"/>
      </w:rPr>
    </w:lvl>
    <w:lvl w:ilvl="5" w:tentative="0">
      <w:start w:val="1"/>
      <w:numFmt w:val="bullet"/>
      <w:lvlText w:val=""/>
      <w:lvlJc w:val="left"/>
      <w:pPr>
        <w:tabs>
          <w:tab w:val="left" w:pos="3480"/>
        </w:tabs>
        <w:ind w:left="3480" w:hanging="420"/>
      </w:pPr>
      <w:rPr>
        <w:rFonts w:hint="default" w:ascii="Wingdings" w:hAnsi="Wingdings"/>
      </w:rPr>
    </w:lvl>
    <w:lvl w:ilvl="6" w:tentative="0">
      <w:start w:val="1"/>
      <w:numFmt w:val="bullet"/>
      <w:lvlText w:val=""/>
      <w:lvlJc w:val="left"/>
      <w:pPr>
        <w:tabs>
          <w:tab w:val="left" w:pos="3900"/>
        </w:tabs>
        <w:ind w:left="3900" w:hanging="420"/>
      </w:pPr>
      <w:rPr>
        <w:rFonts w:hint="default" w:ascii="Wingdings" w:hAnsi="Wingdings"/>
      </w:rPr>
    </w:lvl>
    <w:lvl w:ilvl="7" w:tentative="0">
      <w:start w:val="1"/>
      <w:numFmt w:val="bullet"/>
      <w:lvlText w:val=""/>
      <w:lvlJc w:val="left"/>
      <w:pPr>
        <w:tabs>
          <w:tab w:val="left" w:pos="4320"/>
        </w:tabs>
        <w:ind w:left="4320" w:hanging="420"/>
      </w:pPr>
      <w:rPr>
        <w:rFonts w:hint="default" w:ascii="Wingdings" w:hAnsi="Wingdings"/>
      </w:rPr>
    </w:lvl>
    <w:lvl w:ilvl="8" w:tentative="0">
      <w:start w:val="1"/>
      <w:numFmt w:val="bullet"/>
      <w:lvlText w:val=""/>
      <w:lvlJc w:val="left"/>
      <w:pPr>
        <w:tabs>
          <w:tab w:val="left" w:pos="4740"/>
        </w:tabs>
        <w:ind w:left="4740" w:hanging="420"/>
      </w:pPr>
      <w:rPr>
        <w:rFonts w:hint="default" w:ascii="Wingdings" w:hAnsi="Wingdings"/>
      </w:rPr>
    </w:lvl>
  </w:abstractNum>
  <w:abstractNum w:abstractNumId="81">
    <w:nsid w:val="72226585"/>
    <w:multiLevelType w:val="multilevel"/>
    <w:tmpl w:val="72226585"/>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82">
    <w:nsid w:val="75B87583"/>
    <w:multiLevelType w:val="multilevel"/>
    <w:tmpl w:val="75B87583"/>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83">
    <w:nsid w:val="767405CA"/>
    <w:multiLevelType w:val="multilevel"/>
    <w:tmpl w:val="767405CA"/>
    <w:lvl w:ilvl="0" w:tentative="0">
      <w:start w:val="1"/>
      <w:numFmt w:val="decimal"/>
      <w:lvlText w:val="(%1)"/>
      <w:lvlJc w:val="left"/>
      <w:pPr>
        <w:tabs>
          <w:tab w:val="left" w:pos="1004"/>
        </w:tabs>
        <w:ind w:left="1004"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4">
    <w:nsid w:val="779F6B88"/>
    <w:multiLevelType w:val="multilevel"/>
    <w:tmpl w:val="779F6B88"/>
    <w:lvl w:ilvl="0" w:tentative="0">
      <w:start w:val="1"/>
      <w:numFmt w:val="decimal"/>
      <w:lvlText w:val="(%1)"/>
      <w:lvlJc w:val="left"/>
      <w:pPr>
        <w:tabs>
          <w:tab w:val="left" w:pos="964"/>
        </w:tabs>
        <w:ind w:left="964" w:hanging="680"/>
      </w:pPr>
      <w:rPr>
        <w:rFonts w:hint="eastAsia" w:ascii="宋体" w:hAnsi="宋体" w:eastAsia="宋体"/>
        <w:sz w:val="21"/>
        <w:szCs w:val="21"/>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85">
    <w:nsid w:val="781C299A"/>
    <w:multiLevelType w:val="multilevel"/>
    <w:tmpl w:val="781C299A"/>
    <w:lvl w:ilvl="0" w:tentative="0">
      <w:start w:val="1"/>
      <w:numFmt w:val="decimal"/>
      <w:lvlText w:val="%1)"/>
      <w:lvlJc w:val="left"/>
      <w:pPr>
        <w:tabs>
          <w:tab w:val="left" w:pos="964"/>
        </w:tabs>
        <w:ind w:left="964" w:hanging="680"/>
      </w:pPr>
      <w:rPr>
        <w:rFonts w:hint="eastAsia" w:ascii="宋体" w:hAnsi="宋体" w:eastAsia="宋体"/>
        <w:sz w:val="24"/>
        <w:szCs w:val="24"/>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86">
    <w:nsid w:val="782D2E03"/>
    <w:multiLevelType w:val="multilevel"/>
    <w:tmpl w:val="782D2E03"/>
    <w:lvl w:ilvl="0" w:tentative="0">
      <w:start w:val="6"/>
      <w:numFmt w:val="decimal"/>
      <w:lvlText w:val="第%1章"/>
      <w:lvlJc w:val="center"/>
      <w:pPr>
        <w:tabs>
          <w:tab w:val="left" w:pos="432"/>
        </w:tabs>
        <w:ind w:left="432" w:hanging="144"/>
      </w:pPr>
      <w:rPr>
        <w:rFonts w:hint="eastAsia" w:ascii="宋体" w:hAnsi="宋体" w:eastAsia="宋体"/>
      </w:rPr>
    </w:lvl>
    <w:lvl w:ilvl="1" w:tentative="0">
      <w:start w:val="1"/>
      <w:numFmt w:val="decimal"/>
      <w:lvlText w:val="%1.%2"/>
      <w:lvlJc w:val="left"/>
      <w:pPr>
        <w:tabs>
          <w:tab w:val="left" w:pos="964"/>
        </w:tabs>
        <w:ind w:left="964" w:hanging="964"/>
      </w:pPr>
      <w:rPr>
        <w:rFonts w:hint="eastAsia" w:ascii="宋体" w:hAnsi="宋体" w:eastAsia="宋体"/>
      </w:rPr>
    </w:lvl>
    <w:lvl w:ilvl="2" w:tentative="0">
      <w:start w:val="1"/>
      <w:numFmt w:val="decimal"/>
      <w:lvlText w:val="1.13.%3"/>
      <w:lvlJc w:val="left"/>
      <w:pPr>
        <w:tabs>
          <w:tab w:val="left" w:pos="964"/>
        </w:tabs>
        <w:ind w:left="964" w:hanging="964"/>
      </w:pPr>
      <w:rPr>
        <w:rFonts w:hint="eastAsia" w:ascii="宋体" w:hAnsi="宋体" w:eastAsia="宋体"/>
        <w:b w:val="0"/>
        <w:i w:val="0"/>
        <w:sz w:val="21"/>
        <w:szCs w:val="21"/>
      </w:rPr>
    </w:lvl>
    <w:lvl w:ilvl="3" w:tentative="0">
      <w:start w:val="1"/>
      <w:numFmt w:val="decimal"/>
      <w:lvlText w:val="1.13.1.%4"/>
      <w:lvlJc w:val="left"/>
      <w:pPr>
        <w:tabs>
          <w:tab w:val="left" w:pos="964"/>
        </w:tabs>
        <w:ind w:left="964" w:hanging="964"/>
      </w:pPr>
      <w:rPr>
        <w:rFonts w:hint="eastAsia" w:ascii="宋体" w:hAnsi="宋体" w:eastAsia="宋体"/>
        <w:b w:val="0"/>
      </w:rPr>
    </w:lvl>
    <w:lvl w:ilvl="4" w:tentative="0">
      <w:start w:val="1"/>
      <w:numFmt w:val="decimal"/>
      <w:lvlText w:val="%1.5.5.%4.%5"/>
      <w:lvlJc w:val="left"/>
      <w:pPr>
        <w:tabs>
          <w:tab w:val="left" w:pos="1008"/>
        </w:tabs>
        <w:ind w:left="1008" w:hanging="1008"/>
      </w:pPr>
      <w:rPr>
        <w:rFonts w:hint="eastAsia" w:ascii="宋体" w:hAnsi="宋体" w:eastAsia="宋体"/>
        <w:b w:val="0"/>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87">
    <w:nsid w:val="7ABA1436"/>
    <w:multiLevelType w:val="multilevel"/>
    <w:tmpl w:val="7ABA1436"/>
    <w:lvl w:ilvl="0" w:tentative="0">
      <w:start w:val="1"/>
      <w:numFmt w:val="decimal"/>
      <w:lvlText w:val="(%1)"/>
      <w:lvlJc w:val="left"/>
      <w:pPr>
        <w:tabs>
          <w:tab w:val="left" w:pos="964"/>
        </w:tabs>
        <w:ind w:left="964" w:hanging="680"/>
      </w:pPr>
      <w:rPr>
        <w:rFonts w:hint="eastAsia" w:ascii="宋体" w:hAnsi="宋体" w:eastAsia="宋体"/>
        <w:sz w:val="24"/>
        <w:szCs w:val="24"/>
      </w:rPr>
    </w:lvl>
    <w:lvl w:ilvl="1" w:tentative="0">
      <w:start w:val="1"/>
      <w:numFmt w:val="decimal"/>
      <w:lvlText w:val="%2)"/>
      <w:lvlJc w:val="left"/>
      <w:pPr>
        <w:tabs>
          <w:tab w:val="left" w:pos="964"/>
        </w:tabs>
        <w:ind w:left="964" w:hanging="567"/>
      </w:pPr>
      <w:rPr>
        <w:rFonts w:hint="eastAsia" w:ascii="宋体" w:hAnsi="宋体" w:eastAsia="宋体"/>
        <w:sz w:val="21"/>
        <w:szCs w:val="21"/>
      </w:rPr>
    </w:lvl>
    <w:lvl w:ilvl="2" w:tentative="0">
      <w:start w:val="1"/>
      <w:numFmt w:val="lowerLetter"/>
      <w:lvlText w:val="%3"/>
      <w:lvlJc w:val="left"/>
      <w:pPr>
        <w:tabs>
          <w:tab w:val="left" w:pos="964"/>
        </w:tabs>
        <w:ind w:left="964" w:hanging="397"/>
      </w:pPr>
      <w:rPr>
        <w:rFonts w:hint="default" w:ascii="Times New Roman" w:hAnsi="Times New Roman" w:cs="Times New Roman"/>
        <w:sz w:val="24"/>
        <w:szCs w:val="24"/>
      </w:rPr>
    </w:lvl>
    <w:lvl w:ilvl="3" w:tentative="0">
      <w:start w:val="1"/>
      <w:numFmt w:val="lowerLetter"/>
      <w:lvlText w:val="(%4)"/>
      <w:lvlJc w:val="left"/>
      <w:pPr>
        <w:tabs>
          <w:tab w:val="left" w:pos="851"/>
        </w:tabs>
        <w:ind w:left="851" w:hanging="851"/>
      </w:pPr>
      <w:rPr>
        <w:rFonts w:hint="eastAsia" w:ascii="宋体" w:hAnsi="宋体" w:eastAsia="宋体"/>
      </w:rPr>
    </w:lvl>
    <w:lvl w:ilvl="4" w:tentative="0">
      <w:start w:val="1"/>
      <w:numFmt w:val="lowerLetter"/>
      <w:lvlText w:val="%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abstractNum w:abstractNumId="88">
    <w:nsid w:val="7BF718EF"/>
    <w:multiLevelType w:val="multilevel"/>
    <w:tmpl w:val="7BF718EF"/>
    <w:lvl w:ilvl="0" w:tentative="0">
      <w:start w:val="2"/>
      <w:numFmt w:val="decimal"/>
      <w:lvlText w:val="第%1章"/>
      <w:lvlJc w:val="center"/>
      <w:pPr>
        <w:tabs>
          <w:tab w:val="left" w:pos="432"/>
        </w:tabs>
        <w:ind w:left="432" w:hanging="144"/>
      </w:pPr>
      <w:rPr>
        <w:rFonts w:hint="eastAsia" w:ascii="宋体" w:hAnsi="宋体" w:eastAsia="宋体"/>
      </w:rPr>
    </w:lvl>
    <w:lvl w:ilvl="1" w:tentative="0">
      <w:start w:val="1"/>
      <w:numFmt w:val="decimal"/>
      <w:lvlText w:val="2.%2"/>
      <w:lvlJc w:val="left"/>
      <w:pPr>
        <w:tabs>
          <w:tab w:val="left" w:pos="1106"/>
        </w:tabs>
        <w:ind w:left="1106" w:hanging="964"/>
      </w:pPr>
      <w:rPr>
        <w:rFonts w:hint="eastAsia" w:ascii="宋体" w:hAnsi="宋体" w:eastAsia="宋体"/>
      </w:rPr>
    </w:lvl>
    <w:lvl w:ilvl="2" w:tentative="0">
      <w:start w:val="1"/>
      <w:numFmt w:val="decimal"/>
      <w:lvlText w:val="2.%2.%3"/>
      <w:lvlJc w:val="left"/>
      <w:pPr>
        <w:tabs>
          <w:tab w:val="left" w:pos="964"/>
        </w:tabs>
        <w:ind w:left="964" w:hanging="964"/>
      </w:pPr>
      <w:rPr>
        <w:rFonts w:hint="eastAsia" w:ascii="宋体" w:hAnsi="宋体" w:eastAsia="宋体"/>
        <w:b w:val="0"/>
        <w:i w:val="0"/>
        <w:sz w:val="21"/>
        <w:szCs w:val="21"/>
      </w:rPr>
    </w:lvl>
    <w:lvl w:ilvl="3" w:tentative="0">
      <w:start w:val="1"/>
      <w:numFmt w:val="decimal"/>
      <w:lvlText w:val="2.%2.%3.%4"/>
      <w:lvlJc w:val="left"/>
      <w:pPr>
        <w:tabs>
          <w:tab w:val="left" w:pos="1531"/>
        </w:tabs>
        <w:ind w:left="1531" w:hanging="964"/>
      </w:pPr>
      <w:rPr>
        <w:rFonts w:hint="eastAsia" w:ascii="宋体" w:hAnsi="宋体" w:eastAsia="宋体"/>
        <w:b w:val="0"/>
      </w:rPr>
    </w:lvl>
    <w:lvl w:ilvl="4" w:tentative="0">
      <w:start w:val="1"/>
      <w:numFmt w:val="decimal"/>
      <w:lvlText w:val="%1.%2.%3.%4.%5"/>
      <w:lvlJc w:val="left"/>
      <w:pPr>
        <w:tabs>
          <w:tab w:val="left" w:pos="1008"/>
        </w:tabs>
        <w:ind w:left="1008" w:hanging="1008"/>
      </w:pPr>
      <w:rPr>
        <w:rFonts w:hint="eastAsia" w:ascii="宋体" w:hAnsi="宋体" w:eastAsia="宋体"/>
      </w:rPr>
    </w:lvl>
    <w:lvl w:ilvl="5" w:tentative="0">
      <w:start w:val="1"/>
      <w:numFmt w:val="decimal"/>
      <w:lvlText w:val="%1.%2.%3.%4.%5.%6"/>
      <w:lvlJc w:val="left"/>
      <w:pPr>
        <w:tabs>
          <w:tab w:val="left" w:pos="1152"/>
        </w:tabs>
        <w:ind w:left="1152" w:hanging="1152"/>
      </w:pPr>
      <w:rPr>
        <w:rFonts w:hint="eastAsia" w:ascii="宋体" w:hAnsi="宋体" w:eastAsia="宋体"/>
      </w:rPr>
    </w:lvl>
    <w:lvl w:ilvl="6" w:tentative="0">
      <w:start w:val="1"/>
      <w:numFmt w:val="decimal"/>
      <w:lvlText w:val="%1.%2.%3.%4.%5.%6.%7"/>
      <w:lvlJc w:val="left"/>
      <w:pPr>
        <w:tabs>
          <w:tab w:val="left" w:pos="1296"/>
        </w:tabs>
        <w:ind w:left="1296" w:hanging="1296"/>
      </w:pPr>
      <w:rPr>
        <w:rFonts w:hint="eastAsia" w:ascii="宋体" w:hAnsi="宋体" w:eastAsia="宋体"/>
      </w:rPr>
    </w:lvl>
    <w:lvl w:ilvl="7" w:tentative="0">
      <w:start w:val="1"/>
      <w:numFmt w:val="decimal"/>
      <w:lvlText w:val="%1.%2.%3.%4.%5.%6.%7.%8"/>
      <w:lvlJc w:val="left"/>
      <w:pPr>
        <w:tabs>
          <w:tab w:val="left" w:pos="1440"/>
        </w:tabs>
        <w:ind w:left="1440" w:hanging="1440"/>
      </w:pPr>
      <w:rPr>
        <w:rFonts w:hint="eastAsia" w:ascii="宋体" w:hAnsi="宋体" w:eastAsia="宋体"/>
      </w:rPr>
    </w:lvl>
    <w:lvl w:ilvl="8" w:tentative="0">
      <w:start w:val="1"/>
      <w:numFmt w:val="decimal"/>
      <w:lvlText w:val="%1.%2.%3.%4.%5.%6.%7.%8.%9"/>
      <w:lvlJc w:val="left"/>
      <w:pPr>
        <w:tabs>
          <w:tab w:val="left" w:pos="1584"/>
        </w:tabs>
        <w:ind w:left="1584" w:hanging="1584"/>
      </w:pPr>
      <w:rPr>
        <w:rFonts w:hint="eastAsia" w:ascii="宋体" w:hAnsi="宋体" w:eastAsia="宋体"/>
      </w:rPr>
    </w:lvl>
  </w:abstractNum>
  <w:abstractNum w:abstractNumId="89">
    <w:nsid w:val="7E4B5D15"/>
    <w:multiLevelType w:val="multilevel"/>
    <w:tmpl w:val="7E4B5D15"/>
    <w:lvl w:ilvl="0" w:tentative="0">
      <w:start w:val="1"/>
      <w:numFmt w:val="decimal"/>
      <w:lvlText w:val="(%1)"/>
      <w:lvlJc w:val="left"/>
      <w:pPr>
        <w:tabs>
          <w:tab w:val="left" w:pos="964"/>
        </w:tabs>
        <w:ind w:left="964" w:hanging="680"/>
      </w:pPr>
      <w:rPr>
        <w:rFonts w:hint="eastAsia" w:ascii="宋体" w:hAnsi="宋体" w:eastAsia="宋体"/>
        <w:sz w:val="24"/>
        <w:szCs w:val="24"/>
      </w:rPr>
    </w:lvl>
    <w:lvl w:ilvl="1" w:tentative="0">
      <w:start w:val="1"/>
      <w:numFmt w:val="decimal"/>
      <w:lvlText w:val="%2)"/>
      <w:lvlJc w:val="left"/>
      <w:pPr>
        <w:tabs>
          <w:tab w:val="left" w:pos="964"/>
        </w:tabs>
        <w:ind w:left="964" w:hanging="567"/>
      </w:pPr>
      <w:rPr>
        <w:rFonts w:hint="eastAsia" w:ascii="宋体" w:hAnsi="宋体" w:eastAsia="宋体"/>
        <w:sz w:val="24"/>
        <w:szCs w:val="24"/>
      </w:rPr>
    </w:lvl>
    <w:lvl w:ilvl="2" w:tentative="0">
      <w:start w:val="1"/>
      <w:numFmt w:val="bullet"/>
      <w:lvlText w:val=""/>
      <w:lvlJc w:val="left"/>
      <w:pPr>
        <w:tabs>
          <w:tab w:val="left" w:pos="964"/>
        </w:tabs>
        <w:ind w:left="964" w:hanging="397"/>
      </w:pPr>
      <w:rPr>
        <w:rFonts w:hint="default" w:ascii="Symbol" w:hAnsi="Symbol"/>
        <w:sz w:val="24"/>
        <w:szCs w:val="24"/>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ascii="宋体" w:hAnsi="宋体" w:eastAsia="宋体"/>
      </w:rPr>
    </w:lvl>
    <w:lvl w:ilvl="5" w:tentative="0">
      <w:start w:val="1"/>
      <w:numFmt w:val="decimal"/>
      <w:lvlText w:val="%1.%2.%3.%4.%5.%6."/>
      <w:lvlJc w:val="left"/>
      <w:pPr>
        <w:tabs>
          <w:tab w:val="left" w:pos="1134"/>
        </w:tabs>
        <w:ind w:left="1134" w:hanging="1134"/>
      </w:pPr>
      <w:rPr>
        <w:rFonts w:hint="eastAsia" w:ascii="宋体" w:hAnsi="宋体" w:eastAsia="宋体"/>
      </w:rPr>
    </w:lvl>
    <w:lvl w:ilvl="6" w:tentative="0">
      <w:start w:val="1"/>
      <w:numFmt w:val="decimal"/>
      <w:lvlText w:val="%1.%2.%3.%4.%5.%6.%7."/>
      <w:lvlJc w:val="left"/>
      <w:pPr>
        <w:tabs>
          <w:tab w:val="left" w:pos="1276"/>
        </w:tabs>
        <w:ind w:left="1276" w:hanging="1276"/>
      </w:pPr>
      <w:rPr>
        <w:rFonts w:hint="eastAsia" w:ascii="宋体" w:hAnsi="宋体" w:eastAsia="宋体"/>
      </w:rPr>
    </w:lvl>
    <w:lvl w:ilvl="7" w:tentative="0">
      <w:start w:val="1"/>
      <w:numFmt w:val="decimal"/>
      <w:lvlText w:val="%1.%2.%3.%4.%5.%6.%7.%8."/>
      <w:lvlJc w:val="left"/>
      <w:pPr>
        <w:tabs>
          <w:tab w:val="left" w:pos="1418"/>
        </w:tabs>
        <w:ind w:left="1418" w:hanging="1418"/>
      </w:pPr>
      <w:rPr>
        <w:rFonts w:hint="eastAsia" w:ascii="宋体" w:hAnsi="宋体" w:eastAsia="宋体"/>
      </w:rPr>
    </w:lvl>
    <w:lvl w:ilvl="8" w:tentative="0">
      <w:start w:val="1"/>
      <w:numFmt w:val="decimal"/>
      <w:lvlText w:val="%1.%2.%3.%4.%5.%6.%7.%8.%9."/>
      <w:lvlJc w:val="left"/>
      <w:pPr>
        <w:tabs>
          <w:tab w:val="left" w:pos="1559"/>
        </w:tabs>
        <w:ind w:left="1559" w:hanging="1559"/>
      </w:pPr>
      <w:rPr>
        <w:rFonts w:hint="eastAsia" w:ascii="宋体" w:hAnsi="宋体" w:eastAsia="宋体"/>
      </w:rPr>
    </w:lvl>
  </w:abstractNum>
  <w:num w:numId="1">
    <w:abstractNumId w:val="0"/>
  </w:num>
  <w:num w:numId="2">
    <w:abstractNumId w:val="6"/>
  </w:num>
  <w:num w:numId="3">
    <w:abstractNumId w:val="3"/>
  </w:num>
  <w:num w:numId="4">
    <w:abstractNumId w:val="7"/>
  </w:num>
  <w:num w:numId="5">
    <w:abstractNumId w:val="9"/>
  </w:num>
  <w:num w:numId="6">
    <w:abstractNumId w:val="4"/>
  </w:num>
  <w:num w:numId="7">
    <w:abstractNumId w:val="1"/>
  </w:num>
  <w:num w:numId="8">
    <w:abstractNumId w:val="2"/>
  </w:num>
  <w:num w:numId="9">
    <w:abstractNumId w:val="46"/>
  </w:num>
  <w:num w:numId="10">
    <w:abstractNumId w:val="5"/>
  </w:num>
  <w:num w:numId="11">
    <w:abstractNumId w:val="8"/>
  </w:num>
  <w:num w:numId="12">
    <w:abstractNumId w:val="24"/>
  </w:num>
  <w:num w:numId="13">
    <w:abstractNumId w:val="31"/>
  </w:num>
  <w:num w:numId="14">
    <w:abstractNumId w:val="43"/>
  </w:num>
  <w:num w:numId="15">
    <w:abstractNumId w:val="62"/>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70"/>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64"/>
  </w:num>
  <w:num w:numId="25">
    <w:abstractNumId w:val="10"/>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num>
  <w:num w:numId="29">
    <w:abstractNumId w:val="78"/>
  </w:num>
  <w:num w:numId="30">
    <w:abstractNumId w:val="48"/>
  </w:num>
  <w:num w:numId="31">
    <w:abstractNumId w:val="74"/>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0"/>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num>
  <w:num w:numId="42">
    <w:abstractNumId w:val="47"/>
  </w:num>
  <w:num w:numId="43">
    <w:abstractNumId w:val="15"/>
  </w:num>
  <w:num w:numId="44">
    <w:abstractNumId w:val="17"/>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num>
  <w:num w:numId="46">
    <w:abstractNumId w:val="61"/>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6"/>
  </w:num>
  <w:num w:numId="48">
    <w:abstractNumId w:val="88"/>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9"/>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num>
  <w:num w:numId="53">
    <w:abstractNumId w:val="65"/>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1"/>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5"/>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num>
  <w:num w:numId="78">
    <w:abstractNumId w:val="33"/>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8"/>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3"/>
  </w:num>
  <w:num w:numId="81">
    <w:abstractNumId w:val="82"/>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num>
  <w:num w:numId="86">
    <w:abstractNumId w:val="79"/>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num>
  <w:num w:numId="89">
    <w:abstractNumId w:val="32"/>
  </w:num>
  <w:num w:numId="90">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noLineBreaksAfter w:lang="zh-CN" w:val="$([{£¥·‘“〈《「『【〔〖〝﹙﹛﹝＄（．［｛￡￥"/>
  <w:noLineBreaksBefore w:lang="zh-CN" w:val="!%),.:;&gt;?]}¢¨°·ˇˉ―‖’”…‰′″›℃∶、。〃〉》」』】〕〗〞︶︺︾﹀﹄﹚﹜﹞！＂％＇），．：；？］｀｜｝～￠"/>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6F"/>
    <w:rsid w:val="00000C14"/>
    <w:rsid w:val="00012ADE"/>
    <w:rsid w:val="00014D1C"/>
    <w:rsid w:val="00014EDD"/>
    <w:rsid w:val="00021996"/>
    <w:rsid w:val="00021CDB"/>
    <w:rsid w:val="00023FEB"/>
    <w:rsid w:val="00025E9F"/>
    <w:rsid w:val="00037105"/>
    <w:rsid w:val="00041294"/>
    <w:rsid w:val="000479A0"/>
    <w:rsid w:val="00056C9F"/>
    <w:rsid w:val="00057C58"/>
    <w:rsid w:val="00060B82"/>
    <w:rsid w:val="00062239"/>
    <w:rsid w:val="0006324F"/>
    <w:rsid w:val="00065948"/>
    <w:rsid w:val="00066FFD"/>
    <w:rsid w:val="00067EA2"/>
    <w:rsid w:val="000703E9"/>
    <w:rsid w:val="00076F33"/>
    <w:rsid w:val="00077DF6"/>
    <w:rsid w:val="0008170E"/>
    <w:rsid w:val="0008368A"/>
    <w:rsid w:val="000838BC"/>
    <w:rsid w:val="00084408"/>
    <w:rsid w:val="000869F8"/>
    <w:rsid w:val="000871FD"/>
    <w:rsid w:val="00091ABD"/>
    <w:rsid w:val="00094C9E"/>
    <w:rsid w:val="0009500F"/>
    <w:rsid w:val="000966FF"/>
    <w:rsid w:val="000970F0"/>
    <w:rsid w:val="000A0C42"/>
    <w:rsid w:val="000A3BBD"/>
    <w:rsid w:val="000B03B3"/>
    <w:rsid w:val="000B63E2"/>
    <w:rsid w:val="000B7A87"/>
    <w:rsid w:val="000C0484"/>
    <w:rsid w:val="000C28F1"/>
    <w:rsid w:val="000C5C85"/>
    <w:rsid w:val="000C79E7"/>
    <w:rsid w:val="000D0412"/>
    <w:rsid w:val="000D1416"/>
    <w:rsid w:val="000D51BF"/>
    <w:rsid w:val="000F0A78"/>
    <w:rsid w:val="000F4483"/>
    <w:rsid w:val="000F4F37"/>
    <w:rsid w:val="000F506C"/>
    <w:rsid w:val="000F7EFF"/>
    <w:rsid w:val="00104A16"/>
    <w:rsid w:val="00104D94"/>
    <w:rsid w:val="00106B82"/>
    <w:rsid w:val="00113169"/>
    <w:rsid w:val="001136A1"/>
    <w:rsid w:val="001145E2"/>
    <w:rsid w:val="001163FD"/>
    <w:rsid w:val="00122402"/>
    <w:rsid w:val="00122559"/>
    <w:rsid w:val="00122856"/>
    <w:rsid w:val="001249B8"/>
    <w:rsid w:val="00126681"/>
    <w:rsid w:val="00126CED"/>
    <w:rsid w:val="0013195F"/>
    <w:rsid w:val="001327BF"/>
    <w:rsid w:val="00134B28"/>
    <w:rsid w:val="001436EA"/>
    <w:rsid w:val="001440B6"/>
    <w:rsid w:val="001534E5"/>
    <w:rsid w:val="00153566"/>
    <w:rsid w:val="00154B7A"/>
    <w:rsid w:val="00160D3D"/>
    <w:rsid w:val="00162FC0"/>
    <w:rsid w:val="00163997"/>
    <w:rsid w:val="00167565"/>
    <w:rsid w:val="001700FA"/>
    <w:rsid w:val="00172F6B"/>
    <w:rsid w:val="0017332F"/>
    <w:rsid w:val="00177879"/>
    <w:rsid w:val="00180970"/>
    <w:rsid w:val="001812ED"/>
    <w:rsid w:val="0018177D"/>
    <w:rsid w:val="00182CDC"/>
    <w:rsid w:val="001864A7"/>
    <w:rsid w:val="001921A4"/>
    <w:rsid w:val="00197756"/>
    <w:rsid w:val="001A0117"/>
    <w:rsid w:val="001A720B"/>
    <w:rsid w:val="001C03B7"/>
    <w:rsid w:val="001C293C"/>
    <w:rsid w:val="001C2A4A"/>
    <w:rsid w:val="001C5477"/>
    <w:rsid w:val="001C6DA2"/>
    <w:rsid w:val="001C72BA"/>
    <w:rsid w:val="001D19B9"/>
    <w:rsid w:val="001D3C66"/>
    <w:rsid w:val="001D66B7"/>
    <w:rsid w:val="001E1268"/>
    <w:rsid w:val="001E17CE"/>
    <w:rsid w:val="001E22DE"/>
    <w:rsid w:val="001E463C"/>
    <w:rsid w:val="001E6260"/>
    <w:rsid w:val="001E7B31"/>
    <w:rsid w:val="00213CF3"/>
    <w:rsid w:val="0021522C"/>
    <w:rsid w:val="002224BF"/>
    <w:rsid w:val="00224EB7"/>
    <w:rsid w:val="00226754"/>
    <w:rsid w:val="00244E20"/>
    <w:rsid w:val="00245994"/>
    <w:rsid w:val="00246AC3"/>
    <w:rsid w:val="00247285"/>
    <w:rsid w:val="002479A5"/>
    <w:rsid w:val="002605A1"/>
    <w:rsid w:val="00276247"/>
    <w:rsid w:val="00277DD0"/>
    <w:rsid w:val="00280057"/>
    <w:rsid w:val="00284A1E"/>
    <w:rsid w:val="00290EE5"/>
    <w:rsid w:val="00291CBE"/>
    <w:rsid w:val="00291E27"/>
    <w:rsid w:val="002920C7"/>
    <w:rsid w:val="002A19AA"/>
    <w:rsid w:val="002A2FDC"/>
    <w:rsid w:val="002A6091"/>
    <w:rsid w:val="002B09A3"/>
    <w:rsid w:val="002B4998"/>
    <w:rsid w:val="002B4DCD"/>
    <w:rsid w:val="002C4134"/>
    <w:rsid w:val="002C5CE3"/>
    <w:rsid w:val="002D4ECE"/>
    <w:rsid w:val="002D4F78"/>
    <w:rsid w:val="002D5077"/>
    <w:rsid w:val="002D6705"/>
    <w:rsid w:val="002D783D"/>
    <w:rsid w:val="002E1100"/>
    <w:rsid w:val="002F21BD"/>
    <w:rsid w:val="002F58A8"/>
    <w:rsid w:val="002F5A97"/>
    <w:rsid w:val="002F7DB2"/>
    <w:rsid w:val="00300A13"/>
    <w:rsid w:val="00300F08"/>
    <w:rsid w:val="00302508"/>
    <w:rsid w:val="0030694C"/>
    <w:rsid w:val="003131A9"/>
    <w:rsid w:val="00313F8D"/>
    <w:rsid w:val="003176BA"/>
    <w:rsid w:val="00342D34"/>
    <w:rsid w:val="00347F32"/>
    <w:rsid w:val="00352388"/>
    <w:rsid w:val="00352923"/>
    <w:rsid w:val="003554F9"/>
    <w:rsid w:val="00367F4C"/>
    <w:rsid w:val="00375D0C"/>
    <w:rsid w:val="003849B8"/>
    <w:rsid w:val="00387085"/>
    <w:rsid w:val="00390D72"/>
    <w:rsid w:val="0039492B"/>
    <w:rsid w:val="003A2E20"/>
    <w:rsid w:val="003A32B2"/>
    <w:rsid w:val="003A5E81"/>
    <w:rsid w:val="003A7612"/>
    <w:rsid w:val="003B3EE6"/>
    <w:rsid w:val="003B6B79"/>
    <w:rsid w:val="003C11B5"/>
    <w:rsid w:val="003C1579"/>
    <w:rsid w:val="003C4C4D"/>
    <w:rsid w:val="003C52BE"/>
    <w:rsid w:val="003C5AED"/>
    <w:rsid w:val="003C5C77"/>
    <w:rsid w:val="003D09FF"/>
    <w:rsid w:val="003D11CE"/>
    <w:rsid w:val="003D16AA"/>
    <w:rsid w:val="003D1B24"/>
    <w:rsid w:val="003E3B6F"/>
    <w:rsid w:val="003E42D0"/>
    <w:rsid w:val="003F105C"/>
    <w:rsid w:val="003F28EF"/>
    <w:rsid w:val="003F68AF"/>
    <w:rsid w:val="0040001A"/>
    <w:rsid w:val="00401A00"/>
    <w:rsid w:val="0041074E"/>
    <w:rsid w:val="00427981"/>
    <w:rsid w:val="00430473"/>
    <w:rsid w:val="00432C7E"/>
    <w:rsid w:val="00447D4B"/>
    <w:rsid w:val="00452D1F"/>
    <w:rsid w:val="00454088"/>
    <w:rsid w:val="004566F9"/>
    <w:rsid w:val="00465A68"/>
    <w:rsid w:val="00466D02"/>
    <w:rsid w:val="00475E31"/>
    <w:rsid w:val="00487066"/>
    <w:rsid w:val="004871E3"/>
    <w:rsid w:val="00493D72"/>
    <w:rsid w:val="00494112"/>
    <w:rsid w:val="00495CAF"/>
    <w:rsid w:val="004A5419"/>
    <w:rsid w:val="004A5540"/>
    <w:rsid w:val="004A60BD"/>
    <w:rsid w:val="004A7A14"/>
    <w:rsid w:val="004A7AE8"/>
    <w:rsid w:val="004B2111"/>
    <w:rsid w:val="004B2788"/>
    <w:rsid w:val="004B42E3"/>
    <w:rsid w:val="004C11EE"/>
    <w:rsid w:val="004C4295"/>
    <w:rsid w:val="004C4BD1"/>
    <w:rsid w:val="004C6364"/>
    <w:rsid w:val="004C75EB"/>
    <w:rsid w:val="004C7E19"/>
    <w:rsid w:val="004D136B"/>
    <w:rsid w:val="004D1637"/>
    <w:rsid w:val="004D16C7"/>
    <w:rsid w:val="004D28DB"/>
    <w:rsid w:val="004D5A53"/>
    <w:rsid w:val="004E16A6"/>
    <w:rsid w:val="004E4C1A"/>
    <w:rsid w:val="004F05BE"/>
    <w:rsid w:val="005013D4"/>
    <w:rsid w:val="0050329A"/>
    <w:rsid w:val="00507F29"/>
    <w:rsid w:val="00512AB9"/>
    <w:rsid w:val="00522396"/>
    <w:rsid w:val="0052391F"/>
    <w:rsid w:val="0052705A"/>
    <w:rsid w:val="005303D8"/>
    <w:rsid w:val="005310D1"/>
    <w:rsid w:val="00533B2F"/>
    <w:rsid w:val="00534A3E"/>
    <w:rsid w:val="00534EEC"/>
    <w:rsid w:val="0053580F"/>
    <w:rsid w:val="00552FCA"/>
    <w:rsid w:val="005614A7"/>
    <w:rsid w:val="00562F37"/>
    <w:rsid w:val="00563A2F"/>
    <w:rsid w:val="00564EAF"/>
    <w:rsid w:val="00567C58"/>
    <w:rsid w:val="0057036B"/>
    <w:rsid w:val="00572022"/>
    <w:rsid w:val="005723FE"/>
    <w:rsid w:val="00574219"/>
    <w:rsid w:val="00574FD6"/>
    <w:rsid w:val="00576C1D"/>
    <w:rsid w:val="005775AA"/>
    <w:rsid w:val="00581F7B"/>
    <w:rsid w:val="00586F9F"/>
    <w:rsid w:val="00587FE7"/>
    <w:rsid w:val="00592EBC"/>
    <w:rsid w:val="00593FB7"/>
    <w:rsid w:val="0059412D"/>
    <w:rsid w:val="00596483"/>
    <w:rsid w:val="005A12BA"/>
    <w:rsid w:val="005A3BA8"/>
    <w:rsid w:val="005A6B9E"/>
    <w:rsid w:val="005A6C85"/>
    <w:rsid w:val="005B0639"/>
    <w:rsid w:val="005B4F5E"/>
    <w:rsid w:val="005B7E36"/>
    <w:rsid w:val="005C2514"/>
    <w:rsid w:val="005C33FE"/>
    <w:rsid w:val="005C402B"/>
    <w:rsid w:val="005D1E4C"/>
    <w:rsid w:val="005D2289"/>
    <w:rsid w:val="005D2384"/>
    <w:rsid w:val="005D2F53"/>
    <w:rsid w:val="005D4914"/>
    <w:rsid w:val="005E0C72"/>
    <w:rsid w:val="005E1D73"/>
    <w:rsid w:val="005E7BEC"/>
    <w:rsid w:val="005F0FC7"/>
    <w:rsid w:val="005F313B"/>
    <w:rsid w:val="00600970"/>
    <w:rsid w:val="006023FF"/>
    <w:rsid w:val="00602D6B"/>
    <w:rsid w:val="00602E3D"/>
    <w:rsid w:val="0060391C"/>
    <w:rsid w:val="0060644B"/>
    <w:rsid w:val="00613653"/>
    <w:rsid w:val="00614C23"/>
    <w:rsid w:val="006163CA"/>
    <w:rsid w:val="00617A51"/>
    <w:rsid w:val="00621891"/>
    <w:rsid w:val="00622E6D"/>
    <w:rsid w:val="00624653"/>
    <w:rsid w:val="006265DA"/>
    <w:rsid w:val="00632501"/>
    <w:rsid w:val="00632504"/>
    <w:rsid w:val="00632B1F"/>
    <w:rsid w:val="00635F64"/>
    <w:rsid w:val="00636834"/>
    <w:rsid w:val="006376A4"/>
    <w:rsid w:val="006402AE"/>
    <w:rsid w:val="00645E2D"/>
    <w:rsid w:val="00652655"/>
    <w:rsid w:val="006535B9"/>
    <w:rsid w:val="006623D2"/>
    <w:rsid w:val="00665074"/>
    <w:rsid w:val="00671788"/>
    <w:rsid w:val="00685114"/>
    <w:rsid w:val="00685D2B"/>
    <w:rsid w:val="00692629"/>
    <w:rsid w:val="00696FB1"/>
    <w:rsid w:val="006A059B"/>
    <w:rsid w:val="006A415C"/>
    <w:rsid w:val="006A62B1"/>
    <w:rsid w:val="006B02D8"/>
    <w:rsid w:val="006B5BD4"/>
    <w:rsid w:val="006B62AC"/>
    <w:rsid w:val="006C5435"/>
    <w:rsid w:val="006C709B"/>
    <w:rsid w:val="006D13E9"/>
    <w:rsid w:val="006D3813"/>
    <w:rsid w:val="006D512A"/>
    <w:rsid w:val="006D624B"/>
    <w:rsid w:val="006D7019"/>
    <w:rsid w:val="006D7B1E"/>
    <w:rsid w:val="006E5C6F"/>
    <w:rsid w:val="006E6C60"/>
    <w:rsid w:val="006E7335"/>
    <w:rsid w:val="006E7B1A"/>
    <w:rsid w:val="006F2ED2"/>
    <w:rsid w:val="006F5A3C"/>
    <w:rsid w:val="006F7A53"/>
    <w:rsid w:val="00702344"/>
    <w:rsid w:val="00703EAC"/>
    <w:rsid w:val="00704FBB"/>
    <w:rsid w:val="00707A2D"/>
    <w:rsid w:val="00711926"/>
    <w:rsid w:val="00711940"/>
    <w:rsid w:val="00711F57"/>
    <w:rsid w:val="0072125D"/>
    <w:rsid w:val="00722CF4"/>
    <w:rsid w:val="0072455C"/>
    <w:rsid w:val="007271A7"/>
    <w:rsid w:val="00730306"/>
    <w:rsid w:val="00730AF1"/>
    <w:rsid w:val="00741770"/>
    <w:rsid w:val="007453D3"/>
    <w:rsid w:val="007454BF"/>
    <w:rsid w:val="007545C6"/>
    <w:rsid w:val="0076443C"/>
    <w:rsid w:val="00766744"/>
    <w:rsid w:val="007672EB"/>
    <w:rsid w:val="007675A1"/>
    <w:rsid w:val="00772ED7"/>
    <w:rsid w:val="00773EAF"/>
    <w:rsid w:val="00775B58"/>
    <w:rsid w:val="00777057"/>
    <w:rsid w:val="00781AEC"/>
    <w:rsid w:val="00782515"/>
    <w:rsid w:val="00791D11"/>
    <w:rsid w:val="00792EE1"/>
    <w:rsid w:val="0079309C"/>
    <w:rsid w:val="007A6D59"/>
    <w:rsid w:val="007B36C2"/>
    <w:rsid w:val="007B4767"/>
    <w:rsid w:val="007B6EDF"/>
    <w:rsid w:val="007B789E"/>
    <w:rsid w:val="007C1D9F"/>
    <w:rsid w:val="007C322B"/>
    <w:rsid w:val="007C4369"/>
    <w:rsid w:val="007C69E9"/>
    <w:rsid w:val="007D1B78"/>
    <w:rsid w:val="007D3C4F"/>
    <w:rsid w:val="007D4348"/>
    <w:rsid w:val="007E1967"/>
    <w:rsid w:val="007E492F"/>
    <w:rsid w:val="007E4A4D"/>
    <w:rsid w:val="007E6C82"/>
    <w:rsid w:val="007E6DE9"/>
    <w:rsid w:val="007F5B25"/>
    <w:rsid w:val="007F7250"/>
    <w:rsid w:val="008018F5"/>
    <w:rsid w:val="00801EF7"/>
    <w:rsid w:val="0080579F"/>
    <w:rsid w:val="00812100"/>
    <w:rsid w:val="008147DC"/>
    <w:rsid w:val="0081773A"/>
    <w:rsid w:val="00817AC6"/>
    <w:rsid w:val="008220A7"/>
    <w:rsid w:val="00822259"/>
    <w:rsid w:val="00822E22"/>
    <w:rsid w:val="0082506E"/>
    <w:rsid w:val="00826A28"/>
    <w:rsid w:val="00832CF9"/>
    <w:rsid w:val="008333D5"/>
    <w:rsid w:val="008348E8"/>
    <w:rsid w:val="00836187"/>
    <w:rsid w:val="008367F2"/>
    <w:rsid w:val="00840B96"/>
    <w:rsid w:val="008445DA"/>
    <w:rsid w:val="00845AC7"/>
    <w:rsid w:val="00845E8A"/>
    <w:rsid w:val="00852BC9"/>
    <w:rsid w:val="008534E0"/>
    <w:rsid w:val="0085443E"/>
    <w:rsid w:val="008565C1"/>
    <w:rsid w:val="00856971"/>
    <w:rsid w:val="00860192"/>
    <w:rsid w:val="00861BF2"/>
    <w:rsid w:val="00861D7C"/>
    <w:rsid w:val="00866B31"/>
    <w:rsid w:val="00866FF0"/>
    <w:rsid w:val="008670FA"/>
    <w:rsid w:val="00870A79"/>
    <w:rsid w:val="00874545"/>
    <w:rsid w:val="00874DAD"/>
    <w:rsid w:val="00876EDE"/>
    <w:rsid w:val="00880FD1"/>
    <w:rsid w:val="008875F5"/>
    <w:rsid w:val="00887629"/>
    <w:rsid w:val="0089026A"/>
    <w:rsid w:val="008926D4"/>
    <w:rsid w:val="008A0F6B"/>
    <w:rsid w:val="008A254A"/>
    <w:rsid w:val="008A3834"/>
    <w:rsid w:val="008A4965"/>
    <w:rsid w:val="008B441C"/>
    <w:rsid w:val="008C28F7"/>
    <w:rsid w:val="008C5A37"/>
    <w:rsid w:val="008C67DD"/>
    <w:rsid w:val="008D1284"/>
    <w:rsid w:val="008D7432"/>
    <w:rsid w:val="008E4B5E"/>
    <w:rsid w:val="008F7DAF"/>
    <w:rsid w:val="00901B9A"/>
    <w:rsid w:val="00902305"/>
    <w:rsid w:val="00902576"/>
    <w:rsid w:val="0091331D"/>
    <w:rsid w:val="00913D56"/>
    <w:rsid w:val="00913DAE"/>
    <w:rsid w:val="009159C6"/>
    <w:rsid w:val="00917544"/>
    <w:rsid w:val="00920EB8"/>
    <w:rsid w:val="0092144A"/>
    <w:rsid w:val="00921597"/>
    <w:rsid w:val="009236E5"/>
    <w:rsid w:val="00925D6F"/>
    <w:rsid w:val="00931D2D"/>
    <w:rsid w:val="00935666"/>
    <w:rsid w:val="00936FF5"/>
    <w:rsid w:val="00937DBF"/>
    <w:rsid w:val="0094169A"/>
    <w:rsid w:val="009435DA"/>
    <w:rsid w:val="00945C93"/>
    <w:rsid w:val="00952B5B"/>
    <w:rsid w:val="009531BE"/>
    <w:rsid w:val="00955C47"/>
    <w:rsid w:val="00960FE1"/>
    <w:rsid w:val="00961F64"/>
    <w:rsid w:val="009638D6"/>
    <w:rsid w:val="00965A27"/>
    <w:rsid w:val="0097124F"/>
    <w:rsid w:val="009726E6"/>
    <w:rsid w:val="009741DD"/>
    <w:rsid w:val="00977DE4"/>
    <w:rsid w:val="00980737"/>
    <w:rsid w:val="00980E72"/>
    <w:rsid w:val="00983D4D"/>
    <w:rsid w:val="00984C8A"/>
    <w:rsid w:val="00984FE6"/>
    <w:rsid w:val="00985A64"/>
    <w:rsid w:val="009868AB"/>
    <w:rsid w:val="00986F72"/>
    <w:rsid w:val="00990BAC"/>
    <w:rsid w:val="00990C4E"/>
    <w:rsid w:val="00993825"/>
    <w:rsid w:val="00994037"/>
    <w:rsid w:val="009949ED"/>
    <w:rsid w:val="00997348"/>
    <w:rsid w:val="0099789B"/>
    <w:rsid w:val="009A0C4C"/>
    <w:rsid w:val="009A32B7"/>
    <w:rsid w:val="009A43D8"/>
    <w:rsid w:val="009A628C"/>
    <w:rsid w:val="009B0A14"/>
    <w:rsid w:val="009B43DD"/>
    <w:rsid w:val="009B4DAE"/>
    <w:rsid w:val="009C6F11"/>
    <w:rsid w:val="009D027E"/>
    <w:rsid w:val="009D2B4E"/>
    <w:rsid w:val="009D5309"/>
    <w:rsid w:val="009D7814"/>
    <w:rsid w:val="009E010D"/>
    <w:rsid w:val="009E59EF"/>
    <w:rsid w:val="009E6D39"/>
    <w:rsid w:val="009E6FE6"/>
    <w:rsid w:val="009E76ED"/>
    <w:rsid w:val="009F6D86"/>
    <w:rsid w:val="009F7EC1"/>
    <w:rsid w:val="00A00ECA"/>
    <w:rsid w:val="00A02251"/>
    <w:rsid w:val="00A02F6A"/>
    <w:rsid w:val="00A04177"/>
    <w:rsid w:val="00A07C56"/>
    <w:rsid w:val="00A12460"/>
    <w:rsid w:val="00A12E1A"/>
    <w:rsid w:val="00A13A1E"/>
    <w:rsid w:val="00A14B21"/>
    <w:rsid w:val="00A217C1"/>
    <w:rsid w:val="00A21F4C"/>
    <w:rsid w:val="00A224D7"/>
    <w:rsid w:val="00A25DD1"/>
    <w:rsid w:val="00A262AE"/>
    <w:rsid w:val="00A27514"/>
    <w:rsid w:val="00A305FF"/>
    <w:rsid w:val="00A33892"/>
    <w:rsid w:val="00A52BBD"/>
    <w:rsid w:val="00A54F22"/>
    <w:rsid w:val="00A6208C"/>
    <w:rsid w:val="00A6758D"/>
    <w:rsid w:val="00A7120B"/>
    <w:rsid w:val="00A712E0"/>
    <w:rsid w:val="00A8122C"/>
    <w:rsid w:val="00A83D2E"/>
    <w:rsid w:val="00A84B2E"/>
    <w:rsid w:val="00A85204"/>
    <w:rsid w:val="00A87573"/>
    <w:rsid w:val="00A87DD7"/>
    <w:rsid w:val="00A90D32"/>
    <w:rsid w:val="00A91C33"/>
    <w:rsid w:val="00A92E33"/>
    <w:rsid w:val="00A95719"/>
    <w:rsid w:val="00AA0370"/>
    <w:rsid w:val="00AA1369"/>
    <w:rsid w:val="00AA565A"/>
    <w:rsid w:val="00AA7764"/>
    <w:rsid w:val="00AA798C"/>
    <w:rsid w:val="00AB1E24"/>
    <w:rsid w:val="00AB3EB6"/>
    <w:rsid w:val="00AB440C"/>
    <w:rsid w:val="00AB59D2"/>
    <w:rsid w:val="00AC2A87"/>
    <w:rsid w:val="00AC44EE"/>
    <w:rsid w:val="00AD3F32"/>
    <w:rsid w:val="00AD49C3"/>
    <w:rsid w:val="00AD4BE8"/>
    <w:rsid w:val="00AE02DD"/>
    <w:rsid w:val="00AE1C9A"/>
    <w:rsid w:val="00AE4FF4"/>
    <w:rsid w:val="00AE52E5"/>
    <w:rsid w:val="00AE71C2"/>
    <w:rsid w:val="00AE7D84"/>
    <w:rsid w:val="00AF034F"/>
    <w:rsid w:val="00AF0C52"/>
    <w:rsid w:val="00AF3E62"/>
    <w:rsid w:val="00B001E3"/>
    <w:rsid w:val="00B014C9"/>
    <w:rsid w:val="00B01AC5"/>
    <w:rsid w:val="00B10FFF"/>
    <w:rsid w:val="00B11BD4"/>
    <w:rsid w:val="00B13C3C"/>
    <w:rsid w:val="00B13E07"/>
    <w:rsid w:val="00B20749"/>
    <w:rsid w:val="00B21E0A"/>
    <w:rsid w:val="00B25467"/>
    <w:rsid w:val="00B3006F"/>
    <w:rsid w:val="00B311EA"/>
    <w:rsid w:val="00B3167F"/>
    <w:rsid w:val="00B3425A"/>
    <w:rsid w:val="00B34772"/>
    <w:rsid w:val="00B37A1E"/>
    <w:rsid w:val="00B40BD6"/>
    <w:rsid w:val="00B454DD"/>
    <w:rsid w:val="00B53787"/>
    <w:rsid w:val="00B53D7B"/>
    <w:rsid w:val="00B6499A"/>
    <w:rsid w:val="00B655AC"/>
    <w:rsid w:val="00B65AB9"/>
    <w:rsid w:val="00B65CE2"/>
    <w:rsid w:val="00B661D7"/>
    <w:rsid w:val="00B72E98"/>
    <w:rsid w:val="00B73CF0"/>
    <w:rsid w:val="00B77528"/>
    <w:rsid w:val="00B8031F"/>
    <w:rsid w:val="00B83AAC"/>
    <w:rsid w:val="00B86A99"/>
    <w:rsid w:val="00B86C9C"/>
    <w:rsid w:val="00B877F4"/>
    <w:rsid w:val="00B87DAB"/>
    <w:rsid w:val="00B9458C"/>
    <w:rsid w:val="00B96291"/>
    <w:rsid w:val="00BA1317"/>
    <w:rsid w:val="00BA25D6"/>
    <w:rsid w:val="00BA7708"/>
    <w:rsid w:val="00BB3C8A"/>
    <w:rsid w:val="00BB44F2"/>
    <w:rsid w:val="00BB4B3B"/>
    <w:rsid w:val="00BC4ABA"/>
    <w:rsid w:val="00BC4D40"/>
    <w:rsid w:val="00BC56F6"/>
    <w:rsid w:val="00BC5F87"/>
    <w:rsid w:val="00BC6E3E"/>
    <w:rsid w:val="00BD1613"/>
    <w:rsid w:val="00BD393E"/>
    <w:rsid w:val="00BE15E7"/>
    <w:rsid w:val="00BE4734"/>
    <w:rsid w:val="00BF08CE"/>
    <w:rsid w:val="00BF0FF2"/>
    <w:rsid w:val="00BF2D59"/>
    <w:rsid w:val="00C0033D"/>
    <w:rsid w:val="00C0580D"/>
    <w:rsid w:val="00C102A4"/>
    <w:rsid w:val="00C1442D"/>
    <w:rsid w:val="00C14C08"/>
    <w:rsid w:val="00C176DA"/>
    <w:rsid w:val="00C223FA"/>
    <w:rsid w:val="00C24EF3"/>
    <w:rsid w:val="00C25EE0"/>
    <w:rsid w:val="00C27C73"/>
    <w:rsid w:val="00C302E2"/>
    <w:rsid w:val="00C31114"/>
    <w:rsid w:val="00C35A6E"/>
    <w:rsid w:val="00C406CE"/>
    <w:rsid w:val="00C41774"/>
    <w:rsid w:val="00C435AA"/>
    <w:rsid w:val="00C467C8"/>
    <w:rsid w:val="00C478A8"/>
    <w:rsid w:val="00C53061"/>
    <w:rsid w:val="00C5338E"/>
    <w:rsid w:val="00C54D54"/>
    <w:rsid w:val="00C61B5A"/>
    <w:rsid w:val="00C6232E"/>
    <w:rsid w:val="00C6461F"/>
    <w:rsid w:val="00C65548"/>
    <w:rsid w:val="00C72451"/>
    <w:rsid w:val="00C7606B"/>
    <w:rsid w:val="00C77938"/>
    <w:rsid w:val="00C77EC8"/>
    <w:rsid w:val="00C850F7"/>
    <w:rsid w:val="00C85E72"/>
    <w:rsid w:val="00C90756"/>
    <w:rsid w:val="00C908AF"/>
    <w:rsid w:val="00C92518"/>
    <w:rsid w:val="00CA4B10"/>
    <w:rsid w:val="00CA52BE"/>
    <w:rsid w:val="00CA7AFB"/>
    <w:rsid w:val="00CB01DF"/>
    <w:rsid w:val="00CB5229"/>
    <w:rsid w:val="00CB704B"/>
    <w:rsid w:val="00CC2569"/>
    <w:rsid w:val="00CC5EB0"/>
    <w:rsid w:val="00CD1F9A"/>
    <w:rsid w:val="00CE3676"/>
    <w:rsid w:val="00CF1A46"/>
    <w:rsid w:val="00CF525F"/>
    <w:rsid w:val="00CF74D6"/>
    <w:rsid w:val="00D0326E"/>
    <w:rsid w:val="00D0374F"/>
    <w:rsid w:val="00D1247C"/>
    <w:rsid w:val="00D1548C"/>
    <w:rsid w:val="00D159E3"/>
    <w:rsid w:val="00D16D3B"/>
    <w:rsid w:val="00D17F22"/>
    <w:rsid w:val="00D2045D"/>
    <w:rsid w:val="00D20738"/>
    <w:rsid w:val="00D21417"/>
    <w:rsid w:val="00D23F58"/>
    <w:rsid w:val="00D2513E"/>
    <w:rsid w:val="00D337A5"/>
    <w:rsid w:val="00D33CE9"/>
    <w:rsid w:val="00D379A9"/>
    <w:rsid w:val="00D406D2"/>
    <w:rsid w:val="00D47960"/>
    <w:rsid w:val="00D50741"/>
    <w:rsid w:val="00D50E7E"/>
    <w:rsid w:val="00D520D7"/>
    <w:rsid w:val="00D601BB"/>
    <w:rsid w:val="00D6638D"/>
    <w:rsid w:val="00D73E06"/>
    <w:rsid w:val="00D805F6"/>
    <w:rsid w:val="00D8066C"/>
    <w:rsid w:val="00D80A3E"/>
    <w:rsid w:val="00D80C2D"/>
    <w:rsid w:val="00D8176E"/>
    <w:rsid w:val="00D82D0D"/>
    <w:rsid w:val="00D84D51"/>
    <w:rsid w:val="00D90F22"/>
    <w:rsid w:val="00D91DD4"/>
    <w:rsid w:val="00DA1667"/>
    <w:rsid w:val="00DA17FE"/>
    <w:rsid w:val="00DA2349"/>
    <w:rsid w:val="00DA2AD0"/>
    <w:rsid w:val="00DA455C"/>
    <w:rsid w:val="00DA5D26"/>
    <w:rsid w:val="00DB1A26"/>
    <w:rsid w:val="00DB557F"/>
    <w:rsid w:val="00DB5DD7"/>
    <w:rsid w:val="00DB6106"/>
    <w:rsid w:val="00DB6514"/>
    <w:rsid w:val="00DB7742"/>
    <w:rsid w:val="00DC035F"/>
    <w:rsid w:val="00DC0AC2"/>
    <w:rsid w:val="00DC1E69"/>
    <w:rsid w:val="00DC2C84"/>
    <w:rsid w:val="00DC389E"/>
    <w:rsid w:val="00DC421F"/>
    <w:rsid w:val="00DC43C2"/>
    <w:rsid w:val="00DC5FAF"/>
    <w:rsid w:val="00DC772B"/>
    <w:rsid w:val="00DD075F"/>
    <w:rsid w:val="00DD3AE2"/>
    <w:rsid w:val="00DD56D4"/>
    <w:rsid w:val="00DE4871"/>
    <w:rsid w:val="00DF4D1F"/>
    <w:rsid w:val="00E1586E"/>
    <w:rsid w:val="00E16E60"/>
    <w:rsid w:val="00E20389"/>
    <w:rsid w:val="00E21A22"/>
    <w:rsid w:val="00E23F87"/>
    <w:rsid w:val="00E330A3"/>
    <w:rsid w:val="00E33F8F"/>
    <w:rsid w:val="00E35812"/>
    <w:rsid w:val="00E46FAB"/>
    <w:rsid w:val="00E5212D"/>
    <w:rsid w:val="00E524A8"/>
    <w:rsid w:val="00E6422C"/>
    <w:rsid w:val="00E66198"/>
    <w:rsid w:val="00E6754A"/>
    <w:rsid w:val="00E675A7"/>
    <w:rsid w:val="00E742C1"/>
    <w:rsid w:val="00E80F1B"/>
    <w:rsid w:val="00E8247E"/>
    <w:rsid w:val="00E842E6"/>
    <w:rsid w:val="00E84C85"/>
    <w:rsid w:val="00E868B5"/>
    <w:rsid w:val="00E8756B"/>
    <w:rsid w:val="00E87BBA"/>
    <w:rsid w:val="00E9180F"/>
    <w:rsid w:val="00E975FC"/>
    <w:rsid w:val="00EA09C5"/>
    <w:rsid w:val="00EA0BD4"/>
    <w:rsid w:val="00EA182F"/>
    <w:rsid w:val="00EA4983"/>
    <w:rsid w:val="00EA753C"/>
    <w:rsid w:val="00EB127A"/>
    <w:rsid w:val="00EB429B"/>
    <w:rsid w:val="00EB43C0"/>
    <w:rsid w:val="00EB7592"/>
    <w:rsid w:val="00EC5233"/>
    <w:rsid w:val="00EC5F46"/>
    <w:rsid w:val="00EC787B"/>
    <w:rsid w:val="00ED10D8"/>
    <w:rsid w:val="00ED3E31"/>
    <w:rsid w:val="00ED3E62"/>
    <w:rsid w:val="00ED5804"/>
    <w:rsid w:val="00EE0136"/>
    <w:rsid w:val="00EE1804"/>
    <w:rsid w:val="00EE339D"/>
    <w:rsid w:val="00EE39CD"/>
    <w:rsid w:val="00EE3FEB"/>
    <w:rsid w:val="00EF0E4A"/>
    <w:rsid w:val="00EF4220"/>
    <w:rsid w:val="00EF5E27"/>
    <w:rsid w:val="00EF6330"/>
    <w:rsid w:val="00EF7040"/>
    <w:rsid w:val="00F01057"/>
    <w:rsid w:val="00F03531"/>
    <w:rsid w:val="00F06F1A"/>
    <w:rsid w:val="00F10EA3"/>
    <w:rsid w:val="00F11DDB"/>
    <w:rsid w:val="00F132A7"/>
    <w:rsid w:val="00F13621"/>
    <w:rsid w:val="00F301CF"/>
    <w:rsid w:val="00F316DE"/>
    <w:rsid w:val="00F3264B"/>
    <w:rsid w:val="00F336B0"/>
    <w:rsid w:val="00F34F14"/>
    <w:rsid w:val="00F362EC"/>
    <w:rsid w:val="00F36BEB"/>
    <w:rsid w:val="00F37047"/>
    <w:rsid w:val="00F43B61"/>
    <w:rsid w:val="00F44C5E"/>
    <w:rsid w:val="00F46131"/>
    <w:rsid w:val="00F47C9A"/>
    <w:rsid w:val="00F47DBE"/>
    <w:rsid w:val="00F5047D"/>
    <w:rsid w:val="00F509A6"/>
    <w:rsid w:val="00F5116F"/>
    <w:rsid w:val="00F5194C"/>
    <w:rsid w:val="00F62854"/>
    <w:rsid w:val="00F63DAE"/>
    <w:rsid w:val="00F718A6"/>
    <w:rsid w:val="00F7411F"/>
    <w:rsid w:val="00F752C1"/>
    <w:rsid w:val="00F7625D"/>
    <w:rsid w:val="00F76705"/>
    <w:rsid w:val="00F821D1"/>
    <w:rsid w:val="00F84929"/>
    <w:rsid w:val="00F8642C"/>
    <w:rsid w:val="00F86E3B"/>
    <w:rsid w:val="00F914D6"/>
    <w:rsid w:val="00F93619"/>
    <w:rsid w:val="00F97B41"/>
    <w:rsid w:val="00FA14C5"/>
    <w:rsid w:val="00FA49EF"/>
    <w:rsid w:val="00FA5BCC"/>
    <w:rsid w:val="00FA5F26"/>
    <w:rsid w:val="00FB1075"/>
    <w:rsid w:val="00FB45F2"/>
    <w:rsid w:val="00FC040D"/>
    <w:rsid w:val="00FC3E1B"/>
    <w:rsid w:val="00FC4269"/>
    <w:rsid w:val="00FC7676"/>
    <w:rsid w:val="00FD1D16"/>
    <w:rsid w:val="00FE170F"/>
    <w:rsid w:val="00FF0BB3"/>
    <w:rsid w:val="00FF10D6"/>
    <w:rsid w:val="00FF2545"/>
    <w:rsid w:val="00FF2948"/>
    <w:rsid w:val="00FF3877"/>
    <w:rsid w:val="00FF3BDB"/>
    <w:rsid w:val="00FF6913"/>
    <w:rsid w:val="01E62645"/>
    <w:rsid w:val="031E46AB"/>
    <w:rsid w:val="0541101C"/>
    <w:rsid w:val="06683B2E"/>
    <w:rsid w:val="066D62E2"/>
    <w:rsid w:val="08C852AA"/>
    <w:rsid w:val="08CE5AA1"/>
    <w:rsid w:val="090E73EC"/>
    <w:rsid w:val="0A824573"/>
    <w:rsid w:val="0D1B27BF"/>
    <w:rsid w:val="0DD263FD"/>
    <w:rsid w:val="10137F87"/>
    <w:rsid w:val="102A3566"/>
    <w:rsid w:val="11870550"/>
    <w:rsid w:val="119D2E0D"/>
    <w:rsid w:val="133A1A29"/>
    <w:rsid w:val="158E19F9"/>
    <w:rsid w:val="15C831CD"/>
    <w:rsid w:val="18094F0A"/>
    <w:rsid w:val="189471C3"/>
    <w:rsid w:val="18CE2616"/>
    <w:rsid w:val="1993430A"/>
    <w:rsid w:val="1A4C35BB"/>
    <w:rsid w:val="1A5B019E"/>
    <w:rsid w:val="1B3B537D"/>
    <w:rsid w:val="1B9705C0"/>
    <w:rsid w:val="1D9439AD"/>
    <w:rsid w:val="1DF34FA3"/>
    <w:rsid w:val="1F7C633D"/>
    <w:rsid w:val="1FA21B40"/>
    <w:rsid w:val="25545AED"/>
    <w:rsid w:val="26453CEB"/>
    <w:rsid w:val="27BA54BC"/>
    <w:rsid w:val="28571BB6"/>
    <w:rsid w:val="287C739E"/>
    <w:rsid w:val="291B3648"/>
    <w:rsid w:val="295377DC"/>
    <w:rsid w:val="2AC71E21"/>
    <w:rsid w:val="2B720EE8"/>
    <w:rsid w:val="2C8B1C96"/>
    <w:rsid w:val="2D3E58F5"/>
    <w:rsid w:val="2EC46E56"/>
    <w:rsid w:val="30343506"/>
    <w:rsid w:val="30A932CF"/>
    <w:rsid w:val="30B10BD0"/>
    <w:rsid w:val="311F2924"/>
    <w:rsid w:val="31C65344"/>
    <w:rsid w:val="341334D6"/>
    <w:rsid w:val="347C5389"/>
    <w:rsid w:val="34BA3D94"/>
    <w:rsid w:val="35137756"/>
    <w:rsid w:val="35A96CAD"/>
    <w:rsid w:val="36033454"/>
    <w:rsid w:val="364F18A8"/>
    <w:rsid w:val="36AA7F8E"/>
    <w:rsid w:val="3A8F0D3B"/>
    <w:rsid w:val="3BAD1B0C"/>
    <w:rsid w:val="3CCC7E35"/>
    <w:rsid w:val="3DA254CA"/>
    <w:rsid w:val="3E56698E"/>
    <w:rsid w:val="3E6937AE"/>
    <w:rsid w:val="3F142A5D"/>
    <w:rsid w:val="3FB44C05"/>
    <w:rsid w:val="3FB8401E"/>
    <w:rsid w:val="40D83C90"/>
    <w:rsid w:val="411530ED"/>
    <w:rsid w:val="41F6085F"/>
    <w:rsid w:val="42C65832"/>
    <w:rsid w:val="42F17AD0"/>
    <w:rsid w:val="442213C4"/>
    <w:rsid w:val="464B2F87"/>
    <w:rsid w:val="48004895"/>
    <w:rsid w:val="4A781BD1"/>
    <w:rsid w:val="4C9E69ED"/>
    <w:rsid w:val="4DA716DF"/>
    <w:rsid w:val="4EFE4755"/>
    <w:rsid w:val="4FD337DA"/>
    <w:rsid w:val="50337F34"/>
    <w:rsid w:val="51322546"/>
    <w:rsid w:val="518B3C90"/>
    <w:rsid w:val="51FE549B"/>
    <w:rsid w:val="527816CA"/>
    <w:rsid w:val="528D0556"/>
    <w:rsid w:val="52EB78E2"/>
    <w:rsid w:val="53DE2F21"/>
    <w:rsid w:val="54096F05"/>
    <w:rsid w:val="554E7EE4"/>
    <w:rsid w:val="57ED0AB0"/>
    <w:rsid w:val="57FE3377"/>
    <w:rsid w:val="581A1C88"/>
    <w:rsid w:val="5A061A08"/>
    <w:rsid w:val="5A5C2BE3"/>
    <w:rsid w:val="5B393BE7"/>
    <w:rsid w:val="5B431E37"/>
    <w:rsid w:val="5C28227F"/>
    <w:rsid w:val="5E6975F0"/>
    <w:rsid w:val="5EC656CA"/>
    <w:rsid w:val="5FF62072"/>
    <w:rsid w:val="60B61DCC"/>
    <w:rsid w:val="629F686C"/>
    <w:rsid w:val="633C7176"/>
    <w:rsid w:val="649408C0"/>
    <w:rsid w:val="666459A0"/>
    <w:rsid w:val="66E62503"/>
    <w:rsid w:val="69E81CE1"/>
    <w:rsid w:val="6C4E0DC0"/>
    <w:rsid w:val="6C851D69"/>
    <w:rsid w:val="6E427D77"/>
    <w:rsid w:val="6EE97502"/>
    <w:rsid w:val="6EF86127"/>
    <w:rsid w:val="6FB71DB1"/>
    <w:rsid w:val="72B03039"/>
    <w:rsid w:val="72F25DC1"/>
    <w:rsid w:val="738D2BD3"/>
    <w:rsid w:val="74094A8F"/>
    <w:rsid w:val="759309D9"/>
    <w:rsid w:val="76C0767D"/>
    <w:rsid w:val="78203819"/>
    <w:rsid w:val="78CD3084"/>
    <w:rsid w:val="78EE7EB1"/>
    <w:rsid w:val="7A261860"/>
    <w:rsid w:val="7C0B757A"/>
    <w:rsid w:val="7D28412A"/>
    <w:rsid w:val="7D7167FB"/>
    <w:rsid w:val="7DF54244"/>
    <w:rsid w:val="7EC4347A"/>
    <w:rsid w:val="7FB4312F"/>
    <w:rsid w:val="7FE520AC"/>
    <w:rsid w:val="7FE659F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99" w:semiHidden="0" w:name="index 2" w:locked="1"/>
    <w:lsdException w:qFormat="1" w:unhideWhenUsed="0" w:uiPriority="99" w:semiHidden="0" w:name="index 3"/>
    <w:lsdException w:unhideWhenUsed="0" w:uiPriority="99" w:semiHidden="0" w:name="index 4" w:locked="1"/>
    <w:lsdException w:unhideWhenUsed="0" w:uiPriority="99" w:semiHidden="0" w:name="index 5" w:locked="1"/>
    <w:lsdException w:unhideWhenUsed="0" w:uiPriority="99" w:semiHidden="0" w:name="index 6" w:locked="1"/>
    <w:lsdException w:unhideWhenUsed="0" w:uiPriority="99" w:semiHidden="0" w:name="index 7" w:locked="1"/>
    <w:lsdException w:unhideWhenUsed="0" w:uiPriority="99" w:semiHidden="0" w:name="index 8" w:locked="1"/>
    <w:lsdException w:unhideWhenUsed="0" w:uiPriority="99"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ocked="1"/>
    <w:lsdException w:qFormat="1" w:unhideWhenUsed="0" w:uiPriority="35" w:semiHidden="0" w:name="caption" w:locked="1"/>
    <w:lsdException w:uiPriority="99" w:name="table of figures" w:locked="1"/>
    <w:lsdException w:qFormat="1" w:unhideWhenUsed="0" w:uiPriority="0" w:semiHidden="0" w:name="envelope address"/>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nhideWhenUsed="0" w:uiPriority="0" w:semiHidden="0" w:name="macro" w:locked="1"/>
    <w:lsdException w:qFormat="1" w:unhideWhenUsed="0" w:uiPriority="0" w:semiHidden="0" w:name="toa heading"/>
    <w:lsdException w:unhideWhenUsed="0" w:uiPriority="0" w:semiHidden="0" w:name="List" w:locked="1"/>
    <w:lsdException w:qFormat="1" w:unhideWhenUsed="0" w:uiPriority="0" w:semiHidden="0" w:name="List Bullet"/>
    <w:lsdException w:qFormat="1" w:unhideWhenUsed="0" w:uiPriority="99" w:semiHidden="0" w:name="List Number"/>
    <w:lsdException w:qFormat="1" w:unhideWhenUsed="0" w:uiPriority="0" w:semiHidden="0" w:name="List 2"/>
    <w:lsdException w:uiPriority="99" w:name="List 3" w:locked="1"/>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0" w:semiHidden="0" w:name="List Bullet 4" w:locked="1"/>
    <w:lsdException w:uiPriority="99" w:name="List Bullet 5" w:locked="1"/>
    <w:lsdException w:qFormat="1" w:unhideWhenUsed="0" w:uiPriority="99" w:semiHidden="0" w:name="List Number 2"/>
    <w:lsdException w:uiPriority="99" w:name="List Number 3" w:locked="1"/>
    <w:lsdException w:uiPriority="99" w:name="List Number 4" w:locked="1"/>
    <w:lsdException w:uiPriority="99" w:name="List Number 5" w:locked="1"/>
    <w:lsdException w:qFormat="1" w:unhideWhenUsed="0" w:uiPriority="0" w:semiHidden="0" w:name="Title"/>
    <w:lsdException w:unhideWhenUsed="0" w:uiPriority="99" w:semiHidden="0" w:name="Closing" w:locked="1"/>
    <w:lsdException w:qFormat="1" w:unhideWhenUsed="0" w:uiPriority="99"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99" w:semiHidden="0"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0" w:semiHidden="0" w:name="Subtitle"/>
    <w:lsdException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6"/>
    <w:link w:val="79"/>
    <w:qFormat/>
    <w:uiPriority w:val="99"/>
    <w:pPr>
      <w:widowControl/>
      <w:adjustRightInd w:val="0"/>
      <w:snapToGrid w:val="0"/>
      <w:spacing w:beforeLines="50" w:afterLines="50" w:line="600" w:lineRule="atLeast"/>
      <w:jc w:val="left"/>
      <w:textAlignment w:val="baseline"/>
      <w:outlineLvl w:val="0"/>
    </w:pPr>
    <w:rPr>
      <w:rFonts w:eastAsia="黑体"/>
      <w:color w:val="000000"/>
      <w:kern w:val="44"/>
      <w:sz w:val="30"/>
    </w:rPr>
  </w:style>
  <w:style w:type="paragraph" w:styleId="6">
    <w:name w:val="heading 2"/>
    <w:basedOn w:val="1"/>
    <w:next w:val="7"/>
    <w:link w:val="80"/>
    <w:qFormat/>
    <w:uiPriority w:val="99"/>
    <w:pPr>
      <w:widowControl/>
      <w:adjustRightInd w:val="0"/>
      <w:snapToGrid w:val="0"/>
      <w:spacing w:line="560" w:lineRule="exact"/>
      <w:jc w:val="left"/>
      <w:textAlignment w:val="baseline"/>
      <w:outlineLvl w:val="1"/>
    </w:pPr>
    <w:rPr>
      <w:b/>
      <w:kern w:val="0"/>
      <w:sz w:val="28"/>
    </w:rPr>
  </w:style>
  <w:style w:type="paragraph" w:styleId="7">
    <w:name w:val="heading 3"/>
    <w:basedOn w:val="1"/>
    <w:next w:val="1"/>
    <w:link w:val="81"/>
    <w:qFormat/>
    <w:uiPriority w:val="0"/>
    <w:pPr>
      <w:widowControl/>
      <w:adjustRightInd w:val="0"/>
      <w:snapToGrid w:val="0"/>
      <w:spacing w:line="440" w:lineRule="exact"/>
      <w:jc w:val="left"/>
      <w:textAlignment w:val="baseline"/>
      <w:outlineLvl w:val="2"/>
    </w:pPr>
    <w:rPr>
      <w:kern w:val="0"/>
      <w:sz w:val="24"/>
    </w:rPr>
  </w:style>
  <w:style w:type="paragraph" w:styleId="8">
    <w:name w:val="heading 4"/>
    <w:basedOn w:val="1"/>
    <w:next w:val="1"/>
    <w:link w:val="82"/>
    <w:qFormat/>
    <w:uiPriority w:val="9"/>
    <w:pPr>
      <w:adjustRightInd w:val="0"/>
      <w:spacing w:before="120" w:after="60"/>
      <w:textAlignment w:val="baseline"/>
      <w:outlineLvl w:val="3"/>
    </w:pPr>
    <w:rPr>
      <w:kern w:val="0"/>
    </w:rPr>
  </w:style>
  <w:style w:type="paragraph" w:styleId="9">
    <w:name w:val="heading 5"/>
    <w:basedOn w:val="1"/>
    <w:next w:val="1"/>
    <w:link w:val="83"/>
    <w:qFormat/>
    <w:uiPriority w:val="0"/>
    <w:pPr>
      <w:keepLines/>
      <w:adjustRightInd w:val="0"/>
      <w:spacing w:before="280" w:after="290" w:line="376" w:lineRule="atLeast"/>
      <w:textAlignment w:val="baseline"/>
      <w:outlineLvl w:val="4"/>
    </w:pPr>
    <w:rPr>
      <w:rFonts w:ascii="黑体" w:eastAsia="黑体"/>
      <w:b/>
      <w:kern w:val="0"/>
      <w:sz w:val="28"/>
    </w:rPr>
  </w:style>
  <w:style w:type="paragraph" w:styleId="10">
    <w:name w:val="heading 6"/>
    <w:basedOn w:val="1"/>
    <w:next w:val="1"/>
    <w:link w:val="84"/>
    <w:qFormat/>
    <w:uiPriority w:val="9"/>
    <w:pPr>
      <w:keepLines/>
      <w:adjustRightInd w:val="0"/>
      <w:spacing w:before="240" w:after="64" w:line="320" w:lineRule="atLeast"/>
      <w:textAlignment w:val="baseline"/>
      <w:outlineLvl w:val="5"/>
    </w:pPr>
    <w:rPr>
      <w:rFonts w:ascii="Arial" w:hAnsi="Arial" w:eastAsia="黑体"/>
      <w:b/>
      <w:kern w:val="0"/>
      <w:sz w:val="24"/>
    </w:rPr>
  </w:style>
  <w:style w:type="paragraph" w:styleId="11">
    <w:name w:val="heading 7"/>
    <w:basedOn w:val="1"/>
    <w:next w:val="1"/>
    <w:link w:val="85"/>
    <w:qFormat/>
    <w:uiPriority w:val="0"/>
    <w:pPr>
      <w:keepLines/>
      <w:adjustRightInd w:val="0"/>
      <w:spacing w:before="240" w:after="64" w:line="320" w:lineRule="atLeast"/>
      <w:textAlignment w:val="baseline"/>
      <w:outlineLvl w:val="6"/>
    </w:pPr>
    <w:rPr>
      <w:b/>
      <w:kern w:val="0"/>
      <w:sz w:val="24"/>
    </w:rPr>
  </w:style>
  <w:style w:type="paragraph" w:styleId="12">
    <w:name w:val="heading 8"/>
    <w:basedOn w:val="1"/>
    <w:next w:val="1"/>
    <w:link w:val="86"/>
    <w:qFormat/>
    <w:uiPriority w:val="9"/>
    <w:pPr>
      <w:keepLines/>
      <w:adjustRightInd w:val="0"/>
      <w:spacing w:before="240" w:after="64" w:line="320" w:lineRule="atLeast"/>
      <w:textAlignment w:val="baseline"/>
      <w:outlineLvl w:val="7"/>
    </w:pPr>
    <w:rPr>
      <w:rFonts w:ascii="Arial" w:hAnsi="Arial" w:eastAsia="黑体"/>
      <w:kern w:val="0"/>
      <w:sz w:val="24"/>
    </w:rPr>
  </w:style>
  <w:style w:type="paragraph" w:styleId="13">
    <w:name w:val="heading 9"/>
    <w:basedOn w:val="1"/>
    <w:next w:val="1"/>
    <w:link w:val="87"/>
    <w:qFormat/>
    <w:uiPriority w:val="9"/>
    <w:pPr>
      <w:keepLines/>
      <w:adjustRightInd w:val="0"/>
      <w:spacing w:before="240" w:after="64" w:line="320" w:lineRule="atLeast"/>
      <w:textAlignment w:val="baseline"/>
      <w:outlineLvl w:val="8"/>
    </w:pPr>
    <w:rPr>
      <w:rFonts w:ascii="Arial" w:hAnsi="Arial" w:eastAsia="黑体"/>
      <w:kern w:val="0"/>
      <w:sz w:val="24"/>
    </w:rPr>
  </w:style>
  <w:style w:type="character" w:default="1" w:styleId="73">
    <w:name w:val="Default Paragraph Font"/>
    <w:semiHidden/>
    <w:unhideWhenUsed/>
    <w:uiPriority w:val="1"/>
  </w:style>
  <w:style w:type="table" w:default="1" w:styleId="7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00"/>
    <w:qFormat/>
    <w:uiPriority w:val="0"/>
    <w:pPr>
      <w:spacing w:line="300" w:lineRule="auto"/>
      <w:ind w:left="1208"/>
    </w:pPr>
    <w:rPr>
      <w:rFonts w:ascii="Arial" w:hAnsi="Arial"/>
    </w:rPr>
  </w:style>
  <w:style w:type="paragraph" w:styleId="3">
    <w:name w:val="Body Text Indent"/>
    <w:basedOn w:val="1"/>
    <w:link w:val="94"/>
    <w:qFormat/>
    <w:uiPriority w:val="0"/>
    <w:pPr>
      <w:adjustRightInd w:val="0"/>
      <w:spacing w:line="440" w:lineRule="exact"/>
      <w:ind w:firstLine="524"/>
      <w:jc w:val="left"/>
      <w:textAlignment w:val="baseline"/>
    </w:pPr>
    <w:rPr>
      <w:rFonts w:ascii="宋体"/>
      <w:color w:val="FF0000"/>
      <w:kern w:val="0"/>
      <w:sz w:val="24"/>
    </w:rPr>
  </w:style>
  <w:style w:type="paragraph" w:styleId="4">
    <w:name w:val="macro"/>
    <w:link w:val="357"/>
    <w:locked/>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Courier New"/>
      <w:sz w:val="24"/>
      <w:szCs w:val="24"/>
      <w:lang w:val="en-US" w:eastAsia="zh-CN" w:bidi="ar-SA"/>
    </w:rPr>
  </w:style>
  <w:style w:type="paragraph" w:styleId="14">
    <w:name w:val="toc 7"/>
    <w:basedOn w:val="1"/>
    <w:next w:val="1"/>
    <w:qFormat/>
    <w:uiPriority w:val="39"/>
    <w:pPr>
      <w:ind w:left="2520" w:leftChars="1200"/>
    </w:pPr>
  </w:style>
  <w:style w:type="paragraph" w:styleId="15">
    <w:name w:val="List Number 2"/>
    <w:basedOn w:val="16"/>
    <w:qFormat/>
    <w:uiPriority w:val="99"/>
    <w:pPr>
      <w:tabs>
        <w:tab w:val="left" w:pos="360"/>
        <w:tab w:val="left" w:pos="720"/>
      </w:tabs>
      <w:spacing w:before="120"/>
      <w:ind w:left="851" w:hanging="426"/>
    </w:pPr>
  </w:style>
  <w:style w:type="paragraph" w:styleId="16">
    <w:name w:val="List Number"/>
    <w:basedOn w:val="17"/>
    <w:qFormat/>
    <w:uiPriority w:val="99"/>
    <w:pPr>
      <w:keepLines/>
      <w:widowControl/>
      <w:tabs>
        <w:tab w:val="left" w:pos="720"/>
      </w:tabs>
      <w:spacing w:before="50" w:line="280" w:lineRule="atLeast"/>
      <w:ind w:left="360" w:hanging="360"/>
    </w:pPr>
    <w:rPr>
      <w:kern w:val="0"/>
      <w:sz w:val="22"/>
      <w:szCs w:val="20"/>
    </w:rPr>
  </w:style>
  <w:style w:type="paragraph" w:styleId="17">
    <w:name w:val="Body Text"/>
    <w:basedOn w:val="1"/>
    <w:next w:val="1"/>
    <w:link w:val="90"/>
    <w:qFormat/>
    <w:uiPriority w:val="0"/>
    <w:pPr>
      <w:spacing w:line="360" w:lineRule="auto"/>
    </w:pPr>
    <w:rPr>
      <w:sz w:val="24"/>
      <w:szCs w:val="21"/>
    </w:rPr>
  </w:style>
  <w:style w:type="paragraph" w:styleId="18">
    <w:name w:val="List Bullet 4"/>
    <w:basedOn w:val="1"/>
    <w:unhideWhenUsed/>
    <w:locked/>
    <w:uiPriority w:val="0"/>
    <w:pPr>
      <w:numPr>
        <w:ilvl w:val="0"/>
        <w:numId w:val="1"/>
      </w:numPr>
      <w:contextualSpacing/>
    </w:pPr>
  </w:style>
  <w:style w:type="paragraph" w:styleId="19">
    <w:name w:val="index 8"/>
    <w:basedOn w:val="1"/>
    <w:next w:val="1"/>
    <w:locked/>
    <w:uiPriority w:val="99"/>
    <w:pPr>
      <w:adjustRightInd w:val="0"/>
      <w:snapToGrid w:val="0"/>
      <w:spacing w:line="460" w:lineRule="atLeast"/>
      <w:ind w:left="1400" w:leftChars="1400" w:firstLine="200" w:firstLineChars="200"/>
    </w:pPr>
    <w:rPr>
      <w:rFonts w:ascii="Times" w:hAnsi="Times"/>
      <w:snapToGrid w:val="0"/>
      <w:kern w:val="0"/>
      <w:sz w:val="24"/>
    </w:rPr>
  </w:style>
  <w:style w:type="paragraph" w:styleId="20">
    <w:name w:val="Normal Indent"/>
    <w:basedOn w:val="1"/>
    <w:link w:val="359"/>
    <w:qFormat/>
    <w:uiPriority w:val="0"/>
    <w:pPr>
      <w:adjustRightInd w:val="0"/>
      <w:spacing w:line="360" w:lineRule="atLeast"/>
      <w:ind w:firstLine="420"/>
      <w:jc w:val="left"/>
      <w:textAlignment w:val="baseline"/>
    </w:pPr>
    <w:rPr>
      <w:rFonts w:ascii="Arial" w:hAnsi="Arial"/>
      <w:kern w:val="0"/>
      <w:sz w:val="24"/>
      <w:szCs w:val="24"/>
    </w:rPr>
  </w:style>
  <w:style w:type="paragraph" w:styleId="21">
    <w:name w:val="caption"/>
    <w:basedOn w:val="1"/>
    <w:next w:val="1"/>
    <w:qFormat/>
    <w:locked/>
    <w:uiPriority w:val="35"/>
    <w:pPr>
      <w:spacing w:before="152" w:after="160"/>
    </w:pPr>
    <w:rPr>
      <w:rFonts w:ascii="Arial" w:hAnsi="Arial" w:eastAsia="黑体"/>
      <w:sz w:val="24"/>
    </w:rPr>
  </w:style>
  <w:style w:type="paragraph" w:styleId="22">
    <w:name w:val="index 5"/>
    <w:basedOn w:val="1"/>
    <w:next w:val="1"/>
    <w:locked/>
    <w:uiPriority w:val="99"/>
    <w:pPr>
      <w:adjustRightInd w:val="0"/>
      <w:snapToGrid w:val="0"/>
      <w:spacing w:line="460" w:lineRule="atLeast"/>
      <w:ind w:left="800" w:leftChars="800" w:firstLine="200" w:firstLineChars="200"/>
    </w:pPr>
    <w:rPr>
      <w:rFonts w:ascii="Times" w:hAnsi="Times"/>
      <w:snapToGrid w:val="0"/>
      <w:kern w:val="0"/>
      <w:sz w:val="24"/>
    </w:rPr>
  </w:style>
  <w:style w:type="paragraph" w:styleId="23">
    <w:name w:val="List Bullet"/>
    <w:basedOn w:val="17"/>
    <w:qFormat/>
    <w:uiPriority w:val="0"/>
    <w:pPr>
      <w:keepLines/>
      <w:widowControl/>
    </w:pPr>
    <w:rPr>
      <w:color w:val="000000"/>
      <w:kern w:val="0"/>
      <w:sz w:val="21"/>
      <w:szCs w:val="20"/>
    </w:rPr>
  </w:style>
  <w:style w:type="paragraph" w:styleId="24">
    <w:name w:val="envelope address"/>
    <w:basedOn w:val="1"/>
    <w:qFormat/>
    <w:uiPriority w:val="0"/>
    <w:pPr>
      <w:autoSpaceDE w:val="0"/>
      <w:autoSpaceDN w:val="0"/>
      <w:adjustRightInd w:val="0"/>
      <w:ind w:left="2880"/>
    </w:pPr>
    <w:rPr>
      <w:rFonts w:ascii="宋体"/>
      <w:kern w:val="0"/>
      <w:sz w:val="24"/>
      <w:szCs w:val="24"/>
    </w:rPr>
  </w:style>
  <w:style w:type="paragraph" w:styleId="25">
    <w:name w:val="Document Map"/>
    <w:basedOn w:val="1"/>
    <w:link w:val="92"/>
    <w:qFormat/>
    <w:uiPriority w:val="99"/>
    <w:pPr>
      <w:shd w:val="clear" w:color="auto" w:fill="000080"/>
    </w:pPr>
  </w:style>
  <w:style w:type="paragraph" w:styleId="26">
    <w:name w:val="toa heading"/>
    <w:basedOn w:val="1"/>
    <w:next w:val="1"/>
    <w:qFormat/>
    <w:uiPriority w:val="0"/>
    <w:pPr>
      <w:adjustRightInd w:val="0"/>
      <w:spacing w:beforeLines="20" w:afterLines="20" w:line="360" w:lineRule="atLeast"/>
      <w:jc w:val="left"/>
      <w:textAlignment w:val="baseline"/>
    </w:pPr>
    <w:rPr>
      <w:rFonts w:ascii="Arial" w:hAnsi="Arial"/>
      <w:kern w:val="0"/>
      <w:sz w:val="24"/>
    </w:rPr>
  </w:style>
  <w:style w:type="paragraph" w:styleId="27">
    <w:name w:val="annotation text"/>
    <w:basedOn w:val="1"/>
    <w:link w:val="88"/>
    <w:qFormat/>
    <w:uiPriority w:val="99"/>
    <w:pPr>
      <w:jc w:val="left"/>
    </w:pPr>
  </w:style>
  <w:style w:type="paragraph" w:styleId="28">
    <w:name w:val="index 6"/>
    <w:basedOn w:val="1"/>
    <w:next w:val="1"/>
    <w:locked/>
    <w:uiPriority w:val="99"/>
    <w:pPr>
      <w:adjustRightInd w:val="0"/>
      <w:snapToGrid w:val="0"/>
      <w:spacing w:line="460" w:lineRule="atLeast"/>
      <w:ind w:left="1000" w:leftChars="1000" w:firstLine="200" w:firstLineChars="200"/>
    </w:pPr>
    <w:rPr>
      <w:rFonts w:ascii="Times" w:hAnsi="Times"/>
      <w:snapToGrid w:val="0"/>
      <w:kern w:val="0"/>
      <w:sz w:val="24"/>
    </w:rPr>
  </w:style>
  <w:style w:type="paragraph" w:styleId="29">
    <w:name w:val="Salutation"/>
    <w:basedOn w:val="1"/>
    <w:next w:val="1"/>
    <w:link w:val="363"/>
    <w:locked/>
    <w:uiPriority w:val="0"/>
    <w:pPr>
      <w:adjustRightInd w:val="0"/>
      <w:spacing w:line="360" w:lineRule="atLeast"/>
      <w:jc w:val="left"/>
      <w:textAlignment w:val="baseline"/>
    </w:pPr>
    <w:rPr>
      <w:rFonts w:ascii="宋体"/>
      <w:kern w:val="0"/>
      <w:sz w:val="24"/>
    </w:rPr>
  </w:style>
  <w:style w:type="paragraph" w:styleId="30">
    <w:name w:val="Body Text 3"/>
    <w:basedOn w:val="1"/>
    <w:link w:val="93"/>
    <w:qFormat/>
    <w:uiPriority w:val="99"/>
    <w:pPr>
      <w:spacing w:line="360" w:lineRule="auto"/>
    </w:pPr>
    <w:rPr>
      <w:rFonts w:ascii="Arial" w:hAnsi="Arial" w:cs="Arial"/>
      <w:color w:val="000000"/>
      <w:szCs w:val="21"/>
    </w:rPr>
  </w:style>
  <w:style w:type="paragraph" w:styleId="31">
    <w:name w:val="Closing"/>
    <w:basedOn w:val="1"/>
    <w:link w:val="365"/>
    <w:locked/>
    <w:uiPriority w:val="99"/>
    <w:pPr>
      <w:adjustRightInd w:val="0"/>
      <w:snapToGrid w:val="0"/>
      <w:spacing w:line="360" w:lineRule="auto"/>
      <w:ind w:left="100" w:leftChars="2100" w:firstLine="425"/>
    </w:pPr>
    <w:rPr>
      <w:rFonts w:ascii="宋体"/>
      <w:kern w:val="0"/>
      <w:sz w:val="24"/>
    </w:rPr>
  </w:style>
  <w:style w:type="paragraph" w:styleId="32">
    <w:name w:val="List Bullet 3"/>
    <w:basedOn w:val="17"/>
    <w:qFormat/>
    <w:uiPriority w:val="0"/>
    <w:pPr>
      <w:widowControl/>
      <w:tabs>
        <w:tab w:val="left" w:pos="851"/>
        <w:tab w:val="left" w:pos="1276"/>
      </w:tabs>
      <w:spacing w:after="120" w:line="280" w:lineRule="atLeast"/>
      <w:ind w:left="1276" w:hanging="425"/>
    </w:pPr>
    <w:rPr>
      <w:kern w:val="0"/>
      <w:sz w:val="22"/>
      <w:szCs w:val="20"/>
    </w:rPr>
  </w:style>
  <w:style w:type="paragraph" w:styleId="33">
    <w:name w:val="List 2"/>
    <w:basedOn w:val="1"/>
    <w:qFormat/>
    <w:uiPriority w:val="0"/>
    <w:pPr>
      <w:widowControl/>
      <w:spacing w:line="400" w:lineRule="exact"/>
    </w:pPr>
    <w:rPr>
      <w:rFonts w:ascii="Arial" w:hAnsi="Arial"/>
      <w:kern w:val="0"/>
      <w:sz w:val="24"/>
    </w:rPr>
  </w:style>
  <w:style w:type="paragraph" w:styleId="34">
    <w:name w:val="List Continue"/>
    <w:basedOn w:val="1"/>
    <w:locked/>
    <w:uiPriority w:val="99"/>
    <w:pPr>
      <w:overflowPunct w:val="0"/>
      <w:adjustRightInd w:val="0"/>
      <w:spacing w:after="120" w:line="359" w:lineRule="auto"/>
      <w:ind w:left="420" w:firstLine="425"/>
      <w:jc w:val="left"/>
      <w:textAlignment w:val="center"/>
    </w:pPr>
    <w:rPr>
      <w:rFonts w:ascii="宋体"/>
      <w:color w:val="000000"/>
      <w:kern w:val="0"/>
      <w:sz w:val="24"/>
    </w:rPr>
  </w:style>
  <w:style w:type="paragraph" w:styleId="35">
    <w:name w:val="Block Text"/>
    <w:basedOn w:val="1"/>
    <w:qFormat/>
    <w:uiPriority w:val="0"/>
    <w:pPr>
      <w:tabs>
        <w:tab w:val="left" w:pos="900"/>
      </w:tabs>
      <w:adjustRightInd w:val="0"/>
      <w:snapToGrid w:val="0"/>
      <w:spacing w:beforeLines="50" w:afterLines="50" w:line="400" w:lineRule="atLeast"/>
      <w:ind w:left="901" w:leftChars="428" w:right="32" w:hanging="2"/>
    </w:pPr>
    <w:rPr>
      <w:sz w:val="24"/>
      <w:szCs w:val="24"/>
    </w:rPr>
  </w:style>
  <w:style w:type="paragraph" w:styleId="36">
    <w:name w:val="List Bullet 2"/>
    <w:basedOn w:val="23"/>
    <w:qFormat/>
    <w:uiPriority w:val="0"/>
    <w:pPr>
      <w:tabs>
        <w:tab w:val="left" w:pos="720"/>
      </w:tabs>
      <w:spacing w:before="120"/>
      <w:ind w:left="360" w:hanging="360"/>
    </w:pPr>
  </w:style>
  <w:style w:type="paragraph" w:styleId="37">
    <w:name w:val="index 4"/>
    <w:basedOn w:val="1"/>
    <w:next w:val="1"/>
    <w:locked/>
    <w:uiPriority w:val="99"/>
    <w:pPr>
      <w:adjustRightInd w:val="0"/>
      <w:snapToGrid w:val="0"/>
      <w:spacing w:line="460" w:lineRule="atLeast"/>
      <w:ind w:left="600" w:leftChars="600" w:firstLine="200" w:firstLineChars="200"/>
    </w:pPr>
    <w:rPr>
      <w:rFonts w:ascii="Times" w:hAnsi="Times"/>
      <w:snapToGrid w:val="0"/>
      <w:kern w:val="0"/>
      <w:sz w:val="24"/>
    </w:rPr>
  </w:style>
  <w:style w:type="paragraph" w:styleId="38">
    <w:name w:val="toc 5"/>
    <w:basedOn w:val="1"/>
    <w:next w:val="1"/>
    <w:qFormat/>
    <w:uiPriority w:val="39"/>
    <w:pPr>
      <w:ind w:left="1680" w:leftChars="800"/>
    </w:pPr>
  </w:style>
  <w:style w:type="paragraph" w:styleId="39">
    <w:name w:val="toc 3"/>
    <w:basedOn w:val="1"/>
    <w:next w:val="1"/>
    <w:qFormat/>
    <w:uiPriority w:val="39"/>
    <w:pPr>
      <w:ind w:left="840" w:leftChars="400"/>
    </w:pPr>
  </w:style>
  <w:style w:type="paragraph" w:styleId="40">
    <w:name w:val="Plain Text"/>
    <w:basedOn w:val="1"/>
    <w:link w:val="95"/>
    <w:qFormat/>
    <w:uiPriority w:val="0"/>
    <w:pPr>
      <w:adjustRightInd w:val="0"/>
      <w:spacing w:line="312" w:lineRule="atLeast"/>
    </w:pPr>
    <w:rPr>
      <w:rFonts w:ascii="宋体" w:hAnsi="Courier New"/>
    </w:rPr>
  </w:style>
  <w:style w:type="paragraph" w:styleId="41">
    <w:name w:val="toc 8"/>
    <w:basedOn w:val="1"/>
    <w:next w:val="1"/>
    <w:qFormat/>
    <w:uiPriority w:val="39"/>
    <w:pPr>
      <w:ind w:left="2940" w:leftChars="1400"/>
    </w:pPr>
  </w:style>
  <w:style w:type="paragraph" w:styleId="42">
    <w:name w:val="index 3"/>
    <w:basedOn w:val="1"/>
    <w:next w:val="1"/>
    <w:qFormat/>
    <w:uiPriority w:val="99"/>
    <w:pPr>
      <w:adjustRightInd w:val="0"/>
      <w:spacing w:beforeLines="20" w:afterLines="20" w:line="360" w:lineRule="atLeast"/>
      <w:ind w:left="840"/>
      <w:jc w:val="left"/>
      <w:textAlignment w:val="baseline"/>
    </w:pPr>
    <w:rPr>
      <w:kern w:val="0"/>
      <w:sz w:val="24"/>
    </w:rPr>
  </w:style>
  <w:style w:type="paragraph" w:styleId="43">
    <w:name w:val="Date"/>
    <w:basedOn w:val="1"/>
    <w:next w:val="1"/>
    <w:link w:val="96"/>
    <w:qFormat/>
    <w:uiPriority w:val="0"/>
    <w:pPr>
      <w:adjustRightInd w:val="0"/>
      <w:spacing w:line="360" w:lineRule="atLeast"/>
      <w:ind w:left="100"/>
      <w:jc w:val="left"/>
      <w:textAlignment w:val="baseline"/>
    </w:pPr>
    <w:rPr>
      <w:rFonts w:ascii="Arial" w:hAnsi="Arial"/>
      <w:kern w:val="0"/>
      <w:sz w:val="24"/>
    </w:rPr>
  </w:style>
  <w:style w:type="paragraph" w:styleId="44">
    <w:name w:val="Body Text Indent 2"/>
    <w:basedOn w:val="1"/>
    <w:link w:val="97"/>
    <w:qFormat/>
    <w:uiPriority w:val="99"/>
    <w:pPr>
      <w:widowControl/>
      <w:autoSpaceDE w:val="0"/>
      <w:autoSpaceDN w:val="0"/>
      <w:adjustRightInd w:val="0"/>
      <w:spacing w:line="440" w:lineRule="exact"/>
      <w:ind w:firstLine="480"/>
      <w:textAlignment w:val="bottom"/>
    </w:pPr>
    <w:rPr>
      <w:kern w:val="0"/>
      <w:sz w:val="24"/>
    </w:rPr>
  </w:style>
  <w:style w:type="paragraph" w:styleId="45">
    <w:name w:val="Balloon Text"/>
    <w:basedOn w:val="1"/>
    <w:link w:val="98"/>
    <w:qFormat/>
    <w:uiPriority w:val="0"/>
    <w:rPr>
      <w:sz w:val="18"/>
      <w:szCs w:val="18"/>
    </w:rPr>
  </w:style>
  <w:style w:type="paragraph" w:styleId="46">
    <w:name w:val="footer"/>
    <w:basedOn w:val="1"/>
    <w:link w:val="99"/>
    <w:qFormat/>
    <w:uiPriority w:val="99"/>
    <w:pPr>
      <w:tabs>
        <w:tab w:val="center" w:pos="4320"/>
        <w:tab w:val="right" w:pos="8640"/>
      </w:tabs>
      <w:adjustRightInd w:val="0"/>
      <w:spacing w:line="240" w:lineRule="atLeast"/>
      <w:jc w:val="left"/>
      <w:textAlignment w:val="baseline"/>
    </w:pPr>
    <w:rPr>
      <w:rFonts w:ascii="宋体"/>
      <w:sz w:val="18"/>
    </w:rPr>
  </w:style>
  <w:style w:type="paragraph" w:styleId="47">
    <w:name w:val="header"/>
    <w:basedOn w:val="1"/>
    <w:link w:val="101"/>
    <w:qFormat/>
    <w:uiPriority w:val="99"/>
    <w:pPr>
      <w:pBdr>
        <w:bottom w:val="single" w:color="auto" w:sz="6" w:space="1"/>
      </w:pBdr>
      <w:tabs>
        <w:tab w:val="center" w:pos="4320"/>
        <w:tab w:val="right" w:pos="8640"/>
      </w:tabs>
      <w:adjustRightInd w:val="0"/>
      <w:spacing w:line="240" w:lineRule="atLeast"/>
      <w:jc w:val="center"/>
      <w:textAlignment w:val="baseline"/>
    </w:pPr>
    <w:rPr>
      <w:rFonts w:ascii="宋体"/>
      <w:kern w:val="0"/>
      <w:sz w:val="18"/>
    </w:rPr>
  </w:style>
  <w:style w:type="paragraph" w:styleId="48">
    <w:name w:val="Signature"/>
    <w:basedOn w:val="17"/>
    <w:link w:val="102"/>
    <w:qFormat/>
    <w:uiPriority w:val="99"/>
    <w:pPr>
      <w:keepNext/>
      <w:keepLines/>
      <w:widowControl/>
      <w:overflowPunct w:val="0"/>
      <w:autoSpaceDE w:val="0"/>
      <w:autoSpaceDN w:val="0"/>
      <w:adjustRightInd w:val="0"/>
      <w:spacing w:before="660" w:line="240" w:lineRule="atLeast"/>
      <w:textAlignment w:val="baseline"/>
    </w:pPr>
    <w:rPr>
      <w:rFonts w:ascii="Garamond" w:hAnsi="Garamond"/>
      <w:spacing w:val="-5"/>
      <w:kern w:val="0"/>
      <w:szCs w:val="20"/>
    </w:rPr>
  </w:style>
  <w:style w:type="paragraph" w:styleId="49">
    <w:name w:val="toc 1"/>
    <w:basedOn w:val="1"/>
    <w:next w:val="1"/>
    <w:qFormat/>
    <w:uiPriority w:val="39"/>
    <w:pPr>
      <w:tabs>
        <w:tab w:val="left" w:pos="360"/>
        <w:tab w:val="left" w:pos="840"/>
        <w:tab w:val="right" w:leader="dot" w:pos="8640"/>
      </w:tabs>
      <w:adjustRightInd w:val="0"/>
      <w:spacing w:line="312" w:lineRule="auto"/>
      <w:ind w:left="176" w:hanging="176"/>
      <w:jc w:val="left"/>
      <w:textAlignment w:val="baseline"/>
    </w:pPr>
    <w:rPr>
      <w:rFonts w:ascii="Arial" w:hAnsi="Arial" w:cs="Arial"/>
      <w:caps/>
      <w:kern w:val="0"/>
      <w:szCs w:val="21"/>
    </w:rPr>
  </w:style>
  <w:style w:type="paragraph" w:styleId="50">
    <w:name w:val="toc 4"/>
    <w:basedOn w:val="1"/>
    <w:next w:val="1"/>
    <w:qFormat/>
    <w:uiPriority w:val="39"/>
    <w:pPr>
      <w:ind w:left="1260" w:leftChars="600"/>
    </w:pPr>
  </w:style>
  <w:style w:type="paragraph" w:styleId="51">
    <w:name w:val="index heading"/>
    <w:basedOn w:val="1"/>
    <w:next w:val="52"/>
    <w:locked/>
    <w:uiPriority w:val="99"/>
    <w:pPr>
      <w:adjustRightInd w:val="0"/>
      <w:snapToGrid w:val="0"/>
      <w:spacing w:line="460" w:lineRule="atLeast"/>
      <w:ind w:firstLine="480" w:firstLineChars="200"/>
    </w:pPr>
    <w:rPr>
      <w:rFonts w:ascii="Times" w:hAnsi="Times"/>
      <w:snapToGrid w:val="0"/>
      <w:kern w:val="0"/>
      <w:sz w:val="24"/>
    </w:rPr>
  </w:style>
  <w:style w:type="paragraph" w:styleId="52">
    <w:name w:val="index 1"/>
    <w:basedOn w:val="1"/>
    <w:next w:val="1"/>
    <w:qFormat/>
    <w:uiPriority w:val="0"/>
    <w:rPr>
      <w:szCs w:val="24"/>
    </w:rPr>
  </w:style>
  <w:style w:type="paragraph" w:styleId="53">
    <w:name w:val="Subtitle"/>
    <w:basedOn w:val="1"/>
    <w:link w:val="103"/>
    <w:qFormat/>
    <w:uiPriority w:val="0"/>
    <w:pPr>
      <w:adjustRightInd w:val="0"/>
      <w:spacing w:before="240" w:after="60" w:line="312" w:lineRule="auto"/>
      <w:ind w:firstLine="480" w:firstLineChars="200"/>
      <w:textAlignment w:val="baseline"/>
      <w:outlineLvl w:val="1"/>
    </w:pPr>
    <w:rPr>
      <w:rFonts w:ascii="Arial" w:hAnsi="Arial" w:cs="Arial"/>
      <w:b/>
      <w:bCs/>
      <w:kern w:val="28"/>
      <w:sz w:val="32"/>
      <w:szCs w:val="32"/>
    </w:rPr>
  </w:style>
  <w:style w:type="paragraph" w:styleId="54">
    <w:name w:val="List"/>
    <w:basedOn w:val="1"/>
    <w:locked/>
    <w:uiPriority w:val="0"/>
    <w:pPr>
      <w:adjustRightInd w:val="0"/>
      <w:spacing w:line="360" w:lineRule="atLeast"/>
      <w:ind w:left="200" w:hanging="200" w:hangingChars="200"/>
      <w:jc w:val="left"/>
      <w:textAlignment w:val="baseline"/>
    </w:pPr>
    <w:rPr>
      <w:kern w:val="0"/>
      <w:sz w:val="24"/>
    </w:rPr>
  </w:style>
  <w:style w:type="paragraph" w:styleId="55">
    <w:name w:val="footnote text"/>
    <w:basedOn w:val="1"/>
    <w:link w:val="104"/>
    <w:qFormat/>
    <w:uiPriority w:val="0"/>
    <w:pPr>
      <w:snapToGrid w:val="0"/>
      <w:jc w:val="left"/>
    </w:pPr>
    <w:rPr>
      <w:sz w:val="18"/>
      <w:szCs w:val="18"/>
    </w:rPr>
  </w:style>
  <w:style w:type="paragraph" w:styleId="56">
    <w:name w:val="toc 6"/>
    <w:basedOn w:val="1"/>
    <w:next w:val="1"/>
    <w:qFormat/>
    <w:uiPriority w:val="39"/>
    <w:pPr>
      <w:ind w:left="2100" w:leftChars="1000"/>
    </w:pPr>
  </w:style>
  <w:style w:type="paragraph" w:styleId="57">
    <w:name w:val="List 5"/>
    <w:basedOn w:val="1"/>
    <w:qFormat/>
    <w:uiPriority w:val="0"/>
    <w:pPr>
      <w:ind w:left="100" w:hanging="200"/>
    </w:pPr>
  </w:style>
  <w:style w:type="paragraph" w:styleId="58">
    <w:name w:val="Body Text Indent 3"/>
    <w:basedOn w:val="1"/>
    <w:link w:val="105"/>
    <w:qFormat/>
    <w:uiPriority w:val="99"/>
    <w:pPr>
      <w:spacing w:line="440" w:lineRule="exact"/>
      <w:ind w:left="181" w:leftChars="86" w:firstLine="480" w:firstLineChars="200"/>
    </w:pPr>
    <w:rPr>
      <w:rFonts w:ascii="Arial" w:hAnsi="Arial"/>
      <w:sz w:val="24"/>
    </w:rPr>
  </w:style>
  <w:style w:type="paragraph" w:styleId="59">
    <w:name w:val="index 7"/>
    <w:basedOn w:val="1"/>
    <w:next w:val="1"/>
    <w:locked/>
    <w:uiPriority w:val="99"/>
    <w:pPr>
      <w:adjustRightInd w:val="0"/>
      <w:snapToGrid w:val="0"/>
      <w:spacing w:line="460" w:lineRule="atLeast"/>
      <w:ind w:left="1200" w:leftChars="1200" w:firstLine="200" w:firstLineChars="200"/>
    </w:pPr>
    <w:rPr>
      <w:rFonts w:ascii="Times" w:hAnsi="Times"/>
      <w:snapToGrid w:val="0"/>
      <w:kern w:val="0"/>
      <w:sz w:val="24"/>
    </w:rPr>
  </w:style>
  <w:style w:type="paragraph" w:styleId="60">
    <w:name w:val="index 9"/>
    <w:basedOn w:val="1"/>
    <w:next w:val="1"/>
    <w:locked/>
    <w:uiPriority w:val="99"/>
    <w:pPr>
      <w:adjustRightInd w:val="0"/>
      <w:snapToGrid w:val="0"/>
      <w:spacing w:line="460" w:lineRule="atLeast"/>
      <w:ind w:left="1600" w:leftChars="1600" w:firstLine="200" w:firstLineChars="200"/>
    </w:pPr>
    <w:rPr>
      <w:rFonts w:ascii="Times" w:hAnsi="Times"/>
      <w:snapToGrid w:val="0"/>
      <w:kern w:val="0"/>
      <w:sz w:val="24"/>
    </w:rPr>
  </w:style>
  <w:style w:type="paragraph" w:styleId="61">
    <w:name w:val="toc 2"/>
    <w:basedOn w:val="1"/>
    <w:next w:val="1"/>
    <w:qFormat/>
    <w:uiPriority w:val="39"/>
    <w:pPr>
      <w:tabs>
        <w:tab w:val="left" w:pos="720"/>
        <w:tab w:val="right" w:leader="dot" w:pos="8640"/>
      </w:tabs>
      <w:adjustRightInd w:val="0"/>
      <w:snapToGrid w:val="0"/>
      <w:spacing w:line="288" w:lineRule="auto"/>
      <w:ind w:left="210"/>
      <w:jc w:val="left"/>
      <w:textAlignment w:val="baseline"/>
    </w:pPr>
    <w:rPr>
      <w:rFonts w:ascii="Arial" w:hAnsi="Arial" w:cs="Arial"/>
      <w:bCs/>
      <w:smallCaps/>
      <w:kern w:val="0"/>
      <w:szCs w:val="28"/>
    </w:rPr>
  </w:style>
  <w:style w:type="paragraph" w:styleId="62">
    <w:name w:val="toc 9"/>
    <w:basedOn w:val="1"/>
    <w:next w:val="1"/>
    <w:qFormat/>
    <w:uiPriority w:val="39"/>
    <w:pPr>
      <w:ind w:left="3360" w:leftChars="1600"/>
    </w:pPr>
  </w:style>
  <w:style w:type="paragraph" w:styleId="63">
    <w:name w:val="Body Text 2"/>
    <w:basedOn w:val="1"/>
    <w:link w:val="106"/>
    <w:qFormat/>
    <w:uiPriority w:val="99"/>
    <w:pPr>
      <w:spacing w:after="120" w:line="480" w:lineRule="auto"/>
    </w:pPr>
  </w:style>
  <w:style w:type="paragraph" w:styleId="64">
    <w:name w:val="List 4"/>
    <w:basedOn w:val="1"/>
    <w:qFormat/>
    <w:uiPriority w:val="0"/>
    <w:pPr>
      <w:adjustRightInd w:val="0"/>
      <w:spacing w:line="312" w:lineRule="atLeast"/>
      <w:ind w:left="1680" w:hanging="420"/>
      <w:textAlignment w:val="baseline"/>
    </w:pPr>
    <w:rPr>
      <w:rFonts w:ascii="Arial" w:hAnsi="Arial"/>
      <w:kern w:val="0"/>
    </w:rPr>
  </w:style>
  <w:style w:type="paragraph" w:styleId="65">
    <w:name w:val="Message Header"/>
    <w:basedOn w:val="1"/>
    <w:link w:val="107"/>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66">
    <w:name w:val="Normal (Web)"/>
    <w:basedOn w:val="1"/>
    <w:qFormat/>
    <w:uiPriority w:val="0"/>
    <w:pPr>
      <w:widowControl/>
      <w:spacing w:before="100" w:beforeAutospacing="1" w:after="100" w:afterAutospacing="1"/>
      <w:jc w:val="left"/>
    </w:pPr>
    <w:rPr>
      <w:rFonts w:ascii="宋体" w:hAnsi="宋体"/>
      <w:kern w:val="0"/>
      <w:szCs w:val="24"/>
    </w:rPr>
  </w:style>
  <w:style w:type="paragraph" w:styleId="67">
    <w:name w:val="index 2"/>
    <w:basedOn w:val="1"/>
    <w:next w:val="1"/>
    <w:locked/>
    <w:uiPriority w:val="99"/>
    <w:pPr>
      <w:adjustRightInd w:val="0"/>
      <w:snapToGrid w:val="0"/>
      <w:spacing w:line="460" w:lineRule="atLeast"/>
      <w:ind w:left="200" w:leftChars="200" w:firstLine="200" w:firstLineChars="200"/>
    </w:pPr>
    <w:rPr>
      <w:rFonts w:ascii="Times" w:hAnsi="Times"/>
      <w:snapToGrid w:val="0"/>
      <w:kern w:val="0"/>
      <w:sz w:val="24"/>
    </w:rPr>
  </w:style>
  <w:style w:type="paragraph" w:styleId="68">
    <w:name w:val="Title"/>
    <w:basedOn w:val="1"/>
    <w:link w:val="108"/>
    <w:qFormat/>
    <w:uiPriority w:val="0"/>
    <w:pPr>
      <w:spacing w:before="240" w:after="60"/>
      <w:jc w:val="center"/>
      <w:outlineLvl w:val="0"/>
    </w:pPr>
    <w:rPr>
      <w:rFonts w:ascii="Arial" w:hAnsi="Arial" w:cs="Arial"/>
      <w:b/>
      <w:bCs/>
      <w:sz w:val="32"/>
      <w:szCs w:val="32"/>
    </w:rPr>
  </w:style>
  <w:style w:type="paragraph" w:styleId="69">
    <w:name w:val="annotation subject"/>
    <w:basedOn w:val="27"/>
    <w:next w:val="27"/>
    <w:link w:val="89"/>
    <w:qFormat/>
    <w:uiPriority w:val="99"/>
    <w:rPr>
      <w:b/>
      <w:bCs/>
    </w:rPr>
  </w:style>
  <w:style w:type="paragraph" w:styleId="70">
    <w:name w:val="Body Text First Indent"/>
    <w:basedOn w:val="17"/>
    <w:link w:val="91"/>
    <w:qFormat/>
    <w:uiPriority w:val="0"/>
    <w:pPr>
      <w:spacing w:after="120" w:line="240" w:lineRule="auto"/>
      <w:ind w:firstLine="420" w:firstLineChars="100"/>
    </w:pPr>
    <w:rPr>
      <w:sz w:val="21"/>
      <w:szCs w:val="20"/>
    </w:rPr>
  </w:style>
  <w:style w:type="table" w:styleId="72">
    <w:name w:val="Table Grid"/>
    <w:basedOn w:val="7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4">
    <w:name w:val="Strong"/>
    <w:qFormat/>
    <w:uiPriority w:val="0"/>
    <w:rPr>
      <w:rFonts w:cs="Times New Roman"/>
      <w:b/>
      <w:bCs/>
    </w:rPr>
  </w:style>
  <w:style w:type="character" w:styleId="75">
    <w:name w:val="page number"/>
    <w:qFormat/>
    <w:uiPriority w:val="0"/>
    <w:rPr>
      <w:rFonts w:cs="Times New Roman"/>
    </w:rPr>
  </w:style>
  <w:style w:type="character" w:styleId="76">
    <w:name w:val="FollowedHyperlink"/>
    <w:qFormat/>
    <w:uiPriority w:val="99"/>
    <w:rPr>
      <w:rFonts w:cs="Times New Roman"/>
      <w:color w:val="800080"/>
      <w:u w:val="single"/>
    </w:rPr>
  </w:style>
  <w:style w:type="character" w:styleId="77">
    <w:name w:val="Hyperlink"/>
    <w:qFormat/>
    <w:uiPriority w:val="99"/>
    <w:rPr>
      <w:rFonts w:cs="Times New Roman"/>
      <w:color w:val="0000FF"/>
      <w:u w:val="single"/>
    </w:rPr>
  </w:style>
  <w:style w:type="character" w:styleId="78">
    <w:name w:val="annotation reference"/>
    <w:qFormat/>
    <w:uiPriority w:val="99"/>
    <w:rPr>
      <w:rFonts w:cs="Times New Roman"/>
      <w:sz w:val="21"/>
      <w:szCs w:val="21"/>
    </w:rPr>
  </w:style>
  <w:style w:type="character" w:customStyle="1" w:styleId="79">
    <w:name w:val="标题 1 字符"/>
    <w:link w:val="5"/>
    <w:qFormat/>
    <w:locked/>
    <w:uiPriority w:val="9"/>
    <w:rPr>
      <w:rFonts w:cs="Times New Roman"/>
      <w:b/>
      <w:bCs/>
      <w:kern w:val="44"/>
      <w:sz w:val="44"/>
      <w:szCs w:val="44"/>
    </w:rPr>
  </w:style>
  <w:style w:type="character" w:customStyle="1" w:styleId="80">
    <w:name w:val="标题 2 字符"/>
    <w:link w:val="6"/>
    <w:qFormat/>
    <w:locked/>
    <w:uiPriority w:val="9"/>
    <w:rPr>
      <w:rFonts w:cs="Times New Roman"/>
      <w:b/>
      <w:sz w:val="28"/>
      <w:lang w:val="en-US" w:eastAsia="zh-CN" w:bidi="ar-SA"/>
    </w:rPr>
  </w:style>
  <w:style w:type="character" w:customStyle="1" w:styleId="81">
    <w:name w:val="标题 3 字符"/>
    <w:link w:val="7"/>
    <w:qFormat/>
    <w:locked/>
    <w:uiPriority w:val="0"/>
    <w:rPr>
      <w:rFonts w:cs="Times New Roman"/>
      <w:sz w:val="24"/>
      <w:lang w:val="en-US" w:eastAsia="zh-CN" w:bidi="ar-SA"/>
    </w:rPr>
  </w:style>
  <w:style w:type="character" w:customStyle="1" w:styleId="82">
    <w:name w:val="标题 4 字符"/>
    <w:link w:val="8"/>
    <w:qFormat/>
    <w:locked/>
    <w:uiPriority w:val="0"/>
    <w:rPr>
      <w:rFonts w:ascii="Cambria" w:hAnsi="Cambria" w:eastAsia="宋体" w:cs="Times New Roman"/>
      <w:b/>
      <w:bCs/>
      <w:sz w:val="28"/>
      <w:szCs w:val="28"/>
    </w:rPr>
  </w:style>
  <w:style w:type="character" w:customStyle="1" w:styleId="83">
    <w:name w:val="标题 5 字符"/>
    <w:link w:val="9"/>
    <w:qFormat/>
    <w:locked/>
    <w:uiPriority w:val="9"/>
    <w:rPr>
      <w:rFonts w:ascii="黑体" w:eastAsia="黑体" w:cs="Times New Roman"/>
      <w:b/>
      <w:sz w:val="28"/>
    </w:rPr>
  </w:style>
  <w:style w:type="character" w:customStyle="1" w:styleId="84">
    <w:name w:val="标题 6 字符"/>
    <w:link w:val="10"/>
    <w:qFormat/>
    <w:locked/>
    <w:uiPriority w:val="9"/>
    <w:rPr>
      <w:rFonts w:ascii="Arial" w:hAnsi="Arial" w:eastAsia="黑体" w:cs="Times New Roman"/>
      <w:b/>
      <w:sz w:val="24"/>
    </w:rPr>
  </w:style>
  <w:style w:type="character" w:customStyle="1" w:styleId="85">
    <w:name w:val="标题 7 字符"/>
    <w:link w:val="11"/>
    <w:qFormat/>
    <w:locked/>
    <w:uiPriority w:val="9"/>
    <w:rPr>
      <w:rFonts w:cs="Times New Roman"/>
      <w:b/>
      <w:sz w:val="24"/>
    </w:rPr>
  </w:style>
  <w:style w:type="character" w:customStyle="1" w:styleId="86">
    <w:name w:val="标题 8 字符"/>
    <w:link w:val="12"/>
    <w:qFormat/>
    <w:locked/>
    <w:uiPriority w:val="0"/>
    <w:rPr>
      <w:rFonts w:ascii="Arial" w:hAnsi="Arial" w:eastAsia="黑体" w:cs="Times New Roman"/>
      <w:sz w:val="24"/>
    </w:rPr>
  </w:style>
  <w:style w:type="character" w:customStyle="1" w:styleId="87">
    <w:name w:val="标题 9 字符"/>
    <w:link w:val="13"/>
    <w:qFormat/>
    <w:locked/>
    <w:uiPriority w:val="0"/>
    <w:rPr>
      <w:rFonts w:ascii="Arial" w:hAnsi="Arial" w:eastAsia="黑体" w:cs="Times New Roman"/>
      <w:sz w:val="24"/>
    </w:rPr>
  </w:style>
  <w:style w:type="character" w:customStyle="1" w:styleId="88">
    <w:name w:val="批注文字 字符"/>
    <w:link w:val="27"/>
    <w:qFormat/>
    <w:locked/>
    <w:uiPriority w:val="99"/>
    <w:rPr>
      <w:rFonts w:cs="Times New Roman"/>
      <w:kern w:val="2"/>
      <w:sz w:val="21"/>
    </w:rPr>
  </w:style>
  <w:style w:type="character" w:customStyle="1" w:styleId="89">
    <w:name w:val="批注主题 字符"/>
    <w:link w:val="69"/>
    <w:qFormat/>
    <w:locked/>
    <w:uiPriority w:val="0"/>
    <w:rPr>
      <w:rFonts w:cs="Times New Roman"/>
      <w:b/>
      <w:bCs/>
      <w:kern w:val="2"/>
      <w:sz w:val="21"/>
    </w:rPr>
  </w:style>
  <w:style w:type="character" w:customStyle="1" w:styleId="90">
    <w:name w:val="正文文本 字符"/>
    <w:link w:val="17"/>
    <w:qFormat/>
    <w:locked/>
    <w:uiPriority w:val="99"/>
    <w:rPr>
      <w:rFonts w:cs="Times New Roman"/>
      <w:kern w:val="2"/>
      <w:sz w:val="21"/>
    </w:rPr>
  </w:style>
  <w:style w:type="character" w:customStyle="1" w:styleId="91">
    <w:name w:val="正文文本首行缩进 字符"/>
    <w:link w:val="70"/>
    <w:qFormat/>
    <w:locked/>
    <w:uiPriority w:val="0"/>
    <w:rPr>
      <w:rFonts w:cs="Times New Roman"/>
      <w:kern w:val="2"/>
      <w:sz w:val="20"/>
      <w:szCs w:val="20"/>
    </w:rPr>
  </w:style>
  <w:style w:type="character" w:customStyle="1" w:styleId="92">
    <w:name w:val="文档结构图 字符"/>
    <w:link w:val="25"/>
    <w:qFormat/>
    <w:locked/>
    <w:uiPriority w:val="0"/>
    <w:rPr>
      <w:rFonts w:cs="Times New Roman"/>
      <w:kern w:val="2"/>
      <w:sz w:val="21"/>
      <w:shd w:val="clear" w:color="auto" w:fill="000080"/>
    </w:rPr>
  </w:style>
  <w:style w:type="character" w:customStyle="1" w:styleId="93">
    <w:name w:val="正文文本 3 字符"/>
    <w:link w:val="30"/>
    <w:qFormat/>
    <w:locked/>
    <w:uiPriority w:val="0"/>
    <w:rPr>
      <w:rFonts w:cs="Times New Roman"/>
      <w:sz w:val="16"/>
      <w:szCs w:val="16"/>
    </w:rPr>
  </w:style>
  <w:style w:type="character" w:customStyle="1" w:styleId="94">
    <w:name w:val="正文文本缩进 字符"/>
    <w:link w:val="3"/>
    <w:qFormat/>
    <w:locked/>
    <w:uiPriority w:val="99"/>
    <w:rPr>
      <w:rFonts w:ascii="宋体" w:cs="Times New Roman"/>
      <w:color w:val="FF0000"/>
      <w:sz w:val="24"/>
    </w:rPr>
  </w:style>
  <w:style w:type="character" w:customStyle="1" w:styleId="95">
    <w:name w:val="纯文本 字符1"/>
    <w:link w:val="40"/>
    <w:qFormat/>
    <w:locked/>
    <w:uiPriority w:val="0"/>
    <w:rPr>
      <w:rFonts w:ascii="宋体" w:hAnsi="Courier New" w:eastAsia="宋体" w:cs="Times New Roman"/>
      <w:sz w:val="21"/>
      <w:lang w:val="en-US" w:eastAsia="zh-CN" w:bidi="ar-SA"/>
    </w:rPr>
  </w:style>
  <w:style w:type="character" w:customStyle="1" w:styleId="96">
    <w:name w:val="日期 字符"/>
    <w:link w:val="43"/>
    <w:qFormat/>
    <w:locked/>
    <w:uiPriority w:val="99"/>
    <w:rPr>
      <w:rFonts w:ascii="Arial" w:hAnsi="Arial" w:cs="Times New Roman"/>
      <w:sz w:val="24"/>
    </w:rPr>
  </w:style>
  <w:style w:type="character" w:customStyle="1" w:styleId="97">
    <w:name w:val="正文文本缩进 2 字符"/>
    <w:link w:val="44"/>
    <w:qFormat/>
    <w:locked/>
    <w:uiPriority w:val="0"/>
    <w:rPr>
      <w:rFonts w:cs="Times New Roman"/>
      <w:sz w:val="24"/>
    </w:rPr>
  </w:style>
  <w:style w:type="character" w:customStyle="1" w:styleId="98">
    <w:name w:val="批注框文本 字符"/>
    <w:link w:val="45"/>
    <w:qFormat/>
    <w:locked/>
    <w:uiPriority w:val="99"/>
    <w:rPr>
      <w:rFonts w:cs="Times New Roman"/>
      <w:kern w:val="2"/>
      <w:sz w:val="18"/>
      <w:szCs w:val="18"/>
    </w:rPr>
  </w:style>
  <w:style w:type="character" w:customStyle="1" w:styleId="99">
    <w:name w:val="页脚 字符"/>
    <w:link w:val="46"/>
    <w:qFormat/>
    <w:locked/>
    <w:uiPriority w:val="99"/>
    <w:rPr>
      <w:rFonts w:ascii="宋体" w:cs="Times New Roman"/>
      <w:sz w:val="18"/>
    </w:rPr>
  </w:style>
  <w:style w:type="character" w:customStyle="1" w:styleId="100">
    <w:name w:val="正文文本首行缩进 2 字符"/>
    <w:link w:val="2"/>
    <w:semiHidden/>
    <w:qFormat/>
    <w:locked/>
    <w:uiPriority w:val="99"/>
    <w:rPr>
      <w:rFonts w:ascii="宋体" w:cs="Times New Roman"/>
      <w:color w:val="FF0000"/>
      <w:sz w:val="20"/>
      <w:szCs w:val="20"/>
    </w:rPr>
  </w:style>
  <w:style w:type="character" w:customStyle="1" w:styleId="101">
    <w:name w:val="页眉 字符"/>
    <w:link w:val="47"/>
    <w:qFormat/>
    <w:locked/>
    <w:uiPriority w:val="99"/>
    <w:rPr>
      <w:rFonts w:ascii="宋体" w:cs="Times New Roman"/>
      <w:sz w:val="18"/>
    </w:rPr>
  </w:style>
  <w:style w:type="character" w:customStyle="1" w:styleId="102">
    <w:name w:val="签名 字符"/>
    <w:link w:val="48"/>
    <w:qFormat/>
    <w:locked/>
    <w:uiPriority w:val="99"/>
    <w:rPr>
      <w:rFonts w:cs="Times New Roman"/>
      <w:sz w:val="20"/>
      <w:szCs w:val="20"/>
    </w:rPr>
  </w:style>
  <w:style w:type="character" w:customStyle="1" w:styleId="103">
    <w:name w:val="副标题 字符"/>
    <w:link w:val="53"/>
    <w:qFormat/>
    <w:locked/>
    <w:uiPriority w:val="0"/>
    <w:rPr>
      <w:rFonts w:ascii="Cambria" w:hAnsi="Cambria" w:cs="Times New Roman"/>
      <w:b/>
      <w:bCs/>
      <w:kern w:val="28"/>
      <w:sz w:val="32"/>
      <w:szCs w:val="32"/>
    </w:rPr>
  </w:style>
  <w:style w:type="character" w:customStyle="1" w:styleId="104">
    <w:name w:val="脚注文本 字符"/>
    <w:link w:val="55"/>
    <w:qFormat/>
    <w:locked/>
    <w:uiPriority w:val="0"/>
    <w:rPr>
      <w:rFonts w:cs="Times New Roman"/>
      <w:sz w:val="18"/>
      <w:szCs w:val="18"/>
    </w:rPr>
  </w:style>
  <w:style w:type="character" w:customStyle="1" w:styleId="105">
    <w:name w:val="正文文本缩进 3 字符"/>
    <w:link w:val="58"/>
    <w:qFormat/>
    <w:locked/>
    <w:uiPriority w:val="0"/>
    <w:rPr>
      <w:rFonts w:ascii="Arial" w:hAnsi="Arial" w:cs="Times New Roman"/>
      <w:kern w:val="2"/>
      <w:sz w:val="24"/>
    </w:rPr>
  </w:style>
  <w:style w:type="character" w:customStyle="1" w:styleId="106">
    <w:name w:val="正文文本 2 字符"/>
    <w:link w:val="63"/>
    <w:qFormat/>
    <w:locked/>
    <w:uiPriority w:val="0"/>
    <w:rPr>
      <w:rFonts w:cs="Times New Roman"/>
      <w:kern w:val="2"/>
      <w:sz w:val="21"/>
    </w:rPr>
  </w:style>
  <w:style w:type="character" w:customStyle="1" w:styleId="107">
    <w:name w:val="信息标题 字符"/>
    <w:link w:val="65"/>
    <w:qFormat/>
    <w:locked/>
    <w:uiPriority w:val="99"/>
    <w:rPr>
      <w:rFonts w:ascii="Cambria" w:hAnsi="Cambria" w:eastAsia="宋体" w:cs="Times New Roman"/>
      <w:sz w:val="24"/>
      <w:szCs w:val="24"/>
      <w:shd w:val="pct20" w:color="auto" w:fill="auto"/>
    </w:rPr>
  </w:style>
  <w:style w:type="character" w:customStyle="1" w:styleId="108">
    <w:name w:val="标题 字符"/>
    <w:link w:val="68"/>
    <w:qFormat/>
    <w:locked/>
    <w:uiPriority w:val="10"/>
    <w:rPr>
      <w:rFonts w:ascii="Arial" w:hAnsi="Arial" w:cs="Arial"/>
      <w:b/>
      <w:bCs/>
      <w:kern w:val="2"/>
      <w:sz w:val="32"/>
      <w:szCs w:val="32"/>
    </w:rPr>
  </w:style>
  <w:style w:type="paragraph" w:customStyle="1" w:styleId="109">
    <w:name w:val="标题2n"/>
    <w:basedOn w:val="6"/>
    <w:qFormat/>
    <w:uiPriority w:val="0"/>
    <w:pPr>
      <w:widowControl w:val="0"/>
      <w:numPr>
        <w:ilvl w:val="1"/>
        <w:numId w:val="2"/>
      </w:numPr>
      <w:tabs>
        <w:tab w:val="left" w:pos="284"/>
      </w:tabs>
      <w:spacing w:line="360" w:lineRule="auto"/>
      <w:textAlignment w:val="auto"/>
    </w:pPr>
    <w:rPr>
      <w:kern w:val="2"/>
      <w:sz w:val="24"/>
    </w:rPr>
  </w:style>
  <w:style w:type="paragraph" w:customStyle="1" w:styleId="110">
    <w:name w:val="正文文本 21"/>
    <w:basedOn w:val="1"/>
    <w:qFormat/>
    <w:uiPriority w:val="0"/>
    <w:pPr>
      <w:adjustRightInd w:val="0"/>
      <w:spacing w:line="430" w:lineRule="exact"/>
      <w:textAlignment w:val="baseline"/>
    </w:pPr>
    <w:rPr>
      <w:rFonts w:eastAsia="楷体_GB2312"/>
    </w:rPr>
  </w:style>
  <w:style w:type="paragraph" w:customStyle="1" w:styleId="111">
    <w:name w:val="标题2+西文Arial"/>
    <w:basedOn w:val="25"/>
    <w:next w:val="65"/>
    <w:qFormat/>
    <w:uiPriority w:val="99"/>
    <w:pPr>
      <w:adjustRightInd w:val="0"/>
      <w:spacing w:line="600" w:lineRule="exact"/>
      <w:jc w:val="center"/>
      <w:outlineLvl w:val="2"/>
    </w:pPr>
    <w:rPr>
      <w:rFonts w:ascii="Tahoma" w:hAnsi="Tahoma"/>
      <w:b/>
      <w:sz w:val="28"/>
      <w:szCs w:val="28"/>
    </w:rPr>
  </w:style>
  <w:style w:type="paragraph" w:customStyle="1" w:styleId="112">
    <w:name w:val="编号A"/>
    <w:basedOn w:val="1"/>
    <w:qFormat/>
    <w:uiPriority w:val="0"/>
    <w:pPr>
      <w:tabs>
        <w:tab w:val="left" w:pos="1022"/>
      </w:tabs>
      <w:spacing w:line="300" w:lineRule="auto"/>
      <w:ind w:left="1020" w:leftChars="224" w:hanging="482" w:hangingChars="201"/>
    </w:pPr>
    <w:rPr>
      <w:rFonts w:ascii="Arial" w:hAnsi="Arial"/>
      <w:color w:val="000000"/>
      <w:sz w:val="24"/>
      <w:szCs w:val="24"/>
    </w:rPr>
  </w:style>
  <w:style w:type="paragraph" w:customStyle="1" w:styleId="113">
    <w:name w:val="1.1.1.1"/>
    <w:basedOn w:val="1"/>
    <w:qFormat/>
    <w:uiPriority w:val="0"/>
    <w:pPr>
      <w:tabs>
        <w:tab w:val="left" w:pos="900"/>
        <w:tab w:val="left" w:pos="1134"/>
      </w:tabs>
      <w:adjustRightInd w:val="0"/>
      <w:snapToGrid w:val="0"/>
      <w:spacing w:beforeLines="50" w:afterLines="50" w:line="400" w:lineRule="atLeast"/>
      <w:ind w:left="869" w:leftChars="50" w:right="200" w:rightChars="200"/>
      <w:textAlignment w:val="baseline"/>
    </w:pPr>
    <w:rPr>
      <w:rFonts w:ascii="Arial" w:hAnsi="Arial"/>
      <w:kern w:val="0"/>
      <w:sz w:val="24"/>
    </w:rPr>
  </w:style>
  <w:style w:type="paragraph" w:customStyle="1" w:styleId="114">
    <w:name w:val="签署人姓名"/>
    <w:basedOn w:val="1"/>
    <w:qFormat/>
    <w:uiPriority w:val="99"/>
    <w:pPr>
      <w:adjustRightInd w:val="0"/>
      <w:spacing w:before="120" w:after="120" w:line="400" w:lineRule="exact"/>
      <w:ind w:firstLine="482"/>
      <w:jc w:val="center"/>
    </w:pPr>
    <w:rPr>
      <w:rFonts w:ascii="LinePrinter" w:hAnsi="LinePrinter"/>
      <w:sz w:val="32"/>
    </w:rPr>
  </w:style>
  <w:style w:type="paragraph" w:customStyle="1" w:styleId="115">
    <w:name w:val="样式 正文左缩5 + 左侧:  5 字符1"/>
    <w:basedOn w:val="116"/>
    <w:qFormat/>
    <w:uiPriority w:val="0"/>
    <w:pPr>
      <w:ind w:left="1200"/>
    </w:pPr>
    <w:rPr>
      <w:rFonts w:ascii="宋体"/>
      <w:kern w:val="0"/>
      <w:szCs w:val="24"/>
    </w:rPr>
  </w:style>
  <w:style w:type="paragraph" w:customStyle="1" w:styleId="116">
    <w:name w:val="正文左缩5"/>
    <w:basedOn w:val="20"/>
    <w:qFormat/>
    <w:uiPriority w:val="0"/>
    <w:pPr>
      <w:adjustRightInd/>
      <w:spacing w:line="300" w:lineRule="auto"/>
      <w:ind w:left="500" w:firstLine="0"/>
      <w:jc w:val="both"/>
      <w:textAlignment w:val="auto"/>
    </w:pPr>
    <w:rPr>
      <w:rFonts w:ascii="Times New Roman"/>
      <w:color w:val="000000"/>
      <w:kern w:val="2"/>
      <w:szCs w:val="20"/>
    </w:rPr>
  </w:style>
  <w:style w:type="paragraph" w:customStyle="1" w:styleId="117">
    <w:name w:val="5"/>
    <w:basedOn w:val="1"/>
    <w:qFormat/>
    <w:uiPriority w:val="0"/>
    <w:pPr>
      <w:tabs>
        <w:tab w:val="left" w:pos="420"/>
      </w:tabs>
      <w:spacing w:line="300" w:lineRule="auto"/>
      <w:ind w:left="420" w:hanging="420"/>
    </w:pPr>
    <w:rPr>
      <w:sz w:val="24"/>
    </w:rPr>
  </w:style>
  <w:style w:type="paragraph" w:customStyle="1" w:styleId="118">
    <w:name w:val="MMQ"/>
    <w:basedOn w:val="1"/>
    <w:qFormat/>
    <w:uiPriority w:val="0"/>
    <w:pPr>
      <w:adjustRightInd w:val="0"/>
      <w:spacing w:before="60" w:after="60" w:line="360" w:lineRule="atLeast"/>
      <w:ind w:left="1560"/>
      <w:textAlignment w:val="baseline"/>
    </w:pPr>
    <w:rPr>
      <w:rFonts w:ascii="宋体"/>
      <w:spacing w:val="5"/>
      <w:kern w:val="0"/>
      <w:sz w:val="24"/>
      <w:szCs w:val="24"/>
    </w:rPr>
  </w:style>
  <w:style w:type="paragraph" w:customStyle="1" w:styleId="119">
    <w:name w:val="biao2"/>
    <w:basedOn w:val="120"/>
    <w:qFormat/>
    <w:uiPriority w:val="0"/>
    <w:pPr>
      <w:ind w:left="284" w:firstLine="0"/>
      <w:jc w:val="left"/>
    </w:pPr>
    <w:rPr>
      <w:rFonts w:ascii="Arial" w:hAnsi="Arial"/>
    </w:rPr>
  </w:style>
  <w:style w:type="paragraph" w:customStyle="1" w:styleId="120">
    <w:name w:val="MM"/>
    <w:basedOn w:val="1"/>
    <w:link w:val="426"/>
    <w:qFormat/>
    <w:uiPriority w:val="0"/>
    <w:pPr>
      <w:adjustRightInd w:val="0"/>
      <w:spacing w:before="60" w:after="60" w:line="360" w:lineRule="atLeast"/>
      <w:ind w:left="1560" w:hanging="426"/>
      <w:textAlignment w:val="baseline"/>
    </w:pPr>
    <w:rPr>
      <w:rFonts w:ascii="宋体"/>
      <w:spacing w:val="5"/>
      <w:kern w:val="0"/>
      <w:sz w:val="24"/>
    </w:rPr>
  </w:style>
  <w:style w:type="paragraph" w:customStyle="1" w:styleId="121">
    <w:name w:val="样式1"/>
    <w:basedOn w:val="49"/>
    <w:qFormat/>
    <w:uiPriority w:val="0"/>
    <w:pPr>
      <w:keepNext/>
      <w:tabs>
        <w:tab w:val="right" w:leader="dot" w:pos="8799"/>
        <w:tab w:val="clear" w:pos="360"/>
        <w:tab w:val="clear" w:pos="840"/>
        <w:tab w:val="clear" w:pos="8640"/>
      </w:tabs>
      <w:spacing w:before="20" w:after="20" w:line="480" w:lineRule="exact"/>
      <w:ind w:left="0" w:firstLine="0"/>
      <w:jc w:val="center"/>
    </w:pPr>
    <w:rPr>
      <w:rFonts w:ascii="Times New Roman" w:hAnsi="Times New Roman" w:eastAsia="黑体" w:cs="Times New Roman"/>
      <w:bCs/>
      <w:caps w:val="0"/>
      <w:sz w:val="24"/>
      <w:szCs w:val="24"/>
    </w:rPr>
  </w:style>
  <w:style w:type="paragraph" w:customStyle="1" w:styleId="122">
    <w:name w:val="双签字"/>
    <w:basedOn w:val="1"/>
    <w:qFormat/>
    <w:uiPriority w:val="0"/>
    <w:pPr>
      <w:adjustRightInd w:val="0"/>
      <w:snapToGrid w:val="0"/>
      <w:spacing w:line="440" w:lineRule="exact"/>
      <w:ind w:left="1200" w:leftChars="1200"/>
      <w:textAlignment w:val="baseline"/>
    </w:pPr>
    <w:rPr>
      <w:sz w:val="24"/>
    </w:rPr>
  </w:style>
  <w:style w:type="paragraph" w:customStyle="1" w:styleId="123">
    <w:name w:val="列表题头"/>
    <w:basedOn w:val="7"/>
    <w:qFormat/>
    <w:uiPriority w:val="0"/>
    <w:pPr>
      <w:keepNext/>
      <w:keepLines/>
      <w:widowControl w:val="0"/>
      <w:tabs>
        <w:tab w:val="left" w:pos="1208"/>
      </w:tabs>
      <w:spacing w:before="120" w:line="360" w:lineRule="auto"/>
      <w:ind w:left="-12" w:leftChars="-5" w:right="-120" w:rightChars="-50" w:firstLine="10" w:firstLineChars="4"/>
      <w:textAlignment w:val="auto"/>
    </w:pPr>
    <w:rPr>
      <w:rFonts w:ascii="宋体" w:hAnsi="宋体" w:cs="Arial"/>
      <w:b/>
      <w:szCs w:val="24"/>
    </w:rPr>
  </w:style>
  <w:style w:type="paragraph" w:customStyle="1" w:styleId="124">
    <w:name w:val="封面日期"/>
    <w:basedOn w:val="68"/>
    <w:qFormat/>
    <w:uiPriority w:val="0"/>
    <w:pPr>
      <w:adjustRightInd w:val="0"/>
      <w:snapToGrid w:val="0"/>
      <w:spacing w:before="120" w:after="120" w:line="300" w:lineRule="auto"/>
    </w:pPr>
    <w:rPr>
      <w:rFonts w:ascii="宋体" w:hAnsi="宋体" w:cs="Times New Roman"/>
      <w:sz w:val="30"/>
      <w:szCs w:val="30"/>
    </w:rPr>
  </w:style>
  <w:style w:type="paragraph" w:customStyle="1" w:styleId="125">
    <w:name w:val="表格注脚"/>
    <w:basedOn w:val="123"/>
    <w:qFormat/>
    <w:uiPriority w:val="0"/>
    <w:pPr>
      <w:spacing w:after="120"/>
      <w:ind w:left="-120" w:firstLine="598"/>
    </w:pPr>
    <w:rPr>
      <w:b w:val="0"/>
    </w:rPr>
  </w:style>
  <w:style w:type="paragraph" w:customStyle="1" w:styleId="126">
    <w:name w:val="编号1"/>
    <w:basedOn w:val="127"/>
    <w:qFormat/>
    <w:uiPriority w:val="0"/>
    <w:pPr>
      <w:tabs>
        <w:tab w:val="left" w:pos="480"/>
        <w:tab w:val="left" w:pos="1440"/>
      </w:tabs>
      <w:ind w:left="700" w:leftChars="500" w:hanging="200"/>
    </w:pPr>
    <w:rPr>
      <w:rFonts w:hAnsi="宋体"/>
    </w:rPr>
  </w:style>
  <w:style w:type="paragraph" w:customStyle="1" w:styleId="127">
    <w:name w:val="编号"/>
    <w:basedOn w:val="1"/>
    <w:qFormat/>
    <w:uiPriority w:val="0"/>
    <w:pPr>
      <w:tabs>
        <w:tab w:val="left" w:pos="480"/>
        <w:tab w:val="left" w:pos="1440"/>
      </w:tabs>
      <w:spacing w:line="300" w:lineRule="auto"/>
      <w:ind w:left="1440" w:hanging="1440"/>
    </w:pPr>
    <w:rPr>
      <w:rFonts w:ascii="Arial" w:hAnsi="Arial"/>
      <w:color w:val="000000"/>
      <w:sz w:val="24"/>
      <w:szCs w:val="24"/>
    </w:rPr>
  </w:style>
  <w:style w:type="paragraph" w:customStyle="1" w:styleId="128">
    <w:name w:val="Normalfa"/>
    <w:basedOn w:val="129"/>
    <w:qFormat/>
    <w:uiPriority w:val="0"/>
    <w:pPr>
      <w:tabs>
        <w:tab w:val="left" w:pos="0"/>
        <w:tab w:val="left" w:pos="1843"/>
        <w:tab w:val="left" w:pos="8505"/>
      </w:tabs>
      <w:spacing w:before="60" w:after="60"/>
      <w:ind w:left="1814" w:hanging="1134"/>
      <w:jc w:val="both"/>
    </w:pPr>
    <w:rPr>
      <w:rFonts w:ascii="Arial" w:hAnsi="Arial"/>
      <w:sz w:val="21"/>
    </w:rPr>
  </w:style>
  <w:style w:type="paragraph" w:customStyle="1" w:styleId="129">
    <w:name w:val="正文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30">
    <w:name w:val="标题A"/>
    <w:basedOn w:val="1"/>
    <w:qFormat/>
    <w:uiPriority w:val="0"/>
    <w:pPr>
      <w:snapToGrid w:val="0"/>
      <w:spacing w:beforeLines="100" w:afterLines="100" w:line="440" w:lineRule="atLeast"/>
      <w:jc w:val="center"/>
    </w:pPr>
    <w:rPr>
      <w:b/>
      <w:bCs/>
      <w:color w:val="0000FF"/>
      <w:sz w:val="32"/>
      <w:szCs w:val="32"/>
    </w:rPr>
  </w:style>
  <w:style w:type="paragraph" w:customStyle="1" w:styleId="131">
    <w:name w:val="ST20_12"/>
    <w:basedOn w:val="1"/>
    <w:qFormat/>
    <w:uiPriority w:val="99"/>
    <w:pPr>
      <w:autoSpaceDE w:val="0"/>
      <w:autoSpaceDN w:val="0"/>
      <w:adjustRightInd w:val="0"/>
      <w:spacing w:after="120"/>
      <w:ind w:left="426" w:firstLine="425"/>
    </w:pPr>
    <w:rPr>
      <w:rFonts w:ascii="宋体" w:hAnsi="Tms Rmn"/>
      <w:kern w:val="0"/>
      <w:sz w:val="24"/>
    </w:rPr>
  </w:style>
  <w:style w:type="paragraph" w:customStyle="1" w:styleId="132">
    <w:name w:val="SuepHeading"/>
    <w:basedOn w:val="1"/>
    <w:qFormat/>
    <w:uiPriority w:val="99"/>
    <w:pPr>
      <w:widowControl/>
      <w:tabs>
        <w:tab w:val="left" w:pos="720"/>
        <w:tab w:val="left" w:pos="828"/>
        <w:tab w:val="left" w:pos="1394"/>
        <w:tab w:val="left" w:pos="2245"/>
        <w:tab w:val="left" w:pos="3094"/>
        <w:tab w:val="left" w:pos="3945"/>
        <w:tab w:val="left" w:pos="5079"/>
        <w:tab w:val="left" w:pos="6496"/>
        <w:tab w:val="left" w:pos="7630"/>
      </w:tabs>
      <w:suppressAutoHyphens/>
      <w:ind w:left="360" w:hanging="360"/>
    </w:pPr>
    <w:rPr>
      <w:b/>
      <w:spacing w:val="-2"/>
      <w:kern w:val="0"/>
      <w:sz w:val="22"/>
    </w:rPr>
  </w:style>
  <w:style w:type="paragraph" w:customStyle="1" w:styleId="133">
    <w:name w:val="肖正"/>
    <w:basedOn w:val="1"/>
    <w:qFormat/>
    <w:uiPriority w:val="99"/>
    <w:pPr>
      <w:ind w:firstLine="567"/>
    </w:pPr>
    <w:rPr>
      <w:sz w:val="24"/>
      <w:szCs w:val="18"/>
    </w:rPr>
  </w:style>
  <w:style w:type="paragraph" w:customStyle="1" w:styleId="134">
    <w:name w:val="样式 样式 样式 正文首行缩进 2 + 行距: 单倍行距 + 首行缩进:  2 字符1 + 首行缩进:  2 字符3"/>
    <w:basedOn w:val="135"/>
    <w:qFormat/>
    <w:uiPriority w:val="0"/>
    <w:pPr>
      <w:ind w:left="480" w:leftChars="200" w:firstLine="420"/>
    </w:pPr>
  </w:style>
  <w:style w:type="paragraph" w:customStyle="1" w:styleId="135">
    <w:name w:val="样式 样式 正文首行缩进 2 + 行距: 单倍行距 + 首行缩进:  2 字符1"/>
    <w:basedOn w:val="136"/>
    <w:qFormat/>
    <w:uiPriority w:val="0"/>
    <w:pPr>
      <w:ind w:left="0" w:firstLine="200"/>
    </w:pPr>
  </w:style>
  <w:style w:type="paragraph" w:customStyle="1" w:styleId="136">
    <w:name w:val="样式 正文首行缩进 2 + 行距: 单倍行距"/>
    <w:basedOn w:val="2"/>
    <w:qFormat/>
    <w:uiPriority w:val="0"/>
    <w:pPr>
      <w:overflowPunct w:val="0"/>
      <w:spacing w:line="360" w:lineRule="auto"/>
      <w:ind w:firstLine="480" w:firstLineChars="200"/>
    </w:pPr>
    <w:rPr>
      <w:rFonts w:ascii="Times New Roman" w:hAnsi="Times New Roman" w:cs="宋体"/>
      <w:sz w:val="21"/>
    </w:rPr>
  </w:style>
  <w:style w:type="paragraph" w:customStyle="1" w:styleId="137">
    <w:name w:val="信封提头"/>
    <w:basedOn w:val="1"/>
    <w:qFormat/>
    <w:uiPriority w:val="0"/>
    <w:pPr>
      <w:tabs>
        <w:tab w:val="left" w:pos="1191"/>
      </w:tabs>
      <w:adjustRightInd w:val="0"/>
      <w:snapToGrid w:val="0"/>
      <w:spacing w:line="360" w:lineRule="auto"/>
      <w:ind w:firstLine="480" w:firstLineChars="200"/>
      <w:outlineLvl w:val="0"/>
    </w:pPr>
    <w:rPr>
      <w:rFonts w:ascii="Arial" w:hAnsi="Arial" w:cs="Arial"/>
      <w:sz w:val="24"/>
      <w:szCs w:val="24"/>
    </w:rPr>
  </w:style>
  <w:style w:type="paragraph" w:customStyle="1" w:styleId="138">
    <w:name w:val="XW正文"/>
    <w:basedOn w:val="3"/>
    <w:qFormat/>
    <w:uiPriority w:val="0"/>
    <w:pPr>
      <w:spacing w:line="360" w:lineRule="auto"/>
      <w:ind w:firstLine="0"/>
    </w:pPr>
    <w:rPr>
      <w:rFonts w:ascii="Times New Roman"/>
      <w:color w:val="auto"/>
    </w:rPr>
  </w:style>
  <w:style w:type="paragraph" w:customStyle="1" w:styleId="139">
    <w:name w:val="标题3n"/>
    <w:basedOn w:val="7"/>
    <w:qFormat/>
    <w:uiPriority w:val="0"/>
    <w:pPr>
      <w:widowControl w:val="0"/>
      <w:numPr>
        <w:ilvl w:val="2"/>
        <w:numId w:val="2"/>
      </w:numPr>
      <w:tabs>
        <w:tab w:val="left" w:pos="284"/>
      </w:tabs>
      <w:spacing w:line="360" w:lineRule="auto"/>
      <w:jc w:val="both"/>
      <w:textAlignment w:val="auto"/>
      <w:outlineLvl w:val="1"/>
    </w:pPr>
    <w:rPr>
      <w:kern w:val="2"/>
      <w:szCs w:val="24"/>
    </w:rPr>
  </w:style>
  <w:style w:type="paragraph" w:customStyle="1" w:styleId="140">
    <w:name w:val="Char Char3"/>
    <w:basedOn w:val="1"/>
    <w:qFormat/>
    <w:uiPriority w:val="99"/>
    <w:rPr>
      <w:szCs w:val="21"/>
    </w:rPr>
  </w:style>
  <w:style w:type="paragraph" w:customStyle="1" w:styleId="141">
    <w:name w:val="1"/>
    <w:basedOn w:val="1"/>
    <w:next w:val="20"/>
    <w:qFormat/>
    <w:uiPriority w:val="0"/>
    <w:pPr>
      <w:ind w:firstLine="420"/>
    </w:pPr>
  </w:style>
  <w:style w:type="paragraph" w:customStyle="1" w:styleId="142">
    <w:name w:val="样式 标题 3 + 加粗 段前: 0.25 行 行距: 单倍行距"/>
    <w:basedOn w:val="7"/>
    <w:qFormat/>
    <w:uiPriority w:val="0"/>
    <w:pPr>
      <w:widowControl w:val="0"/>
      <w:tabs>
        <w:tab w:val="left" w:pos="720"/>
      </w:tabs>
      <w:overflowPunct w:val="0"/>
      <w:snapToGrid/>
      <w:spacing w:beforeLines="25" w:afterLines="50" w:line="360" w:lineRule="auto"/>
      <w:jc w:val="both"/>
    </w:pPr>
    <w:rPr>
      <w:rFonts w:cs="宋体"/>
      <w:bCs/>
      <w:color w:val="FF0000"/>
      <w:kern w:val="2"/>
    </w:rPr>
  </w:style>
  <w:style w:type="paragraph" w:customStyle="1" w:styleId="143">
    <w:name w:val="样式 正文首行缩进 2 + 蓝色 行距: 单倍行距"/>
    <w:basedOn w:val="2"/>
    <w:qFormat/>
    <w:uiPriority w:val="0"/>
    <w:pPr>
      <w:overflowPunct w:val="0"/>
      <w:spacing w:line="360" w:lineRule="auto"/>
      <w:ind w:firstLine="420" w:firstLineChars="200"/>
    </w:pPr>
    <w:rPr>
      <w:rFonts w:ascii="Times New Roman" w:hAnsi="Times New Roman" w:cs="宋体"/>
      <w:sz w:val="21"/>
    </w:rPr>
  </w:style>
  <w:style w:type="paragraph" w:customStyle="1" w:styleId="144">
    <w:name w:val="样式 样式 样式 正文首行缩进 2 + 行距: 单倍行距 + 首行缩进:  2 字符1 + 首行缩进:  2 字符1"/>
    <w:basedOn w:val="135"/>
    <w:qFormat/>
    <w:uiPriority w:val="0"/>
    <w:pPr>
      <w:ind w:left="200" w:leftChars="200"/>
    </w:pPr>
  </w:style>
  <w:style w:type="paragraph" w:customStyle="1" w:styleId="145">
    <w:name w:val="LL2"/>
    <w:basedOn w:val="146"/>
    <w:qFormat/>
    <w:uiPriority w:val="0"/>
    <w:pPr>
      <w:ind w:left="1985" w:hanging="425"/>
    </w:pPr>
  </w:style>
  <w:style w:type="paragraph" w:customStyle="1" w:styleId="146">
    <w:name w:val="LL"/>
    <w:basedOn w:val="1"/>
    <w:qFormat/>
    <w:uiPriority w:val="0"/>
    <w:pPr>
      <w:adjustRightInd w:val="0"/>
      <w:spacing w:before="60" w:after="60" w:line="360" w:lineRule="atLeast"/>
      <w:ind w:left="1560"/>
      <w:textAlignment w:val="baseline"/>
    </w:pPr>
    <w:rPr>
      <w:rFonts w:ascii="宋体"/>
      <w:spacing w:val="5"/>
      <w:kern w:val="0"/>
      <w:sz w:val="24"/>
    </w:rPr>
  </w:style>
  <w:style w:type="paragraph" w:customStyle="1" w:styleId="147">
    <w:name w:val="样式 标题B + 加粗 居中"/>
    <w:basedOn w:val="1"/>
    <w:qFormat/>
    <w:uiPriority w:val="0"/>
    <w:pPr>
      <w:snapToGrid w:val="0"/>
      <w:spacing w:line="440" w:lineRule="atLeast"/>
      <w:jc w:val="center"/>
    </w:pPr>
    <w:rPr>
      <w:rFonts w:ascii="宋体" w:hAnsi="宋体"/>
      <w:bCs/>
      <w:sz w:val="24"/>
    </w:rPr>
  </w:style>
  <w:style w:type="paragraph" w:customStyle="1" w:styleId="148">
    <w:name w:val="xl24"/>
    <w:basedOn w:val="1"/>
    <w:qFormat/>
    <w:uiPriority w:val="0"/>
    <w:pPr>
      <w:widowControl/>
      <w:spacing w:before="100" w:beforeAutospacing="1" w:after="100" w:afterAutospacing="1"/>
      <w:ind w:left="482"/>
      <w:jc w:val="left"/>
    </w:pPr>
    <w:rPr>
      <w:rFonts w:ascii="宋体" w:hAnsi="宋体"/>
      <w:kern w:val="0"/>
      <w:sz w:val="22"/>
      <w:szCs w:val="22"/>
    </w:rPr>
  </w:style>
  <w:style w:type="paragraph" w:customStyle="1" w:styleId="149">
    <w:name w:val="表格"/>
    <w:basedOn w:val="1"/>
    <w:next w:val="1"/>
    <w:qFormat/>
    <w:uiPriority w:val="0"/>
    <w:pPr>
      <w:spacing w:line="360" w:lineRule="auto"/>
      <w:jc w:val="center"/>
    </w:pPr>
    <w:rPr>
      <w:color w:val="000000"/>
      <w:szCs w:val="21"/>
    </w:rPr>
  </w:style>
  <w:style w:type="paragraph" w:customStyle="1" w:styleId="150">
    <w:name w:val="xl139"/>
    <w:basedOn w:val="1"/>
    <w:qFormat/>
    <w:uiPriority w:val="0"/>
    <w:pPr>
      <w:widowControl/>
      <w:pBdr>
        <w:left w:val="single" w:color="auto" w:sz="8" w:space="0"/>
      </w:pBdr>
      <w:spacing w:before="100" w:beforeAutospacing="1" w:after="100" w:afterAutospacing="1"/>
      <w:jc w:val="center"/>
      <w:textAlignment w:val="center"/>
    </w:pPr>
    <w:rPr>
      <w:rFonts w:ascii="Arial" w:hAnsi="Arial" w:cs="Arial"/>
      <w:b/>
      <w:bCs/>
      <w:kern w:val="0"/>
      <w:sz w:val="24"/>
      <w:szCs w:val="24"/>
    </w:rPr>
  </w:style>
  <w:style w:type="paragraph" w:customStyle="1" w:styleId="151">
    <w:name w:val="Char1 Char Char Char"/>
    <w:basedOn w:val="1"/>
    <w:qFormat/>
    <w:uiPriority w:val="99"/>
    <w:rPr>
      <w:szCs w:val="24"/>
    </w:rPr>
  </w:style>
  <w:style w:type="paragraph" w:customStyle="1" w:styleId="152">
    <w:name w:val="签字"/>
    <w:basedOn w:val="1"/>
    <w:qFormat/>
    <w:uiPriority w:val="0"/>
    <w:pPr>
      <w:adjustRightInd w:val="0"/>
      <w:snapToGrid w:val="0"/>
      <w:spacing w:line="300" w:lineRule="auto"/>
      <w:ind w:left="4800" w:leftChars="2000"/>
      <w:textAlignment w:val="baseline"/>
    </w:pPr>
    <w:rPr>
      <w:sz w:val="24"/>
    </w:rPr>
  </w:style>
  <w:style w:type="paragraph" w:customStyle="1" w:styleId="153">
    <w:name w:val="样式 标题 4 + 行距: 单倍行距"/>
    <w:basedOn w:val="8"/>
    <w:qFormat/>
    <w:uiPriority w:val="0"/>
    <w:pPr>
      <w:tabs>
        <w:tab w:val="left" w:pos="1080"/>
      </w:tabs>
      <w:overflowPunct w:val="0"/>
      <w:spacing w:before="0" w:after="0" w:line="360" w:lineRule="auto"/>
    </w:pPr>
    <w:rPr>
      <w:rFonts w:cs="宋体"/>
      <w:kern w:val="2"/>
    </w:rPr>
  </w:style>
  <w:style w:type="paragraph" w:customStyle="1" w:styleId="154">
    <w:name w:val="BT3"/>
    <w:basedOn w:val="1"/>
    <w:qFormat/>
    <w:uiPriority w:val="0"/>
    <w:pPr>
      <w:autoSpaceDE w:val="0"/>
      <w:autoSpaceDN w:val="0"/>
      <w:adjustRightInd w:val="0"/>
      <w:spacing w:before="60" w:after="60" w:line="360" w:lineRule="atLeast"/>
      <w:ind w:left="1134" w:hanging="1134"/>
    </w:pPr>
    <w:rPr>
      <w:rFonts w:ascii="宋体"/>
      <w:kern w:val="0"/>
      <w:sz w:val="20"/>
      <w:szCs w:val="24"/>
    </w:rPr>
  </w:style>
  <w:style w:type="paragraph" w:customStyle="1" w:styleId="155">
    <w:name w:val="表格清单"/>
    <w:basedOn w:val="1"/>
    <w:qFormat/>
    <w:uiPriority w:val="0"/>
    <w:pPr>
      <w:adjustRightInd w:val="0"/>
      <w:snapToGrid w:val="0"/>
      <w:spacing w:before="60" w:after="60" w:line="360" w:lineRule="exact"/>
      <w:outlineLvl w:val="0"/>
    </w:pPr>
    <w:rPr>
      <w:rFonts w:ascii="Arial" w:hAnsi="Arial" w:cs="Arial"/>
      <w:kern w:val="0"/>
      <w:sz w:val="24"/>
      <w:szCs w:val="24"/>
    </w:rPr>
  </w:style>
  <w:style w:type="paragraph" w:customStyle="1" w:styleId="156">
    <w:name w:val="文"/>
    <w:basedOn w:val="40"/>
    <w:qFormat/>
    <w:uiPriority w:val="0"/>
    <w:pPr>
      <w:tabs>
        <w:tab w:val="left" w:pos="1134"/>
      </w:tabs>
      <w:adjustRightInd/>
      <w:spacing w:before="20" w:after="20" w:line="300" w:lineRule="auto"/>
      <w:ind w:left="1134"/>
    </w:pPr>
    <w:rPr>
      <w:rFonts w:ascii="Arial" w:hAnsi="Arial"/>
    </w:rPr>
  </w:style>
  <w:style w:type="paragraph" w:customStyle="1" w:styleId="157">
    <w:name w:val="表格文字"/>
    <w:next w:val="11"/>
    <w:qFormat/>
    <w:uiPriority w:val="0"/>
    <w:pPr>
      <w:keepNext/>
      <w:widowControl w:val="0"/>
      <w:adjustRightInd w:val="0"/>
      <w:spacing w:line="312" w:lineRule="atLeast"/>
      <w:jc w:val="center"/>
      <w:textAlignment w:val="baseline"/>
    </w:pPr>
    <w:rPr>
      <w:rFonts w:ascii="Times New Roman" w:hAnsi="Times New Roman" w:eastAsia="宋体" w:cs="Times New Roman"/>
      <w:sz w:val="18"/>
      <w:szCs w:val="18"/>
      <w:lang w:val="en-US" w:eastAsia="zh-CN" w:bidi="ar-SA"/>
    </w:rPr>
  </w:style>
  <w:style w:type="paragraph" w:customStyle="1" w:styleId="158">
    <w:name w:val="1.1.1"/>
    <w:basedOn w:val="1"/>
    <w:qFormat/>
    <w:uiPriority w:val="0"/>
    <w:pPr>
      <w:numPr>
        <w:ilvl w:val="0"/>
        <w:numId w:val="3"/>
      </w:numPr>
      <w:tabs>
        <w:tab w:val="left" w:pos="0"/>
        <w:tab w:val="left" w:pos="900"/>
        <w:tab w:val="left" w:pos="1134"/>
        <w:tab w:val="left" w:pos="8505"/>
      </w:tabs>
      <w:adjustRightInd w:val="0"/>
      <w:snapToGrid w:val="0"/>
      <w:spacing w:beforeLines="50" w:afterLines="50" w:line="360" w:lineRule="atLeast"/>
      <w:ind w:right="200" w:rightChars="200"/>
      <w:textAlignment w:val="baseline"/>
    </w:pPr>
    <w:rPr>
      <w:rFonts w:hAnsi="Arial"/>
      <w:b/>
      <w:kern w:val="0"/>
      <w:sz w:val="28"/>
    </w:rPr>
  </w:style>
  <w:style w:type="paragraph" w:customStyle="1" w:styleId="159">
    <w:name w:val="批注框文本1"/>
    <w:basedOn w:val="1"/>
    <w:qFormat/>
    <w:uiPriority w:val="99"/>
    <w:pPr>
      <w:adjustRightInd w:val="0"/>
      <w:spacing w:line="360" w:lineRule="auto"/>
      <w:textAlignment w:val="baseline"/>
    </w:pPr>
    <w:rPr>
      <w:kern w:val="0"/>
      <w:sz w:val="18"/>
      <w:szCs w:val="18"/>
    </w:rPr>
  </w:style>
  <w:style w:type="paragraph" w:customStyle="1" w:styleId="160">
    <w:name w:val="表正文"/>
    <w:basedOn w:val="1"/>
    <w:qFormat/>
    <w:uiPriority w:val="99"/>
    <w:pPr>
      <w:spacing w:before="60" w:after="60"/>
      <w:ind w:firstLine="200" w:firstLineChars="200"/>
      <w:jc w:val="center"/>
    </w:pPr>
    <w:rPr>
      <w:szCs w:val="21"/>
    </w:rPr>
  </w:style>
  <w:style w:type="paragraph" w:customStyle="1" w:styleId="161">
    <w:name w:val="f17hichaf0dbchaf17cgridl"/>
    <w:qFormat/>
    <w:uiPriority w:val="0"/>
    <w:pPr>
      <w:widowControl w:val="0"/>
      <w:autoSpaceDE w:val="0"/>
      <w:autoSpaceDN w:val="0"/>
      <w:adjustRightInd w:val="0"/>
      <w:spacing w:line="240" w:lineRule="atLeast"/>
    </w:pPr>
    <w:rPr>
      <w:rFonts w:ascii="宋体" w:hAnsi="Times New Roman" w:eastAsia="宋体" w:cs="Times New Roman"/>
      <w:sz w:val="34"/>
      <w:szCs w:val="34"/>
      <w:lang w:val="zh-CN" w:eastAsia="zh-CN" w:bidi="ar-SA"/>
    </w:rPr>
  </w:style>
  <w:style w:type="paragraph" w:customStyle="1" w:styleId="162">
    <w:name w:val="样式 标题 2标题 2－ch节标题 1.1 + 黑体 五号 行距: 1.5 倍行距"/>
    <w:basedOn w:val="6"/>
    <w:qFormat/>
    <w:uiPriority w:val="99"/>
    <w:pPr>
      <w:numPr>
        <w:ilvl w:val="1"/>
        <w:numId w:val="4"/>
      </w:numPr>
      <w:tabs>
        <w:tab w:val="left" w:pos="425"/>
      </w:tabs>
      <w:spacing w:line="360" w:lineRule="auto"/>
    </w:pPr>
    <w:rPr>
      <w:rFonts w:ascii="黑体" w:hAnsi="Arial" w:eastAsia="黑体" w:cs="宋体"/>
      <w:bCs/>
      <w:sz w:val="21"/>
    </w:rPr>
  </w:style>
  <w:style w:type="paragraph" w:customStyle="1" w:styleId="163">
    <w:name w:val="样式 首行缩进:  2 字符"/>
    <w:basedOn w:val="1"/>
    <w:qFormat/>
    <w:uiPriority w:val="0"/>
    <w:pPr>
      <w:spacing w:line="360" w:lineRule="auto"/>
      <w:ind w:firstLine="480" w:firstLineChars="200"/>
    </w:pPr>
    <w:rPr>
      <w:bCs/>
      <w:kern w:val="0"/>
      <w:sz w:val="24"/>
      <w:szCs w:val="24"/>
    </w:rPr>
  </w:style>
  <w:style w:type="paragraph" w:customStyle="1" w:styleId="164">
    <w:name w:val="样式 标题 2 + 加粗 自动设置 行距: 1.5 倍行距"/>
    <w:basedOn w:val="6"/>
    <w:qFormat/>
    <w:uiPriority w:val="99"/>
    <w:pPr>
      <w:widowControl w:val="0"/>
      <w:tabs>
        <w:tab w:val="left" w:pos="480"/>
        <w:tab w:val="left" w:pos="720"/>
      </w:tabs>
      <w:adjustRightInd/>
      <w:spacing w:before="156" w:after="156" w:line="360" w:lineRule="auto"/>
      <w:ind w:left="360" w:hanging="360"/>
      <w:textAlignment w:val="auto"/>
    </w:pPr>
    <w:rPr>
      <w:rFonts w:ascii="黑体" w:eastAsia="黑体" w:cs="宋体"/>
      <w:b w:val="0"/>
      <w:bCs/>
      <w:sz w:val="24"/>
    </w:rPr>
  </w:style>
  <w:style w:type="paragraph" w:customStyle="1" w:styleId="165">
    <w:name w:val="1."/>
    <w:basedOn w:val="1"/>
    <w:qFormat/>
    <w:uiPriority w:val="0"/>
    <w:pPr>
      <w:tabs>
        <w:tab w:val="left" w:pos="0"/>
        <w:tab w:val="left" w:pos="426"/>
        <w:tab w:val="left" w:pos="900"/>
      </w:tabs>
      <w:adjustRightInd w:val="0"/>
      <w:snapToGrid w:val="0"/>
      <w:spacing w:beforeLines="50" w:afterLines="50" w:line="400" w:lineRule="atLeast"/>
      <w:ind w:left="425" w:leftChars="50" w:right="32" w:hanging="425"/>
      <w:jc w:val="center"/>
      <w:textAlignment w:val="baseline"/>
    </w:pPr>
    <w:rPr>
      <w:rFonts w:ascii="Arial" w:hAnsi="Arial"/>
      <w:b/>
      <w:bCs/>
      <w:kern w:val="0"/>
      <w:sz w:val="32"/>
    </w:rPr>
  </w:style>
  <w:style w:type="paragraph" w:customStyle="1" w:styleId="166">
    <w:name w:val="SuepChapter"/>
    <w:basedOn w:val="1"/>
    <w:qFormat/>
    <w:uiPriority w:val="99"/>
    <w:pPr>
      <w:widowControl/>
      <w:tabs>
        <w:tab w:val="left" w:pos="720"/>
        <w:tab w:val="center" w:pos="4513"/>
      </w:tabs>
      <w:suppressAutoHyphens/>
      <w:ind w:left="360" w:hanging="360"/>
      <w:jc w:val="center"/>
    </w:pPr>
    <w:rPr>
      <w:b/>
      <w:spacing w:val="-2"/>
      <w:kern w:val="0"/>
      <w:sz w:val="22"/>
    </w:rPr>
  </w:style>
  <w:style w:type="paragraph" w:customStyle="1" w:styleId="167">
    <w:name w:val="Char Char Char Char Char Char Char"/>
    <w:basedOn w:val="1"/>
    <w:qFormat/>
    <w:uiPriority w:val="0"/>
    <w:rPr>
      <w:szCs w:val="24"/>
    </w:rPr>
  </w:style>
  <w:style w:type="paragraph" w:customStyle="1" w:styleId="168">
    <w:name w:val="样式 标题 4 + 蓝色 行距: 单倍行距"/>
    <w:basedOn w:val="8"/>
    <w:qFormat/>
    <w:uiPriority w:val="0"/>
    <w:pPr>
      <w:tabs>
        <w:tab w:val="left" w:pos="1080"/>
      </w:tabs>
      <w:overflowPunct w:val="0"/>
      <w:spacing w:before="0" w:after="0" w:line="360" w:lineRule="auto"/>
    </w:pPr>
    <w:rPr>
      <w:rFonts w:cs="宋体"/>
      <w:kern w:val="2"/>
    </w:rPr>
  </w:style>
  <w:style w:type="paragraph" w:customStyle="1" w:styleId="169">
    <w:name w:val="横表"/>
    <w:basedOn w:val="1"/>
    <w:qFormat/>
    <w:uiPriority w:val="0"/>
    <w:pPr>
      <w:adjustRightInd w:val="0"/>
      <w:snapToGrid w:val="0"/>
      <w:spacing w:line="360" w:lineRule="exact"/>
      <w:jc w:val="center"/>
    </w:pPr>
    <w:rPr>
      <w:rFonts w:ascii="宋体"/>
      <w:szCs w:val="21"/>
    </w:rPr>
  </w:style>
  <w:style w:type="paragraph" w:customStyle="1" w:styleId="170">
    <w:name w:val="样式 标题 2标题 2－ch节标题 1.1 + (西文) Arial (中文) 黑体 五号"/>
    <w:basedOn w:val="6"/>
    <w:qFormat/>
    <w:uiPriority w:val="99"/>
    <w:rPr>
      <w:rFonts w:ascii="Arial" w:hAnsi="Arial"/>
      <w:bCs/>
      <w:sz w:val="21"/>
    </w:rPr>
  </w:style>
  <w:style w:type="paragraph" w:customStyle="1" w:styleId="171">
    <w:name w:val="Char Char Char"/>
    <w:basedOn w:val="25"/>
    <w:next w:val="7"/>
    <w:qFormat/>
    <w:uiPriority w:val="0"/>
    <w:pPr>
      <w:adjustRightInd w:val="0"/>
      <w:spacing w:line="600" w:lineRule="exact"/>
      <w:jc w:val="center"/>
      <w:outlineLvl w:val="2"/>
    </w:pPr>
    <w:rPr>
      <w:rFonts w:ascii="Tahoma" w:hAnsi="Tahoma"/>
      <w:b/>
      <w:sz w:val="28"/>
      <w:szCs w:val="28"/>
    </w:rPr>
  </w:style>
  <w:style w:type="paragraph" w:customStyle="1" w:styleId="172">
    <w:name w:val="样式 标题 2标题 2－ch节标题 1.1 + (西文) Arial (中文) 黑体 五号1"/>
    <w:basedOn w:val="6"/>
    <w:qFormat/>
    <w:uiPriority w:val="99"/>
    <w:rPr>
      <w:rFonts w:ascii="Arial" w:hAnsi="Arial"/>
      <w:b w:val="0"/>
      <w:bCs/>
      <w:sz w:val="21"/>
    </w:rPr>
  </w:style>
  <w:style w:type="paragraph" w:customStyle="1" w:styleId="173">
    <w:name w:val="1.1.1.1A-1"/>
    <w:basedOn w:val="174"/>
    <w:qFormat/>
    <w:uiPriority w:val="0"/>
    <w:pPr>
      <w:tabs>
        <w:tab w:val="left" w:pos="1843"/>
        <w:tab w:val="left" w:pos="1985"/>
      </w:tabs>
      <w:ind w:left="1985" w:hanging="425"/>
    </w:pPr>
  </w:style>
  <w:style w:type="paragraph" w:customStyle="1" w:styleId="174">
    <w:name w:val="1.1.1.1A"/>
    <w:basedOn w:val="113"/>
    <w:qFormat/>
    <w:uiPriority w:val="0"/>
    <w:pPr>
      <w:tabs>
        <w:tab w:val="left" w:pos="1843"/>
        <w:tab w:val="clear" w:pos="900"/>
        <w:tab w:val="clear" w:pos="1134"/>
      </w:tabs>
      <w:snapToGrid/>
      <w:spacing w:line="360" w:lineRule="atLeast"/>
      <w:ind w:left="1560" w:leftChars="0" w:right="0" w:hanging="426"/>
    </w:pPr>
    <w:rPr>
      <w:rFonts w:cs="Arial"/>
      <w:szCs w:val="24"/>
    </w:rPr>
  </w:style>
  <w:style w:type="paragraph" w:customStyle="1" w:styleId="175">
    <w:name w:val="Char"/>
    <w:basedOn w:val="1"/>
    <w:qFormat/>
    <w:uiPriority w:val="0"/>
    <w:rPr>
      <w:sz w:val="28"/>
      <w:szCs w:val="24"/>
    </w:rPr>
  </w:style>
  <w:style w:type="paragraph" w:customStyle="1" w:styleId="176">
    <w:name w:val="样式 样式 正文首行缩进 2 + 行距: 单倍行距 + 首行缩进:  2 字符"/>
    <w:basedOn w:val="136"/>
    <w:qFormat/>
    <w:uiPriority w:val="0"/>
    <w:pPr>
      <w:tabs>
        <w:tab w:val="left" w:pos="2880"/>
      </w:tabs>
      <w:ind w:left="1207" w:leftChars="503" w:firstLine="470" w:firstLineChars="196"/>
    </w:pPr>
    <w:rPr>
      <w:sz w:val="24"/>
    </w:rPr>
  </w:style>
  <w:style w:type="paragraph" w:customStyle="1" w:styleId="177">
    <w:name w:val="样式 标题 2标题 2－ch + 自动设置 段前: 1 行 行距: 单倍行距"/>
    <w:basedOn w:val="6"/>
    <w:qFormat/>
    <w:uiPriority w:val="0"/>
    <w:pPr>
      <w:widowControl w:val="0"/>
      <w:tabs>
        <w:tab w:val="left" w:pos="720"/>
      </w:tabs>
      <w:snapToGrid/>
      <w:spacing w:beforeLines="100" w:line="360" w:lineRule="auto"/>
      <w:jc w:val="both"/>
    </w:pPr>
    <w:rPr>
      <w:rFonts w:cs="宋体"/>
      <w:bCs/>
      <w:kern w:val="2"/>
      <w:sz w:val="30"/>
    </w:rPr>
  </w:style>
  <w:style w:type="paragraph" w:customStyle="1" w:styleId="178">
    <w:name w:val="1.1.1.1A-n"/>
    <w:basedOn w:val="113"/>
    <w:qFormat/>
    <w:uiPriority w:val="0"/>
    <w:pPr>
      <w:tabs>
        <w:tab w:val="clear" w:pos="900"/>
        <w:tab w:val="clear" w:pos="1134"/>
      </w:tabs>
      <w:snapToGrid/>
      <w:spacing w:line="360" w:lineRule="atLeast"/>
      <w:ind w:left="1560" w:leftChars="0" w:right="0"/>
    </w:pPr>
    <w:rPr>
      <w:rFonts w:ascii="宋体" w:hAnsi="Times New Roman"/>
    </w:rPr>
  </w:style>
  <w:style w:type="paragraph" w:customStyle="1" w:styleId="179">
    <w:name w:val="table head"/>
    <w:basedOn w:val="1"/>
    <w:qFormat/>
    <w:uiPriority w:val="99"/>
    <w:pPr>
      <w:keepNext/>
      <w:keepLines/>
      <w:adjustRightInd w:val="0"/>
      <w:spacing w:line="312" w:lineRule="atLeast"/>
      <w:jc w:val="center"/>
      <w:textAlignment w:val="baseline"/>
    </w:pPr>
    <w:rPr>
      <w:b/>
      <w:kern w:val="0"/>
    </w:rPr>
  </w:style>
  <w:style w:type="paragraph" w:customStyle="1" w:styleId="180">
    <w:name w:val="正文文字 Char Char Char"/>
    <w:basedOn w:val="1"/>
    <w:qFormat/>
    <w:uiPriority w:val="0"/>
    <w:pPr>
      <w:tabs>
        <w:tab w:val="left" w:pos="0"/>
      </w:tabs>
      <w:adjustRightInd w:val="0"/>
      <w:snapToGrid w:val="0"/>
      <w:spacing w:line="300" w:lineRule="auto"/>
      <w:ind w:left="1204" w:hanging="1204"/>
      <w:outlineLvl w:val="0"/>
    </w:pPr>
    <w:rPr>
      <w:rFonts w:ascii="Arial" w:hAnsi="Arial" w:cs="Arial"/>
      <w:szCs w:val="21"/>
    </w:rPr>
  </w:style>
  <w:style w:type="paragraph" w:customStyle="1" w:styleId="181">
    <w:name w:val="Char Char Char Char Char Char Char Char Char"/>
    <w:basedOn w:val="1"/>
    <w:qFormat/>
    <w:uiPriority w:val="0"/>
    <w:rPr>
      <w:szCs w:val="24"/>
    </w:rPr>
  </w:style>
  <w:style w:type="paragraph" w:customStyle="1" w:styleId="182">
    <w:name w:val="样式 标题 5 + 左侧:  1.27 厘米 行距: 单倍行距"/>
    <w:basedOn w:val="9"/>
    <w:qFormat/>
    <w:uiPriority w:val="0"/>
    <w:pPr>
      <w:tabs>
        <w:tab w:val="left" w:pos="1204"/>
      </w:tabs>
      <w:overflowPunct w:val="0"/>
      <w:spacing w:before="0" w:after="0" w:line="360" w:lineRule="auto"/>
      <w:ind w:left="1202" w:hanging="1204"/>
    </w:pPr>
    <w:rPr>
      <w:rFonts w:ascii="Times New Roman" w:eastAsia="宋体" w:cs="宋体"/>
      <w:b w:val="0"/>
      <w:kern w:val="2"/>
      <w:sz w:val="21"/>
    </w:rPr>
  </w:style>
  <w:style w:type="paragraph" w:customStyle="1" w:styleId="183">
    <w:name w:val="文件头"/>
    <w:basedOn w:val="1"/>
    <w:qFormat/>
    <w:uiPriority w:val="0"/>
    <w:pPr>
      <w:adjustRightInd w:val="0"/>
      <w:spacing w:before="360" w:after="360" w:line="360" w:lineRule="atLeast"/>
      <w:jc w:val="center"/>
      <w:textAlignment w:val="baseline"/>
    </w:pPr>
    <w:rPr>
      <w:rFonts w:ascii="黑体" w:eastAsia="黑体"/>
      <w:kern w:val="0"/>
      <w:sz w:val="36"/>
    </w:rPr>
  </w:style>
  <w:style w:type="paragraph" w:customStyle="1" w:styleId="184">
    <w:name w:val="黑体表名"/>
    <w:basedOn w:val="1"/>
    <w:qFormat/>
    <w:uiPriority w:val="0"/>
    <w:pPr>
      <w:adjustRightInd w:val="0"/>
      <w:snapToGrid w:val="0"/>
      <w:spacing w:beforeLines="50" w:line="360" w:lineRule="auto"/>
      <w:jc w:val="center"/>
    </w:pPr>
    <w:rPr>
      <w:rFonts w:eastAsia="黑体"/>
      <w:sz w:val="24"/>
    </w:rPr>
  </w:style>
  <w:style w:type="paragraph" w:customStyle="1" w:styleId="185">
    <w:name w:val="Headings Font"/>
    <w:basedOn w:val="1"/>
    <w:next w:val="17"/>
    <w:qFormat/>
    <w:uiPriority w:val="99"/>
    <w:pPr>
      <w:keepNext/>
      <w:numPr>
        <w:ilvl w:val="1"/>
        <w:numId w:val="5"/>
      </w:numPr>
      <w:tabs>
        <w:tab w:val="left" w:pos="432"/>
        <w:tab w:val="clear" w:pos="576"/>
      </w:tabs>
      <w:spacing w:line="280" w:lineRule="atLeast"/>
      <w:ind w:left="0" w:firstLine="0"/>
      <w:jc w:val="left"/>
    </w:pPr>
    <w:rPr>
      <w:rFonts w:ascii="Arial" w:hAnsi="Arial"/>
      <w:kern w:val="0"/>
      <w:sz w:val="22"/>
    </w:rPr>
  </w:style>
  <w:style w:type="paragraph" w:customStyle="1" w:styleId="186">
    <w:name w:val="默认段落字体 Para Char Char Char Char"/>
    <w:basedOn w:val="1"/>
    <w:qFormat/>
    <w:uiPriority w:val="0"/>
    <w:pPr>
      <w:snapToGrid w:val="0"/>
    </w:pPr>
    <w:rPr>
      <w:rFonts w:ascii="Arial" w:hAnsi="Arial"/>
      <w:szCs w:val="21"/>
    </w:rPr>
  </w:style>
  <w:style w:type="paragraph" w:customStyle="1" w:styleId="187">
    <w:name w:val="封面标题2"/>
    <w:basedOn w:val="188"/>
    <w:qFormat/>
    <w:uiPriority w:val="0"/>
    <w:pPr>
      <w:spacing w:line="300" w:lineRule="auto"/>
    </w:pPr>
    <w:rPr>
      <w:rFonts w:ascii="华文新魏"/>
      <w:sz w:val="64"/>
      <w:szCs w:val="72"/>
    </w:rPr>
  </w:style>
  <w:style w:type="paragraph" w:customStyle="1" w:styleId="188">
    <w:name w:val="封面标题1"/>
    <w:basedOn w:val="68"/>
    <w:qFormat/>
    <w:uiPriority w:val="0"/>
    <w:pPr>
      <w:adjustRightInd w:val="0"/>
      <w:snapToGrid w:val="0"/>
      <w:spacing w:before="0" w:after="0" w:line="360" w:lineRule="auto"/>
    </w:pPr>
    <w:rPr>
      <w:rFonts w:eastAsia="华文新魏"/>
      <w:sz w:val="56"/>
      <w:szCs w:val="56"/>
    </w:rPr>
  </w:style>
  <w:style w:type="paragraph" w:customStyle="1" w:styleId="189">
    <w:name w:val="SuepSubHead"/>
    <w:basedOn w:val="1"/>
    <w:qFormat/>
    <w:uiPriority w:val="99"/>
    <w:pPr>
      <w:widowControl/>
      <w:tabs>
        <w:tab w:val="left" w:pos="720"/>
      </w:tabs>
      <w:ind w:left="720" w:hanging="720"/>
      <w:jc w:val="left"/>
    </w:pPr>
    <w:rPr>
      <w:b/>
      <w:kern w:val="0"/>
      <w:sz w:val="22"/>
    </w:rPr>
  </w:style>
  <w:style w:type="paragraph" w:customStyle="1" w:styleId="190">
    <w:name w:val="标准中文版式_正文"/>
    <w:basedOn w:val="1"/>
    <w:qFormat/>
    <w:uiPriority w:val="99"/>
    <w:pPr>
      <w:numPr>
        <w:ilvl w:val="0"/>
        <w:numId w:val="6"/>
      </w:numPr>
      <w:spacing w:beforeLines="30"/>
      <w:ind w:left="0" w:firstLine="0"/>
    </w:pPr>
    <w:rPr>
      <w:szCs w:val="21"/>
    </w:rPr>
  </w:style>
  <w:style w:type="paragraph" w:customStyle="1" w:styleId="191">
    <w:name w:val="font8"/>
    <w:basedOn w:val="1"/>
    <w:qFormat/>
    <w:uiPriority w:val="0"/>
    <w:pPr>
      <w:widowControl/>
      <w:spacing w:before="100" w:beforeAutospacing="1" w:after="100" w:afterAutospacing="1"/>
      <w:jc w:val="left"/>
    </w:pPr>
    <w:rPr>
      <w:rFonts w:ascii="宋体" w:hAnsi="宋体" w:cs="Arial Unicode MS"/>
      <w:kern w:val="0"/>
      <w:sz w:val="22"/>
      <w:szCs w:val="22"/>
    </w:rPr>
  </w:style>
  <w:style w:type="paragraph" w:customStyle="1" w:styleId="192">
    <w:name w:val="样式 标题 3 + 小四 非加粗 段前: 5 磅 段后: 5 磅 行距: 单倍行距2"/>
    <w:basedOn w:val="7"/>
    <w:qFormat/>
    <w:uiPriority w:val="99"/>
    <w:pPr>
      <w:keepNext/>
      <w:keepLines/>
      <w:widowControl w:val="0"/>
      <w:tabs>
        <w:tab w:val="left" w:pos="2468"/>
      </w:tabs>
      <w:snapToGrid/>
      <w:spacing w:before="100" w:after="100" w:line="360" w:lineRule="auto"/>
      <w:jc w:val="both"/>
      <w:textAlignment w:val="auto"/>
    </w:pPr>
    <w:rPr>
      <w:kern w:val="2"/>
    </w:rPr>
  </w:style>
  <w:style w:type="paragraph" w:customStyle="1" w:styleId="193">
    <w:name w:val="Normalab"/>
    <w:basedOn w:val="1"/>
    <w:qFormat/>
    <w:uiPriority w:val="0"/>
    <w:pPr>
      <w:tabs>
        <w:tab w:val="left" w:pos="0"/>
        <w:tab w:val="left" w:pos="1134"/>
        <w:tab w:val="left" w:pos="8505"/>
      </w:tabs>
      <w:autoSpaceDE w:val="0"/>
      <w:autoSpaceDN w:val="0"/>
      <w:adjustRightInd w:val="0"/>
      <w:spacing w:before="60" w:after="60" w:line="360" w:lineRule="atLeast"/>
      <w:ind w:left="1843" w:hanging="1134"/>
      <w:textAlignment w:val="baseline"/>
    </w:pPr>
    <w:rPr>
      <w:rFonts w:ascii="Arial" w:hAnsi="Arial"/>
      <w:kern w:val="0"/>
      <w:sz w:val="24"/>
    </w:rPr>
  </w:style>
  <w:style w:type="paragraph" w:customStyle="1" w:styleId="194">
    <w:name w:val="样式 正文首行缩进 2 + 下划线"/>
    <w:basedOn w:val="2"/>
    <w:qFormat/>
    <w:uiPriority w:val="0"/>
    <w:pPr>
      <w:overflowPunct w:val="0"/>
      <w:spacing w:line="360" w:lineRule="auto"/>
      <w:ind w:firstLine="480" w:firstLineChars="200"/>
    </w:pPr>
    <w:rPr>
      <w:rFonts w:ascii="Times New Roman" w:hAnsi="Times New Roman"/>
      <w:sz w:val="21"/>
      <w:u w:val="single"/>
    </w:rPr>
  </w:style>
  <w:style w:type="paragraph" w:customStyle="1" w:styleId="195">
    <w:name w:val="项目符号_圆点"/>
    <w:basedOn w:val="1"/>
    <w:qFormat/>
    <w:uiPriority w:val="99"/>
    <w:pPr>
      <w:tabs>
        <w:tab w:val="left" w:pos="720"/>
        <w:tab w:val="left" w:pos="900"/>
      </w:tabs>
      <w:spacing w:before="78"/>
      <w:ind w:left="900" w:hanging="420"/>
    </w:pPr>
    <w:rPr>
      <w:sz w:val="24"/>
    </w:rPr>
  </w:style>
  <w:style w:type="paragraph" w:customStyle="1" w:styleId="196">
    <w:name w:val="分卷标题"/>
    <w:basedOn w:val="68"/>
    <w:qFormat/>
    <w:uiPriority w:val="0"/>
    <w:pPr>
      <w:adjustRightInd w:val="0"/>
      <w:snapToGrid w:val="0"/>
      <w:spacing w:before="3600" w:after="0" w:line="360" w:lineRule="auto"/>
    </w:pPr>
    <w:rPr>
      <w:rFonts w:ascii="新宋体" w:hAnsi="新宋体" w:eastAsia="新宋体"/>
      <w:sz w:val="84"/>
      <w:szCs w:val="84"/>
    </w:rPr>
  </w:style>
  <w:style w:type="paragraph" w:customStyle="1" w:styleId="197">
    <w:name w:val="BT2"/>
    <w:basedOn w:val="1"/>
    <w:qFormat/>
    <w:uiPriority w:val="0"/>
    <w:pPr>
      <w:tabs>
        <w:tab w:val="left" w:pos="1134"/>
      </w:tabs>
      <w:adjustRightInd w:val="0"/>
      <w:spacing w:before="240" w:after="180" w:line="360" w:lineRule="atLeast"/>
      <w:textAlignment w:val="baseline"/>
    </w:pPr>
    <w:rPr>
      <w:rFonts w:ascii="宋体"/>
      <w:b/>
      <w:spacing w:val="5"/>
      <w:kern w:val="0"/>
      <w:sz w:val="24"/>
    </w:rPr>
  </w:style>
  <w:style w:type="paragraph" w:customStyle="1" w:styleId="198">
    <w:name w:val="项目符号_“-”"/>
    <w:basedOn w:val="1"/>
    <w:qFormat/>
    <w:uiPriority w:val="99"/>
    <w:pPr>
      <w:tabs>
        <w:tab w:val="left" w:pos="420"/>
        <w:tab w:val="left" w:pos="720"/>
      </w:tabs>
      <w:spacing w:before="78"/>
      <w:ind w:left="820" w:hanging="420"/>
    </w:pPr>
  </w:style>
  <w:style w:type="paragraph" w:customStyle="1" w:styleId="199">
    <w:name w:val="列表项目编号"/>
    <w:basedOn w:val="1"/>
    <w:qFormat/>
    <w:uiPriority w:val="99"/>
    <w:pPr>
      <w:adjustRightInd w:val="0"/>
      <w:spacing w:line="360" w:lineRule="auto"/>
    </w:pPr>
    <w:rPr>
      <w:kern w:val="0"/>
      <w:sz w:val="28"/>
    </w:rPr>
  </w:style>
  <w:style w:type="paragraph" w:customStyle="1" w:styleId="200">
    <w:name w:val="目录表格"/>
    <w:basedOn w:val="68"/>
    <w:qFormat/>
    <w:uiPriority w:val="0"/>
    <w:pPr>
      <w:adjustRightInd w:val="0"/>
      <w:snapToGrid w:val="0"/>
      <w:spacing w:before="120" w:after="120" w:line="400" w:lineRule="exact"/>
    </w:pPr>
    <w:rPr>
      <w:rFonts w:eastAsia="黑体"/>
      <w:b w:val="0"/>
      <w:kern w:val="0"/>
      <w:szCs w:val="44"/>
    </w:rPr>
  </w:style>
  <w:style w:type="paragraph" w:customStyle="1" w:styleId="201">
    <w:name w:val="缩进正文"/>
    <w:basedOn w:val="1"/>
    <w:qFormat/>
    <w:uiPriority w:val="0"/>
    <w:pPr>
      <w:spacing w:line="300" w:lineRule="auto"/>
      <w:ind w:firstLine="200"/>
      <w:jc w:val="left"/>
    </w:pPr>
    <w:rPr>
      <w:rFonts w:ascii="宋体" w:hAnsi="宋体"/>
      <w:sz w:val="28"/>
    </w:rPr>
  </w:style>
  <w:style w:type="paragraph" w:customStyle="1" w:styleId="202">
    <w:name w:val="样式 宋体 行距: 固定值 18 磅"/>
    <w:basedOn w:val="1"/>
    <w:qFormat/>
    <w:uiPriority w:val="99"/>
    <w:pPr>
      <w:tabs>
        <w:tab w:val="left" w:pos="720"/>
      </w:tabs>
      <w:spacing w:beforeLines="30" w:line="360" w:lineRule="exact"/>
    </w:pPr>
    <w:rPr>
      <w:rFonts w:ascii="宋体" w:hAnsi="宋体"/>
    </w:rPr>
  </w:style>
  <w:style w:type="paragraph" w:customStyle="1" w:styleId="203">
    <w:name w:val="1 Char"/>
    <w:basedOn w:val="1"/>
    <w:qFormat/>
    <w:uiPriority w:val="99"/>
    <w:pPr>
      <w:jc w:val="center"/>
    </w:pPr>
    <w:rPr>
      <w:sz w:val="28"/>
      <w:szCs w:val="24"/>
    </w:rPr>
  </w:style>
  <w:style w:type="paragraph" w:customStyle="1" w:styleId="204">
    <w:name w:val="样式 标题 3 + 段前: 0.5 行"/>
    <w:basedOn w:val="7"/>
    <w:qFormat/>
    <w:uiPriority w:val="0"/>
    <w:pPr>
      <w:widowControl w:val="0"/>
      <w:tabs>
        <w:tab w:val="left" w:pos="1200"/>
        <w:tab w:val="left" w:pos="2948"/>
      </w:tabs>
      <w:snapToGrid/>
      <w:spacing w:beforeLines="50" w:line="360" w:lineRule="auto"/>
      <w:ind w:left="1200" w:hanging="1200" w:hangingChars="500"/>
      <w:jc w:val="both"/>
    </w:pPr>
    <w:rPr>
      <w:rFonts w:ascii="宋体" w:hAnsi="宋体" w:cs="宋体"/>
      <w:kern w:val="2"/>
      <w:szCs w:val="24"/>
    </w:rPr>
  </w:style>
  <w:style w:type="paragraph" w:customStyle="1" w:styleId="205">
    <w:name w:val="font5"/>
    <w:basedOn w:val="1"/>
    <w:qFormat/>
    <w:uiPriority w:val="0"/>
    <w:pPr>
      <w:widowControl/>
      <w:numPr>
        <w:ilvl w:val="0"/>
        <w:numId w:val="7"/>
      </w:numPr>
      <w:spacing w:before="100" w:beforeAutospacing="1" w:after="100" w:afterAutospacing="1"/>
      <w:ind w:left="0" w:firstLine="0"/>
      <w:jc w:val="left"/>
    </w:pPr>
    <w:rPr>
      <w:rFonts w:ascii="宋体" w:hAnsi="宋体" w:cs="Arial Unicode MS"/>
      <w:kern w:val="0"/>
      <w:sz w:val="18"/>
      <w:szCs w:val="18"/>
    </w:rPr>
  </w:style>
  <w:style w:type="paragraph" w:customStyle="1" w:styleId="206">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207">
    <w:name w:val="font6"/>
    <w:basedOn w:val="1"/>
    <w:qFormat/>
    <w:uiPriority w:val="0"/>
    <w:pPr>
      <w:widowControl/>
      <w:numPr>
        <w:ilvl w:val="0"/>
        <w:numId w:val="8"/>
      </w:numPr>
      <w:spacing w:before="100" w:beforeAutospacing="1" w:after="100" w:afterAutospacing="1"/>
      <w:ind w:left="0" w:firstLine="0"/>
      <w:jc w:val="left"/>
    </w:pPr>
    <w:rPr>
      <w:rFonts w:ascii="宋体" w:hAnsi="宋体" w:cs="Arial Unicode MS"/>
      <w:kern w:val="0"/>
      <w:sz w:val="22"/>
      <w:szCs w:val="22"/>
    </w:rPr>
  </w:style>
  <w:style w:type="paragraph" w:customStyle="1" w:styleId="208">
    <w:name w:val="tital"/>
    <w:basedOn w:val="120"/>
    <w:qFormat/>
    <w:uiPriority w:val="0"/>
    <w:pPr>
      <w:spacing w:before="180"/>
      <w:ind w:left="0" w:firstLine="0"/>
      <w:jc w:val="left"/>
    </w:pPr>
    <w:rPr>
      <w:rFonts w:ascii="Arial" w:hAnsi="Arial"/>
    </w:rPr>
  </w:style>
  <w:style w:type="paragraph" w:customStyle="1" w:styleId="209">
    <w:name w:val="font7"/>
    <w:basedOn w:val="1"/>
    <w:qFormat/>
    <w:uiPriority w:val="0"/>
    <w:pPr>
      <w:widowControl/>
      <w:spacing w:before="100" w:beforeAutospacing="1" w:after="100" w:afterAutospacing="1"/>
      <w:jc w:val="left"/>
    </w:pPr>
    <w:rPr>
      <w:kern w:val="0"/>
      <w:sz w:val="22"/>
      <w:szCs w:val="22"/>
    </w:rPr>
  </w:style>
  <w:style w:type="paragraph" w:customStyle="1" w:styleId="210">
    <w:name w:val="正文4编0"/>
    <w:basedOn w:val="1"/>
    <w:qFormat/>
    <w:uiPriority w:val="0"/>
    <w:pPr>
      <w:tabs>
        <w:tab w:val="left" w:pos="567"/>
      </w:tabs>
      <w:adjustRightInd w:val="0"/>
      <w:spacing w:line="560" w:lineRule="exact"/>
      <w:textAlignment w:val="baseline"/>
    </w:pPr>
    <w:rPr>
      <w:rFonts w:ascii="宋体" w:hAnsi="Courier New"/>
      <w:kern w:val="0"/>
      <w:sz w:val="28"/>
    </w:rPr>
  </w:style>
  <w:style w:type="paragraph" w:customStyle="1" w:styleId="211">
    <w:name w:val="样式 标题 5 + 行距: 单倍行距"/>
    <w:basedOn w:val="9"/>
    <w:qFormat/>
    <w:uiPriority w:val="0"/>
    <w:pPr>
      <w:tabs>
        <w:tab w:val="left" w:pos="1207"/>
      </w:tabs>
      <w:overflowPunct w:val="0"/>
      <w:spacing w:before="0" w:after="0" w:line="360" w:lineRule="auto"/>
    </w:pPr>
    <w:rPr>
      <w:rFonts w:ascii="Times New Roman" w:eastAsia="宋体" w:cs="宋体"/>
      <w:b w:val="0"/>
      <w:kern w:val="2"/>
      <w:sz w:val="21"/>
    </w:rPr>
  </w:style>
  <w:style w:type="paragraph" w:customStyle="1" w:styleId="212">
    <w:name w:val="样式 正文首行缩进 2 + 行距: 单倍行距 左  3.5 字符"/>
    <w:basedOn w:val="2"/>
    <w:qFormat/>
    <w:uiPriority w:val="0"/>
    <w:pPr>
      <w:overflowPunct w:val="0"/>
      <w:spacing w:line="360" w:lineRule="auto"/>
      <w:ind w:left="840" w:leftChars="350" w:firstLine="420"/>
    </w:pPr>
    <w:rPr>
      <w:rFonts w:ascii="Times New Roman" w:hAnsi="Times New Roman" w:cs="宋体"/>
      <w:sz w:val="21"/>
    </w:rPr>
  </w:style>
  <w:style w:type="paragraph" w:customStyle="1" w:styleId="213">
    <w:name w:val="样式3"/>
    <w:basedOn w:val="49"/>
    <w:qFormat/>
    <w:uiPriority w:val="0"/>
    <w:pPr>
      <w:tabs>
        <w:tab w:val="left" w:pos="1260"/>
        <w:tab w:val="left" w:pos="1440"/>
        <w:tab w:val="right" w:leader="dot" w:pos="9060"/>
        <w:tab w:val="right" w:leader="dot" w:pos="9360"/>
        <w:tab w:val="clear" w:pos="360"/>
        <w:tab w:val="clear" w:pos="840"/>
        <w:tab w:val="clear" w:pos="8640"/>
      </w:tabs>
      <w:adjustRightInd/>
      <w:spacing w:after="120" w:line="360" w:lineRule="atLeast"/>
      <w:ind w:left="720" w:hanging="720" w:hangingChars="300"/>
      <w:jc w:val="center"/>
      <w:textAlignment w:val="auto"/>
    </w:pPr>
    <w:rPr>
      <w:rFonts w:cs="Times New Roman"/>
      <w:b/>
      <w:bCs/>
      <w:caps w:val="0"/>
      <w:color w:val="000000"/>
      <w:kern w:val="2"/>
      <w:sz w:val="28"/>
      <w:szCs w:val="32"/>
    </w:rPr>
  </w:style>
  <w:style w:type="paragraph" w:customStyle="1" w:styleId="21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15">
    <w:name w:val="表名"/>
    <w:basedOn w:val="1"/>
    <w:qFormat/>
    <w:uiPriority w:val="0"/>
    <w:pPr>
      <w:spacing w:line="300" w:lineRule="auto"/>
      <w:jc w:val="center"/>
    </w:pPr>
    <w:rPr>
      <w:rFonts w:ascii="Arial" w:hAnsi="Arial"/>
      <w:b/>
      <w:bCs/>
      <w:sz w:val="36"/>
      <w:szCs w:val="24"/>
    </w:rPr>
  </w:style>
  <w:style w:type="paragraph" w:customStyle="1" w:styleId="216">
    <w:name w:val="Char1 Char Char Char Char Char Char"/>
    <w:basedOn w:val="1"/>
    <w:qFormat/>
    <w:uiPriority w:val="0"/>
    <w:rPr>
      <w:szCs w:val="21"/>
    </w:rPr>
  </w:style>
  <w:style w:type="paragraph" w:customStyle="1" w:styleId="21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rPr>
  </w:style>
  <w:style w:type="paragraph" w:customStyle="1" w:styleId="218">
    <w:name w:val="1.1"/>
    <w:basedOn w:val="1"/>
    <w:next w:val="1"/>
    <w:qFormat/>
    <w:uiPriority w:val="0"/>
    <w:pPr>
      <w:tabs>
        <w:tab w:val="left" w:pos="900"/>
      </w:tabs>
      <w:adjustRightInd w:val="0"/>
      <w:snapToGrid w:val="0"/>
      <w:spacing w:beforeLines="50" w:afterLines="50" w:line="400" w:lineRule="atLeast"/>
      <w:ind w:left="901" w:leftChars="50" w:right="480" w:rightChars="200" w:hanging="901" w:hangingChars="299"/>
      <w:textAlignment w:val="baseline"/>
    </w:pPr>
    <w:rPr>
      <w:b/>
      <w:kern w:val="0"/>
      <w:sz w:val="30"/>
    </w:rPr>
  </w:style>
  <w:style w:type="paragraph" w:customStyle="1" w:styleId="219">
    <w:name w:val="样式 样式 样式 正文首行缩进 2 + 行距: 单倍行距 + 首行缩进:  2 字符1 + 首行缩进:  2 字符"/>
    <w:basedOn w:val="135"/>
    <w:qFormat/>
    <w:uiPriority w:val="0"/>
    <w:pPr>
      <w:ind w:left="240" w:leftChars="100" w:firstLine="1018" w:firstLineChars="485"/>
    </w:pPr>
  </w:style>
  <w:style w:type="paragraph" w:customStyle="1" w:styleId="220">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18"/>
      <w:szCs w:val="18"/>
    </w:rPr>
  </w:style>
  <w:style w:type="paragraph" w:customStyle="1" w:styleId="221">
    <w:name w:val="样式 样式 样式 宋体 小四 行距: 1.5 倍行距 + 首行缩进:  2 字符 + 首行缩进:  2 字符"/>
    <w:basedOn w:val="1"/>
    <w:qFormat/>
    <w:uiPriority w:val="0"/>
    <w:pPr>
      <w:adjustRightInd w:val="0"/>
      <w:snapToGrid w:val="0"/>
      <w:spacing w:line="360" w:lineRule="auto"/>
      <w:ind w:firstLine="200" w:firstLineChars="200"/>
    </w:pPr>
    <w:rPr>
      <w:sz w:val="24"/>
      <w:szCs w:val="24"/>
    </w:rPr>
  </w:style>
  <w:style w:type="paragraph" w:customStyle="1" w:styleId="222">
    <w:name w:val="样式2"/>
    <w:basedOn w:val="1"/>
    <w:link w:val="401"/>
    <w:qFormat/>
    <w:uiPriority w:val="0"/>
    <w:pPr>
      <w:tabs>
        <w:tab w:val="left" w:pos="720"/>
      </w:tabs>
      <w:adjustRightInd w:val="0"/>
      <w:snapToGrid w:val="0"/>
      <w:spacing w:line="360" w:lineRule="auto"/>
      <w:ind w:left="720" w:hanging="720"/>
    </w:pPr>
    <w:rPr>
      <w:sz w:val="28"/>
      <w:szCs w:val="24"/>
    </w:rPr>
  </w:style>
  <w:style w:type="paragraph" w:customStyle="1" w:styleId="223">
    <w:name w:val="Char Char Char Char"/>
    <w:basedOn w:val="1"/>
    <w:qFormat/>
    <w:uiPriority w:val="0"/>
    <w:rPr>
      <w:szCs w:val="24"/>
    </w:rPr>
  </w:style>
  <w:style w:type="paragraph" w:customStyle="1" w:styleId="224">
    <w:name w:val="wang正文"/>
    <w:basedOn w:val="1"/>
    <w:qFormat/>
    <w:uiPriority w:val="99"/>
    <w:pPr>
      <w:tabs>
        <w:tab w:val="left" w:pos="6840"/>
      </w:tabs>
      <w:autoSpaceDE w:val="0"/>
      <w:autoSpaceDN w:val="0"/>
      <w:adjustRightInd w:val="0"/>
      <w:ind w:firstLine="480" w:firstLineChars="200"/>
      <w:jc w:val="left"/>
      <w:textAlignment w:val="baseline"/>
    </w:pPr>
    <w:rPr>
      <w:rFonts w:ascii="宋体"/>
      <w:kern w:val="0"/>
      <w:sz w:val="24"/>
      <w:szCs w:val="24"/>
    </w:rPr>
  </w:style>
  <w:style w:type="paragraph" w:customStyle="1" w:styleId="225">
    <w:name w:val="样式13"/>
    <w:basedOn w:val="1"/>
    <w:qFormat/>
    <w:uiPriority w:val="0"/>
    <w:pPr>
      <w:spacing w:beforeLines="30" w:afterLines="30"/>
    </w:pPr>
    <w:rPr>
      <w:rFonts w:ascii="仿宋_GB2312" w:eastAsia="仿宋_GB2312"/>
      <w:sz w:val="28"/>
      <w:szCs w:val="24"/>
    </w:rPr>
  </w:style>
  <w:style w:type="paragraph" w:customStyle="1" w:styleId="226">
    <w:name w:val="样式 正文左缩5 + 左侧:  5 字符"/>
    <w:basedOn w:val="1"/>
    <w:qFormat/>
    <w:uiPriority w:val="0"/>
    <w:pPr>
      <w:adjustRightInd w:val="0"/>
      <w:spacing w:line="360" w:lineRule="auto"/>
      <w:ind w:left="500" w:leftChars="500"/>
      <w:textAlignment w:val="baseline"/>
    </w:pPr>
    <w:rPr>
      <w:rFonts w:cs="宋体"/>
      <w:sz w:val="24"/>
    </w:rPr>
  </w:style>
  <w:style w:type="paragraph" w:customStyle="1" w:styleId="227">
    <w:name w:val="正文2"/>
    <w:basedOn w:val="1"/>
    <w:qFormat/>
    <w:uiPriority w:val="0"/>
    <w:pPr>
      <w:adjustRightInd w:val="0"/>
      <w:snapToGrid w:val="0"/>
      <w:spacing w:line="360" w:lineRule="auto"/>
      <w:outlineLvl w:val="0"/>
    </w:pPr>
    <w:rPr>
      <w:rFonts w:ascii="Arial" w:hAnsi="Arial" w:cs="Arial"/>
      <w:sz w:val="24"/>
      <w:szCs w:val="24"/>
    </w:rPr>
  </w:style>
  <w:style w:type="paragraph" w:customStyle="1" w:styleId="228">
    <w:name w:val="NN"/>
    <w:basedOn w:val="1"/>
    <w:qFormat/>
    <w:uiPriority w:val="0"/>
    <w:pPr>
      <w:adjustRightInd w:val="0"/>
      <w:spacing w:line="360" w:lineRule="atLeast"/>
      <w:ind w:left="1134"/>
      <w:textAlignment w:val="baseline"/>
    </w:pPr>
    <w:rPr>
      <w:rFonts w:ascii="宋体"/>
      <w:spacing w:val="5"/>
      <w:kern w:val="0"/>
      <w:sz w:val="24"/>
    </w:rPr>
  </w:style>
  <w:style w:type="paragraph" w:customStyle="1" w:styleId="229">
    <w:name w:val="前言正文"/>
    <w:basedOn w:val="114"/>
    <w:qFormat/>
    <w:uiPriority w:val="99"/>
    <w:pPr>
      <w:spacing w:before="0" w:after="0"/>
      <w:jc w:val="both"/>
    </w:pPr>
    <w:rPr>
      <w:sz w:val="24"/>
    </w:rPr>
  </w:style>
  <w:style w:type="paragraph" w:customStyle="1" w:styleId="230">
    <w:name w:val="标题6"/>
    <w:basedOn w:val="1"/>
    <w:qFormat/>
    <w:uiPriority w:val="99"/>
  </w:style>
  <w:style w:type="paragraph" w:customStyle="1" w:styleId="231">
    <w:name w:val="正文格式"/>
    <w:basedOn w:val="1"/>
    <w:qFormat/>
    <w:uiPriority w:val="0"/>
    <w:pPr>
      <w:topLinePunct/>
      <w:ind w:firstLine="420" w:firstLineChars="200"/>
    </w:pPr>
    <w:rPr>
      <w:rFonts w:ascii="宋体" w:hAnsi="宋体"/>
      <w:bCs/>
      <w:szCs w:val="21"/>
    </w:rPr>
  </w:style>
  <w:style w:type="paragraph" w:customStyle="1" w:styleId="232">
    <w:name w:val="样式36"/>
    <w:basedOn w:val="1"/>
    <w:qFormat/>
    <w:uiPriority w:val="99"/>
    <w:rPr>
      <w:rFonts w:eastAsia="华文中宋"/>
      <w:sz w:val="24"/>
      <w:szCs w:val="24"/>
    </w:rPr>
  </w:style>
  <w:style w:type="paragraph" w:customStyle="1" w:styleId="233">
    <w:name w:val="样式 标题 4 + 五号 段前: 2.4 磅 段后: 0 磅 行距: 多倍行距 1.3 字行"/>
    <w:basedOn w:val="8"/>
    <w:qFormat/>
    <w:uiPriority w:val="99"/>
    <w:pPr>
      <w:keepNext/>
      <w:keepLines/>
      <w:snapToGrid w:val="0"/>
      <w:spacing w:before="48" w:after="0" w:line="312" w:lineRule="auto"/>
      <w:jc w:val="left"/>
    </w:pPr>
    <w:rPr>
      <w:rFonts w:ascii="Arial" w:hAnsi="Arial" w:cs="宋体"/>
      <w:bCs/>
      <w:kern w:val="2"/>
    </w:rPr>
  </w:style>
  <w:style w:type="paragraph" w:customStyle="1" w:styleId="234">
    <w:name w:val="抬头"/>
    <w:basedOn w:val="1"/>
    <w:qFormat/>
    <w:uiPriority w:val="0"/>
    <w:pPr>
      <w:adjustRightInd w:val="0"/>
      <w:spacing w:beforeLines="50" w:line="300" w:lineRule="auto"/>
      <w:ind w:left="1260" w:leftChars="525"/>
      <w:textAlignment w:val="baseline"/>
    </w:pPr>
    <w:rPr>
      <w:b/>
      <w:sz w:val="24"/>
    </w:rPr>
  </w:style>
  <w:style w:type="paragraph" w:customStyle="1" w:styleId="235">
    <w:name w:val="批注黑"/>
    <w:basedOn w:val="1"/>
    <w:qFormat/>
    <w:uiPriority w:val="0"/>
    <w:pPr>
      <w:tabs>
        <w:tab w:val="left" w:pos="360"/>
        <w:tab w:val="left" w:pos="784"/>
        <w:tab w:val="left" w:pos="812"/>
        <w:tab w:val="left" w:pos="896"/>
      </w:tabs>
      <w:adjustRightInd w:val="0"/>
      <w:snapToGrid w:val="0"/>
      <w:spacing w:line="300" w:lineRule="auto"/>
      <w:ind w:firstLine="200" w:firstLineChars="200"/>
    </w:pPr>
    <w:rPr>
      <w:rFonts w:hAnsi="Arial"/>
      <w:b/>
      <w:color w:val="000000"/>
      <w:kern w:val="0"/>
      <w:sz w:val="24"/>
    </w:rPr>
  </w:style>
  <w:style w:type="paragraph" w:customStyle="1" w:styleId="236">
    <w:name w:val="注"/>
    <w:basedOn w:val="1"/>
    <w:qFormat/>
    <w:uiPriority w:val="0"/>
    <w:pPr>
      <w:adjustRightInd w:val="0"/>
      <w:spacing w:line="300" w:lineRule="auto"/>
      <w:ind w:left="700" w:leftChars="500" w:hanging="200" w:hangingChars="200"/>
      <w:textAlignment w:val="baseline"/>
    </w:pPr>
    <w:rPr>
      <w:bCs/>
      <w:sz w:val="24"/>
      <w:szCs w:val="24"/>
    </w:rPr>
  </w:style>
  <w:style w:type="paragraph" w:customStyle="1" w:styleId="237">
    <w:name w:val="信封名称"/>
    <w:basedOn w:val="1"/>
    <w:qFormat/>
    <w:uiPriority w:val="0"/>
    <w:pPr>
      <w:adjustRightInd w:val="0"/>
      <w:snapToGrid w:val="0"/>
      <w:spacing w:before="120" w:after="120" w:line="400" w:lineRule="exact"/>
      <w:ind w:firstLine="480" w:firstLineChars="200"/>
      <w:jc w:val="center"/>
      <w:outlineLvl w:val="0"/>
    </w:pPr>
    <w:rPr>
      <w:rFonts w:ascii="Arial" w:hAnsi="Arial" w:eastAsia="华文中宋" w:cs="Arial"/>
      <w:b/>
      <w:sz w:val="32"/>
      <w:szCs w:val="32"/>
    </w:rPr>
  </w:style>
  <w:style w:type="paragraph" w:customStyle="1" w:styleId="238">
    <w:name w:val="目录"/>
    <w:basedOn w:val="1"/>
    <w:qFormat/>
    <w:uiPriority w:val="0"/>
    <w:pPr>
      <w:adjustRightInd w:val="0"/>
      <w:spacing w:beforeLines="100" w:afterLines="50" w:line="360" w:lineRule="auto"/>
      <w:jc w:val="center"/>
      <w:textAlignment w:val="baseline"/>
    </w:pPr>
    <w:rPr>
      <w:b/>
      <w:spacing w:val="160"/>
      <w:sz w:val="44"/>
      <w:szCs w:val="32"/>
    </w:rPr>
  </w:style>
  <w:style w:type="paragraph" w:customStyle="1" w:styleId="239">
    <w:name w:val="样式 标题 5 + 蓝色 行距: 单倍行距"/>
    <w:basedOn w:val="9"/>
    <w:qFormat/>
    <w:uiPriority w:val="0"/>
    <w:pPr>
      <w:tabs>
        <w:tab w:val="left" w:pos="1207"/>
      </w:tabs>
      <w:overflowPunct w:val="0"/>
      <w:spacing w:before="0" w:after="0" w:line="360" w:lineRule="auto"/>
    </w:pPr>
    <w:rPr>
      <w:rFonts w:ascii="Times New Roman" w:eastAsia="宋体" w:cs="宋体"/>
      <w:b w:val="0"/>
      <w:kern w:val="2"/>
      <w:sz w:val="21"/>
    </w:rPr>
  </w:style>
  <w:style w:type="paragraph" w:customStyle="1" w:styleId="240">
    <w:name w:val="样式 标题 3 + 加粗 段前: 0.25 行 行距: 单倍行距1"/>
    <w:basedOn w:val="7"/>
    <w:qFormat/>
    <w:uiPriority w:val="0"/>
    <w:pPr>
      <w:widowControl w:val="0"/>
      <w:tabs>
        <w:tab w:val="left" w:pos="720"/>
      </w:tabs>
      <w:overflowPunct w:val="0"/>
      <w:snapToGrid/>
      <w:spacing w:beforeLines="25" w:line="360" w:lineRule="auto"/>
      <w:jc w:val="both"/>
    </w:pPr>
    <w:rPr>
      <w:rFonts w:cs="宋体"/>
      <w:b/>
      <w:bCs/>
      <w:kern w:val="2"/>
    </w:rPr>
  </w:style>
  <w:style w:type="paragraph" w:customStyle="1" w:styleId="241">
    <w:name w:val="样式 正文文本缩进 + 行距: 单倍行距"/>
    <w:basedOn w:val="3"/>
    <w:qFormat/>
    <w:uiPriority w:val="0"/>
    <w:pPr>
      <w:overflowPunct w:val="0"/>
      <w:spacing w:line="360" w:lineRule="auto"/>
      <w:ind w:left="1667" w:hanging="459"/>
      <w:jc w:val="both"/>
    </w:pPr>
    <w:rPr>
      <w:rFonts w:ascii="Times New Roman" w:cs="宋体"/>
      <w:color w:val="auto"/>
      <w:kern w:val="2"/>
      <w:sz w:val="21"/>
    </w:rPr>
  </w:style>
  <w:style w:type="paragraph" w:customStyle="1" w:styleId="242">
    <w:name w:val="表2"/>
    <w:basedOn w:val="1"/>
    <w:qFormat/>
    <w:uiPriority w:val="0"/>
    <w:pPr>
      <w:widowControl/>
      <w:autoSpaceDE w:val="0"/>
      <w:autoSpaceDN w:val="0"/>
      <w:adjustRightInd w:val="0"/>
      <w:snapToGrid w:val="0"/>
      <w:spacing w:beforeLines="30" w:afterLines="30"/>
      <w:jc w:val="center"/>
      <w:textAlignment w:val="bottom"/>
    </w:pPr>
    <w:rPr>
      <w:rFonts w:ascii="Arial" w:hAnsi="Arial" w:cs="Arial"/>
      <w:sz w:val="24"/>
      <w:szCs w:val="24"/>
    </w:rPr>
  </w:style>
  <w:style w:type="paragraph" w:customStyle="1" w:styleId="243">
    <w:name w:val="a)"/>
    <w:basedOn w:val="10"/>
    <w:qFormat/>
    <w:uiPriority w:val="0"/>
    <w:pPr>
      <w:spacing w:before="0" w:after="0" w:line="360" w:lineRule="auto"/>
      <w:ind w:left="700" w:leftChars="500" w:hanging="200" w:hangingChars="200"/>
    </w:pPr>
    <w:rPr>
      <w:rFonts w:ascii="宋体" w:hAnsi="宋体" w:eastAsia="宋体"/>
      <w:b w:val="0"/>
      <w:bCs/>
      <w:szCs w:val="24"/>
    </w:rPr>
  </w:style>
  <w:style w:type="paragraph" w:customStyle="1" w:styleId="244">
    <w:name w:val="正文文本 211"/>
    <w:basedOn w:val="1"/>
    <w:qFormat/>
    <w:uiPriority w:val="99"/>
    <w:pPr>
      <w:adjustRightInd w:val="0"/>
      <w:spacing w:line="430" w:lineRule="exact"/>
      <w:textAlignment w:val="baseline"/>
    </w:pPr>
    <w:rPr>
      <w:rFonts w:eastAsia="楷体_GB2312"/>
    </w:rPr>
  </w:style>
  <w:style w:type="paragraph" w:customStyle="1" w:styleId="245">
    <w:name w:val="样式 标题 3 + 加粗"/>
    <w:basedOn w:val="7"/>
    <w:qFormat/>
    <w:uiPriority w:val="0"/>
    <w:pPr>
      <w:widowControl w:val="0"/>
      <w:tabs>
        <w:tab w:val="left" w:pos="720"/>
      </w:tabs>
      <w:overflowPunct w:val="0"/>
      <w:snapToGrid/>
      <w:spacing w:beforeLines="25" w:line="360" w:lineRule="auto"/>
      <w:jc w:val="both"/>
    </w:pPr>
    <w:rPr>
      <w:b/>
      <w:bCs/>
      <w:kern w:val="2"/>
      <w:szCs w:val="24"/>
    </w:rPr>
  </w:style>
  <w:style w:type="paragraph" w:customStyle="1" w:styleId="246">
    <w:name w:val="样式 正文首行缩进 2 + 左侧:  2.13 厘米 行距: 单倍行距"/>
    <w:basedOn w:val="2"/>
    <w:qFormat/>
    <w:uiPriority w:val="0"/>
    <w:pPr>
      <w:overflowPunct w:val="0"/>
      <w:spacing w:line="360" w:lineRule="auto"/>
      <w:ind w:left="1207" w:firstLine="480" w:firstLineChars="200"/>
    </w:pPr>
    <w:rPr>
      <w:rFonts w:ascii="Times New Roman" w:hAnsi="Times New Roman" w:cs="宋体"/>
      <w:sz w:val="21"/>
    </w:rPr>
  </w:style>
  <w:style w:type="paragraph" w:customStyle="1" w:styleId="247">
    <w:name w:val="bf"/>
    <w:basedOn w:val="1"/>
    <w:qFormat/>
    <w:uiPriority w:val="0"/>
    <w:pPr>
      <w:tabs>
        <w:tab w:val="left" w:leader="underscore" w:pos="0"/>
      </w:tabs>
      <w:autoSpaceDE w:val="0"/>
      <w:autoSpaceDN w:val="0"/>
      <w:adjustRightInd w:val="0"/>
      <w:spacing w:before="480" w:after="240" w:line="360" w:lineRule="atLeast"/>
      <w:jc w:val="center"/>
      <w:textAlignment w:val="baseline"/>
    </w:pPr>
    <w:rPr>
      <w:rFonts w:ascii="黑体" w:eastAsia="黑体"/>
      <w:kern w:val="0"/>
      <w:sz w:val="36"/>
    </w:rPr>
  </w:style>
  <w:style w:type="paragraph" w:customStyle="1" w:styleId="248">
    <w:name w:val="表格1"/>
    <w:basedOn w:val="1"/>
    <w:qFormat/>
    <w:uiPriority w:val="0"/>
    <w:pPr>
      <w:adjustRightInd w:val="0"/>
      <w:spacing w:line="400" w:lineRule="exact"/>
      <w:textAlignment w:val="baseline"/>
    </w:pPr>
    <w:rPr>
      <w:rFonts w:ascii="宋体" w:hAnsi="宋体"/>
    </w:rPr>
  </w:style>
  <w:style w:type="paragraph" w:customStyle="1" w:styleId="249">
    <w:name w:val="样式 签字 + 行距: 单倍行距"/>
    <w:basedOn w:val="152"/>
    <w:qFormat/>
    <w:uiPriority w:val="0"/>
    <w:pPr>
      <w:spacing w:beforeLines="50" w:afterLines="50" w:line="360" w:lineRule="auto"/>
      <w:ind w:left="901" w:leftChars="375"/>
    </w:pPr>
    <w:rPr>
      <w:rFonts w:cs="宋体"/>
      <w:szCs w:val="24"/>
    </w:rPr>
  </w:style>
  <w:style w:type="paragraph" w:customStyle="1" w:styleId="250">
    <w:name w:val="样式 正文首行缩进 2 + 左侧:  0 厘米 行距: 单倍行距"/>
    <w:basedOn w:val="2"/>
    <w:qFormat/>
    <w:uiPriority w:val="0"/>
    <w:pPr>
      <w:overflowPunct w:val="0"/>
      <w:spacing w:line="360" w:lineRule="auto"/>
      <w:ind w:left="0" w:firstLine="1260" w:firstLineChars="525"/>
    </w:pPr>
    <w:rPr>
      <w:rFonts w:ascii="Times New Roman" w:hAnsi="Times New Roman" w:cs="宋体"/>
      <w:sz w:val="21"/>
    </w:rPr>
  </w:style>
  <w:style w:type="paragraph" w:customStyle="1" w:styleId="251">
    <w:name w:val="样式 标题 3 + 宋体 加粗 黑色"/>
    <w:basedOn w:val="7"/>
    <w:qFormat/>
    <w:uiPriority w:val="0"/>
    <w:pPr>
      <w:widowControl w:val="0"/>
      <w:tabs>
        <w:tab w:val="left" w:pos="720"/>
      </w:tabs>
      <w:overflowPunct w:val="0"/>
      <w:snapToGrid/>
      <w:spacing w:beforeLines="25" w:line="360" w:lineRule="auto"/>
      <w:jc w:val="both"/>
    </w:pPr>
    <w:rPr>
      <w:rFonts w:ascii="宋体" w:hAnsi="宋体"/>
      <w:b/>
      <w:bCs/>
      <w:color w:val="000000"/>
      <w:kern w:val="2"/>
      <w:szCs w:val="24"/>
    </w:rPr>
  </w:style>
  <w:style w:type="paragraph" w:customStyle="1" w:styleId="252">
    <w:name w:val="小四表格"/>
    <w:basedOn w:val="1"/>
    <w:qFormat/>
    <w:uiPriority w:val="0"/>
    <w:pPr>
      <w:adjustRightInd w:val="0"/>
      <w:snapToGrid w:val="0"/>
      <w:spacing w:line="440" w:lineRule="exact"/>
      <w:jc w:val="center"/>
    </w:pPr>
    <w:rPr>
      <w:rFonts w:hAnsi="Arial"/>
      <w:kern w:val="0"/>
    </w:rPr>
  </w:style>
  <w:style w:type="paragraph" w:customStyle="1" w:styleId="253">
    <w:name w:val="注悬"/>
    <w:qFormat/>
    <w:uiPriority w:val="0"/>
    <w:pPr>
      <w:widowControl w:val="0"/>
      <w:spacing w:afterLines="50" w:line="300" w:lineRule="auto"/>
      <w:ind w:hanging="200" w:hangingChars="200"/>
      <w:jc w:val="both"/>
    </w:pPr>
    <w:rPr>
      <w:rFonts w:ascii="Arial" w:hAnsi="Arial" w:eastAsia="宋体" w:cs="Times New Roman"/>
      <w:color w:val="000000"/>
      <w:kern w:val="2"/>
      <w:sz w:val="21"/>
      <w:szCs w:val="21"/>
      <w:lang w:val="en-US" w:eastAsia="zh-CN" w:bidi="ar-SA"/>
    </w:rPr>
  </w:style>
  <w:style w:type="paragraph" w:customStyle="1" w:styleId="254">
    <w:name w:val="样式 正文首行缩进 2 + 蓝色 行距: 单倍行距1"/>
    <w:basedOn w:val="2"/>
    <w:qFormat/>
    <w:uiPriority w:val="0"/>
    <w:pPr>
      <w:overflowPunct w:val="0"/>
      <w:spacing w:line="360" w:lineRule="auto"/>
      <w:ind w:firstLine="480" w:firstLineChars="200"/>
    </w:pPr>
    <w:rPr>
      <w:rFonts w:ascii="Times New Roman" w:hAnsi="Times New Roman"/>
    </w:rPr>
  </w:style>
  <w:style w:type="paragraph" w:customStyle="1" w:styleId="255">
    <w:name w:val="图名"/>
    <w:basedOn w:val="1"/>
    <w:qFormat/>
    <w:uiPriority w:val="0"/>
    <w:pPr>
      <w:spacing w:line="300" w:lineRule="auto"/>
      <w:jc w:val="center"/>
    </w:pPr>
    <w:rPr>
      <w:rFonts w:ascii="Arial" w:hAnsi="Arial"/>
      <w:color w:val="000000"/>
      <w:szCs w:val="21"/>
    </w:rPr>
  </w:style>
  <w:style w:type="paragraph" w:customStyle="1" w:styleId="256">
    <w:name w:val="样式 正文首行缩进 2 + 行距: 单倍行距 左  8.03 字符"/>
    <w:basedOn w:val="2"/>
    <w:qFormat/>
    <w:uiPriority w:val="0"/>
    <w:pPr>
      <w:overflowPunct w:val="0"/>
      <w:spacing w:line="360" w:lineRule="auto"/>
      <w:ind w:left="1927" w:leftChars="803" w:firstLine="480" w:firstLineChars="200"/>
    </w:pPr>
    <w:rPr>
      <w:rFonts w:ascii="Times New Roman" w:hAnsi="Times New Roman" w:cs="宋体"/>
      <w:sz w:val="21"/>
    </w:rPr>
  </w:style>
  <w:style w:type="paragraph" w:customStyle="1" w:styleId="257">
    <w:name w:val="6"/>
    <w:basedOn w:val="1"/>
    <w:qFormat/>
    <w:uiPriority w:val="0"/>
    <w:pPr>
      <w:widowControl/>
      <w:adjustRightInd w:val="0"/>
      <w:snapToGrid w:val="0"/>
      <w:spacing w:line="460" w:lineRule="exact"/>
      <w:ind w:left="1665" w:leftChars="702" w:hanging="12" w:hangingChars="5"/>
    </w:pPr>
    <w:rPr>
      <w:b/>
      <w:bCs/>
      <w:kern w:val="0"/>
      <w:sz w:val="24"/>
    </w:rPr>
  </w:style>
  <w:style w:type="paragraph" w:customStyle="1" w:styleId="258">
    <w:name w:val="样式 正文首行缩进 2 + 左侧:  1.39 厘米 行距: 单倍行距"/>
    <w:basedOn w:val="2"/>
    <w:qFormat/>
    <w:uiPriority w:val="0"/>
    <w:pPr>
      <w:overflowPunct w:val="0"/>
      <w:spacing w:line="360" w:lineRule="auto"/>
      <w:ind w:left="788" w:firstLine="420"/>
    </w:pPr>
    <w:rPr>
      <w:rFonts w:ascii="Times New Roman" w:hAnsi="Times New Roman" w:cs="宋体"/>
      <w:sz w:val="21"/>
    </w:rPr>
  </w:style>
  <w:style w:type="paragraph" w:customStyle="1" w:styleId="259">
    <w:name w:val="注左6"/>
    <w:basedOn w:val="1"/>
    <w:qFormat/>
    <w:uiPriority w:val="0"/>
    <w:pPr>
      <w:spacing w:line="300" w:lineRule="auto"/>
      <w:ind w:left="950" w:leftChars="600" w:hanging="350" w:hangingChars="350"/>
    </w:pPr>
    <w:rPr>
      <w:rFonts w:hAnsi="Arial"/>
      <w:bCs/>
      <w:color w:val="000000"/>
      <w:szCs w:val="24"/>
    </w:rPr>
  </w:style>
  <w:style w:type="paragraph" w:customStyle="1" w:styleId="260">
    <w:name w:val="LL1"/>
    <w:basedOn w:val="1"/>
    <w:qFormat/>
    <w:uiPriority w:val="0"/>
    <w:pPr>
      <w:adjustRightInd w:val="0"/>
      <w:spacing w:before="60" w:after="60" w:line="360" w:lineRule="atLeast"/>
      <w:ind w:left="1843"/>
      <w:textAlignment w:val="baseline"/>
    </w:pPr>
    <w:rPr>
      <w:rFonts w:ascii="宋体"/>
      <w:spacing w:val="5"/>
      <w:kern w:val="0"/>
      <w:sz w:val="24"/>
    </w:rPr>
  </w:style>
  <w:style w:type="paragraph" w:customStyle="1" w:styleId="261">
    <w:name w:val="D2"/>
    <w:basedOn w:val="1"/>
    <w:qFormat/>
    <w:uiPriority w:val="0"/>
    <w:pPr>
      <w:adjustRightInd w:val="0"/>
      <w:spacing w:line="360" w:lineRule="atLeast"/>
      <w:ind w:left="3572" w:hanging="680"/>
      <w:textAlignment w:val="baseline"/>
    </w:pPr>
    <w:rPr>
      <w:rFonts w:ascii="宋体"/>
      <w:spacing w:val="5"/>
      <w:kern w:val="0"/>
      <w:sz w:val="24"/>
    </w:rPr>
  </w:style>
  <w:style w:type="paragraph" w:customStyle="1" w:styleId="262">
    <w:name w:val="1.1.1.1A-1-a"/>
    <w:basedOn w:val="173"/>
    <w:qFormat/>
    <w:uiPriority w:val="0"/>
    <w:pPr>
      <w:tabs>
        <w:tab w:val="clear" w:pos="1985"/>
      </w:tabs>
      <w:ind w:left="2410"/>
    </w:pPr>
    <w:rPr>
      <w:rFonts w:cs="Times New Roman"/>
      <w:szCs w:val="20"/>
    </w:rPr>
  </w:style>
  <w:style w:type="paragraph" w:customStyle="1" w:styleId="263">
    <w:name w:val="Char1"/>
    <w:basedOn w:val="1"/>
    <w:qFormat/>
    <w:uiPriority w:val="0"/>
    <w:rPr>
      <w:szCs w:val="21"/>
    </w:rPr>
  </w:style>
  <w:style w:type="paragraph" w:customStyle="1" w:styleId="264">
    <w:name w:val="样式 标题 5 + 宋体 行距: 单倍行距"/>
    <w:basedOn w:val="9"/>
    <w:qFormat/>
    <w:uiPriority w:val="0"/>
    <w:pPr>
      <w:tabs>
        <w:tab w:val="left" w:pos="1207"/>
      </w:tabs>
      <w:overflowPunct w:val="0"/>
      <w:spacing w:before="0" w:after="0" w:line="360" w:lineRule="auto"/>
      <w:ind w:left="1208"/>
    </w:pPr>
    <w:rPr>
      <w:rFonts w:ascii="宋体" w:hAnsi="宋体" w:eastAsia="宋体" w:cs="宋体"/>
      <w:b w:val="0"/>
      <w:kern w:val="2"/>
      <w:sz w:val="21"/>
    </w:rPr>
  </w:style>
  <w:style w:type="paragraph" w:customStyle="1" w:styleId="265">
    <w:name w:val="批注"/>
    <w:basedOn w:val="1"/>
    <w:qFormat/>
    <w:uiPriority w:val="0"/>
    <w:pPr>
      <w:tabs>
        <w:tab w:val="left" w:pos="660"/>
        <w:tab w:val="left" w:pos="1200"/>
      </w:tabs>
      <w:adjustRightInd w:val="0"/>
      <w:snapToGrid w:val="0"/>
      <w:spacing w:line="440" w:lineRule="exact"/>
      <w:ind w:left="660" w:hanging="420"/>
      <w:jc w:val="center"/>
    </w:pPr>
    <w:rPr>
      <w:rFonts w:hAnsi="Arial"/>
      <w:b/>
      <w:bCs/>
      <w:sz w:val="36"/>
    </w:rPr>
  </w:style>
  <w:style w:type="paragraph" w:customStyle="1" w:styleId="266">
    <w:name w:val="xl48"/>
    <w:basedOn w:val="1"/>
    <w:qFormat/>
    <w:uiPriority w:val="0"/>
    <w:pPr>
      <w:widowControl/>
      <w:pBdr>
        <w:left w:val="single" w:color="auto" w:sz="12" w:space="0"/>
        <w:bottom w:val="single" w:color="auto" w:sz="4" w:space="0"/>
        <w:right w:val="single" w:color="auto" w:sz="4" w:space="0"/>
      </w:pBdr>
      <w:spacing w:before="100" w:beforeAutospacing="1" w:after="100" w:afterAutospacing="1"/>
      <w:textAlignment w:val="center"/>
    </w:pPr>
    <w:rPr>
      <w:rFonts w:ascii="宋体" w:hAnsi="宋体"/>
      <w:b/>
      <w:bCs/>
      <w:color w:val="000000"/>
      <w:kern w:val="0"/>
      <w:sz w:val="28"/>
      <w:szCs w:val="28"/>
    </w:rPr>
  </w:style>
  <w:style w:type="paragraph" w:customStyle="1" w:styleId="267">
    <w:name w:val="样式 抬头 + 行距: 单倍行距"/>
    <w:basedOn w:val="234"/>
    <w:qFormat/>
    <w:uiPriority w:val="0"/>
    <w:pPr>
      <w:spacing w:line="360" w:lineRule="auto"/>
    </w:pPr>
    <w:rPr>
      <w:rFonts w:cs="宋体"/>
      <w:bCs/>
    </w:rPr>
  </w:style>
  <w:style w:type="paragraph" w:customStyle="1" w:styleId="268">
    <w:name w:val="封面标题3"/>
    <w:basedOn w:val="187"/>
    <w:qFormat/>
    <w:uiPriority w:val="0"/>
    <w:rPr>
      <w:sz w:val="84"/>
    </w:rPr>
  </w:style>
  <w:style w:type="paragraph" w:customStyle="1" w:styleId="269">
    <w:name w:val="xl50"/>
    <w:basedOn w:val="1"/>
    <w:qFormat/>
    <w:uiPriority w:val="0"/>
    <w:pPr>
      <w:widowControl/>
      <w:pBdr>
        <w:bottom w:val="single" w:color="auto" w:sz="12"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70">
    <w:name w:val="样式 (中文) 黑体 加粗"/>
    <w:basedOn w:val="1"/>
    <w:qFormat/>
    <w:uiPriority w:val="0"/>
    <w:pPr>
      <w:adjustRightInd w:val="0"/>
      <w:spacing w:line="360" w:lineRule="auto"/>
      <w:ind w:firstLine="482" w:firstLineChars="200"/>
      <w:textAlignment w:val="baseline"/>
    </w:pPr>
    <w:rPr>
      <w:rFonts w:eastAsia="黑体" w:cs="宋体"/>
      <w:b/>
      <w:bCs/>
      <w:sz w:val="24"/>
    </w:rPr>
  </w:style>
  <w:style w:type="paragraph" w:customStyle="1" w:styleId="271">
    <w:name w:val="样式 样式 样式 正文首行缩进 2 + 行距: 单倍行距 + 首行缩进:  2 字符1 + 首行缩进:  2 字符2"/>
    <w:basedOn w:val="135"/>
    <w:qFormat/>
    <w:uiPriority w:val="0"/>
    <w:pPr>
      <w:ind w:left="200" w:leftChars="200"/>
    </w:pPr>
  </w:style>
  <w:style w:type="paragraph" w:customStyle="1" w:styleId="272">
    <w:name w:val="表内文字"/>
    <w:basedOn w:val="149"/>
    <w:qFormat/>
    <w:uiPriority w:val="0"/>
    <w:pPr>
      <w:spacing w:line="400" w:lineRule="exact"/>
      <w:jc w:val="both"/>
    </w:pPr>
    <w:rPr>
      <w:rFonts w:ascii="Arial" w:hAnsi="Arial"/>
      <w:kern w:val="0"/>
      <w:szCs w:val="24"/>
    </w:rPr>
  </w:style>
  <w:style w:type="paragraph" w:customStyle="1" w:styleId="273">
    <w:name w:val="标书表格"/>
    <w:basedOn w:val="1"/>
    <w:qFormat/>
    <w:uiPriority w:val="0"/>
    <w:pPr>
      <w:adjustRightInd w:val="0"/>
      <w:snapToGrid w:val="0"/>
      <w:spacing w:before="20" w:after="20" w:line="280" w:lineRule="exact"/>
      <w:jc w:val="center"/>
    </w:pPr>
    <w:rPr>
      <w:rFonts w:ascii="Arial" w:hAnsi="Arial"/>
      <w:kern w:val="0"/>
      <w:szCs w:val="21"/>
    </w:rPr>
  </w:style>
  <w:style w:type="paragraph" w:customStyle="1" w:styleId="274">
    <w:name w:val="样式 标题 4 +1"/>
    <w:basedOn w:val="8"/>
    <w:qFormat/>
    <w:uiPriority w:val="0"/>
    <w:pPr>
      <w:tabs>
        <w:tab w:val="left" w:pos="960"/>
        <w:tab w:val="left" w:pos="1440"/>
      </w:tabs>
      <w:adjustRightInd/>
      <w:spacing w:before="0" w:after="0" w:line="300" w:lineRule="auto"/>
      <w:ind w:left="500" w:hanging="500" w:hangingChars="500"/>
      <w:textAlignment w:val="auto"/>
    </w:pPr>
    <w:rPr>
      <w:rFonts w:ascii="Arial" w:hAnsi="Arial"/>
      <w:color w:val="000000"/>
      <w:sz w:val="24"/>
      <w:szCs w:val="24"/>
    </w:rPr>
  </w:style>
  <w:style w:type="paragraph" w:customStyle="1" w:styleId="275">
    <w:name w:val="表内小字"/>
    <w:basedOn w:val="1"/>
    <w:qFormat/>
    <w:uiPriority w:val="0"/>
    <w:pPr>
      <w:spacing w:line="40" w:lineRule="atLeast"/>
      <w:jc w:val="center"/>
    </w:pPr>
    <w:rPr>
      <w:rFonts w:ascii="Arial" w:hAnsi="Arial"/>
      <w:color w:val="000000"/>
      <w:sz w:val="18"/>
      <w:szCs w:val="18"/>
    </w:rPr>
  </w:style>
  <w:style w:type="paragraph" w:customStyle="1" w:styleId="276">
    <w:name w:val="样式 正文左缩5 + 左侧:  5 字符 行距: 固定值 22 磅"/>
    <w:basedOn w:val="1"/>
    <w:qFormat/>
    <w:uiPriority w:val="0"/>
    <w:pPr>
      <w:spacing w:line="300" w:lineRule="auto"/>
      <w:ind w:left="500"/>
      <w:jc w:val="center"/>
    </w:pPr>
    <w:rPr>
      <w:rFonts w:hAnsi="Arial"/>
      <w:b/>
      <w:bCs/>
      <w:sz w:val="36"/>
    </w:rPr>
  </w:style>
  <w:style w:type="paragraph" w:customStyle="1" w:styleId="277">
    <w:name w:val="biao"/>
    <w:basedOn w:val="154"/>
    <w:qFormat/>
    <w:uiPriority w:val="0"/>
    <w:pPr>
      <w:tabs>
        <w:tab w:val="left" w:pos="0"/>
      </w:tabs>
      <w:ind w:left="0" w:firstLine="0"/>
    </w:pPr>
    <w:rPr>
      <w:sz w:val="24"/>
    </w:rPr>
  </w:style>
  <w:style w:type="paragraph" w:customStyle="1" w:styleId="278">
    <w:name w:val="1.1.1.1A-1-n"/>
    <w:basedOn w:val="173"/>
    <w:qFormat/>
    <w:uiPriority w:val="0"/>
    <w:pPr>
      <w:tabs>
        <w:tab w:val="clear" w:pos="1985"/>
      </w:tabs>
      <w:ind w:firstLine="0"/>
    </w:pPr>
    <w:rPr>
      <w:rFonts w:ascii="宋体" w:hAnsi="Times New Roman" w:cs="Times New Roman"/>
      <w:szCs w:val="20"/>
    </w:rPr>
  </w:style>
  <w:style w:type="paragraph" w:customStyle="1" w:styleId="279">
    <w:name w:val="修订1"/>
    <w:qFormat/>
    <w:uiPriority w:val="0"/>
    <w:rPr>
      <w:rFonts w:ascii="Times New Roman" w:hAnsi="Times New Roman" w:eastAsia="宋体" w:cs="Times New Roman"/>
      <w:kern w:val="2"/>
      <w:sz w:val="24"/>
      <w:szCs w:val="24"/>
      <w:lang w:val="en-US" w:eastAsia="zh-CN" w:bidi="ar-SA"/>
    </w:rPr>
  </w:style>
  <w:style w:type="paragraph" w:customStyle="1" w:styleId="280">
    <w:name w:val="BT1"/>
    <w:basedOn w:val="129"/>
    <w:qFormat/>
    <w:uiPriority w:val="0"/>
    <w:pPr>
      <w:tabs>
        <w:tab w:val="left" w:pos="1134"/>
      </w:tabs>
      <w:spacing w:before="240" w:after="240"/>
      <w:jc w:val="both"/>
    </w:pPr>
    <w:rPr>
      <w:rFonts w:ascii="黑体" w:eastAsia="黑体"/>
      <w:sz w:val="28"/>
    </w:rPr>
  </w:style>
  <w:style w:type="paragraph" w:customStyle="1" w:styleId="281">
    <w:name w:val="BT"/>
    <w:basedOn w:val="1"/>
    <w:qFormat/>
    <w:uiPriority w:val="0"/>
    <w:pPr>
      <w:adjustRightInd w:val="0"/>
      <w:spacing w:before="360" w:after="360" w:line="312" w:lineRule="atLeast"/>
      <w:jc w:val="center"/>
      <w:textAlignment w:val="baseline"/>
    </w:pPr>
    <w:rPr>
      <w:rFonts w:ascii="宋体"/>
      <w:b/>
      <w:kern w:val="0"/>
      <w:sz w:val="36"/>
    </w:rPr>
  </w:style>
  <w:style w:type="paragraph" w:customStyle="1" w:styleId="282">
    <w:name w:val="ww"/>
    <w:basedOn w:val="146"/>
    <w:qFormat/>
    <w:uiPriority w:val="0"/>
    <w:pPr>
      <w:ind w:left="1843" w:hanging="284"/>
    </w:pPr>
  </w:style>
  <w:style w:type="paragraph" w:customStyle="1" w:styleId="283">
    <w:name w:val="--"/>
    <w:basedOn w:val="146"/>
    <w:qFormat/>
    <w:uiPriority w:val="0"/>
    <w:pPr>
      <w:ind w:left="2041" w:hanging="227"/>
    </w:pPr>
  </w:style>
  <w:style w:type="paragraph" w:customStyle="1" w:styleId="284">
    <w:name w:val="1.1.1.1N"/>
    <w:basedOn w:val="113"/>
    <w:qFormat/>
    <w:uiPriority w:val="0"/>
    <w:pPr>
      <w:tabs>
        <w:tab w:val="clear" w:pos="900"/>
        <w:tab w:val="clear" w:pos="1134"/>
      </w:tabs>
      <w:snapToGrid/>
      <w:spacing w:line="360" w:lineRule="atLeast"/>
      <w:ind w:left="1134" w:leftChars="0" w:right="0"/>
    </w:pPr>
    <w:rPr>
      <w:rFonts w:ascii="宋体" w:hAnsi="Times New Roman"/>
    </w:rPr>
  </w:style>
  <w:style w:type="paragraph" w:customStyle="1" w:styleId="285">
    <w:name w:val="表格内容"/>
    <w:basedOn w:val="1"/>
    <w:qFormat/>
    <w:uiPriority w:val="0"/>
    <w:pPr>
      <w:snapToGrid w:val="0"/>
      <w:spacing w:line="320" w:lineRule="exact"/>
      <w:jc w:val="center"/>
    </w:pPr>
    <w:rPr>
      <w:sz w:val="18"/>
      <w:szCs w:val="21"/>
    </w:rPr>
  </w:style>
  <w:style w:type="paragraph" w:customStyle="1" w:styleId="286">
    <w:name w:val="纯文本1"/>
    <w:basedOn w:val="1"/>
    <w:qFormat/>
    <w:uiPriority w:val="99"/>
    <w:pPr>
      <w:autoSpaceDE w:val="0"/>
      <w:autoSpaceDN w:val="0"/>
      <w:adjustRightInd w:val="0"/>
      <w:spacing w:line="460" w:lineRule="exact"/>
      <w:ind w:firstLine="539"/>
      <w:textAlignment w:val="baseline"/>
    </w:pPr>
    <w:rPr>
      <w:rFonts w:ascii="宋体"/>
      <w:sz w:val="28"/>
    </w:rPr>
  </w:style>
  <w:style w:type="paragraph" w:customStyle="1" w:styleId="287">
    <w:name w:val="正文5"/>
    <w:basedOn w:val="1"/>
    <w:qFormat/>
    <w:uiPriority w:val="0"/>
    <w:pPr>
      <w:spacing w:line="360" w:lineRule="auto"/>
      <w:ind w:left="500" w:leftChars="500"/>
    </w:pPr>
    <w:rPr>
      <w:rFonts w:ascii="宋体"/>
      <w:sz w:val="24"/>
      <w:szCs w:val="24"/>
    </w:rPr>
  </w:style>
  <w:style w:type="paragraph" w:customStyle="1" w:styleId="288">
    <w:name w:val="列出段落1"/>
    <w:basedOn w:val="1"/>
    <w:qFormat/>
    <w:uiPriority w:val="0"/>
    <w:pPr>
      <w:adjustRightInd w:val="0"/>
      <w:spacing w:line="360" w:lineRule="atLeast"/>
      <w:ind w:firstLine="420" w:firstLineChars="200"/>
      <w:textAlignment w:val="baseline"/>
    </w:pPr>
    <w:rPr>
      <w:sz w:val="24"/>
      <w:szCs w:val="24"/>
    </w:rPr>
  </w:style>
  <w:style w:type="paragraph" w:customStyle="1" w:styleId="289">
    <w:name w:val="报告正文"/>
    <w:basedOn w:val="1"/>
    <w:qFormat/>
    <w:uiPriority w:val="0"/>
    <w:pPr>
      <w:adjustRightInd w:val="0"/>
      <w:spacing w:after="120" w:line="360" w:lineRule="auto"/>
      <w:ind w:firstLine="480" w:firstLineChars="200"/>
    </w:pPr>
    <w:rPr>
      <w:rFonts w:ascii="宋体" w:hAnsi="Courier New"/>
      <w:color w:val="000000"/>
      <w:sz w:val="24"/>
      <w:szCs w:val="24"/>
    </w:rPr>
  </w:style>
  <w:style w:type="paragraph" w:customStyle="1" w:styleId="290">
    <w:name w:val="4 Char"/>
    <w:basedOn w:val="1"/>
    <w:qFormat/>
    <w:uiPriority w:val="99"/>
    <w:rPr>
      <w:rFonts w:eastAsia="仿宋_GB2312"/>
      <w:sz w:val="32"/>
      <w:szCs w:val="32"/>
    </w:rPr>
  </w:style>
  <w:style w:type="paragraph" w:customStyle="1" w:styleId="291">
    <w:name w:val="s24qjli1560sb60sa60sl360"/>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292">
    <w:name w:val="正文3"/>
    <w:link w:val="476"/>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1"/>
      <w:lang w:val="en-US" w:eastAsia="zh-CN" w:bidi="ar-SA"/>
    </w:rPr>
  </w:style>
  <w:style w:type="paragraph" w:customStyle="1" w:styleId="293">
    <w:name w:val="2"/>
    <w:basedOn w:val="1"/>
    <w:next w:val="1"/>
    <w:qFormat/>
    <w:uiPriority w:val="0"/>
    <w:pPr>
      <w:spacing w:line="540" w:lineRule="exact"/>
      <w:ind w:firstLine="510"/>
    </w:pPr>
    <w:rPr>
      <w:rFonts w:hAnsi="Arial"/>
      <w:bCs/>
      <w:color w:val="000000"/>
      <w:sz w:val="24"/>
    </w:rPr>
  </w:style>
  <w:style w:type="paragraph" w:customStyle="1" w:styleId="294">
    <w:name w:val="_Style 24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95">
    <w:name w:val="样式 样式 正文（首行缩进两字） + 首行缩进:  2 字符 +"/>
    <w:basedOn w:val="1"/>
    <w:link w:val="324"/>
    <w:qFormat/>
    <w:uiPriority w:val="99"/>
    <w:pPr>
      <w:spacing w:before="100" w:beforeAutospacing="1" w:after="100" w:afterAutospacing="1" w:line="360" w:lineRule="auto"/>
      <w:ind w:firstLine="200" w:firstLineChars="200"/>
    </w:pPr>
    <w:rPr>
      <w:kern w:val="0"/>
      <w:sz w:val="24"/>
    </w:rPr>
  </w:style>
  <w:style w:type="paragraph" w:customStyle="1" w:styleId="296">
    <w:name w:val="样式 正文（首行缩进两字） + 首行缩进:  2 字符"/>
    <w:basedOn w:val="20"/>
    <w:qFormat/>
    <w:uiPriority w:val="99"/>
    <w:pPr>
      <w:adjustRightInd/>
      <w:spacing w:line="360" w:lineRule="auto"/>
      <w:ind w:firstLine="480" w:firstLineChars="200"/>
      <w:jc w:val="both"/>
      <w:textAlignment w:val="auto"/>
    </w:pPr>
    <w:rPr>
      <w:rFonts w:ascii="Times New Roman" w:hAnsi="Times New Roman" w:cs="宋体"/>
      <w:kern w:val="2"/>
      <w:szCs w:val="20"/>
    </w:rPr>
  </w:style>
  <w:style w:type="paragraph" w:customStyle="1" w:styleId="297">
    <w:name w:val="Char Char Char Char Char Char Char1"/>
    <w:basedOn w:val="1"/>
    <w:qFormat/>
    <w:uiPriority w:val="99"/>
    <w:rPr>
      <w:szCs w:val="24"/>
    </w:rPr>
  </w:style>
  <w:style w:type="paragraph" w:customStyle="1" w:styleId="298">
    <w:name w:val="样式 标题 3 + (西文) Times New Roman (中文) 黑体 小四 两端对齐 段前: 6 磅 段后: ..."/>
    <w:basedOn w:val="7"/>
    <w:qFormat/>
    <w:uiPriority w:val="99"/>
    <w:pPr>
      <w:keepNext/>
      <w:keepLines/>
      <w:widowControl w:val="0"/>
      <w:tabs>
        <w:tab w:val="left" w:pos="-224"/>
      </w:tabs>
      <w:snapToGrid/>
      <w:spacing w:before="120" w:after="120" w:line="360" w:lineRule="auto"/>
    </w:pPr>
    <w:rPr>
      <w:rFonts w:eastAsia="黑体" w:cs="宋体"/>
      <w:bCs/>
      <w:szCs w:val="24"/>
    </w:rPr>
  </w:style>
  <w:style w:type="paragraph" w:customStyle="1" w:styleId="299">
    <w:name w:val="Normal1"/>
    <w:qFormat/>
    <w:uiPriority w:val="99"/>
    <w:pPr>
      <w:widowControl w:val="0"/>
      <w:adjustRightInd w:val="0"/>
      <w:spacing w:line="360" w:lineRule="atLeast"/>
      <w:textAlignment w:val="baseline"/>
    </w:pPr>
    <w:rPr>
      <w:rFonts w:ascii="宋体" w:hAnsi="Times New Roman" w:eastAsia="宋体" w:cs="Times New Roman"/>
      <w:sz w:val="34"/>
      <w:lang w:val="en-US" w:eastAsia="zh-CN" w:bidi="ar-SA"/>
    </w:rPr>
  </w:style>
  <w:style w:type="character" w:customStyle="1" w:styleId="300">
    <w:name w:val="表格 Char"/>
    <w:qFormat/>
    <w:uiPriority w:val="0"/>
    <w:rPr>
      <w:rFonts w:ascii="宋体" w:eastAsia="宋体"/>
      <w:kern w:val="2"/>
      <w:sz w:val="24"/>
      <w:lang w:val="en-US" w:eastAsia="zh-CN"/>
    </w:rPr>
  </w:style>
  <w:style w:type="character" w:customStyle="1" w:styleId="301">
    <w:name w:val="1.1 Char"/>
    <w:qFormat/>
    <w:uiPriority w:val="99"/>
    <w:rPr>
      <w:rFonts w:eastAsia="宋体" w:cs="Times New Roman"/>
      <w:b/>
      <w:sz w:val="30"/>
      <w:lang w:val="en-US" w:eastAsia="zh-CN" w:bidi="ar-SA"/>
    </w:rPr>
  </w:style>
  <w:style w:type="character" w:customStyle="1" w:styleId="302">
    <w:name w:val="标题1 (西文) Arial (中文) 黑体 加粗"/>
    <w:qFormat/>
    <w:uiPriority w:val="99"/>
    <w:rPr>
      <w:rFonts w:ascii="Arial" w:hAnsi="Arial" w:eastAsia="黑体" w:cs="Times New Roman"/>
      <w:b/>
      <w:bCs/>
    </w:rPr>
  </w:style>
  <w:style w:type="character" w:customStyle="1" w:styleId="303">
    <w:name w:val="Char Char1"/>
    <w:qFormat/>
    <w:uiPriority w:val="0"/>
    <w:rPr>
      <w:rFonts w:eastAsia="宋体" w:cs="Times New Roman"/>
      <w:kern w:val="2"/>
      <w:sz w:val="24"/>
      <w:szCs w:val="24"/>
      <w:lang w:val="en-US" w:eastAsia="zh-CN" w:bidi="ar-SA"/>
    </w:rPr>
  </w:style>
  <w:style w:type="character" w:customStyle="1" w:styleId="304">
    <w:name w:val="样式 正文首行缩进 2 + 下划线 Char"/>
    <w:qFormat/>
    <w:uiPriority w:val="0"/>
    <w:rPr>
      <w:rFonts w:eastAsia="宋体" w:cs="Times New Roman"/>
      <w:kern w:val="2"/>
      <w:sz w:val="21"/>
      <w:u w:val="single"/>
      <w:lang w:val="en-US" w:eastAsia="zh-CN" w:bidi="ar-SA"/>
    </w:rPr>
  </w:style>
  <w:style w:type="character" w:customStyle="1" w:styleId="305">
    <w:name w:val="Char Char"/>
    <w:qFormat/>
    <w:uiPriority w:val="0"/>
    <w:rPr>
      <w:rFonts w:eastAsia="宋体" w:cs="Times New Roman"/>
      <w:kern w:val="2"/>
      <w:sz w:val="24"/>
      <w:lang w:val="en-US" w:eastAsia="zh-CN" w:bidi="ar-SA"/>
    </w:rPr>
  </w:style>
  <w:style w:type="character" w:customStyle="1" w:styleId="306">
    <w:name w:val="表内小字 Char"/>
    <w:qFormat/>
    <w:uiPriority w:val="0"/>
    <w:rPr>
      <w:rFonts w:ascii="宋体" w:eastAsia="宋体" w:cs="Times New Roman"/>
      <w:kern w:val="2"/>
      <w:sz w:val="18"/>
      <w:szCs w:val="18"/>
      <w:lang w:val="en-US" w:eastAsia="zh-CN" w:bidi="ar-SA"/>
    </w:rPr>
  </w:style>
  <w:style w:type="character" w:customStyle="1" w:styleId="307">
    <w:name w:val="标题 4 Char Char"/>
    <w:qFormat/>
    <w:uiPriority w:val="0"/>
    <w:rPr>
      <w:rFonts w:eastAsia="宋体" w:cs="Times New Roman"/>
      <w:sz w:val="21"/>
      <w:lang w:val="en-US" w:eastAsia="zh-CN" w:bidi="ar-SA"/>
    </w:rPr>
  </w:style>
  <w:style w:type="character" w:customStyle="1" w:styleId="308">
    <w:name w:val="Message Header Label"/>
    <w:qFormat/>
    <w:uiPriority w:val="0"/>
    <w:rPr>
      <w:caps/>
      <w:spacing w:val="6"/>
      <w:position w:val="6"/>
      <w:sz w:val="14"/>
    </w:rPr>
  </w:style>
  <w:style w:type="character" w:customStyle="1" w:styleId="309">
    <w:name w:val="Char Char11"/>
    <w:qFormat/>
    <w:uiPriority w:val="99"/>
    <w:rPr>
      <w:rFonts w:ascii="Arial" w:hAnsi="Arial" w:eastAsia="宋体"/>
      <w:b/>
      <w:kern w:val="2"/>
      <w:sz w:val="24"/>
      <w:lang w:val="en-US" w:eastAsia="zh-CN"/>
    </w:rPr>
  </w:style>
  <w:style w:type="character" w:customStyle="1" w:styleId="310">
    <w:name w:val="1.1.1.1 Char"/>
    <w:qFormat/>
    <w:uiPriority w:val="99"/>
    <w:rPr>
      <w:rFonts w:ascii="Arial" w:hAnsi="Arial" w:eastAsia="宋体" w:cs="Times New Roman"/>
      <w:sz w:val="24"/>
      <w:lang w:val="en-US" w:eastAsia="zh-CN" w:bidi="ar-SA"/>
    </w:rPr>
  </w:style>
  <w:style w:type="character" w:customStyle="1" w:styleId="311">
    <w:name w:val="样式 Char"/>
    <w:qFormat/>
    <w:uiPriority w:val="0"/>
    <w:rPr>
      <w:rFonts w:ascii="宋体" w:hAnsi="宋体" w:eastAsia="宋体" w:cs="Times New Roman"/>
      <w:sz w:val="24"/>
      <w:lang w:val="en-US" w:eastAsia="zh-CN" w:bidi="ar-SA"/>
    </w:rPr>
  </w:style>
  <w:style w:type="character" w:customStyle="1" w:styleId="312">
    <w:name w:val="样式 宋体"/>
    <w:qFormat/>
    <w:uiPriority w:val="0"/>
    <w:rPr>
      <w:rFonts w:ascii="宋体" w:eastAsia="宋体" w:cs="Times New Roman"/>
      <w:sz w:val="21"/>
    </w:rPr>
  </w:style>
  <w:style w:type="character" w:customStyle="1" w:styleId="313">
    <w:name w:val="表名 Char"/>
    <w:qFormat/>
    <w:uiPriority w:val="0"/>
    <w:rPr>
      <w:rFonts w:ascii="宋体" w:eastAsia="宋体" w:cs="Times New Roman"/>
      <w:kern w:val="2"/>
      <w:sz w:val="24"/>
      <w:szCs w:val="24"/>
      <w:lang w:val="en-US" w:eastAsia="zh-CN" w:bidi="ar-SA"/>
    </w:rPr>
  </w:style>
  <w:style w:type="character" w:customStyle="1" w:styleId="314">
    <w:name w:val="样式 标题 3 + 加粗 Char"/>
    <w:qFormat/>
    <w:uiPriority w:val="0"/>
    <w:rPr>
      <w:rFonts w:eastAsia="宋体" w:cs="Times New Roman"/>
      <w:b/>
      <w:bCs/>
      <w:kern w:val="2"/>
      <w:sz w:val="24"/>
      <w:szCs w:val="24"/>
      <w:lang w:val="en-US" w:eastAsia="zh-CN" w:bidi="ar-SA"/>
    </w:rPr>
  </w:style>
  <w:style w:type="character" w:customStyle="1" w:styleId="315">
    <w:name w:val="样式 标题 4 +1 Char"/>
    <w:qFormat/>
    <w:uiPriority w:val="0"/>
    <w:rPr>
      <w:rFonts w:ascii="宋体" w:hAnsi="宋体" w:eastAsia="宋体"/>
      <w:kern w:val="2"/>
      <w:sz w:val="24"/>
      <w:lang w:val="en-US" w:eastAsia="zh-CN"/>
    </w:rPr>
  </w:style>
  <w:style w:type="character" w:customStyle="1" w:styleId="316">
    <w:name w:val="正文文字 Char Char Char Char"/>
    <w:qFormat/>
    <w:uiPriority w:val="0"/>
    <w:rPr>
      <w:rFonts w:ascii="Arial" w:hAnsi="Arial" w:eastAsia="宋体" w:cs="Arial"/>
      <w:kern w:val="2"/>
      <w:sz w:val="24"/>
      <w:szCs w:val="24"/>
      <w:lang w:val="en-US" w:eastAsia="zh-CN" w:bidi="ar-SA"/>
    </w:rPr>
  </w:style>
  <w:style w:type="character" w:customStyle="1" w:styleId="317">
    <w:name w:val="样式 标题 4 + 宋体 Char"/>
    <w:qFormat/>
    <w:uiPriority w:val="0"/>
    <w:rPr>
      <w:rFonts w:ascii="宋体" w:hAnsi="宋体" w:eastAsia="宋体"/>
      <w:kern w:val="2"/>
      <w:sz w:val="24"/>
      <w:lang w:val="en-US" w:eastAsia="zh-CN"/>
    </w:rPr>
  </w:style>
  <w:style w:type="character" w:customStyle="1" w:styleId="318">
    <w:name w:val="正文首行缩进 Char Char"/>
    <w:qFormat/>
    <w:uiPriority w:val="0"/>
    <w:rPr>
      <w:rFonts w:ascii="Arial" w:hAnsi="Arial" w:eastAsia="宋体" w:cs="Arial"/>
      <w:kern w:val="2"/>
      <w:sz w:val="24"/>
      <w:szCs w:val="24"/>
      <w:lang w:val="en-US" w:eastAsia="zh-CN" w:bidi="ar-SA"/>
    </w:rPr>
  </w:style>
  <w:style w:type="character" w:customStyle="1" w:styleId="319">
    <w:name w:val="jl 正文 Char Char Char"/>
    <w:qFormat/>
    <w:uiPriority w:val="99"/>
    <w:rPr>
      <w:rFonts w:ascii="宋体" w:eastAsia="宋体" w:cs="Times New Roman"/>
      <w:kern w:val="2"/>
      <w:sz w:val="24"/>
      <w:szCs w:val="24"/>
      <w:lang w:val="en-US" w:eastAsia="zh-CN" w:bidi="ar-SA"/>
    </w:rPr>
  </w:style>
  <w:style w:type="character" w:customStyle="1" w:styleId="320">
    <w:name w:val="c_141"/>
    <w:qFormat/>
    <w:uiPriority w:val="0"/>
    <w:rPr>
      <w:rFonts w:ascii="Arial" w:hAnsi="Arial" w:cs="Arial"/>
      <w:color w:val="333333"/>
      <w:spacing w:val="390"/>
      <w:sz w:val="21"/>
      <w:szCs w:val="21"/>
      <w:u w:val="none"/>
    </w:rPr>
  </w:style>
  <w:style w:type="character" w:customStyle="1" w:styleId="321">
    <w:name w:val="Char Char2"/>
    <w:qFormat/>
    <w:uiPriority w:val="99"/>
    <w:rPr>
      <w:rFonts w:ascii="Arial" w:hAnsi="Arial" w:eastAsia="宋体"/>
      <w:kern w:val="2"/>
      <w:sz w:val="24"/>
      <w:lang w:val="en-US" w:eastAsia="zh-CN"/>
    </w:rPr>
  </w:style>
  <w:style w:type="character" w:customStyle="1" w:styleId="322">
    <w:name w:val="表格 Char Char"/>
    <w:qFormat/>
    <w:uiPriority w:val="0"/>
    <w:rPr>
      <w:rFonts w:ascii="宋体" w:eastAsia="宋体"/>
      <w:kern w:val="2"/>
      <w:sz w:val="24"/>
      <w:lang w:val="en-US" w:eastAsia="zh-CN"/>
    </w:rPr>
  </w:style>
  <w:style w:type="character" w:customStyle="1" w:styleId="323">
    <w:name w:val="样式 正文首行缩进 2 + 下划线 Char Char"/>
    <w:qFormat/>
    <w:uiPriority w:val="0"/>
    <w:rPr>
      <w:rFonts w:ascii="Arial" w:hAnsi="Arial" w:eastAsia="宋体"/>
      <w:kern w:val="2"/>
      <w:sz w:val="21"/>
      <w:u w:val="single"/>
      <w:lang w:val="en-US" w:eastAsia="zh-CN"/>
    </w:rPr>
  </w:style>
  <w:style w:type="character" w:customStyle="1" w:styleId="324">
    <w:name w:val="样式 样式 正文（首行缩进两字） + 首行缩进:  2 字符 + Char Char"/>
    <w:link w:val="295"/>
    <w:qFormat/>
    <w:locked/>
    <w:uiPriority w:val="99"/>
    <w:rPr>
      <w:sz w:val="24"/>
    </w:rPr>
  </w:style>
  <w:style w:type="character" w:customStyle="1" w:styleId="325">
    <w:name w:val="样式 标题 3 + 加粗 Char Char"/>
    <w:qFormat/>
    <w:uiPriority w:val="0"/>
    <w:rPr>
      <w:rFonts w:ascii="Arial" w:hAnsi="Arial" w:eastAsia="宋体"/>
      <w:b/>
      <w:kern w:val="2"/>
      <w:sz w:val="24"/>
      <w:lang w:val="en-US" w:eastAsia="zh-CN"/>
    </w:rPr>
  </w:style>
  <w:style w:type="paragraph" w:styleId="326">
    <w:name w:val="List Paragraph"/>
    <w:basedOn w:val="1"/>
    <w:link w:val="420"/>
    <w:qFormat/>
    <w:uiPriority w:val="0"/>
    <w:pPr>
      <w:adjustRightInd w:val="0"/>
      <w:spacing w:line="360" w:lineRule="atLeast"/>
      <w:ind w:firstLine="420" w:firstLineChars="200"/>
      <w:textAlignment w:val="baseline"/>
    </w:pPr>
    <w:rPr>
      <w:sz w:val="24"/>
      <w:szCs w:val="24"/>
    </w:rPr>
  </w:style>
  <w:style w:type="paragraph" w:customStyle="1" w:styleId="327">
    <w:name w:val="List Paragraph1"/>
    <w:basedOn w:val="1"/>
    <w:qFormat/>
    <w:uiPriority w:val="99"/>
    <w:pPr>
      <w:adjustRightInd w:val="0"/>
      <w:spacing w:line="360" w:lineRule="atLeast"/>
      <w:ind w:firstLine="420" w:firstLineChars="200"/>
      <w:textAlignment w:val="baseline"/>
    </w:pPr>
    <w:rPr>
      <w:sz w:val="24"/>
      <w:szCs w:val="24"/>
    </w:rPr>
  </w:style>
  <w:style w:type="paragraph" w:customStyle="1" w:styleId="328">
    <w:name w:val="正文缩进1"/>
    <w:basedOn w:val="1"/>
    <w:qFormat/>
    <w:uiPriority w:val="0"/>
    <w:pPr>
      <w:adjustRightInd w:val="0"/>
      <w:spacing w:line="360" w:lineRule="atLeast"/>
      <w:ind w:firstLine="420"/>
      <w:jc w:val="left"/>
      <w:textAlignment w:val="baseline"/>
    </w:pPr>
    <w:rPr>
      <w:rFonts w:ascii="Arial" w:hAnsi="Arial"/>
      <w:kern w:val="0"/>
      <w:sz w:val="24"/>
      <w:szCs w:val="24"/>
    </w:rPr>
  </w:style>
  <w:style w:type="character" w:customStyle="1" w:styleId="329">
    <w:name w:val="正文普通文本 Char"/>
    <w:link w:val="330"/>
    <w:qFormat/>
    <w:locked/>
    <w:uiPriority w:val="99"/>
    <w:rPr>
      <w:kern w:val="2"/>
      <w:sz w:val="24"/>
    </w:rPr>
  </w:style>
  <w:style w:type="paragraph" w:customStyle="1" w:styleId="330">
    <w:name w:val="正文普通文本"/>
    <w:basedOn w:val="1"/>
    <w:link w:val="329"/>
    <w:qFormat/>
    <w:uiPriority w:val="99"/>
    <w:pPr>
      <w:adjustRightInd w:val="0"/>
      <w:snapToGrid w:val="0"/>
      <w:spacing w:line="400" w:lineRule="exact"/>
      <w:ind w:left="1021"/>
    </w:pPr>
    <w:rPr>
      <w:sz w:val="24"/>
    </w:rPr>
  </w:style>
  <w:style w:type="paragraph" w:customStyle="1" w:styleId="331">
    <w:name w:val="_Style 42"/>
    <w:basedOn w:val="1"/>
    <w:next w:val="326"/>
    <w:qFormat/>
    <w:uiPriority w:val="99"/>
    <w:pPr>
      <w:ind w:firstLine="420" w:firstLineChars="200"/>
    </w:pPr>
    <w:rPr>
      <w:rFonts w:cs="Arial"/>
      <w:szCs w:val="22"/>
    </w:rPr>
  </w:style>
  <w:style w:type="paragraph" w:customStyle="1" w:styleId="332">
    <w:name w:val="Char2"/>
    <w:basedOn w:val="1"/>
    <w:qFormat/>
    <w:uiPriority w:val="0"/>
    <w:rPr>
      <w:szCs w:val="24"/>
    </w:rPr>
  </w:style>
  <w:style w:type="paragraph" w:customStyle="1" w:styleId="333">
    <w:name w:val="正文编号"/>
    <w:basedOn w:val="330"/>
    <w:qFormat/>
    <w:uiPriority w:val="99"/>
    <w:pPr>
      <w:numPr>
        <w:ilvl w:val="0"/>
        <w:numId w:val="4"/>
      </w:numPr>
      <w:tabs>
        <w:tab w:val="left" w:pos="1061"/>
        <w:tab w:val="left" w:pos="6720"/>
      </w:tabs>
    </w:pPr>
  </w:style>
  <w:style w:type="paragraph" w:customStyle="1" w:styleId="334">
    <w:name w:val="5号"/>
    <w:basedOn w:val="1"/>
    <w:qFormat/>
    <w:uiPriority w:val="0"/>
    <w:pPr>
      <w:jc w:val="center"/>
    </w:pPr>
    <w:rPr>
      <w:szCs w:val="21"/>
    </w:rPr>
  </w:style>
  <w:style w:type="paragraph" w:customStyle="1" w:styleId="335">
    <w:name w:val="样式 表格标题 + Times New Roman 加粗 行距: 单倍行距"/>
    <w:basedOn w:val="1"/>
    <w:qFormat/>
    <w:uiPriority w:val="99"/>
    <w:pPr>
      <w:adjustRightInd w:val="0"/>
      <w:spacing w:line="360" w:lineRule="exact"/>
      <w:jc w:val="center"/>
    </w:pPr>
    <w:rPr>
      <w:rFonts w:ascii="Times" w:hAnsi="Times" w:eastAsia="黑体"/>
      <w:bCs/>
      <w:kern w:val="0"/>
      <w:sz w:val="24"/>
      <w:szCs w:val="21"/>
    </w:rPr>
  </w:style>
  <w:style w:type="character" w:customStyle="1" w:styleId="336">
    <w:name w:val="fontstyle01"/>
    <w:basedOn w:val="73"/>
    <w:qFormat/>
    <w:uiPriority w:val="0"/>
    <w:rPr>
      <w:rFonts w:hint="eastAsia" w:ascii="宋体" w:hAnsi="宋体" w:eastAsia="宋体"/>
      <w:color w:val="000000"/>
      <w:sz w:val="22"/>
      <w:szCs w:val="22"/>
    </w:rPr>
  </w:style>
  <w:style w:type="character" w:customStyle="1" w:styleId="337">
    <w:name w:val="fontstyle21"/>
    <w:basedOn w:val="73"/>
    <w:qFormat/>
    <w:uiPriority w:val="0"/>
    <w:rPr>
      <w:rFonts w:hint="default" w:ascii="TimesNewRomanPSMT" w:hAnsi="TimesNewRomanPSMT"/>
      <w:color w:val="000000"/>
      <w:sz w:val="22"/>
      <w:szCs w:val="22"/>
    </w:rPr>
  </w:style>
  <w:style w:type="character" w:customStyle="1" w:styleId="338">
    <w:name w:val="fontstyle11"/>
    <w:basedOn w:val="73"/>
    <w:qFormat/>
    <w:uiPriority w:val="0"/>
    <w:rPr>
      <w:rFonts w:hint="default" w:ascii="TimesNewRomanPSMT" w:hAnsi="TimesNewRomanPSMT"/>
      <w:color w:val="000000"/>
      <w:sz w:val="22"/>
      <w:szCs w:val="22"/>
    </w:rPr>
  </w:style>
  <w:style w:type="character" w:customStyle="1" w:styleId="339">
    <w:name w:val="font21"/>
    <w:qFormat/>
    <w:uiPriority w:val="0"/>
    <w:rPr>
      <w:rFonts w:hint="eastAsia" w:ascii="宋体" w:hAnsi="宋体" w:eastAsia="宋体" w:cs="宋体"/>
      <w:color w:val="000000"/>
      <w:sz w:val="24"/>
      <w:szCs w:val="24"/>
      <w:u w:val="none"/>
    </w:rPr>
  </w:style>
  <w:style w:type="character" w:customStyle="1" w:styleId="340">
    <w:name w:val="font11"/>
    <w:qFormat/>
    <w:uiPriority w:val="0"/>
    <w:rPr>
      <w:rFonts w:hint="default" w:ascii="Times New Roman" w:hAnsi="Times New Roman" w:cs="Times New Roman"/>
      <w:color w:val="000000"/>
      <w:sz w:val="24"/>
      <w:szCs w:val="24"/>
      <w:u w:val="none"/>
    </w:rPr>
  </w:style>
  <w:style w:type="character" w:customStyle="1" w:styleId="341">
    <w:name w:val="纯文本 字符"/>
    <w:qFormat/>
    <w:uiPriority w:val="99"/>
    <w:rPr>
      <w:rFonts w:ascii="宋体" w:hAnsi="Courier New" w:eastAsia="宋体" w:cs="Times New Roman"/>
      <w:kern w:val="0"/>
      <w:szCs w:val="20"/>
    </w:rPr>
  </w:style>
  <w:style w:type="paragraph" w:customStyle="1" w:styleId="342">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343">
    <w:name w:val="修订3"/>
    <w:hidden/>
    <w:semiHidden/>
    <w:qFormat/>
    <w:uiPriority w:val="99"/>
    <w:rPr>
      <w:rFonts w:ascii="Times New Roman" w:hAnsi="Times New Roman" w:eastAsia="宋体" w:cs="Times New Roman"/>
      <w:kern w:val="2"/>
      <w:sz w:val="21"/>
      <w:lang w:val="en-US" w:eastAsia="zh-CN" w:bidi="ar-SA"/>
    </w:rPr>
  </w:style>
  <w:style w:type="paragraph" w:customStyle="1" w:styleId="344">
    <w:name w:val="Revision"/>
    <w:hidden/>
    <w:uiPriority w:val="99"/>
    <w:rPr>
      <w:rFonts w:ascii="Times New Roman" w:hAnsi="Times New Roman" w:eastAsia="宋体" w:cs="Times New Roman"/>
      <w:kern w:val="2"/>
      <w:sz w:val="21"/>
      <w:lang w:val="en-US" w:eastAsia="zh-CN" w:bidi="ar-SA"/>
    </w:rPr>
  </w:style>
  <w:style w:type="character" w:customStyle="1" w:styleId="345">
    <w:name w:val="页眉 字符1"/>
    <w:basedOn w:val="73"/>
    <w:uiPriority w:val="99"/>
    <w:rPr>
      <w:sz w:val="18"/>
      <w:szCs w:val="18"/>
    </w:rPr>
  </w:style>
  <w:style w:type="character" w:customStyle="1" w:styleId="346">
    <w:name w:val="页脚 字符1"/>
    <w:basedOn w:val="73"/>
    <w:uiPriority w:val="99"/>
    <w:rPr>
      <w:sz w:val="18"/>
      <w:szCs w:val="18"/>
    </w:rPr>
  </w:style>
  <w:style w:type="character" w:customStyle="1" w:styleId="347">
    <w:name w:val="标题 1 字符1"/>
    <w:basedOn w:val="73"/>
    <w:uiPriority w:val="99"/>
    <w:rPr>
      <w:rFonts w:ascii="Times New Roman" w:hAnsi="Times New Roman" w:eastAsia="宋体" w:cs="Times New Roman"/>
      <w:b/>
      <w:bCs/>
      <w:kern w:val="44"/>
      <w:sz w:val="44"/>
      <w:szCs w:val="44"/>
    </w:rPr>
  </w:style>
  <w:style w:type="character" w:customStyle="1" w:styleId="348">
    <w:name w:val="标题 2 字符1"/>
    <w:basedOn w:val="73"/>
    <w:uiPriority w:val="99"/>
    <w:rPr>
      <w:rFonts w:ascii="Times New Roman" w:hAnsi="Times New Roman" w:eastAsia="宋体" w:cs="Times New Roman"/>
      <w:b/>
      <w:kern w:val="0"/>
      <w:szCs w:val="20"/>
    </w:rPr>
  </w:style>
  <w:style w:type="character" w:customStyle="1" w:styleId="349">
    <w:name w:val="标题 3 字符1"/>
    <w:basedOn w:val="73"/>
    <w:uiPriority w:val="99"/>
    <w:rPr>
      <w:rFonts w:ascii="Times New Roman" w:hAnsi="Times New Roman" w:eastAsia="宋体" w:cs="Times New Roman"/>
      <w:kern w:val="0"/>
      <w:sz w:val="24"/>
      <w:szCs w:val="20"/>
    </w:rPr>
  </w:style>
  <w:style w:type="character" w:customStyle="1" w:styleId="350">
    <w:name w:val="标题 4 字符1"/>
    <w:basedOn w:val="73"/>
    <w:uiPriority w:val="99"/>
    <w:rPr>
      <w:rFonts w:ascii="Cambria" w:hAnsi="Cambria" w:eastAsia="宋体" w:cs="Times New Roman"/>
      <w:b/>
      <w:bCs/>
      <w:kern w:val="0"/>
      <w:sz w:val="28"/>
      <w:szCs w:val="28"/>
    </w:rPr>
  </w:style>
  <w:style w:type="character" w:customStyle="1" w:styleId="351">
    <w:name w:val="标题 5 字符1"/>
    <w:basedOn w:val="73"/>
    <w:uiPriority w:val="0"/>
    <w:rPr>
      <w:rFonts w:ascii="黑体" w:hAnsi="Times New Roman" w:eastAsia="黑体" w:cs="Times New Roman"/>
      <w:b/>
      <w:kern w:val="0"/>
      <w:sz w:val="28"/>
      <w:szCs w:val="20"/>
    </w:rPr>
  </w:style>
  <w:style w:type="character" w:customStyle="1" w:styleId="352">
    <w:name w:val="标题 6 字符1"/>
    <w:basedOn w:val="73"/>
    <w:qFormat/>
    <w:uiPriority w:val="9"/>
    <w:rPr>
      <w:rFonts w:ascii="Arial" w:hAnsi="Arial" w:eastAsia="黑体" w:cs="Times New Roman"/>
      <w:b/>
      <w:kern w:val="0"/>
      <w:sz w:val="24"/>
      <w:szCs w:val="20"/>
    </w:rPr>
  </w:style>
  <w:style w:type="character" w:customStyle="1" w:styleId="353">
    <w:name w:val="标题 7 字符1"/>
    <w:basedOn w:val="73"/>
    <w:uiPriority w:val="0"/>
    <w:rPr>
      <w:rFonts w:ascii="Times New Roman" w:hAnsi="Times New Roman" w:eastAsia="宋体" w:cs="Times New Roman"/>
      <w:b/>
      <w:kern w:val="0"/>
      <w:sz w:val="24"/>
      <w:szCs w:val="20"/>
    </w:rPr>
  </w:style>
  <w:style w:type="character" w:customStyle="1" w:styleId="354">
    <w:name w:val="标题 8 字符1"/>
    <w:basedOn w:val="73"/>
    <w:uiPriority w:val="9"/>
    <w:rPr>
      <w:rFonts w:ascii="Arial" w:hAnsi="Arial" w:eastAsia="黑体" w:cs="Times New Roman"/>
      <w:kern w:val="0"/>
      <w:sz w:val="24"/>
      <w:szCs w:val="20"/>
    </w:rPr>
  </w:style>
  <w:style w:type="character" w:customStyle="1" w:styleId="355">
    <w:name w:val="标题 9 字符1"/>
    <w:basedOn w:val="73"/>
    <w:uiPriority w:val="9"/>
    <w:rPr>
      <w:rFonts w:ascii="Arial" w:hAnsi="Arial" w:eastAsia="黑体" w:cs="Times New Roman"/>
      <w:kern w:val="0"/>
      <w:sz w:val="24"/>
      <w:szCs w:val="20"/>
    </w:rPr>
  </w:style>
  <w:style w:type="character" w:customStyle="1" w:styleId="356">
    <w:name w:val="宏文本 字符"/>
    <w:basedOn w:val="73"/>
    <w:uiPriority w:val="99"/>
    <w:rPr>
      <w:rFonts w:ascii="Courier New" w:hAnsi="Courier New" w:cs="Courier New"/>
      <w:kern w:val="2"/>
      <w:sz w:val="24"/>
      <w:szCs w:val="24"/>
    </w:rPr>
  </w:style>
  <w:style w:type="character" w:customStyle="1" w:styleId="357">
    <w:name w:val="宏文本 字符1"/>
    <w:basedOn w:val="73"/>
    <w:link w:val="4"/>
    <w:uiPriority w:val="0"/>
    <w:rPr>
      <w:rFonts w:ascii="Courier New" w:hAnsi="Courier New" w:cs="Courier New"/>
      <w:sz w:val="24"/>
      <w:szCs w:val="24"/>
    </w:rPr>
  </w:style>
  <w:style w:type="character" w:customStyle="1" w:styleId="358">
    <w:name w:val="正文文本 字符1"/>
    <w:basedOn w:val="73"/>
    <w:uiPriority w:val="0"/>
    <w:rPr>
      <w:rFonts w:ascii="Times New Roman" w:hAnsi="Times New Roman" w:eastAsia="宋体" w:cs="Times New Roman"/>
      <w:szCs w:val="20"/>
    </w:rPr>
  </w:style>
  <w:style w:type="character" w:customStyle="1" w:styleId="359">
    <w:name w:val="正文缩进 字符"/>
    <w:link w:val="20"/>
    <w:uiPriority w:val="0"/>
    <w:rPr>
      <w:rFonts w:ascii="Arial" w:hAnsi="Arial"/>
      <w:sz w:val="24"/>
      <w:szCs w:val="24"/>
    </w:rPr>
  </w:style>
  <w:style w:type="character" w:customStyle="1" w:styleId="360">
    <w:name w:val="文档结构图 字符1"/>
    <w:basedOn w:val="73"/>
    <w:uiPriority w:val="99"/>
    <w:rPr>
      <w:rFonts w:ascii="Times New Roman" w:hAnsi="Times New Roman" w:eastAsia="宋体" w:cs="Times New Roman"/>
      <w:szCs w:val="20"/>
      <w:shd w:val="clear" w:color="auto" w:fill="000080"/>
    </w:rPr>
  </w:style>
  <w:style w:type="character" w:customStyle="1" w:styleId="361">
    <w:name w:val="批注文字 字符1"/>
    <w:basedOn w:val="73"/>
    <w:qFormat/>
    <w:uiPriority w:val="99"/>
    <w:rPr>
      <w:rFonts w:ascii="Times New Roman" w:hAnsi="Times New Roman" w:eastAsia="宋体" w:cs="Times New Roman"/>
      <w:szCs w:val="20"/>
    </w:rPr>
  </w:style>
  <w:style w:type="character" w:customStyle="1" w:styleId="362">
    <w:name w:val="称呼 字符"/>
    <w:basedOn w:val="73"/>
    <w:semiHidden/>
    <w:uiPriority w:val="99"/>
    <w:rPr>
      <w:kern w:val="2"/>
      <w:sz w:val="21"/>
    </w:rPr>
  </w:style>
  <w:style w:type="character" w:customStyle="1" w:styleId="363">
    <w:name w:val="称呼 字符1"/>
    <w:basedOn w:val="73"/>
    <w:link w:val="29"/>
    <w:uiPriority w:val="0"/>
    <w:rPr>
      <w:rFonts w:ascii="宋体"/>
      <w:sz w:val="24"/>
    </w:rPr>
  </w:style>
  <w:style w:type="character" w:customStyle="1" w:styleId="364">
    <w:name w:val="正文文本 3 字符1"/>
    <w:basedOn w:val="73"/>
    <w:uiPriority w:val="99"/>
    <w:rPr>
      <w:rFonts w:ascii="Times New Roman" w:hAnsi="Times New Roman" w:eastAsia="宋体" w:cs="Times New Roman"/>
      <w:kern w:val="0"/>
      <w:sz w:val="16"/>
      <w:szCs w:val="16"/>
    </w:rPr>
  </w:style>
  <w:style w:type="character" w:customStyle="1" w:styleId="365">
    <w:name w:val="结束语 字符"/>
    <w:basedOn w:val="73"/>
    <w:link w:val="31"/>
    <w:uiPriority w:val="99"/>
    <w:rPr>
      <w:rFonts w:ascii="宋体"/>
      <w:sz w:val="24"/>
    </w:rPr>
  </w:style>
  <w:style w:type="character" w:customStyle="1" w:styleId="366">
    <w:name w:val="正文文本缩进 字符1"/>
    <w:basedOn w:val="73"/>
    <w:uiPriority w:val="0"/>
    <w:rPr>
      <w:rFonts w:ascii="宋体" w:hAnsi="Times New Roman" w:eastAsia="宋体" w:cs="Times New Roman"/>
      <w:color w:val="FF0000"/>
      <w:kern w:val="0"/>
      <w:sz w:val="24"/>
      <w:szCs w:val="20"/>
    </w:rPr>
  </w:style>
  <w:style w:type="character" w:customStyle="1" w:styleId="367">
    <w:name w:val="日期 字符1"/>
    <w:basedOn w:val="73"/>
    <w:uiPriority w:val="0"/>
    <w:rPr>
      <w:rFonts w:ascii="Arial" w:hAnsi="Arial" w:eastAsia="宋体" w:cs="Times New Roman"/>
      <w:kern w:val="0"/>
      <w:sz w:val="24"/>
      <w:szCs w:val="20"/>
    </w:rPr>
  </w:style>
  <w:style w:type="character" w:customStyle="1" w:styleId="368">
    <w:name w:val="正文文本缩进 2 字符1"/>
    <w:basedOn w:val="73"/>
    <w:uiPriority w:val="99"/>
    <w:rPr>
      <w:rFonts w:ascii="Times New Roman" w:hAnsi="Times New Roman" w:eastAsia="宋体" w:cs="Times New Roman"/>
      <w:kern w:val="0"/>
      <w:sz w:val="24"/>
      <w:szCs w:val="20"/>
    </w:rPr>
  </w:style>
  <w:style w:type="character" w:customStyle="1" w:styleId="369">
    <w:name w:val="批注框文本 字符1"/>
    <w:basedOn w:val="73"/>
    <w:uiPriority w:val="0"/>
    <w:rPr>
      <w:rFonts w:ascii="Times New Roman" w:hAnsi="Times New Roman" w:eastAsia="宋体" w:cs="Times New Roman"/>
      <w:sz w:val="18"/>
      <w:szCs w:val="18"/>
    </w:rPr>
  </w:style>
  <w:style w:type="character" w:customStyle="1" w:styleId="370">
    <w:name w:val="脚注文本 字符1"/>
    <w:basedOn w:val="73"/>
    <w:uiPriority w:val="0"/>
    <w:rPr>
      <w:rFonts w:ascii="Times New Roman" w:hAnsi="Times New Roman" w:eastAsia="宋体" w:cs="Times New Roman"/>
      <w:kern w:val="0"/>
      <w:sz w:val="18"/>
      <w:szCs w:val="18"/>
    </w:rPr>
  </w:style>
  <w:style w:type="character" w:customStyle="1" w:styleId="371">
    <w:name w:val="正文文本缩进 3 字符1"/>
    <w:basedOn w:val="73"/>
    <w:uiPriority w:val="99"/>
    <w:rPr>
      <w:rFonts w:ascii="Arial" w:hAnsi="Arial" w:eastAsia="宋体" w:cs="Times New Roman"/>
      <w:sz w:val="24"/>
      <w:szCs w:val="20"/>
    </w:rPr>
  </w:style>
  <w:style w:type="character" w:customStyle="1" w:styleId="372">
    <w:name w:val="正文文本 2 字符1"/>
    <w:basedOn w:val="73"/>
    <w:uiPriority w:val="99"/>
    <w:rPr>
      <w:rFonts w:ascii="Times New Roman" w:hAnsi="Times New Roman" w:eastAsia="宋体" w:cs="Times New Roman"/>
      <w:szCs w:val="20"/>
    </w:rPr>
  </w:style>
  <w:style w:type="character" w:customStyle="1" w:styleId="373">
    <w:name w:val="标题 字符1"/>
    <w:basedOn w:val="73"/>
    <w:qFormat/>
    <w:uiPriority w:val="0"/>
    <w:rPr>
      <w:rFonts w:ascii="Arial" w:hAnsi="Arial" w:eastAsia="宋体" w:cs="Times New Roman"/>
      <w:b/>
      <w:bCs/>
      <w:sz w:val="32"/>
      <w:szCs w:val="32"/>
    </w:rPr>
  </w:style>
  <w:style w:type="character" w:customStyle="1" w:styleId="374">
    <w:name w:val="批注主题 字符1"/>
    <w:basedOn w:val="361"/>
    <w:qFormat/>
    <w:uiPriority w:val="99"/>
    <w:rPr>
      <w:rFonts w:ascii="Times New Roman" w:hAnsi="Times New Roman" w:eastAsia="宋体" w:cs="Times New Roman"/>
      <w:b/>
      <w:bCs/>
      <w:szCs w:val="20"/>
    </w:rPr>
  </w:style>
  <w:style w:type="character" w:customStyle="1" w:styleId="375">
    <w:name w:val="正文首行缩进 字符1"/>
    <w:basedOn w:val="358"/>
    <w:qFormat/>
    <w:uiPriority w:val="0"/>
    <w:rPr>
      <w:rFonts w:ascii="Times New Roman" w:hAnsi="Times New Roman" w:eastAsia="宋体" w:cs="Times New Roman"/>
      <w:sz w:val="20"/>
      <w:szCs w:val="20"/>
    </w:rPr>
  </w:style>
  <w:style w:type="character" w:customStyle="1" w:styleId="376">
    <w:name w:val="正文首行缩进 2 字符1"/>
    <w:basedOn w:val="366"/>
    <w:uiPriority w:val="0"/>
    <w:rPr>
      <w:rFonts w:ascii="宋体" w:hAnsi="Times New Roman" w:eastAsia="宋体" w:cs="Times New Roman"/>
      <w:color w:val="FF0000"/>
      <w:kern w:val="0"/>
      <w:sz w:val="20"/>
      <w:szCs w:val="20"/>
    </w:rPr>
  </w:style>
  <w:style w:type="character" w:customStyle="1" w:styleId="377">
    <w:name w:val="纯文本 Char1 Char Char"/>
    <w:qFormat/>
    <w:uiPriority w:val="0"/>
    <w:rPr>
      <w:rFonts w:ascii="宋体" w:hAnsi="Courier New" w:eastAsia="华文中宋"/>
      <w:kern w:val="2"/>
      <w:sz w:val="24"/>
      <w:lang w:val="en-US" w:eastAsia="zh-CN" w:bidi="ar-SA"/>
    </w:rPr>
  </w:style>
  <w:style w:type="character" w:customStyle="1" w:styleId="378">
    <w:name w:val="副标题 Char1"/>
    <w:uiPriority w:val="11"/>
    <w:rPr>
      <w:rFonts w:ascii="Cambria" w:hAnsi="Cambria" w:eastAsia="宋体" w:cs="Times New Roman"/>
      <w:b/>
      <w:bCs/>
      <w:kern w:val="28"/>
      <w:sz w:val="32"/>
      <w:szCs w:val="32"/>
    </w:rPr>
  </w:style>
  <w:style w:type="character" w:customStyle="1" w:styleId="379">
    <w:name w:val="样式 样式10 + Times New Roman 四号 非加粗 段前: 0.5 行 段后: 0.5 行 Char"/>
    <w:uiPriority w:val="0"/>
    <w:rPr>
      <w:rFonts w:ascii="黑体" w:hAnsi="宋体" w:eastAsia="黑体" w:cs="宋体"/>
      <w:b/>
      <w:kern w:val="2"/>
      <w:sz w:val="28"/>
      <w:szCs w:val="24"/>
      <w:lang w:val="en-US" w:eastAsia="zh-CN" w:bidi="ar-SA"/>
    </w:rPr>
  </w:style>
  <w:style w:type="character" w:customStyle="1" w:styleId="380">
    <w:name w:val="Para head"/>
    <w:uiPriority w:val="0"/>
    <w:rPr>
      <w:rFonts w:ascii="Arial" w:hAnsi="Arial" w:eastAsia="Times New Roman"/>
      <w:sz w:val="20"/>
    </w:rPr>
  </w:style>
  <w:style w:type="character" w:customStyle="1" w:styleId="381">
    <w:name w:val="批注主题 Char1"/>
    <w:semiHidden/>
    <w:uiPriority w:val="99"/>
    <w:rPr>
      <w:rFonts w:ascii="Calibri" w:hAnsi="Calibri" w:eastAsia="宋体" w:cs="Calibri"/>
      <w:b/>
      <w:bCs/>
      <w:szCs w:val="24"/>
    </w:rPr>
  </w:style>
  <w:style w:type="character" w:customStyle="1" w:styleId="382">
    <w:name w:val="样式 样式19 + 自动设置 Char Char"/>
    <w:uiPriority w:val="0"/>
    <w:rPr>
      <w:rFonts w:ascii="宋体" w:hAnsi="Courier New" w:eastAsia="华文中宋"/>
      <w:color w:val="000000"/>
      <w:kern w:val="2"/>
      <w:sz w:val="24"/>
      <w:lang w:val="en-US" w:eastAsia="zh-CN" w:bidi="ar-SA"/>
    </w:rPr>
  </w:style>
  <w:style w:type="character" w:customStyle="1" w:styleId="383">
    <w:name w:val="纯文本 Char2"/>
    <w:uiPriority w:val="0"/>
    <w:rPr>
      <w:rFonts w:ascii="宋体" w:hAnsi="Courier New" w:eastAsia="宋体" w:cs="Courier New"/>
      <w:szCs w:val="21"/>
    </w:rPr>
  </w:style>
  <w:style w:type="character" w:customStyle="1" w:styleId="384">
    <w:name w:val="Intense Reference"/>
    <w:qFormat/>
    <w:uiPriority w:val="0"/>
    <w:rPr>
      <w:b/>
      <w:bCs/>
      <w:smallCaps/>
      <w:color w:val="auto"/>
      <w:spacing w:val="5"/>
      <w:u w:val="single"/>
    </w:rPr>
  </w:style>
  <w:style w:type="character" w:customStyle="1" w:styleId="385">
    <w:name w:val="页眉 Char1"/>
    <w:semiHidden/>
    <w:uiPriority w:val="99"/>
    <w:rPr>
      <w:rFonts w:ascii="Calibri" w:hAnsi="Calibri" w:eastAsia="宋体" w:cs="Calibri"/>
      <w:sz w:val="18"/>
      <w:szCs w:val="18"/>
    </w:rPr>
  </w:style>
  <w:style w:type="character" w:customStyle="1" w:styleId="386">
    <w:name w:val="批注框文本 Char1"/>
    <w:semiHidden/>
    <w:uiPriority w:val="99"/>
    <w:rPr>
      <w:rFonts w:ascii="Calibri" w:hAnsi="Calibri" w:eastAsia="宋体" w:cs="Calibri"/>
      <w:sz w:val="18"/>
      <w:szCs w:val="18"/>
    </w:rPr>
  </w:style>
  <w:style w:type="character" w:customStyle="1" w:styleId="387">
    <w:name w:val="样式 标题 2 + 五号 Char"/>
    <w:link w:val="388"/>
    <w:uiPriority w:val="0"/>
    <w:rPr>
      <w:rFonts w:eastAsia="黑体"/>
      <w:bCs/>
      <w:szCs w:val="21"/>
    </w:rPr>
  </w:style>
  <w:style w:type="paragraph" w:customStyle="1" w:styleId="388">
    <w:name w:val="样式 标题 2 + 五号"/>
    <w:basedOn w:val="6"/>
    <w:link w:val="387"/>
    <w:uiPriority w:val="0"/>
    <w:pPr>
      <w:keepNext/>
      <w:keepLines/>
      <w:widowControl w:val="0"/>
      <w:autoSpaceDE w:val="0"/>
      <w:autoSpaceDN w:val="0"/>
      <w:snapToGrid/>
      <w:spacing w:line="240" w:lineRule="auto"/>
      <w:ind w:firstLine="420"/>
      <w:jc w:val="both"/>
    </w:pPr>
    <w:rPr>
      <w:rFonts w:eastAsia="黑体"/>
      <w:b w:val="0"/>
      <w:bCs/>
      <w:sz w:val="20"/>
      <w:szCs w:val="21"/>
    </w:rPr>
  </w:style>
  <w:style w:type="character" w:customStyle="1" w:styleId="389">
    <w:name w:val="正文文本缩进 3 Char1"/>
    <w:semiHidden/>
    <w:uiPriority w:val="99"/>
    <w:rPr>
      <w:rFonts w:ascii="Calibri" w:hAnsi="Calibri" w:eastAsia="宋体" w:cs="Calibri"/>
      <w:sz w:val="16"/>
      <w:szCs w:val="16"/>
    </w:rPr>
  </w:style>
  <w:style w:type="character" w:customStyle="1" w:styleId="390">
    <w:name w:val="无间隔 字符"/>
    <w:link w:val="391"/>
    <w:locked/>
    <w:uiPriority w:val="1"/>
    <w:rPr>
      <w:sz w:val="22"/>
    </w:rPr>
  </w:style>
  <w:style w:type="paragraph" w:styleId="391">
    <w:name w:val="No Spacing"/>
    <w:link w:val="390"/>
    <w:qFormat/>
    <w:uiPriority w:val="1"/>
    <w:rPr>
      <w:rFonts w:ascii="Times New Roman" w:hAnsi="Times New Roman" w:eastAsia="宋体" w:cs="Times New Roman"/>
      <w:sz w:val="22"/>
      <w:lang w:val="en-US" w:eastAsia="zh-CN" w:bidi="ar-SA"/>
    </w:rPr>
  </w:style>
  <w:style w:type="character" w:customStyle="1" w:styleId="392">
    <w:name w:val="标题 2 Char Char Char Char Char Char Char"/>
    <w:uiPriority w:val="0"/>
    <w:rPr>
      <w:rFonts w:ascii="Arial" w:hAnsi="Arial" w:eastAsia="黑体"/>
      <w:b/>
      <w:bCs/>
      <w:kern w:val="2"/>
      <w:sz w:val="32"/>
      <w:szCs w:val="32"/>
      <w:lang w:val="en-US" w:eastAsia="zh-CN"/>
    </w:rPr>
  </w:style>
  <w:style w:type="character" w:customStyle="1" w:styleId="393">
    <w:name w:val="表内容 Char"/>
    <w:link w:val="394"/>
    <w:uiPriority w:val="0"/>
    <w:rPr>
      <w:rFonts w:ascii="宋体" w:hAnsi="宋体" w:cs="宋体"/>
      <w:color w:val="000000"/>
      <w:szCs w:val="21"/>
      <w:lang w:val="zh-CN"/>
    </w:rPr>
  </w:style>
  <w:style w:type="paragraph" w:customStyle="1" w:styleId="394">
    <w:name w:val="表内容"/>
    <w:basedOn w:val="1"/>
    <w:link w:val="393"/>
    <w:qFormat/>
    <w:uiPriority w:val="0"/>
    <w:pPr>
      <w:autoSpaceDE w:val="0"/>
      <w:autoSpaceDN w:val="0"/>
      <w:adjustRightInd w:val="0"/>
      <w:ind w:left="40"/>
      <w:jc w:val="center"/>
    </w:pPr>
    <w:rPr>
      <w:rFonts w:ascii="宋体" w:hAnsi="宋体" w:cs="宋体"/>
      <w:color w:val="000000"/>
      <w:kern w:val="0"/>
      <w:sz w:val="20"/>
      <w:szCs w:val="21"/>
      <w:lang w:val="zh-CN"/>
    </w:rPr>
  </w:style>
  <w:style w:type="character" w:customStyle="1" w:styleId="395">
    <w:name w:val="批注文字 Char1"/>
    <w:semiHidden/>
    <w:uiPriority w:val="99"/>
    <w:rPr>
      <w:rFonts w:ascii="Calibri" w:hAnsi="Calibri" w:eastAsia="宋体" w:cs="Calibri"/>
      <w:szCs w:val="24"/>
    </w:rPr>
  </w:style>
  <w:style w:type="character" w:customStyle="1" w:styleId="396">
    <w:name w:val="正文小标题 Char Char"/>
    <w:uiPriority w:val="0"/>
    <w:rPr>
      <w:rFonts w:ascii="宋体" w:eastAsia="宋体"/>
      <w:kern w:val="2"/>
      <w:sz w:val="28"/>
      <w:lang w:val="en-US" w:eastAsia="zh-CN" w:bidi="ar-SA"/>
    </w:rPr>
  </w:style>
  <w:style w:type="character" w:customStyle="1" w:styleId="397">
    <w:name w:val="正文文字 Char Char Char Char Char"/>
    <w:uiPriority w:val="0"/>
    <w:rPr>
      <w:rFonts w:ascii="Arial" w:hAnsi="Arial" w:eastAsia="宋体" w:cs="Arial"/>
      <w:kern w:val="2"/>
      <w:sz w:val="24"/>
      <w:szCs w:val="24"/>
      <w:lang w:val="en-US" w:eastAsia="zh-CN" w:bidi="ar-SA"/>
    </w:rPr>
  </w:style>
  <w:style w:type="character" w:customStyle="1" w:styleId="398">
    <w:name w:val="标书正文 Char Char Char Char Char Char Char Char Char Char Char Char Char Char Char Char Char"/>
    <w:uiPriority w:val="0"/>
    <w:rPr>
      <w:rFonts w:ascii="宋体" w:hAnsi="Arial" w:eastAsia="宋体" w:cs="宋体"/>
      <w:spacing w:val="14"/>
      <w:kern w:val="2"/>
      <w:sz w:val="24"/>
      <w:szCs w:val="24"/>
      <w:lang w:val="en-US" w:eastAsia="zh-CN" w:bidi="ar-SA"/>
    </w:rPr>
  </w:style>
  <w:style w:type="character" w:customStyle="1" w:styleId="399">
    <w:name w:val="gonggao-downline1"/>
    <w:uiPriority w:val="0"/>
    <w:rPr>
      <w:b/>
      <w:bCs/>
      <w:u w:val="single"/>
    </w:rPr>
  </w:style>
  <w:style w:type="character" w:customStyle="1" w:styleId="400">
    <w:name w:val="标题 4 Char Char1"/>
    <w:uiPriority w:val="0"/>
    <w:rPr>
      <w:rFonts w:eastAsia="宋体"/>
      <w:bCs/>
      <w:kern w:val="2"/>
      <w:sz w:val="24"/>
      <w:szCs w:val="24"/>
      <w:lang w:val="en-US" w:eastAsia="zh-CN" w:bidi="ar-SA"/>
    </w:rPr>
  </w:style>
  <w:style w:type="character" w:customStyle="1" w:styleId="401">
    <w:name w:val="样式2 Char1"/>
    <w:link w:val="222"/>
    <w:uiPriority w:val="0"/>
    <w:rPr>
      <w:kern w:val="2"/>
      <w:sz w:val="28"/>
      <w:szCs w:val="24"/>
    </w:rPr>
  </w:style>
  <w:style w:type="character" w:customStyle="1" w:styleId="402">
    <w:name w:val="技术-标题3 字符"/>
    <w:link w:val="403"/>
    <w:uiPriority w:val="1"/>
    <w:rPr>
      <w:rFonts w:ascii="Cambria" w:hAnsi="Cambria"/>
      <w:b/>
      <w:sz w:val="24"/>
      <w:szCs w:val="21"/>
      <w:lang w:eastAsia="en-US"/>
    </w:rPr>
  </w:style>
  <w:style w:type="paragraph" w:customStyle="1" w:styleId="403">
    <w:name w:val="技术-标题3"/>
    <w:basedOn w:val="8"/>
    <w:link w:val="402"/>
    <w:qFormat/>
    <w:uiPriority w:val="1"/>
    <w:pPr>
      <w:numPr>
        <w:ilvl w:val="2"/>
        <w:numId w:val="9"/>
      </w:numPr>
      <w:tabs>
        <w:tab w:val="left" w:pos="986"/>
      </w:tabs>
      <w:adjustRightInd/>
      <w:spacing w:before="0" w:after="0" w:line="360" w:lineRule="auto"/>
      <w:textAlignment w:val="auto"/>
    </w:pPr>
    <w:rPr>
      <w:rFonts w:ascii="Cambria" w:hAnsi="Cambria"/>
      <w:b/>
      <w:sz w:val="24"/>
      <w:szCs w:val="21"/>
      <w:lang w:eastAsia="en-US"/>
    </w:rPr>
  </w:style>
  <w:style w:type="character" w:customStyle="1" w:styleId="404">
    <w:name w:val="普通文字 Char Char1"/>
    <w:uiPriority w:val="0"/>
    <w:rPr>
      <w:rFonts w:ascii="Arial" w:hAnsi="Arial" w:cs="仿宋_GB2312"/>
      <w:sz w:val="24"/>
      <w:szCs w:val="21"/>
    </w:rPr>
  </w:style>
  <w:style w:type="character" w:customStyle="1" w:styleId="405">
    <w:name w:val="Char Char5"/>
    <w:uiPriority w:val="0"/>
    <w:rPr>
      <w:rFonts w:eastAsia="宋体"/>
      <w:kern w:val="2"/>
      <w:sz w:val="18"/>
      <w:szCs w:val="18"/>
      <w:lang w:val="en-US" w:eastAsia="zh-CN" w:bidi="ar-SA"/>
    </w:rPr>
  </w:style>
  <w:style w:type="character" w:customStyle="1" w:styleId="406">
    <w:name w:val="技术-标题2 字符"/>
    <w:link w:val="407"/>
    <w:uiPriority w:val="1"/>
    <w:rPr>
      <w:rFonts w:ascii="Arial" w:hAnsi="Arial"/>
      <w:bCs/>
      <w:sz w:val="24"/>
      <w:szCs w:val="21"/>
    </w:rPr>
  </w:style>
  <w:style w:type="paragraph" w:customStyle="1" w:styleId="407">
    <w:name w:val="技术-标题2"/>
    <w:basedOn w:val="7"/>
    <w:link w:val="406"/>
    <w:qFormat/>
    <w:uiPriority w:val="1"/>
    <w:pPr>
      <w:widowControl w:val="0"/>
      <w:numPr>
        <w:ilvl w:val="1"/>
        <w:numId w:val="9"/>
      </w:numPr>
      <w:tabs>
        <w:tab w:val="left" w:pos="960"/>
        <w:tab w:val="left" w:pos="1200"/>
      </w:tabs>
      <w:overflowPunct w:val="0"/>
      <w:adjustRightInd/>
      <w:snapToGrid/>
      <w:spacing w:beforeLines="25" w:line="300" w:lineRule="auto"/>
      <w:jc w:val="both"/>
      <w:textAlignment w:val="auto"/>
    </w:pPr>
    <w:rPr>
      <w:rFonts w:ascii="Arial" w:hAnsi="Arial"/>
      <w:bCs/>
      <w:szCs w:val="21"/>
    </w:rPr>
  </w:style>
  <w:style w:type="character" w:customStyle="1" w:styleId="408">
    <w:name w:val="标题1 Char Char Char Char"/>
    <w:link w:val="409"/>
    <w:locked/>
    <w:uiPriority w:val="0"/>
    <w:rPr>
      <w:b/>
      <w:kern w:val="44"/>
      <w:sz w:val="28"/>
    </w:rPr>
  </w:style>
  <w:style w:type="paragraph" w:customStyle="1" w:styleId="409">
    <w:name w:val="标题1 Char Char Char"/>
    <w:basedOn w:val="5"/>
    <w:link w:val="408"/>
    <w:uiPriority w:val="0"/>
    <w:pPr>
      <w:keepNext/>
      <w:keepLines/>
      <w:widowControl w:val="0"/>
      <w:tabs>
        <w:tab w:val="center" w:pos="4512"/>
        <w:tab w:val="center" w:pos="4606"/>
      </w:tabs>
      <w:spacing w:before="240" w:afterLines="0" w:line="578" w:lineRule="auto"/>
      <w:jc w:val="center"/>
      <w:textAlignment w:val="auto"/>
      <w:outlineLvl w:val="1"/>
    </w:pPr>
    <w:rPr>
      <w:rFonts w:eastAsia="宋体"/>
      <w:b/>
      <w:color w:val="auto"/>
      <w:sz w:val="28"/>
    </w:rPr>
  </w:style>
  <w:style w:type="character" w:customStyle="1" w:styleId="410">
    <w:name w:val="日期 Char1"/>
    <w:semiHidden/>
    <w:uiPriority w:val="99"/>
    <w:rPr>
      <w:rFonts w:ascii="Calibri" w:hAnsi="Calibri" w:eastAsia="宋体" w:cs="Calibri"/>
      <w:szCs w:val="24"/>
    </w:rPr>
  </w:style>
  <w:style w:type="character" w:customStyle="1" w:styleId="411">
    <w:name w:val="文档结构图 Char1"/>
    <w:semiHidden/>
    <w:uiPriority w:val="99"/>
    <w:rPr>
      <w:rFonts w:ascii="宋体" w:hAnsi="Calibri" w:eastAsia="宋体" w:cs="Calibri"/>
      <w:sz w:val="18"/>
      <w:szCs w:val="18"/>
    </w:rPr>
  </w:style>
  <w:style w:type="character" w:customStyle="1" w:styleId="412">
    <w:name w:val="称呼 Char1"/>
    <w:semiHidden/>
    <w:uiPriority w:val="99"/>
    <w:rPr>
      <w:kern w:val="2"/>
      <w:sz w:val="21"/>
    </w:rPr>
  </w:style>
  <w:style w:type="character" w:customStyle="1" w:styleId="413">
    <w:name w:val="样式10 Char"/>
    <w:uiPriority w:val="0"/>
    <w:rPr>
      <w:rFonts w:ascii="黑体" w:hAnsi="宋体" w:eastAsia="黑体"/>
      <w:b/>
      <w:kern w:val="2"/>
      <w:sz w:val="24"/>
      <w:szCs w:val="24"/>
      <w:lang w:val="en-US" w:eastAsia="zh-CN" w:bidi="ar-SA"/>
    </w:rPr>
  </w:style>
  <w:style w:type="character" w:customStyle="1" w:styleId="414">
    <w:name w:val="表题 Char Char"/>
    <w:uiPriority w:val="0"/>
    <w:rPr>
      <w:rFonts w:eastAsia="黑体"/>
      <w:kern w:val="2"/>
      <w:sz w:val="24"/>
      <w:lang w:val="en-US" w:eastAsia="zh-CN" w:bidi="ar-SA"/>
    </w:rPr>
  </w:style>
  <w:style w:type="character" w:customStyle="1" w:styleId="415">
    <w:name w:val="样式 标题 3 + Arial Char"/>
    <w:uiPriority w:val="0"/>
    <w:rPr>
      <w:rFonts w:ascii="Arial" w:hAnsi="Arial" w:eastAsia="宋体"/>
      <w:bCs/>
      <w:kern w:val="2"/>
      <w:sz w:val="24"/>
      <w:szCs w:val="32"/>
      <w:lang w:val="en-US" w:eastAsia="zh-CN" w:bidi="ar-SA"/>
    </w:rPr>
  </w:style>
  <w:style w:type="character" w:customStyle="1" w:styleId="416">
    <w:name w:val="页脚 Char1"/>
    <w:semiHidden/>
    <w:uiPriority w:val="99"/>
    <w:rPr>
      <w:rFonts w:ascii="Calibri" w:hAnsi="Calibri" w:eastAsia="宋体" w:cs="Calibri"/>
      <w:sz w:val="18"/>
      <w:szCs w:val="18"/>
    </w:rPr>
  </w:style>
  <w:style w:type="paragraph" w:customStyle="1" w:styleId="417">
    <w:name w:val="4"/>
    <w:basedOn w:val="113"/>
    <w:uiPriority w:val="0"/>
    <w:pPr>
      <w:tabs>
        <w:tab w:val="clear" w:pos="900"/>
      </w:tabs>
      <w:autoSpaceDE w:val="0"/>
      <w:autoSpaceDN w:val="0"/>
      <w:snapToGrid/>
      <w:spacing w:beforeLines="0" w:afterLines="0"/>
      <w:ind w:left="1134" w:leftChars="0" w:right="34" w:rightChars="0" w:hanging="1134"/>
      <w:textAlignment w:val="bottom"/>
    </w:pPr>
    <w:rPr>
      <w:rFonts w:ascii="黑体" w:eastAsia="黑体"/>
      <w:b/>
      <w:bCs/>
      <w:szCs w:val="24"/>
    </w:rPr>
  </w:style>
  <w:style w:type="paragraph" w:customStyle="1" w:styleId="418">
    <w:name w:val="样式 样式 正文文字缩进 2 + 宋体 小四 首行缩进:  2 字符 + (西文) Times New Roman (中文) ..."/>
    <w:basedOn w:val="419"/>
    <w:uiPriority w:val="0"/>
    <w:pPr>
      <w:spacing w:before="232" w:after="232"/>
      <w:ind w:firstLine="0" w:firstLineChars="0"/>
    </w:pPr>
    <w:rPr>
      <w:rFonts w:eastAsia="华文中宋"/>
    </w:rPr>
  </w:style>
  <w:style w:type="paragraph" w:customStyle="1" w:styleId="419">
    <w:name w:val="样式 正文文字缩进 2 + 宋体 小四 首行缩进:  2 字符 Char"/>
    <w:basedOn w:val="44"/>
    <w:uiPriority w:val="0"/>
    <w:pPr>
      <w:widowControl w:val="0"/>
      <w:autoSpaceDE/>
      <w:autoSpaceDN/>
      <w:adjustRightInd/>
      <w:spacing w:line="240" w:lineRule="auto"/>
      <w:ind w:firstLine="451" w:firstLineChars="200"/>
      <w:textAlignment w:val="auto"/>
    </w:pPr>
    <w:rPr>
      <w:kern w:val="2"/>
      <w:szCs w:val="24"/>
    </w:rPr>
  </w:style>
  <w:style w:type="character" w:customStyle="1" w:styleId="420">
    <w:name w:val="列表段落 字符"/>
    <w:link w:val="326"/>
    <w:qFormat/>
    <w:uiPriority w:val="0"/>
    <w:rPr>
      <w:kern w:val="2"/>
      <w:sz w:val="24"/>
      <w:szCs w:val="24"/>
    </w:rPr>
  </w:style>
  <w:style w:type="paragraph" w:customStyle="1" w:styleId="421">
    <w:name w:val="样式 章 + 段后: 0.5 行"/>
    <w:basedOn w:val="422"/>
    <w:uiPriority w:val="0"/>
    <w:pPr>
      <w:tabs>
        <w:tab w:val="left" w:pos="1304"/>
      </w:tabs>
      <w:spacing w:after="232"/>
    </w:pPr>
  </w:style>
  <w:style w:type="paragraph" w:customStyle="1" w:styleId="422">
    <w:name w:val="章"/>
    <w:basedOn w:val="423"/>
    <w:uiPriority w:val="0"/>
    <w:pPr>
      <w:tabs>
        <w:tab w:val="left" w:pos="1304"/>
      </w:tabs>
    </w:pPr>
    <w:rPr>
      <w:rFonts w:ascii="Times New Roman" w:cs="宋体"/>
      <w:sz w:val="32"/>
      <w:szCs w:val="20"/>
    </w:rPr>
  </w:style>
  <w:style w:type="paragraph" w:customStyle="1" w:styleId="423">
    <w:name w:val="样式9"/>
    <w:basedOn w:val="424"/>
    <w:uiPriority w:val="0"/>
    <w:pPr>
      <w:tabs>
        <w:tab w:val="left" w:pos="1304"/>
      </w:tabs>
    </w:pPr>
  </w:style>
  <w:style w:type="paragraph" w:customStyle="1" w:styleId="424">
    <w:name w:val="样式7"/>
    <w:basedOn w:val="1"/>
    <w:uiPriority w:val="0"/>
    <w:pPr>
      <w:spacing w:afterLines="50"/>
      <w:jc w:val="center"/>
    </w:pPr>
    <w:rPr>
      <w:rFonts w:ascii="华文中宋" w:eastAsia="华文中宋"/>
      <w:b/>
      <w:bCs/>
      <w:sz w:val="36"/>
      <w:szCs w:val="24"/>
    </w:rPr>
  </w:style>
  <w:style w:type="paragraph" w:customStyle="1" w:styleId="425">
    <w:name w:val="样式 样式 样式 样式 样式 宋体 小四 行距: 1.5 倍行距 + 左侧:  0 厘米 悬挂缩进: 4 字符 + 左侧:  4..."/>
    <w:basedOn w:val="1"/>
    <w:uiPriority w:val="0"/>
    <w:pPr>
      <w:tabs>
        <w:tab w:val="left" w:pos="900"/>
        <w:tab w:val="left" w:pos="960"/>
      </w:tabs>
      <w:snapToGrid w:val="0"/>
      <w:spacing w:line="300" w:lineRule="auto"/>
      <w:ind w:left="900" w:hanging="900" w:hangingChars="375"/>
    </w:pPr>
    <w:rPr>
      <w:rFonts w:ascii="宋体" w:hAnsi="宋体"/>
      <w:sz w:val="24"/>
    </w:rPr>
  </w:style>
  <w:style w:type="character" w:customStyle="1" w:styleId="426">
    <w:name w:val="MM Char"/>
    <w:link w:val="120"/>
    <w:uiPriority w:val="0"/>
    <w:rPr>
      <w:rFonts w:ascii="宋体"/>
      <w:spacing w:val="5"/>
      <w:sz w:val="24"/>
    </w:rPr>
  </w:style>
  <w:style w:type="paragraph" w:customStyle="1" w:styleId="427">
    <w:name w:val="样式15"/>
    <w:basedOn w:val="428"/>
    <w:uiPriority w:val="0"/>
    <w:pPr>
      <w:spacing w:beforeLines="30" w:afterLines="30"/>
    </w:pPr>
    <w:rPr>
      <w:rFonts w:hAnsi="Times New Roman"/>
      <w:b w:val="0"/>
    </w:rPr>
  </w:style>
  <w:style w:type="paragraph" w:customStyle="1" w:styleId="428">
    <w:name w:val="样式10"/>
    <w:basedOn w:val="1"/>
    <w:uiPriority w:val="0"/>
    <w:pPr>
      <w:spacing w:beforeLines="50" w:afterLines="50"/>
    </w:pPr>
    <w:rPr>
      <w:rFonts w:ascii="黑体" w:hAnsi="宋体" w:eastAsia="黑体"/>
      <w:b/>
      <w:sz w:val="24"/>
      <w:szCs w:val="24"/>
    </w:rPr>
  </w:style>
  <w:style w:type="paragraph" w:customStyle="1" w:styleId="429">
    <w:name w:val="文件"/>
    <w:basedOn w:val="430"/>
    <w:uiPriority w:val="0"/>
    <w:pPr>
      <w:tabs>
        <w:tab w:val="left" w:pos="0"/>
        <w:tab w:val="left" w:pos="2269"/>
      </w:tabs>
    </w:pPr>
  </w:style>
  <w:style w:type="paragraph" w:customStyle="1" w:styleId="430">
    <w:name w:val="文件一"/>
    <w:basedOn w:val="247"/>
    <w:uiPriority w:val="0"/>
    <w:pPr>
      <w:tabs>
        <w:tab w:val="left" w:pos="0"/>
        <w:tab w:val="left" w:pos="2269"/>
      </w:tabs>
      <w:autoSpaceDE/>
      <w:autoSpaceDN/>
      <w:ind w:left="1134" w:hanging="1134"/>
    </w:pPr>
    <w:rPr>
      <w:rFonts w:hAnsi="Arial"/>
      <w:b/>
      <w:bCs/>
      <w:szCs w:val="32"/>
    </w:rPr>
  </w:style>
  <w:style w:type="paragraph" w:customStyle="1" w:styleId="431">
    <w:name w:val="表格标题"/>
    <w:basedOn w:val="1"/>
    <w:uiPriority w:val="0"/>
    <w:pPr>
      <w:adjustRightInd w:val="0"/>
      <w:snapToGrid w:val="0"/>
      <w:spacing w:beforeLines="50" w:line="460" w:lineRule="atLeast"/>
      <w:jc w:val="center"/>
    </w:pPr>
    <w:rPr>
      <w:rFonts w:ascii="Times" w:hAnsi="Times"/>
      <w:b/>
      <w:snapToGrid w:val="0"/>
      <w:color w:val="FF00FF"/>
      <w:kern w:val="0"/>
      <w:sz w:val="24"/>
    </w:rPr>
  </w:style>
  <w:style w:type="paragraph" w:customStyle="1" w:styleId="432">
    <w:name w:val="样式 居中"/>
    <w:basedOn w:val="1"/>
    <w:uiPriority w:val="0"/>
    <w:pPr>
      <w:jc w:val="center"/>
    </w:pPr>
    <w:rPr>
      <w:sz w:val="22"/>
    </w:rPr>
  </w:style>
  <w:style w:type="paragraph" w:customStyle="1" w:styleId="433">
    <w:name w:val="样式 横表 + Times New Roman 两端对齐"/>
    <w:basedOn w:val="169"/>
    <w:uiPriority w:val="0"/>
    <w:pPr>
      <w:tabs>
        <w:tab w:val="left" w:pos="1304"/>
      </w:tabs>
      <w:jc w:val="both"/>
    </w:pPr>
  </w:style>
  <w:style w:type="paragraph" w:customStyle="1" w:styleId="434">
    <w:name w:val="样式19"/>
    <w:basedOn w:val="435"/>
    <w:uiPriority w:val="0"/>
    <w:pPr>
      <w:tabs>
        <w:tab w:val="left" w:pos="1304"/>
      </w:tabs>
    </w:pPr>
    <w:rPr>
      <w:rFonts w:ascii="Times New Roman"/>
    </w:rPr>
  </w:style>
  <w:style w:type="paragraph" w:customStyle="1" w:styleId="435">
    <w:name w:val="样式8"/>
    <w:basedOn w:val="222"/>
    <w:uiPriority w:val="0"/>
    <w:pPr>
      <w:tabs>
        <w:tab w:val="left" w:pos="1304"/>
        <w:tab w:val="clear" w:pos="720"/>
      </w:tabs>
      <w:adjustRightInd/>
      <w:snapToGrid/>
      <w:spacing w:beforeLines="30" w:afterLines="30" w:line="240" w:lineRule="auto"/>
      <w:ind w:left="0" w:firstLine="0"/>
    </w:pPr>
    <w:rPr>
      <w:rFonts w:ascii="黑体" w:eastAsia="黑体" w:hAnsiTheme="minorHAnsi" w:cstheme="minorBidi"/>
      <w:sz w:val="30"/>
    </w:rPr>
  </w:style>
  <w:style w:type="paragraph" w:customStyle="1" w:styleId="436">
    <w:name w:val="Char Char Char1 Char Char Char Char Char Char Char Char Char Char Char Char Char Char Char Char Char Char Char Char Char Char Char Char Char Char Char Char Char Char Char Char Char Char"/>
    <w:basedOn w:val="1"/>
    <w:uiPriority w:val="0"/>
    <w:rPr>
      <w:sz w:val="24"/>
      <w:szCs w:val="24"/>
    </w:rPr>
  </w:style>
  <w:style w:type="paragraph" w:customStyle="1" w:styleId="437">
    <w:name w:val="样式 样式 样式 样式10 + (西文) Times New Roman (中文) 宋体 非加粗 段前: 0.5 行 段后: 0..."/>
    <w:basedOn w:val="438"/>
    <w:uiPriority w:val="0"/>
    <w:pPr>
      <w:tabs>
        <w:tab w:val="left" w:pos="1304"/>
      </w:tabs>
      <w:spacing w:before="232" w:after="232"/>
    </w:pPr>
    <w:rPr>
      <w:rFonts w:eastAsia="华文中宋"/>
    </w:rPr>
  </w:style>
  <w:style w:type="paragraph" w:customStyle="1" w:styleId="438">
    <w:name w:val="样式 样式 样式10 + (西文) Times New Roman (中文) 宋体 非加粗 段前: 0.5 行 段后: 0.5....1"/>
    <w:basedOn w:val="439"/>
    <w:uiPriority w:val="0"/>
    <w:pPr>
      <w:tabs>
        <w:tab w:val="left" w:pos="1304"/>
      </w:tabs>
      <w:spacing w:beforeLines="0" w:afterLines="0"/>
    </w:pPr>
  </w:style>
  <w:style w:type="paragraph" w:customStyle="1" w:styleId="439">
    <w:name w:val="样式 样式10 + (西文) Times New Roman (中文) 宋体 非加粗 段前: 0.5 行 段后: 0.5...1"/>
    <w:basedOn w:val="428"/>
    <w:uiPriority w:val="0"/>
    <w:pPr>
      <w:tabs>
        <w:tab w:val="left" w:pos="1304"/>
      </w:tabs>
    </w:pPr>
    <w:rPr>
      <w:rFonts w:ascii="Times New Roman" w:hAnsi="Times New Roman" w:eastAsia="宋体" w:cs="宋体"/>
      <w:b w:val="0"/>
      <w:szCs w:val="20"/>
    </w:rPr>
  </w:style>
  <w:style w:type="paragraph" w:customStyle="1" w:styleId="440">
    <w:name w:val="样式25"/>
    <w:basedOn w:val="441"/>
    <w:uiPriority w:val="0"/>
    <w:pPr>
      <w:tabs>
        <w:tab w:val="left" w:pos="1304"/>
      </w:tabs>
      <w:spacing w:before="50" w:after="50"/>
    </w:pPr>
    <w:rPr>
      <w:rFonts w:ascii="宋体" w:hAnsi="宋体" w:eastAsia="宋体"/>
      <w:b/>
      <w:bCs/>
    </w:rPr>
  </w:style>
  <w:style w:type="paragraph" w:customStyle="1" w:styleId="441">
    <w:name w:val="样式 样式10 + Times New Roman 四号 非加粗 段前: 0.5 行 段后: 0.5 行"/>
    <w:basedOn w:val="428"/>
    <w:uiPriority w:val="0"/>
    <w:pPr>
      <w:tabs>
        <w:tab w:val="left" w:pos="1304"/>
      </w:tabs>
      <w:spacing w:before="232" w:after="232"/>
    </w:pPr>
    <w:rPr>
      <w:rFonts w:ascii="Times New Roman" w:hAnsi="Times New Roman" w:cs="宋体"/>
      <w:b w:val="0"/>
      <w:sz w:val="28"/>
      <w:szCs w:val="20"/>
    </w:rPr>
  </w:style>
  <w:style w:type="paragraph" w:customStyle="1" w:styleId="442">
    <w:name w:val="半截提头"/>
    <w:basedOn w:val="1"/>
    <w:uiPriority w:val="0"/>
    <w:pPr>
      <w:tabs>
        <w:tab w:val="left" w:pos="1304"/>
      </w:tabs>
      <w:adjustRightInd w:val="0"/>
      <w:snapToGrid w:val="0"/>
      <w:spacing w:line="360" w:lineRule="auto"/>
      <w:ind w:left="1248" w:hanging="851"/>
      <w:outlineLvl w:val="0"/>
    </w:pPr>
    <w:rPr>
      <w:rFonts w:ascii="Arial" w:hAnsi="Arial" w:eastAsia="黑体" w:cs="Arial"/>
      <w:snapToGrid w:val="0"/>
      <w:kern w:val="0"/>
      <w:sz w:val="24"/>
      <w:szCs w:val="24"/>
    </w:rPr>
  </w:style>
  <w:style w:type="paragraph" w:customStyle="1" w:styleId="443">
    <w:name w:val="样式 正文文本正文小标题 + (西文) Times New Roman (中文) 新宋体 小四 左 左侧:  0.85..."/>
    <w:basedOn w:val="17"/>
    <w:uiPriority w:val="0"/>
    <w:pPr>
      <w:spacing w:line="300" w:lineRule="auto"/>
      <w:ind w:left="1191" w:hanging="709"/>
      <w:jc w:val="left"/>
    </w:pPr>
    <w:rPr>
      <w:rFonts w:hAnsi="新宋体" w:eastAsia="新宋体" w:cs="宋体"/>
      <w:kern w:val="0"/>
      <w:szCs w:val="20"/>
    </w:rPr>
  </w:style>
  <w:style w:type="paragraph" w:customStyle="1" w:styleId="444">
    <w:name w:val="Defaul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445">
    <w:name w:val="封面落款单位"/>
    <w:basedOn w:val="446"/>
    <w:uiPriority w:val="0"/>
    <w:rPr>
      <w:rFonts w:eastAsia="华文行楷"/>
      <w:sz w:val="44"/>
      <w:szCs w:val="44"/>
    </w:rPr>
  </w:style>
  <w:style w:type="paragraph" w:customStyle="1" w:styleId="446">
    <w:name w:val="大纲标题"/>
    <w:basedOn w:val="5"/>
    <w:uiPriority w:val="0"/>
    <w:pPr>
      <w:keepNext/>
      <w:keepLines/>
      <w:widowControl w:val="0"/>
      <w:adjustRightInd/>
      <w:spacing w:beforeLines="0" w:afterLines="0" w:line="360" w:lineRule="auto"/>
      <w:jc w:val="center"/>
      <w:textAlignment w:val="auto"/>
    </w:pPr>
    <w:rPr>
      <w:rFonts w:ascii="Arial" w:hAnsi="Arial" w:eastAsia="宋体" w:cs="Arial"/>
      <w:b/>
      <w:bCs/>
      <w:snapToGrid w:val="0"/>
      <w:sz w:val="36"/>
      <w:szCs w:val="36"/>
    </w:rPr>
  </w:style>
  <w:style w:type="paragraph" w:customStyle="1" w:styleId="447">
    <w:name w:val="mk1"/>
    <w:basedOn w:val="1"/>
    <w:next w:val="5"/>
    <w:uiPriority w:val="0"/>
    <w:pPr>
      <w:tabs>
        <w:tab w:val="left" w:pos="712"/>
        <w:tab w:val="left" w:pos="851"/>
      </w:tabs>
      <w:spacing w:beforeLines="50" w:afterLines="50" w:line="360" w:lineRule="auto"/>
      <w:ind w:left="851" w:hanging="426"/>
      <w:outlineLvl w:val="0"/>
    </w:pPr>
    <w:rPr>
      <w:rFonts w:eastAsia="新宋体" w:cs="宋体"/>
      <w:b/>
      <w:bCs/>
      <w:kern w:val="44"/>
      <w:sz w:val="28"/>
      <w:szCs w:val="30"/>
    </w:rPr>
  </w:style>
  <w:style w:type="paragraph" w:customStyle="1" w:styleId="448">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449">
    <w:name w:val="Char2 Char Char1 Char Char Char Char"/>
    <w:basedOn w:val="1"/>
    <w:uiPriority w:val="0"/>
    <w:rPr>
      <w:szCs w:val="24"/>
    </w:rPr>
  </w:style>
  <w:style w:type="paragraph" w:customStyle="1" w:styleId="450">
    <w:name w:val="ml"/>
    <w:basedOn w:val="1"/>
    <w:uiPriority w:val="0"/>
    <w:pPr>
      <w:tabs>
        <w:tab w:val="left" w:pos="0"/>
        <w:tab w:val="left" w:pos="2269"/>
      </w:tabs>
      <w:adjustRightInd w:val="0"/>
      <w:spacing w:before="360" w:after="240" w:line="360" w:lineRule="atLeast"/>
      <w:ind w:left="992" w:hanging="1134"/>
      <w:jc w:val="center"/>
      <w:textAlignment w:val="baseline"/>
    </w:pPr>
    <w:rPr>
      <w:rFonts w:eastAsia="黑体"/>
      <w:b/>
      <w:bCs/>
      <w:kern w:val="0"/>
      <w:sz w:val="32"/>
      <w:szCs w:val="32"/>
    </w:rPr>
  </w:style>
  <w:style w:type="paragraph" w:customStyle="1" w:styleId="451">
    <w:name w:val="样式5"/>
    <w:basedOn w:val="40"/>
    <w:uiPriority w:val="0"/>
    <w:pPr>
      <w:adjustRightInd/>
      <w:spacing w:beforeLines="30" w:afterLines="30" w:line="240" w:lineRule="auto"/>
    </w:pPr>
    <w:rPr>
      <w:rFonts w:ascii="幼圆" w:hAnsi="宋体" w:eastAsia="幼圆"/>
      <w:color w:val="000000"/>
      <w:sz w:val="24"/>
    </w:rPr>
  </w:style>
  <w:style w:type="paragraph" w:customStyle="1" w:styleId="452">
    <w:name w:val="菲页1"/>
    <w:basedOn w:val="6"/>
    <w:uiPriority w:val="0"/>
    <w:pPr>
      <w:keepNext/>
      <w:keepLines/>
      <w:adjustRightInd/>
      <w:snapToGrid/>
      <w:spacing w:before="260" w:after="260" w:line="416" w:lineRule="auto"/>
      <w:jc w:val="center"/>
      <w:textAlignment w:val="auto"/>
    </w:pPr>
    <w:rPr>
      <w:rFonts w:ascii="黑体" w:hAnsi="宋体"/>
      <w:b w:val="0"/>
      <w:sz w:val="52"/>
    </w:rPr>
  </w:style>
  <w:style w:type="paragraph" w:customStyle="1" w:styleId="453">
    <w:name w:val="样式27"/>
    <w:basedOn w:val="441"/>
    <w:uiPriority w:val="0"/>
    <w:pPr>
      <w:spacing w:before="50" w:after="50"/>
    </w:pPr>
    <w:rPr>
      <w:rFonts w:ascii="宋体" w:hAnsi="宋体" w:eastAsia="宋体"/>
      <w:b/>
      <w:bCs/>
      <w:szCs w:val="28"/>
    </w:rPr>
  </w:style>
  <w:style w:type="paragraph" w:customStyle="1" w:styleId="454">
    <w:name w:val="mk2"/>
    <w:basedOn w:val="447"/>
    <w:next w:val="6"/>
    <w:uiPriority w:val="0"/>
    <w:pPr>
      <w:tabs>
        <w:tab w:val="left" w:pos="1116"/>
      </w:tabs>
      <w:ind w:left="851" w:hanging="426"/>
    </w:pPr>
    <w:rPr>
      <w:sz w:val="24"/>
    </w:rPr>
  </w:style>
  <w:style w:type="paragraph" w:customStyle="1" w:styleId="455">
    <w:name w:val="样式23"/>
    <w:basedOn w:val="441"/>
    <w:uiPriority w:val="0"/>
    <w:pPr>
      <w:spacing w:before="50" w:after="50"/>
    </w:pPr>
    <w:rPr>
      <w:rFonts w:ascii="宋体" w:hAnsi="宋体" w:eastAsia="宋体"/>
      <w:b/>
      <w:bCs/>
      <w:szCs w:val="28"/>
    </w:rPr>
  </w:style>
  <w:style w:type="paragraph" w:customStyle="1" w:styleId="456">
    <w:name w:val="样式32"/>
    <w:basedOn w:val="457"/>
    <w:uiPriority w:val="0"/>
    <w:pPr>
      <w:tabs>
        <w:tab w:val="left" w:pos="1304"/>
      </w:tabs>
      <w:spacing w:line="300" w:lineRule="exact"/>
      <w:ind w:left="-122" w:leftChars="-50" w:right="-122" w:rightChars="-50"/>
    </w:pPr>
    <w:rPr>
      <w:rFonts w:eastAsia="华文中宋"/>
      <w:sz w:val="21"/>
      <w:szCs w:val="21"/>
    </w:rPr>
  </w:style>
  <w:style w:type="paragraph" w:customStyle="1" w:styleId="457">
    <w:name w:val="样式14"/>
    <w:basedOn w:val="1"/>
    <w:uiPriority w:val="0"/>
    <w:pPr>
      <w:jc w:val="center"/>
    </w:pPr>
    <w:rPr>
      <w:rFonts w:eastAsia="黑体"/>
      <w:sz w:val="24"/>
      <w:szCs w:val="24"/>
    </w:rPr>
  </w:style>
  <w:style w:type="paragraph" w:customStyle="1" w:styleId="458">
    <w:name w:val="技术-标题4"/>
    <w:basedOn w:val="9"/>
    <w:qFormat/>
    <w:uiPriority w:val="1"/>
    <w:pPr>
      <w:keepNext/>
      <w:keepLines w:val="0"/>
      <w:numPr>
        <w:ilvl w:val="3"/>
        <w:numId w:val="9"/>
      </w:numPr>
      <w:adjustRightInd/>
      <w:spacing w:before="0" w:after="0" w:line="360" w:lineRule="auto"/>
      <w:jc w:val="left"/>
      <w:textAlignment w:val="auto"/>
    </w:pPr>
    <w:rPr>
      <w:rFonts w:ascii="Times New Roman" w:eastAsia="宋体"/>
      <w:b w:val="0"/>
      <w:bCs/>
      <w:snapToGrid w:val="0"/>
      <w:sz w:val="24"/>
      <w:szCs w:val="28"/>
    </w:rPr>
  </w:style>
  <w:style w:type="paragraph" w:customStyle="1" w:styleId="459">
    <w:name w:val="标题1"/>
    <w:basedOn w:val="1"/>
    <w:uiPriority w:val="0"/>
    <w:pPr>
      <w:widowControl/>
      <w:tabs>
        <w:tab w:val="left" w:pos="1134"/>
      </w:tabs>
      <w:adjustRightInd w:val="0"/>
      <w:snapToGrid w:val="0"/>
      <w:spacing w:before="60" w:after="60" w:line="400" w:lineRule="exact"/>
      <w:ind w:left="1134"/>
    </w:pPr>
    <w:rPr>
      <w:rFonts w:ascii="宋体" w:hAnsi="宋体"/>
      <w:kern w:val="0"/>
      <w:sz w:val="24"/>
    </w:rPr>
  </w:style>
  <w:style w:type="paragraph" w:customStyle="1" w:styleId="460">
    <w:name w:val="样式18"/>
    <w:basedOn w:val="1"/>
    <w:uiPriority w:val="0"/>
    <w:rPr>
      <w:szCs w:val="21"/>
    </w:rPr>
  </w:style>
  <w:style w:type="paragraph" w:customStyle="1" w:styleId="461">
    <w:name w:val="正文文本缩进 21"/>
    <w:basedOn w:val="1"/>
    <w:uiPriority w:val="0"/>
    <w:pPr>
      <w:adjustRightInd w:val="0"/>
      <w:spacing w:before="120" w:line="360" w:lineRule="auto"/>
      <w:ind w:firstLine="600"/>
    </w:pPr>
    <w:rPr>
      <w:sz w:val="24"/>
    </w:rPr>
  </w:style>
  <w:style w:type="paragraph" w:customStyle="1" w:styleId="462">
    <w:name w:val="样式21"/>
    <w:basedOn w:val="441"/>
    <w:uiPriority w:val="0"/>
    <w:pPr>
      <w:spacing w:beforeLines="20" w:afterLines="20"/>
    </w:pPr>
    <w:rPr>
      <w:rFonts w:ascii="宋体" w:hAnsi="宋体" w:eastAsia="宋体"/>
      <w:b/>
      <w:bCs/>
      <w:szCs w:val="28"/>
    </w:rPr>
  </w:style>
  <w:style w:type="paragraph" w:customStyle="1" w:styleId="463">
    <w:name w:val="A.aa"/>
    <w:basedOn w:val="1"/>
    <w:uiPriority w:val="0"/>
    <w:pPr>
      <w:tabs>
        <w:tab w:val="left" w:pos="0"/>
        <w:tab w:val="left" w:pos="1560"/>
        <w:tab w:val="left" w:pos="8505"/>
      </w:tabs>
      <w:adjustRightInd w:val="0"/>
      <w:spacing w:before="60" w:after="60" w:line="360" w:lineRule="atLeast"/>
      <w:ind w:left="1560" w:right="-194" w:hanging="1560"/>
      <w:textAlignment w:val="baseline"/>
    </w:pPr>
    <w:rPr>
      <w:rFonts w:ascii="Arial" w:hAnsi="Arial"/>
      <w:kern w:val="0"/>
      <w:sz w:val="24"/>
      <w:szCs w:val="24"/>
    </w:rPr>
  </w:style>
  <w:style w:type="paragraph" w:customStyle="1" w:styleId="464">
    <w:name w:val="目录文字"/>
    <w:basedOn w:val="1"/>
    <w:uiPriority w:val="0"/>
    <w:pPr>
      <w:widowControl/>
      <w:spacing w:line="480" w:lineRule="auto"/>
      <w:jc w:val="left"/>
    </w:pPr>
    <w:rPr>
      <w:rFonts w:ascii="宋体" w:hAnsi="宋体"/>
      <w:kern w:val="0"/>
      <w:sz w:val="24"/>
    </w:rPr>
  </w:style>
  <w:style w:type="paragraph" w:customStyle="1" w:styleId="465">
    <w:name w:val="样式 (中文) 隶书 二号 居中"/>
    <w:basedOn w:val="1"/>
    <w:uiPriority w:val="0"/>
    <w:pPr>
      <w:jc w:val="center"/>
    </w:pPr>
    <w:rPr>
      <w:rFonts w:eastAsia="隶书"/>
      <w:w w:val="90"/>
      <w:sz w:val="44"/>
    </w:rPr>
  </w:style>
  <w:style w:type="paragraph" w:customStyle="1" w:styleId="466">
    <w:name w:val="投标书标题"/>
    <w:basedOn w:val="6"/>
    <w:uiPriority w:val="0"/>
    <w:pPr>
      <w:keepNext/>
      <w:keepLines/>
      <w:widowControl w:val="0"/>
      <w:tabs>
        <w:tab w:val="left" w:pos="180"/>
        <w:tab w:val="left" w:pos="993"/>
      </w:tabs>
      <w:adjustRightInd/>
      <w:snapToGrid/>
      <w:spacing w:beforeLines="50" w:afterLines="50" w:line="240" w:lineRule="auto"/>
      <w:ind w:left="180"/>
      <w:jc w:val="center"/>
      <w:textAlignment w:val="auto"/>
    </w:pPr>
    <w:rPr>
      <w:rFonts w:ascii="宋体" w:hAnsi="宋体" w:cs="Arial"/>
      <w:bCs/>
      <w:snapToGrid w:val="0"/>
      <w:sz w:val="30"/>
      <w:szCs w:val="30"/>
    </w:rPr>
  </w:style>
  <w:style w:type="paragraph" w:customStyle="1" w:styleId="467">
    <w:name w:val="标准正文c"/>
    <w:basedOn w:val="1"/>
    <w:uiPriority w:val="0"/>
    <w:pPr>
      <w:adjustRightInd w:val="0"/>
      <w:snapToGrid w:val="0"/>
      <w:spacing w:line="360" w:lineRule="auto"/>
      <w:ind w:firstLine="480" w:firstLineChars="200"/>
      <w:textAlignment w:val="baseline"/>
    </w:pPr>
    <w:rPr>
      <w:rFonts w:ascii="宋体" w:hAnsi="宋体"/>
      <w:color w:val="000000"/>
      <w:spacing w:val="4"/>
      <w:sz w:val="24"/>
      <w:szCs w:val="28"/>
    </w:rPr>
  </w:style>
  <w:style w:type="paragraph" w:customStyle="1" w:styleId="468">
    <w:name w:val="table"/>
    <w:basedOn w:val="469"/>
    <w:uiPriority w:val="0"/>
    <w:pPr>
      <w:tabs>
        <w:tab w:val="left" w:pos="0"/>
        <w:tab w:val="left" w:pos="1134"/>
        <w:tab w:val="left" w:pos="8505"/>
      </w:tabs>
    </w:pPr>
  </w:style>
  <w:style w:type="paragraph" w:customStyle="1" w:styleId="469">
    <w:name w:val="FORM"/>
    <w:basedOn w:val="1"/>
    <w:uiPriority w:val="0"/>
    <w:pPr>
      <w:tabs>
        <w:tab w:val="left" w:pos="0"/>
        <w:tab w:val="left" w:pos="1134"/>
        <w:tab w:val="left" w:pos="8505"/>
      </w:tabs>
      <w:adjustRightInd w:val="0"/>
      <w:spacing w:before="60" w:after="60" w:line="360" w:lineRule="atLeast"/>
      <w:ind w:left="1134" w:hanging="1134"/>
      <w:jc w:val="center"/>
      <w:textAlignment w:val="baseline"/>
    </w:pPr>
    <w:rPr>
      <w:rFonts w:ascii="Arial" w:hAnsi="Arial"/>
      <w:kern w:val="0"/>
      <w:szCs w:val="21"/>
    </w:rPr>
  </w:style>
  <w:style w:type="paragraph" w:customStyle="1" w:styleId="470">
    <w:name w:val="样式 正文1 +"/>
    <w:basedOn w:val="1"/>
    <w:uiPriority w:val="0"/>
    <w:pPr>
      <w:ind w:firstLine="200" w:firstLineChars="200"/>
    </w:pPr>
    <w:rPr>
      <w:rFonts w:eastAsia="华文中宋"/>
      <w:kern w:val="0"/>
      <w:sz w:val="24"/>
      <w:szCs w:val="24"/>
    </w:rPr>
  </w:style>
  <w:style w:type="paragraph" w:customStyle="1" w:styleId="471">
    <w:name w:val="样式 左侧:  2.1 厘米 悬挂缩进: 0.01 字符"/>
    <w:basedOn w:val="1"/>
    <w:uiPriority w:val="0"/>
    <w:pPr>
      <w:spacing w:line="300" w:lineRule="auto"/>
      <w:ind w:left="1191"/>
    </w:pPr>
    <w:rPr>
      <w:rFonts w:ascii="Arial" w:hAnsi="Arial" w:cs="宋体"/>
      <w:sz w:val="24"/>
    </w:rPr>
  </w:style>
  <w:style w:type="paragraph" w:customStyle="1" w:styleId="472">
    <w:name w:val="A列表"/>
    <w:basedOn w:val="1"/>
    <w:uiPriority w:val="0"/>
    <w:pPr>
      <w:adjustRightInd w:val="0"/>
      <w:snapToGrid w:val="0"/>
      <w:spacing w:before="40" w:line="360" w:lineRule="auto"/>
      <w:jc w:val="left"/>
    </w:pPr>
    <w:rPr>
      <w:rFonts w:ascii="Calibri" w:hAnsi="Calibri" w:cs="Calibri"/>
      <w:kern w:val="0"/>
      <w:sz w:val="24"/>
    </w:rPr>
  </w:style>
  <w:style w:type="paragraph" w:customStyle="1" w:styleId="473">
    <w:name w:val="样式 样式 样式10 + (西文) Times New Roman (中文) 宋体 非加粗 段前: 0.5 行 段后: 0.5...."/>
    <w:basedOn w:val="439"/>
    <w:uiPriority w:val="0"/>
    <w:pPr>
      <w:spacing w:beforeLines="0" w:afterLines="0"/>
    </w:pPr>
    <w:rPr>
      <w:szCs w:val="24"/>
    </w:rPr>
  </w:style>
  <w:style w:type="paragraph" w:customStyle="1" w:styleId="474">
    <w:name w:val="菲页(卷)"/>
    <w:basedOn w:val="5"/>
    <w:next w:val="227"/>
    <w:uiPriority w:val="0"/>
    <w:pPr>
      <w:keepNext/>
      <w:adjustRightInd/>
      <w:snapToGrid/>
      <w:spacing w:beforeLines="0" w:afterLines="0" w:line="240" w:lineRule="auto"/>
      <w:ind w:left="510" w:hanging="510"/>
      <w:jc w:val="center"/>
      <w:textAlignment w:val="auto"/>
      <w:outlineLvl w:val="1"/>
    </w:pPr>
    <w:rPr>
      <w:rFonts w:ascii="黑体"/>
      <w:color w:val="auto"/>
      <w:kern w:val="0"/>
      <w:sz w:val="52"/>
    </w:rPr>
  </w:style>
  <w:style w:type="paragraph" w:customStyle="1" w:styleId="475">
    <w:name w:val="（一）"/>
    <w:basedOn w:val="40"/>
    <w:uiPriority w:val="0"/>
    <w:pPr>
      <w:snapToGrid w:val="0"/>
      <w:spacing w:line="240" w:lineRule="auto"/>
      <w:ind w:firstLine="200" w:firstLineChars="200"/>
      <w:outlineLvl w:val="3"/>
    </w:pPr>
    <w:rPr>
      <w:rFonts w:ascii="仿宋_GB2312" w:eastAsia="仿宋_GB2312"/>
      <w:b/>
      <w:szCs w:val="21"/>
    </w:rPr>
  </w:style>
  <w:style w:type="character" w:customStyle="1" w:styleId="476">
    <w:name w:val="Normal[858D7CFB-ED40-4347-BF05-701D383B685F]"/>
    <w:link w:val="292"/>
    <w:uiPriority w:val="0"/>
    <w:rPr>
      <w:rFonts w:ascii="Arial" w:hAnsi="Arial"/>
      <w:sz w:val="21"/>
    </w:rPr>
  </w:style>
  <w:style w:type="paragraph" w:customStyle="1" w:styleId="477">
    <w:name w:val="Char Char Char Char Char Char Char Char Char Char Char Char Char Char Char Char"/>
    <w:basedOn w:val="7"/>
    <w:next w:val="7"/>
    <w:uiPriority w:val="0"/>
    <w:pPr>
      <w:widowControl w:val="0"/>
      <w:tabs>
        <w:tab w:val="left" w:pos="720"/>
      </w:tabs>
      <w:adjustRightInd/>
      <w:snapToGrid/>
      <w:spacing w:beforeLines="30" w:afterLines="30" w:line="240" w:lineRule="auto"/>
      <w:ind w:left="720"/>
      <w:textAlignment w:val="auto"/>
    </w:pPr>
    <w:rPr>
      <w:rFonts w:ascii="宋体" w:hAnsi="宋体" w:eastAsia="仿宋_GB2312"/>
      <w:bCs/>
      <w:color w:val="000000"/>
      <w:kern w:val="2"/>
    </w:rPr>
  </w:style>
  <w:style w:type="paragraph" w:customStyle="1" w:styleId="478">
    <w:name w:val="Char Char Char Char Char Char Char Char Char Char Char Char1 Char"/>
    <w:basedOn w:val="7"/>
    <w:next w:val="7"/>
    <w:uiPriority w:val="0"/>
    <w:pPr>
      <w:widowControl w:val="0"/>
      <w:tabs>
        <w:tab w:val="left" w:pos="425"/>
      </w:tabs>
      <w:adjustRightInd/>
      <w:snapToGrid/>
      <w:spacing w:beforeLines="30" w:afterLines="30" w:line="240" w:lineRule="auto"/>
      <w:textAlignment w:val="auto"/>
    </w:pPr>
    <w:rPr>
      <w:bCs/>
      <w:color w:val="000000"/>
      <w:kern w:val="2"/>
    </w:rPr>
  </w:style>
  <w:style w:type="paragraph" w:customStyle="1" w:styleId="479">
    <w:name w:val="样式12"/>
    <w:basedOn w:val="1"/>
    <w:uiPriority w:val="0"/>
    <w:pPr>
      <w:spacing w:beforeLines="30" w:afterLines="30"/>
    </w:pPr>
    <w:rPr>
      <w:rFonts w:ascii="宋体" w:hAnsi="宋体"/>
      <w:sz w:val="24"/>
      <w:szCs w:val="24"/>
    </w:rPr>
  </w:style>
  <w:style w:type="paragraph" w:customStyle="1" w:styleId="480">
    <w:name w:val="3"/>
    <w:basedOn w:val="1"/>
    <w:uiPriority w:val="0"/>
    <w:pPr>
      <w:tabs>
        <w:tab w:val="left" w:pos="0"/>
        <w:tab w:val="left" w:pos="1134"/>
        <w:tab w:val="left" w:pos="8505"/>
      </w:tabs>
      <w:autoSpaceDE w:val="0"/>
      <w:autoSpaceDN w:val="0"/>
      <w:adjustRightInd w:val="0"/>
      <w:spacing w:before="120" w:after="120" w:line="400" w:lineRule="atLeast"/>
      <w:ind w:left="1134" w:right="34" w:hanging="1134"/>
      <w:textAlignment w:val="bottom"/>
    </w:pPr>
    <w:rPr>
      <w:rFonts w:ascii="黑体" w:hAnsi="Arial" w:eastAsia="黑体"/>
      <w:b/>
      <w:bCs/>
      <w:kern w:val="0"/>
      <w:sz w:val="30"/>
      <w:szCs w:val="30"/>
    </w:rPr>
  </w:style>
  <w:style w:type="paragraph" w:customStyle="1" w:styleId="481">
    <w:name w:val="样式 标题 4 + Times New Roman"/>
    <w:basedOn w:val="8"/>
    <w:uiPriority w:val="0"/>
    <w:pPr>
      <w:tabs>
        <w:tab w:val="left" w:pos="780"/>
        <w:tab w:val="left" w:pos="851"/>
        <w:tab w:val="left" w:pos="960"/>
        <w:tab w:val="left" w:pos="1680"/>
      </w:tabs>
      <w:adjustRightInd/>
      <w:spacing w:before="0" w:after="0" w:line="360" w:lineRule="auto"/>
      <w:ind w:left="780" w:hanging="360"/>
      <w:textAlignment w:val="auto"/>
    </w:pPr>
    <w:rPr>
      <w:sz w:val="24"/>
      <w:szCs w:val="24"/>
    </w:rPr>
  </w:style>
  <w:style w:type="paragraph" w:customStyle="1" w:styleId="482">
    <w:name w:val="_Style 38"/>
    <w:basedOn w:val="1"/>
    <w:next w:val="3"/>
    <w:uiPriority w:val="0"/>
    <w:pPr>
      <w:spacing w:line="360" w:lineRule="auto"/>
      <w:ind w:left="1258" w:leftChars="599" w:firstLine="1"/>
    </w:pPr>
    <w:rPr>
      <w:rFonts w:ascii="Arial" w:hAnsi="Arial" w:cs="Arial"/>
      <w:sz w:val="24"/>
      <w:szCs w:val="24"/>
    </w:rPr>
  </w:style>
  <w:style w:type="paragraph" w:customStyle="1" w:styleId="483">
    <w:name w:val="样式22"/>
    <w:basedOn w:val="441"/>
    <w:uiPriority w:val="0"/>
    <w:pPr>
      <w:spacing w:before="50" w:after="50"/>
    </w:pPr>
    <w:rPr>
      <w:rFonts w:ascii="宋体" w:hAnsi="宋体" w:eastAsia="宋体"/>
      <w:b/>
      <w:bCs/>
      <w:szCs w:val="28"/>
    </w:rPr>
  </w:style>
  <w:style w:type="paragraph" w:customStyle="1" w:styleId="484">
    <w:name w:val="条目文字"/>
    <w:basedOn w:val="1"/>
    <w:uiPriority w:val="0"/>
    <w:pPr>
      <w:spacing w:line="360" w:lineRule="auto"/>
      <w:ind w:left="1247" w:leftChars="500" w:firstLine="200" w:firstLineChars="200"/>
    </w:pPr>
    <w:rPr>
      <w:rFonts w:ascii="宋体" w:hAnsi="Arial" w:cs="宋体"/>
      <w:spacing w:val="14"/>
      <w:sz w:val="24"/>
      <w:szCs w:val="24"/>
    </w:rPr>
  </w:style>
  <w:style w:type="paragraph" w:customStyle="1" w:styleId="485">
    <w:name w:val="表格样式1"/>
    <w:basedOn w:val="1"/>
    <w:uiPriority w:val="0"/>
    <w:pPr>
      <w:tabs>
        <w:tab w:val="left" w:pos="1304"/>
      </w:tabs>
      <w:adjustRightInd w:val="0"/>
      <w:snapToGrid w:val="0"/>
      <w:spacing w:before="20" w:after="20"/>
      <w:ind w:left="1304"/>
      <w:jc w:val="distribute"/>
      <w:outlineLvl w:val="0"/>
    </w:pPr>
    <w:rPr>
      <w:rFonts w:ascii="Arial" w:hAnsi="Arial" w:cs="Arial"/>
      <w:snapToGrid w:val="0"/>
      <w:kern w:val="0"/>
      <w:szCs w:val="24"/>
    </w:rPr>
  </w:style>
  <w:style w:type="paragraph" w:customStyle="1" w:styleId="486">
    <w:name w:val="纯文本2"/>
    <w:basedOn w:val="1"/>
    <w:uiPriority w:val="0"/>
    <w:pPr>
      <w:adjustRightInd w:val="0"/>
      <w:textAlignment w:val="baseline"/>
    </w:pPr>
    <w:rPr>
      <w:rFonts w:ascii="宋体" w:hAnsi="Courier New"/>
    </w:rPr>
  </w:style>
  <w:style w:type="paragraph" w:customStyle="1" w:styleId="487">
    <w:name w:val="样式 抬头 + 段前: 1 行"/>
    <w:basedOn w:val="234"/>
    <w:uiPriority w:val="0"/>
    <w:pPr>
      <w:tabs>
        <w:tab w:val="left" w:pos="1304"/>
      </w:tabs>
      <w:adjustRightInd/>
      <w:spacing w:beforeLines="100" w:line="360" w:lineRule="auto"/>
      <w:ind w:left="0" w:leftChars="0"/>
      <w:textAlignment w:val="auto"/>
    </w:pPr>
    <w:rPr>
      <w:rFonts w:cs="宋体"/>
      <w:b w:val="0"/>
    </w:rPr>
  </w:style>
  <w:style w:type="paragraph" w:customStyle="1" w:styleId="488">
    <w:name w:val="Char3"/>
    <w:basedOn w:val="1"/>
    <w:uiPriority w:val="0"/>
    <w:rPr>
      <w:rFonts w:ascii="Tahoma" w:hAnsi="Tahoma"/>
      <w:sz w:val="24"/>
    </w:rPr>
  </w:style>
  <w:style w:type="paragraph" w:customStyle="1" w:styleId="489">
    <w:name w:val="样式4"/>
    <w:basedOn w:val="1"/>
    <w:uiPriority w:val="0"/>
    <w:pPr>
      <w:spacing w:beforeLines="50" w:afterLines="50"/>
    </w:pPr>
    <w:rPr>
      <w:rFonts w:ascii="楷体_GB2312" w:hAnsi="宋体" w:eastAsia="楷体_GB2312"/>
      <w:bCs/>
      <w:sz w:val="28"/>
    </w:rPr>
  </w:style>
  <w:style w:type="paragraph" w:customStyle="1" w:styleId="490">
    <w:name w:val="样式24"/>
    <w:basedOn w:val="441"/>
    <w:uiPriority w:val="0"/>
    <w:pPr>
      <w:spacing w:before="50" w:after="50"/>
    </w:pPr>
    <w:rPr>
      <w:rFonts w:ascii="宋体" w:hAnsi="宋体" w:eastAsia="宋体"/>
      <w:b/>
      <w:bCs/>
      <w:szCs w:val="28"/>
    </w:rPr>
  </w:style>
  <w:style w:type="paragraph" w:customStyle="1" w:styleId="491">
    <w:name w:val="样式17"/>
    <w:basedOn w:val="428"/>
    <w:uiPriority w:val="0"/>
    <w:pPr>
      <w:tabs>
        <w:tab w:val="left" w:pos="1304"/>
      </w:tabs>
      <w:spacing w:beforeLines="30" w:afterLines="30"/>
    </w:pPr>
    <w:rPr>
      <w:rFonts w:ascii="Times New Roman" w:hAnsi="Times New Roman"/>
      <w:b w:val="0"/>
    </w:rPr>
  </w:style>
  <w:style w:type="paragraph" w:customStyle="1" w:styleId="492">
    <w:name w:val="样式 标题 1 + 一号 段前: 0.5 行 段后: 0.5 行"/>
    <w:basedOn w:val="5"/>
    <w:uiPriority w:val="0"/>
    <w:pPr>
      <w:widowControl w:val="0"/>
      <w:numPr>
        <w:ilvl w:val="0"/>
        <w:numId w:val="10"/>
      </w:numPr>
      <w:tabs>
        <w:tab w:val="left" w:pos="567"/>
      </w:tabs>
      <w:adjustRightInd/>
      <w:snapToGrid/>
      <w:spacing w:before="120" w:after="120" w:line="300" w:lineRule="auto"/>
      <w:jc w:val="center"/>
      <w:textAlignment w:val="auto"/>
    </w:pPr>
    <w:rPr>
      <w:rFonts w:ascii="Arial" w:hAnsi="Arial" w:eastAsia="宋体" w:cs="宋体"/>
      <w:b/>
      <w:bCs/>
      <w:color w:val="auto"/>
      <w:sz w:val="52"/>
    </w:rPr>
  </w:style>
  <w:style w:type="paragraph" w:customStyle="1" w:styleId="493">
    <w:name w:val="Char2 Char Char Char"/>
    <w:basedOn w:val="1"/>
    <w:uiPriority w:val="0"/>
    <w:pPr>
      <w:spacing w:line="160" w:lineRule="atLeast"/>
    </w:pPr>
  </w:style>
  <w:style w:type="paragraph" w:customStyle="1" w:styleId="494">
    <w:name w:val="菲页2"/>
    <w:basedOn w:val="7"/>
    <w:uiPriority w:val="0"/>
    <w:pPr>
      <w:keepNext/>
      <w:keepLines/>
      <w:adjustRightInd/>
      <w:snapToGrid/>
      <w:spacing w:before="120" w:after="120" w:line="360" w:lineRule="auto"/>
      <w:ind w:left="1360" w:hanging="425"/>
      <w:jc w:val="center"/>
      <w:textAlignment w:val="auto"/>
    </w:pPr>
    <w:rPr>
      <w:rFonts w:ascii="黑体" w:hAnsi="宋体" w:eastAsia="黑体"/>
      <w:sz w:val="44"/>
    </w:rPr>
  </w:style>
  <w:style w:type="paragraph" w:customStyle="1" w:styleId="495">
    <w:name w:val="样式6"/>
    <w:basedOn w:val="1"/>
    <w:uiPriority w:val="0"/>
    <w:pPr>
      <w:spacing w:beforeLines="50" w:afterLines="50"/>
      <w:jc w:val="center"/>
    </w:pPr>
    <w:rPr>
      <w:rFonts w:ascii="黑体" w:hAnsi="宋体" w:eastAsia="黑体"/>
      <w:bCs/>
      <w:sz w:val="24"/>
    </w:rPr>
  </w:style>
  <w:style w:type="paragraph" w:customStyle="1" w:styleId="496">
    <w:name w:val="表格题头"/>
    <w:basedOn w:val="1"/>
    <w:uiPriority w:val="0"/>
    <w:pPr>
      <w:keepNext/>
      <w:keepLines/>
      <w:tabs>
        <w:tab w:val="left" w:pos="1304"/>
      </w:tabs>
      <w:adjustRightInd w:val="0"/>
      <w:snapToGrid w:val="0"/>
      <w:spacing w:before="120" w:line="360" w:lineRule="auto"/>
      <w:ind w:left="1304"/>
      <w:outlineLvl w:val="2"/>
    </w:pPr>
    <w:rPr>
      <w:rFonts w:ascii="Arial" w:hAnsi="Arial" w:eastAsia="黑体" w:cs="Arial"/>
      <w:b/>
      <w:snapToGrid w:val="0"/>
      <w:kern w:val="0"/>
      <w:sz w:val="24"/>
      <w:szCs w:val="24"/>
    </w:rPr>
  </w:style>
  <w:style w:type="paragraph" w:customStyle="1" w:styleId="497">
    <w:name w:val="样式 样式 样式 样式 首行缩进:  2 字符 + 首行缩进:  2 字符 + (符号) 华文中宋 黑色 首行缩进:  2 字符...1"/>
    <w:basedOn w:val="1"/>
    <w:uiPriority w:val="0"/>
    <w:pPr>
      <w:ind w:firstLine="489" w:firstLineChars="200"/>
    </w:pPr>
    <w:rPr>
      <w:rFonts w:eastAsia="华文中宋" w:cs="宋体"/>
      <w:sz w:val="24"/>
    </w:rPr>
  </w:style>
  <w:style w:type="paragraph" w:customStyle="1" w:styleId="498">
    <w:name w:val="NNN"/>
    <w:basedOn w:val="228"/>
    <w:uiPriority w:val="0"/>
    <w:pPr>
      <w:tabs>
        <w:tab w:val="left" w:pos="1134"/>
      </w:tabs>
      <w:autoSpaceDE w:val="0"/>
      <w:autoSpaceDN w:val="0"/>
      <w:spacing w:before="60" w:after="60"/>
      <w:ind w:left="1361" w:hanging="227"/>
      <w:textAlignment w:val="auto"/>
    </w:pPr>
    <w:rPr>
      <w:rFonts w:ascii="Arial" w:hAnsi="Arial"/>
    </w:rPr>
  </w:style>
  <w:style w:type="paragraph" w:customStyle="1" w:styleId="499">
    <w:name w:val="7"/>
    <w:basedOn w:val="1"/>
    <w:next w:val="40"/>
    <w:uiPriority w:val="0"/>
    <w:rPr>
      <w:rFonts w:ascii="宋体" w:hAnsi="Courier New"/>
    </w:rPr>
  </w:style>
  <w:style w:type="paragraph" w:customStyle="1" w:styleId="500">
    <w:name w:val="默认段落字体 Para Char Char Char Char Char"/>
    <w:basedOn w:val="1"/>
    <w:uiPriority w:val="0"/>
    <w:rPr>
      <w:rFonts w:ascii="宋体" w:hAnsi="宋体"/>
      <w:b/>
      <w:color w:val="000000"/>
      <w:sz w:val="24"/>
      <w:szCs w:val="24"/>
    </w:rPr>
  </w:style>
  <w:style w:type="paragraph" w:customStyle="1" w:styleId="501">
    <w:name w:val="样式 表序号 + 两端对齐 行距: 1.5 倍行距5"/>
    <w:basedOn w:val="1"/>
    <w:uiPriority w:val="0"/>
    <w:pPr>
      <w:tabs>
        <w:tab w:val="left" w:pos="1200"/>
      </w:tabs>
      <w:spacing w:line="360" w:lineRule="auto"/>
      <w:ind w:left="500" w:leftChars="500" w:hanging="360"/>
    </w:pPr>
    <w:rPr>
      <w:rFonts w:ascii="宋体" w:hAnsi="宋体" w:cs="宋体"/>
      <w:spacing w:val="14"/>
      <w:sz w:val="24"/>
    </w:rPr>
  </w:style>
  <w:style w:type="paragraph" w:customStyle="1" w:styleId="502">
    <w:name w:val="单括号"/>
    <w:basedOn w:val="1"/>
    <w:uiPriority w:val="0"/>
    <w:pPr>
      <w:numPr>
        <w:ilvl w:val="0"/>
        <w:numId w:val="11"/>
      </w:numPr>
      <w:tabs>
        <w:tab w:val="left" w:pos="960"/>
        <w:tab w:val="left" w:pos="1030"/>
      </w:tabs>
      <w:spacing w:line="360" w:lineRule="auto"/>
    </w:pPr>
    <w:rPr>
      <w:kern w:val="0"/>
      <w:sz w:val="24"/>
      <w:szCs w:val="24"/>
    </w:rPr>
  </w:style>
  <w:style w:type="paragraph" w:customStyle="1" w:styleId="503">
    <w:name w:val="样式44"/>
    <w:basedOn w:val="1"/>
    <w:uiPriority w:val="0"/>
    <w:pPr>
      <w:ind w:firstLine="531" w:firstLineChars="200"/>
    </w:pPr>
    <w:rPr>
      <w:rFonts w:eastAsia="仿宋_GB2312"/>
      <w:sz w:val="28"/>
      <w:szCs w:val="24"/>
    </w:rPr>
  </w:style>
  <w:style w:type="paragraph" w:customStyle="1" w:styleId="504">
    <w:name w:val="奇数页脚注"/>
    <w:basedOn w:val="46"/>
    <w:uiPriority w:val="0"/>
    <w:pPr>
      <w:keepLines/>
      <w:widowControl/>
      <w:overflowPunct w:val="0"/>
      <w:autoSpaceDE w:val="0"/>
      <w:autoSpaceDN w:val="0"/>
      <w:spacing w:line="240" w:lineRule="auto"/>
    </w:pPr>
    <w:rPr>
      <w:rFonts w:ascii="Times New Roman"/>
      <w:kern w:val="0"/>
      <w:sz w:val="20"/>
    </w:rPr>
  </w:style>
  <w:style w:type="paragraph" w:customStyle="1" w:styleId="505">
    <w:name w:val="正文-居中"/>
    <w:uiPriority w:val="0"/>
    <w:pPr>
      <w:spacing w:line="360" w:lineRule="auto"/>
      <w:ind w:left="510" w:hanging="510"/>
      <w:jc w:val="center"/>
    </w:pPr>
    <w:rPr>
      <w:rFonts w:ascii="黑体" w:hAnsi="Times New Roman" w:eastAsia="黑体" w:cs="Times New Roman"/>
      <w:b/>
      <w:kern w:val="24"/>
      <w:sz w:val="30"/>
      <w:szCs w:val="30"/>
      <w:lang w:val="en-US" w:eastAsia="zh-CN" w:bidi="ar-SA"/>
    </w:rPr>
  </w:style>
  <w:style w:type="paragraph" w:customStyle="1" w:styleId="506">
    <w:name w:val="样式 标题 2 + 宋体 四号 非加粗 行距: 1.5 倍行距"/>
    <w:basedOn w:val="6"/>
    <w:uiPriority w:val="0"/>
    <w:pPr>
      <w:keepNext/>
      <w:keepLines/>
      <w:widowControl w:val="0"/>
      <w:tabs>
        <w:tab w:val="left" w:pos="705"/>
      </w:tabs>
      <w:adjustRightInd/>
      <w:snapToGrid/>
      <w:spacing w:before="360" w:after="360" w:line="360" w:lineRule="auto"/>
      <w:ind w:left="705" w:hanging="705"/>
      <w:jc w:val="both"/>
      <w:textAlignment w:val="auto"/>
    </w:pPr>
    <w:rPr>
      <w:rFonts w:ascii="宋体" w:hAnsi="宋体" w:eastAsia="黑体" w:cs="宋体"/>
      <w:kern w:val="2"/>
      <w:sz w:val="30"/>
      <w:szCs w:val="30"/>
    </w:rPr>
  </w:style>
  <w:style w:type="paragraph" w:customStyle="1" w:styleId="507">
    <w:name w:val="表格2"/>
    <w:basedOn w:val="248"/>
    <w:uiPriority w:val="0"/>
    <w:pPr>
      <w:tabs>
        <w:tab w:val="left" w:pos="1304"/>
      </w:tabs>
      <w:adjustRightInd/>
      <w:jc w:val="center"/>
      <w:textAlignment w:val="auto"/>
    </w:pPr>
  </w:style>
  <w:style w:type="paragraph" w:customStyle="1" w:styleId="508">
    <w:name w:val="样式 样式 标题 4 + 段前: 0.5 行1 + 段前: 0.5 行"/>
    <w:basedOn w:val="1"/>
    <w:uiPriority w:val="0"/>
    <w:pPr>
      <w:tabs>
        <w:tab w:val="left" w:pos="1200"/>
        <w:tab w:val="left" w:pos="1680"/>
      </w:tabs>
      <w:adjustRightInd w:val="0"/>
      <w:snapToGrid w:val="0"/>
      <w:spacing w:beforeLines="50" w:line="360" w:lineRule="auto"/>
      <w:ind w:left="1680" w:hanging="420"/>
      <w:outlineLvl w:val="3"/>
    </w:pPr>
    <w:rPr>
      <w:rFonts w:ascii="宋体" w:hAnsi="Arial" w:cs="宋体"/>
      <w:spacing w:val="14"/>
      <w:sz w:val="24"/>
    </w:rPr>
  </w:style>
  <w:style w:type="paragraph" w:customStyle="1" w:styleId="509">
    <w:name w:val="封面落款"/>
    <w:basedOn w:val="68"/>
    <w:uiPriority w:val="0"/>
    <w:pPr>
      <w:tabs>
        <w:tab w:val="left" w:pos="432"/>
      </w:tabs>
      <w:adjustRightInd w:val="0"/>
      <w:snapToGrid w:val="0"/>
      <w:spacing w:beforeLines="100" w:afterLines="50"/>
      <w:ind w:left="432" w:hanging="432"/>
      <w:jc w:val="distribute"/>
    </w:pPr>
    <w:rPr>
      <w:rFonts w:ascii="宋体" w:hAnsi="宋体" w:eastAsia="华文隶书" w:cs="Times New Roman"/>
      <w:snapToGrid w:val="0"/>
      <w:kern w:val="0"/>
    </w:rPr>
  </w:style>
  <w:style w:type="paragraph" w:customStyle="1" w:styleId="510">
    <w:name w:val="样式 宋体 小四 两端对齐 行距: 1.5 倍行距 首行缩进:  2 字符"/>
    <w:basedOn w:val="1"/>
    <w:uiPriority w:val="0"/>
    <w:pPr>
      <w:widowControl/>
      <w:spacing w:line="360" w:lineRule="auto"/>
      <w:ind w:firstLine="480" w:firstLineChars="200"/>
    </w:pPr>
    <w:rPr>
      <w:kern w:val="0"/>
      <w:sz w:val="24"/>
      <w:szCs w:val="24"/>
    </w:rPr>
  </w:style>
  <w:style w:type="paragraph" w:customStyle="1" w:styleId="511">
    <w:name w:val="暗表文字 + 左  0 字符 首行缩进:  4.5 字符1 + 左侧:  左侧:  5 字符"/>
    <w:basedOn w:val="1"/>
    <w:uiPriority w:val="0"/>
    <w:pPr>
      <w:spacing w:line="360" w:lineRule="auto"/>
      <w:ind w:left="520" w:leftChars="520"/>
    </w:pPr>
    <w:rPr>
      <w:rFonts w:ascii="宋体" w:hAnsi="Arial" w:cs="宋体"/>
      <w:spacing w:val="14"/>
      <w:sz w:val="24"/>
    </w:rPr>
  </w:style>
  <w:style w:type="paragraph" w:customStyle="1" w:styleId="512">
    <w:name w:val="样式 标题 3 + 华文中宋 四号 加粗"/>
    <w:basedOn w:val="218"/>
    <w:uiPriority w:val="0"/>
    <w:pPr>
      <w:tabs>
        <w:tab w:val="clear" w:pos="900"/>
      </w:tabs>
      <w:adjustRightInd/>
      <w:snapToGrid/>
      <w:spacing w:before="50" w:after="50" w:line="460" w:lineRule="exact"/>
      <w:ind w:left="0" w:leftChars="0" w:right="0" w:rightChars="0" w:firstLine="0" w:firstLineChars="0"/>
      <w:textAlignment w:val="auto"/>
    </w:pPr>
    <w:rPr>
      <w:rFonts w:ascii="华文中宋" w:hAnsi="华文中宋" w:eastAsia="华文中宋"/>
      <w:b w:val="0"/>
      <w:bCs/>
      <w:kern w:val="2"/>
      <w:sz w:val="28"/>
      <w:szCs w:val="24"/>
    </w:rPr>
  </w:style>
  <w:style w:type="paragraph" w:customStyle="1" w:styleId="513">
    <w:name w:val="样式 标题 2标题 2－ch + (西文) Times New Roman (中文) 新宋体 自动设置 段前: 12 磅..."/>
    <w:basedOn w:val="6"/>
    <w:uiPriority w:val="0"/>
    <w:pPr>
      <w:widowControl w:val="0"/>
      <w:tabs>
        <w:tab w:val="left" w:pos="780"/>
        <w:tab w:val="left" w:pos="960"/>
        <w:tab w:val="left" w:pos="993"/>
        <w:tab w:val="left" w:pos="1554"/>
      </w:tabs>
      <w:adjustRightInd/>
      <w:snapToGrid/>
      <w:spacing w:before="240" w:line="360" w:lineRule="auto"/>
      <w:ind w:left="780" w:hanging="360"/>
      <w:jc w:val="both"/>
      <w:textAlignment w:val="auto"/>
    </w:pPr>
    <w:rPr>
      <w:rFonts w:eastAsia="新宋体" w:cs="宋体"/>
      <w:bCs/>
      <w:kern w:val="2"/>
      <w:sz w:val="30"/>
    </w:rPr>
  </w:style>
  <w:style w:type="paragraph" w:customStyle="1" w:styleId="514">
    <w:name w:val="正文0"/>
    <w:basedOn w:val="1"/>
    <w:uiPriority w:val="0"/>
    <w:pPr>
      <w:adjustRightInd w:val="0"/>
      <w:jc w:val="left"/>
      <w:textAlignment w:val="baseline"/>
    </w:pPr>
    <w:rPr>
      <w:rFonts w:eastAsia="华文中宋"/>
      <w:kern w:val="24"/>
      <w:sz w:val="24"/>
    </w:rPr>
  </w:style>
  <w:style w:type="paragraph" w:customStyle="1" w:styleId="515">
    <w:name w:val="样式26"/>
    <w:basedOn w:val="441"/>
    <w:uiPriority w:val="0"/>
    <w:pPr>
      <w:spacing w:before="50" w:after="50"/>
    </w:pPr>
    <w:rPr>
      <w:rFonts w:ascii="宋体" w:hAnsi="宋体" w:eastAsia="宋体"/>
      <w:b/>
      <w:bCs/>
    </w:rPr>
  </w:style>
  <w:style w:type="paragraph" w:customStyle="1" w:styleId="516">
    <w:name w:val="技术-标题1"/>
    <w:basedOn w:val="6"/>
    <w:qFormat/>
    <w:uiPriority w:val="1"/>
    <w:pPr>
      <w:widowControl w:val="0"/>
      <w:numPr>
        <w:ilvl w:val="0"/>
        <w:numId w:val="9"/>
      </w:numPr>
      <w:tabs>
        <w:tab w:val="left" w:pos="987"/>
        <w:tab w:val="left" w:pos="1358"/>
      </w:tabs>
      <w:adjustRightInd/>
      <w:snapToGrid/>
      <w:spacing w:line="360" w:lineRule="auto"/>
      <w:jc w:val="center"/>
      <w:textAlignment w:val="auto"/>
    </w:pPr>
    <w:rPr>
      <w:bCs/>
      <w:sz w:val="30"/>
      <w:szCs w:val="32"/>
      <w:lang w:eastAsia="en-US"/>
    </w:rPr>
  </w:style>
  <w:style w:type="paragraph" w:customStyle="1" w:styleId="517">
    <w:name w:val="Char Char Char Char Char Char Char Char Char Char Char Char Char Char Char Char Char Char Char"/>
    <w:basedOn w:val="1"/>
    <w:uiPriority w:val="0"/>
    <w:rPr>
      <w:szCs w:val="24"/>
    </w:rPr>
  </w:style>
  <w:style w:type="paragraph" w:customStyle="1" w:styleId="518">
    <w:name w:val="表头"/>
    <w:basedOn w:val="1"/>
    <w:uiPriority w:val="0"/>
    <w:pPr>
      <w:adjustRightInd w:val="0"/>
      <w:snapToGrid w:val="0"/>
      <w:spacing w:line="460" w:lineRule="atLeast"/>
      <w:ind w:firstLine="480" w:firstLineChars="200"/>
    </w:pPr>
    <w:rPr>
      <w:rFonts w:ascii="Times" w:hAnsi="Times" w:eastAsia="黑体"/>
      <w:snapToGrid w:val="0"/>
      <w:kern w:val="0"/>
    </w:rPr>
  </w:style>
  <w:style w:type="paragraph" w:customStyle="1" w:styleId="519">
    <w:name w:val="样式 样式 正文文字缩进 2 + 宋体 小四 首行缩进:  2 字符 + Times New Roman 首行缩进:  0 字符"/>
    <w:basedOn w:val="419"/>
    <w:uiPriority w:val="0"/>
    <w:pPr>
      <w:ind w:firstLine="0" w:firstLineChars="0"/>
    </w:pPr>
  </w:style>
  <w:style w:type="paragraph" w:customStyle="1" w:styleId="520">
    <w:name w:val="xl39"/>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521">
    <w:name w:val="Char Char Char Char Char Char1 Char"/>
    <w:basedOn w:val="1"/>
    <w:uiPriority w:val="0"/>
    <w:pPr>
      <w:snapToGrid w:val="0"/>
    </w:pPr>
    <w:rPr>
      <w:rFonts w:ascii="Arial" w:hAnsi="Arial"/>
      <w:szCs w:val="21"/>
    </w:rPr>
  </w:style>
  <w:style w:type="paragraph" w:customStyle="1" w:styleId="522">
    <w:name w:val="(1)"/>
    <w:next w:val="523"/>
    <w:uiPriority w:val="0"/>
    <w:pPr>
      <w:tabs>
        <w:tab w:val="left" w:pos="480"/>
      </w:tabs>
      <w:spacing w:line="360" w:lineRule="auto"/>
    </w:pPr>
    <w:rPr>
      <w:rFonts w:ascii="宋体" w:hAnsi="Arial" w:eastAsia="宋体" w:cs="宋体"/>
      <w:spacing w:val="14"/>
      <w:kern w:val="2"/>
      <w:sz w:val="24"/>
      <w:szCs w:val="24"/>
      <w:lang w:val="en-US" w:eastAsia="zh-CN" w:bidi="ar-SA"/>
    </w:rPr>
  </w:style>
  <w:style w:type="paragraph" w:customStyle="1" w:styleId="523">
    <w:name w:val="标书正文 Char Char Char Char Char Char Char Char Char Char Char Char Char Char Char Char"/>
    <w:basedOn w:val="1"/>
    <w:uiPriority w:val="0"/>
    <w:pPr>
      <w:spacing w:line="360" w:lineRule="auto"/>
      <w:ind w:left="500" w:leftChars="500" w:firstLine="200" w:firstLineChars="200"/>
    </w:pPr>
    <w:rPr>
      <w:rFonts w:ascii="宋体" w:hAnsi="Arial" w:cs="宋体"/>
      <w:spacing w:val="14"/>
      <w:sz w:val="24"/>
      <w:szCs w:val="24"/>
    </w:rPr>
  </w:style>
  <w:style w:type="paragraph" w:customStyle="1" w:styleId="524">
    <w:name w:val="样式 样式10 + (西文) Times New Roman (中文) 宋体 非加粗 段前: 0.5 行 段后: 0.5..."/>
    <w:basedOn w:val="428"/>
    <w:uiPriority w:val="0"/>
    <w:rPr>
      <w:rFonts w:ascii="Times New Roman" w:hAnsi="Times New Roman" w:eastAsia="宋体" w:cs="宋体"/>
      <w:b w:val="0"/>
      <w:szCs w:val="20"/>
    </w:rPr>
  </w:style>
  <w:style w:type="paragraph" w:customStyle="1" w:styleId="525">
    <w:name w:val="样式 标题 2 + 段前: 0.5 行"/>
    <w:basedOn w:val="6"/>
    <w:next w:val="523"/>
    <w:uiPriority w:val="0"/>
    <w:pPr>
      <w:widowControl w:val="0"/>
      <w:numPr>
        <w:ilvl w:val="1"/>
        <w:numId w:val="12"/>
      </w:numPr>
      <w:tabs>
        <w:tab w:val="left" w:pos="1200"/>
      </w:tabs>
      <w:adjustRightInd/>
      <w:snapToGrid/>
      <w:spacing w:beforeLines="50" w:line="360" w:lineRule="auto"/>
      <w:jc w:val="both"/>
      <w:textAlignment w:val="auto"/>
    </w:pPr>
    <w:rPr>
      <w:rFonts w:ascii="Arial" w:hAnsi="Arial" w:cs="宋体"/>
      <w:bCs/>
      <w:spacing w:val="14"/>
      <w:kern w:val="2"/>
      <w:szCs w:val="28"/>
    </w:rPr>
  </w:style>
  <w:style w:type="paragraph" w:customStyle="1" w:styleId="526">
    <w:name w:val="Normalk"/>
    <w:basedOn w:val="1"/>
    <w:uiPriority w:val="0"/>
    <w:pPr>
      <w:tabs>
        <w:tab w:val="left" w:pos="1985"/>
      </w:tabs>
      <w:adjustRightInd w:val="0"/>
      <w:spacing w:before="60" w:after="60" w:line="360" w:lineRule="atLeast"/>
      <w:ind w:left="1985" w:hanging="851"/>
      <w:textAlignment w:val="baseline"/>
    </w:pPr>
    <w:rPr>
      <w:rFonts w:ascii="Arial" w:hAnsi="Arial"/>
      <w:kern w:val="0"/>
      <w:sz w:val="24"/>
      <w:szCs w:val="24"/>
    </w:rPr>
  </w:style>
  <w:style w:type="paragraph" w:customStyle="1" w:styleId="527">
    <w:name w:val="标准"/>
    <w:basedOn w:val="1"/>
    <w:uiPriority w:val="0"/>
    <w:pPr>
      <w:adjustRightInd w:val="0"/>
      <w:spacing w:before="60" w:after="60" w:line="400" w:lineRule="atLeast"/>
      <w:textAlignment w:val="baseline"/>
    </w:pPr>
    <w:rPr>
      <w:rFonts w:ascii="微软简魏碑" w:hAnsi="Arial" w:eastAsia="微软简魏碑"/>
      <w:kern w:val="0"/>
      <w:sz w:val="32"/>
    </w:rPr>
  </w:style>
  <w:style w:type="paragraph" w:customStyle="1" w:styleId="528">
    <w:name w:val="TOC Heading"/>
    <w:basedOn w:val="5"/>
    <w:next w:val="1"/>
    <w:qFormat/>
    <w:uiPriority w:val="39"/>
    <w:pPr>
      <w:keepNext/>
      <w:keepLines/>
      <w:adjustRightInd/>
      <w:snapToGrid/>
      <w:spacing w:beforeLines="0" w:afterLines="0" w:line="276" w:lineRule="auto"/>
      <w:textAlignment w:val="auto"/>
      <w:outlineLvl w:val="9"/>
    </w:pPr>
    <w:rPr>
      <w:rFonts w:ascii="Cambria" w:hAnsi="Cambria" w:eastAsia="宋体"/>
      <w:b/>
      <w:bCs/>
      <w:color w:val="365F91"/>
      <w:kern w:val="0"/>
      <w:sz w:val="28"/>
      <w:szCs w:val="28"/>
    </w:rPr>
  </w:style>
  <w:style w:type="paragraph" w:customStyle="1" w:styleId="529">
    <w:name w:val="样式20"/>
    <w:basedOn w:val="428"/>
    <w:uiPriority w:val="0"/>
    <w:pPr>
      <w:tabs>
        <w:tab w:val="left" w:pos="1304"/>
      </w:tabs>
      <w:spacing w:beforeLines="0" w:afterLines="0" w:line="320" w:lineRule="exact"/>
      <w:jc w:val="center"/>
    </w:pPr>
    <w:rPr>
      <w:rFonts w:ascii="Times New Roman" w:hAnsi="Times New Roman" w:eastAsia="宋体"/>
      <w:b w:val="0"/>
      <w:sz w:val="21"/>
      <w:szCs w:val="21"/>
    </w:rPr>
  </w:style>
  <w:style w:type="paragraph" w:customStyle="1" w:styleId="530">
    <w:name w:val="样式11"/>
    <w:basedOn w:val="435"/>
    <w:uiPriority w:val="0"/>
  </w:style>
  <w:style w:type="paragraph" w:customStyle="1" w:styleId="531">
    <w:name w:val="样式 样式 正文文字缩进 2 + 宋体 小四 首行缩进:  2 字符 + 首行缩进:  3.5 字符"/>
    <w:basedOn w:val="419"/>
    <w:uiPriority w:val="0"/>
    <w:pPr>
      <w:ind w:firstLine="790" w:firstLineChars="350"/>
    </w:pPr>
  </w:style>
  <w:style w:type="paragraph" w:customStyle="1" w:styleId="532">
    <w:name w:val="首页脚注"/>
    <w:basedOn w:val="46"/>
    <w:uiPriority w:val="0"/>
    <w:pPr>
      <w:keepLines/>
      <w:widowControl/>
      <w:tabs>
        <w:tab w:val="clear" w:pos="8640"/>
      </w:tabs>
      <w:overflowPunct w:val="0"/>
      <w:autoSpaceDE w:val="0"/>
      <w:autoSpaceDN w:val="0"/>
      <w:spacing w:line="240" w:lineRule="auto"/>
      <w:jc w:val="center"/>
    </w:pPr>
    <w:rPr>
      <w:rFonts w:ascii="Times New Roman"/>
      <w:kern w:val="0"/>
      <w:sz w:val="20"/>
    </w:rPr>
  </w:style>
  <w:style w:type="paragraph" w:customStyle="1" w:styleId="533">
    <w:name w:val="样式16"/>
    <w:basedOn w:val="427"/>
    <w:uiPriority w:val="0"/>
    <w:pPr>
      <w:tabs>
        <w:tab w:val="left" w:pos="1304"/>
      </w:tabs>
    </w:pPr>
    <w:rPr>
      <w:rFonts w:ascii="华文中宋" w:hAnsi="华文中宋" w:eastAsia="华文中宋"/>
    </w:rPr>
  </w:style>
  <w:style w:type="paragraph" w:customStyle="1" w:styleId="534">
    <w:name w:val="样式 样式19 + 自动设置 Char"/>
    <w:basedOn w:val="1"/>
    <w:uiPriority w:val="0"/>
    <w:pPr>
      <w:ind w:firstLine="480" w:firstLineChars="200"/>
    </w:pPr>
    <w:rPr>
      <w:rFonts w:eastAsia="华文中宋"/>
      <w:sz w:val="24"/>
    </w:rPr>
  </w:style>
  <w:style w:type="character" w:customStyle="1" w:styleId="535">
    <w:name w:val="标题 3 Char1"/>
    <w:uiPriority w:val="0"/>
    <w:rPr>
      <w:rFonts w:ascii="Arial" w:hAnsi="Arial" w:eastAsia="宋体"/>
      <w:b/>
      <w:sz w:val="32"/>
      <w:szCs w:val="24"/>
      <w:lang w:val="en-US" w:eastAsia="zh-CN" w:bidi="ar-SA"/>
    </w:rPr>
  </w:style>
  <w:style w:type="paragraph" w:customStyle="1" w:styleId="536">
    <w:name w:val="表文"/>
    <w:basedOn w:val="1"/>
    <w:uiPriority w:val="0"/>
    <w:pPr>
      <w:adjustRightInd w:val="0"/>
      <w:snapToGrid w:val="0"/>
      <w:spacing w:line="400" w:lineRule="exact"/>
    </w:pPr>
  </w:style>
  <w:style w:type="character" w:customStyle="1" w:styleId="537">
    <w:name w:val="Char Char17"/>
    <w:locked/>
    <w:uiPriority w:val="0"/>
    <w:rPr>
      <w:rFonts w:ascii="宋体" w:cs="Times New Roman"/>
      <w:sz w:val="18"/>
    </w:rPr>
  </w:style>
  <w:style w:type="character" w:customStyle="1" w:styleId="538">
    <w:name w:val="Char Char16"/>
    <w:locked/>
    <w:uiPriority w:val="0"/>
    <w:rPr>
      <w:rFonts w:ascii="宋体" w:hAnsi="Courier New" w:eastAsia="宋体" w:cs="Times New Roman"/>
      <w:sz w:val="21"/>
      <w:lang w:val="en-US" w:eastAsia="zh-CN" w:bidi="ar-SA"/>
    </w:rPr>
  </w:style>
  <w:style w:type="paragraph" w:customStyle="1" w:styleId="539">
    <w:name w:val="①"/>
    <w:basedOn w:val="129"/>
    <w:uiPriority w:val="0"/>
    <w:pPr>
      <w:tabs>
        <w:tab w:val="left" w:pos="0"/>
        <w:tab w:val="left" w:pos="1134"/>
        <w:tab w:val="left" w:pos="8505"/>
      </w:tabs>
      <w:adjustRightInd/>
      <w:spacing w:before="60" w:after="60" w:line="400" w:lineRule="exact"/>
      <w:ind w:left="868" w:leftChars="688" w:hanging="180" w:hangingChars="180"/>
      <w:jc w:val="both"/>
    </w:pPr>
    <w:rPr>
      <w:rFonts w:ascii="Arial" w:hAnsi="Arial"/>
      <w:sz w:val="24"/>
    </w:rPr>
  </w:style>
  <w:style w:type="paragraph" w:customStyle="1" w:styleId="540">
    <w:name w:val="默认段落字体 Para Char"/>
    <w:basedOn w:val="1"/>
    <w:uiPriority w:val="0"/>
    <w:pPr>
      <w:spacing w:line="360" w:lineRule="auto"/>
    </w:pPr>
    <w:rPr>
      <w:rFonts w:ascii="Tahoma" w:hAnsi="Tahoma"/>
      <w:sz w:val="24"/>
    </w:rPr>
  </w:style>
  <w:style w:type="paragraph" w:customStyle="1" w:styleId="541">
    <w:name w:val="n"/>
    <w:basedOn w:val="1"/>
    <w:uiPriority w:val="0"/>
    <w:pPr>
      <w:autoSpaceDE w:val="0"/>
      <w:autoSpaceDN w:val="0"/>
      <w:adjustRightInd w:val="0"/>
      <w:spacing w:line="400" w:lineRule="atLeast"/>
      <w:ind w:left="1134" w:hanging="1134"/>
      <w:textAlignment w:val="baseline"/>
    </w:pPr>
    <w:rPr>
      <w:rFonts w:ascii="宋体" w:hAnsi="Arial"/>
      <w:kern w:val="0"/>
      <w:sz w:val="24"/>
    </w:rPr>
  </w:style>
  <w:style w:type="paragraph" w:customStyle="1" w:styleId="542">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543">
    <w:name w:val="Heading Base"/>
    <w:basedOn w:val="17"/>
    <w:next w:val="17"/>
    <w:uiPriority w:val="0"/>
    <w:pPr>
      <w:keepNext/>
      <w:keepLines/>
      <w:widowControl/>
      <w:spacing w:line="220" w:lineRule="atLeast"/>
    </w:pPr>
    <w:rPr>
      <w:rFonts w:ascii="Arial" w:hAnsi="Arial"/>
      <w:spacing w:val="-4"/>
      <w:kern w:val="0"/>
      <w:sz w:val="18"/>
      <w:szCs w:val="20"/>
      <w:lang w:eastAsia="en-US"/>
    </w:rPr>
  </w:style>
  <w:style w:type="paragraph" w:customStyle="1" w:styleId="544">
    <w:name w:val="xl23"/>
    <w:basedOn w:val="1"/>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545">
    <w:name w:val="font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46">
    <w:name w:val="font9"/>
    <w:basedOn w:val="1"/>
    <w:uiPriority w:val="0"/>
    <w:pPr>
      <w:widowControl/>
      <w:spacing w:before="100" w:beforeAutospacing="1" w:after="100" w:afterAutospacing="1"/>
      <w:jc w:val="left"/>
    </w:pPr>
    <w:rPr>
      <w:rFonts w:ascii="华文细黑" w:hAnsi="华文细黑" w:eastAsia="华文细黑" w:cs="宋体"/>
      <w:kern w:val="0"/>
      <w:sz w:val="20"/>
    </w:rPr>
  </w:style>
  <w:style w:type="paragraph" w:customStyle="1" w:styleId="547">
    <w:name w:val="font10"/>
    <w:basedOn w:val="1"/>
    <w:uiPriority w:val="0"/>
    <w:pPr>
      <w:widowControl/>
      <w:spacing w:before="100" w:beforeAutospacing="1" w:after="100" w:afterAutospacing="1"/>
      <w:jc w:val="left"/>
    </w:pPr>
    <w:rPr>
      <w:rFonts w:ascii="华文细黑" w:hAnsi="华文细黑" w:eastAsia="华文细黑" w:cs="宋体"/>
      <w:kern w:val="0"/>
      <w:sz w:val="32"/>
      <w:szCs w:val="32"/>
    </w:rPr>
  </w:style>
  <w:style w:type="paragraph" w:customStyle="1" w:styleId="548">
    <w:name w:val="xl65"/>
    <w:basedOn w:val="1"/>
    <w:uiPriority w:val="0"/>
    <w:pPr>
      <w:widowControl/>
      <w:spacing w:before="100" w:beforeAutospacing="1" w:after="100" w:afterAutospacing="1"/>
      <w:jc w:val="left"/>
    </w:pPr>
    <w:rPr>
      <w:rFonts w:ascii="华文细黑" w:hAnsi="华文细黑" w:eastAsia="华文细黑" w:cs="宋体"/>
      <w:kern w:val="0"/>
      <w:sz w:val="20"/>
    </w:rPr>
  </w:style>
  <w:style w:type="paragraph" w:customStyle="1" w:styleId="549">
    <w:name w:val="xl66"/>
    <w:basedOn w:val="1"/>
    <w:uiPriority w:val="0"/>
    <w:pPr>
      <w:widowControl/>
      <w:spacing w:before="100" w:beforeAutospacing="1" w:after="100" w:afterAutospacing="1"/>
      <w:jc w:val="center"/>
    </w:pPr>
    <w:rPr>
      <w:rFonts w:ascii="华文细黑" w:hAnsi="华文细黑" w:eastAsia="华文细黑" w:cs="宋体"/>
      <w:kern w:val="0"/>
      <w:sz w:val="20"/>
    </w:rPr>
  </w:style>
  <w:style w:type="paragraph" w:customStyle="1" w:styleId="550">
    <w:name w:val="xl67"/>
    <w:basedOn w:val="1"/>
    <w:uiPriority w:val="0"/>
    <w:pPr>
      <w:widowControl/>
      <w:spacing w:before="100" w:beforeAutospacing="1" w:after="100" w:afterAutospacing="1"/>
      <w:jc w:val="left"/>
    </w:pPr>
    <w:rPr>
      <w:rFonts w:ascii="华文细黑" w:hAnsi="华文细黑" w:eastAsia="华文细黑" w:cs="宋体"/>
      <w:kern w:val="0"/>
      <w:sz w:val="20"/>
    </w:rPr>
  </w:style>
  <w:style w:type="paragraph" w:customStyle="1" w:styleId="551">
    <w:name w:val="xl68"/>
    <w:basedOn w:val="1"/>
    <w:uiPriority w:val="0"/>
    <w:pPr>
      <w:widowControl/>
      <w:pBdr>
        <w:bottom w:val="single" w:color="auto" w:sz="4" w:space="0"/>
      </w:pBdr>
      <w:spacing w:before="100" w:beforeAutospacing="1" w:after="100" w:afterAutospacing="1"/>
      <w:jc w:val="center"/>
    </w:pPr>
    <w:rPr>
      <w:rFonts w:ascii="华文细黑" w:hAnsi="华文细黑" w:eastAsia="华文细黑" w:cs="宋体"/>
      <w:kern w:val="0"/>
      <w:sz w:val="20"/>
    </w:rPr>
  </w:style>
  <w:style w:type="paragraph" w:customStyle="1" w:styleId="552">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 w:val="20"/>
    </w:rPr>
  </w:style>
  <w:style w:type="paragraph" w:customStyle="1" w:styleId="553">
    <w:name w:val="xl70"/>
    <w:basedOn w:val="1"/>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华文细黑" w:hAnsi="华文细黑" w:eastAsia="华文细黑" w:cs="宋体"/>
      <w:kern w:val="0"/>
      <w:sz w:val="20"/>
    </w:rPr>
  </w:style>
  <w:style w:type="paragraph" w:customStyle="1" w:styleId="554">
    <w:name w:val="xl71"/>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 w:val="20"/>
    </w:rPr>
  </w:style>
  <w:style w:type="paragraph" w:customStyle="1" w:styleId="555">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kern w:val="0"/>
      <w:sz w:val="20"/>
    </w:rPr>
  </w:style>
  <w:style w:type="paragraph" w:customStyle="1" w:styleId="556">
    <w:name w:val="xl73"/>
    <w:basedOn w:val="1"/>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pPr>
    <w:rPr>
      <w:rFonts w:ascii="华文细黑" w:hAnsi="华文细黑" w:eastAsia="华文细黑" w:cs="宋体"/>
      <w:b/>
      <w:bCs/>
      <w:kern w:val="0"/>
      <w:sz w:val="20"/>
    </w:rPr>
  </w:style>
  <w:style w:type="paragraph" w:customStyle="1" w:styleId="557">
    <w:name w:val="xl74"/>
    <w:basedOn w:val="1"/>
    <w:uiPriority w:val="0"/>
    <w:pPr>
      <w:widowControl/>
      <w:pBdr>
        <w:top w:val="single" w:color="auto" w:sz="4" w:space="0"/>
        <w:left w:val="single" w:color="auto" w:sz="4" w:space="0"/>
      </w:pBdr>
      <w:shd w:val="clear" w:color="000000" w:fill="C0C0C0"/>
      <w:spacing w:before="100" w:beforeAutospacing="1" w:after="100" w:afterAutospacing="1"/>
      <w:jc w:val="left"/>
    </w:pPr>
    <w:rPr>
      <w:rFonts w:ascii="华文细黑" w:hAnsi="华文细黑" w:eastAsia="华文细黑" w:cs="宋体"/>
      <w:b/>
      <w:bCs/>
      <w:kern w:val="0"/>
      <w:sz w:val="20"/>
    </w:rPr>
  </w:style>
  <w:style w:type="paragraph" w:customStyle="1" w:styleId="558">
    <w:name w:val="xl75"/>
    <w:basedOn w:val="1"/>
    <w:uiPriority w:val="0"/>
    <w:pPr>
      <w:widowControl/>
      <w:pBdr>
        <w:top w:val="single" w:color="auto" w:sz="4" w:space="0"/>
        <w:right w:val="single" w:color="auto" w:sz="4" w:space="0"/>
      </w:pBdr>
      <w:shd w:val="clear" w:color="000000" w:fill="C0C0C0"/>
      <w:spacing w:before="100" w:beforeAutospacing="1" w:after="100" w:afterAutospacing="1"/>
      <w:jc w:val="left"/>
    </w:pPr>
    <w:rPr>
      <w:rFonts w:ascii="华文细黑" w:hAnsi="华文细黑" w:eastAsia="华文细黑" w:cs="宋体"/>
      <w:b/>
      <w:bCs/>
      <w:kern w:val="0"/>
      <w:sz w:val="20"/>
    </w:rPr>
  </w:style>
  <w:style w:type="paragraph" w:customStyle="1" w:styleId="559">
    <w:name w:val="xl76"/>
    <w:basedOn w:val="1"/>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华文细黑" w:hAnsi="华文细黑" w:eastAsia="华文细黑" w:cs="宋体"/>
      <w:b/>
      <w:bCs/>
      <w:kern w:val="0"/>
      <w:sz w:val="20"/>
    </w:rPr>
  </w:style>
  <w:style w:type="paragraph" w:customStyle="1" w:styleId="560">
    <w:name w:val="xl77"/>
    <w:basedOn w:val="1"/>
    <w:uiPriority w:val="0"/>
    <w:pPr>
      <w:widowControl/>
      <w:pBdr>
        <w:left w:val="single" w:color="auto" w:sz="4" w:space="0"/>
        <w:bottom w:val="single" w:color="auto" w:sz="4" w:space="0"/>
      </w:pBdr>
      <w:shd w:val="clear" w:color="000000" w:fill="C0C0C0"/>
      <w:spacing w:before="100" w:beforeAutospacing="1" w:after="100" w:afterAutospacing="1"/>
      <w:jc w:val="left"/>
    </w:pPr>
    <w:rPr>
      <w:rFonts w:ascii="华文细黑" w:hAnsi="华文细黑" w:eastAsia="华文细黑" w:cs="宋体"/>
      <w:b/>
      <w:bCs/>
      <w:kern w:val="0"/>
      <w:sz w:val="20"/>
    </w:rPr>
  </w:style>
  <w:style w:type="paragraph" w:customStyle="1" w:styleId="561">
    <w:name w:val="xl78"/>
    <w:basedOn w:val="1"/>
    <w:uiPriority w:val="0"/>
    <w:pPr>
      <w:widowControl/>
      <w:pBdr>
        <w:bottom w:val="single" w:color="auto" w:sz="4" w:space="0"/>
        <w:right w:val="single" w:color="auto" w:sz="4" w:space="0"/>
      </w:pBdr>
      <w:shd w:val="clear" w:color="000000" w:fill="C0C0C0"/>
      <w:spacing w:before="100" w:beforeAutospacing="1" w:after="100" w:afterAutospacing="1"/>
      <w:jc w:val="left"/>
    </w:pPr>
    <w:rPr>
      <w:rFonts w:ascii="华文细黑" w:hAnsi="华文细黑" w:eastAsia="华文细黑" w:cs="宋体"/>
      <w:b/>
      <w:bCs/>
      <w:kern w:val="0"/>
      <w:sz w:val="20"/>
    </w:rPr>
  </w:style>
  <w:style w:type="paragraph" w:customStyle="1" w:styleId="562">
    <w:name w:val="xl79"/>
    <w:basedOn w:val="1"/>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华文细黑" w:hAnsi="华文细黑" w:eastAsia="华文细黑" w:cs="宋体"/>
      <w:b/>
      <w:bCs/>
      <w:kern w:val="0"/>
      <w:sz w:val="20"/>
    </w:rPr>
  </w:style>
  <w:style w:type="paragraph" w:customStyle="1" w:styleId="563">
    <w:name w:val="xl80"/>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华文细黑" w:hAnsi="华文细黑" w:eastAsia="华文细黑" w:cs="宋体"/>
      <w:b/>
      <w:bCs/>
      <w:kern w:val="0"/>
      <w:sz w:val="20"/>
    </w:rPr>
  </w:style>
  <w:style w:type="paragraph" w:customStyle="1" w:styleId="564">
    <w:name w:val="xl81"/>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细黑" w:hAnsi="华文细黑" w:eastAsia="华文细黑" w:cs="宋体"/>
      <w:kern w:val="0"/>
      <w:sz w:val="20"/>
    </w:rPr>
  </w:style>
  <w:style w:type="paragraph" w:customStyle="1" w:styleId="565">
    <w:name w:val="xl82"/>
    <w:basedOn w:val="1"/>
    <w:uiPriority w:val="0"/>
    <w:pPr>
      <w:widowControl/>
      <w:pBdr>
        <w:top w:val="single" w:color="auto" w:sz="4" w:space="0"/>
        <w:bottom w:val="single" w:color="auto" w:sz="4" w:space="0"/>
      </w:pBdr>
      <w:spacing w:before="100" w:beforeAutospacing="1" w:after="100" w:afterAutospacing="1"/>
      <w:jc w:val="left"/>
    </w:pPr>
    <w:rPr>
      <w:rFonts w:ascii="华文细黑" w:hAnsi="华文细黑" w:eastAsia="华文细黑" w:cs="宋体"/>
      <w:kern w:val="0"/>
      <w:sz w:val="20"/>
    </w:rPr>
  </w:style>
  <w:style w:type="paragraph" w:customStyle="1" w:styleId="566">
    <w:name w:val="xl83"/>
    <w:basedOn w:val="1"/>
    <w:uiPriority w:val="0"/>
    <w:pPr>
      <w:widowControl/>
      <w:pBdr>
        <w:top w:val="single" w:color="auto" w:sz="4" w:space="0"/>
        <w:bottom w:val="single" w:color="auto" w:sz="4" w:space="0"/>
      </w:pBdr>
      <w:spacing w:before="100" w:beforeAutospacing="1" w:after="100" w:afterAutospacing="1"/>
      <w:jc w:val="center"/>
    </w:pPr>
    <w:rPr>
      <w:rFonts w:ascii="华文细黑" w:hAnsi="华文细黑" w:eastAsia="华文细黑" w:cs="宋体"/>
      <w:kern w:val="0"/>
      <w:sz w:val="20"/>
    </w:rPr>
  </w:style>
  <w:style w:type="paragraph" w:customStyle="1" w:styleId="567">
    <w:name w:val="xl8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细黑" w:hAnsi="华文细黑" w:eastAsia="华文细黑" w:cs="宋体"/>
      <w:color w:val="FF0000"/>
      <w:kern w:val="0"/>
      <w:sz w:val="20"/>
    </w:rPr>
  </w:style>
  <w:style w:type="paragraph" w:customStyle="1" w:styleId="568">
    <w:name w:val="xl85"/>
    <w:basedOn w:val="1"/>
    <w:uiPriority w:val="0"/>
    <w:pPr>
      <w:widowControl/>
      <w:pBdr>
        <w:left w:val="single" w:color="auto" w:sz="4" w:space="0"/>
        <w:bottom w:val="single" w:color="auto" w:sz="4" w:space="0"/>
      </w:pBdr>
      <w:spacing w:before="100" w:beforeAutospacing="1" w:after="100" w:afterAutospacing="1"/>
      <w:jc w:val="left"/>
    </w:pPr>
    <w:rPr>
      <w:rFonts w:ascii="华文细黑" w:hAnsi="华文细黑" w:eastAsia="华文细黑" w:cs="宋体"/>
      <w:kern w:val="0"/>
      <w:sz w:val="20"/>
    </w:rPr>
  </w:style>
  <w:style w:type="paragraph" w:customStyle="1" w:styleId="569">
    <w:name w:val="xl86"/>
    <w:basedOn w:val="1"/>
    <w:uiPriority w:val="0"/>
    <w:pPr>
      <w:widowControl/>
      <w:pBdr>
        <w:bottom w:val="single" w:color="auto" w:sz="4" w:space="0"/>
        <w:right w:val="single" w:color="auto" w:sz="4" w:space="0"/>
      </w:pBdr>
      <w:spacing w:before="100" w:beforeAutospacing="1" w:after="100" w:afterAutospacing="1"/>
      <w:jc w:val="left"/>
    </w:pPr>
    <w:rPr>
      <w:rFonts w:ascii="华文细黑" w:hAnsi="华文细黑" w:eastAsia="华文细黑" w:cs="宋体"/>
      <w:kern w:val="0"/>
      <w:sz w:val="20"/>
    </w:rPr>
  </w:style>
  <w:style w:type="paragraph" w:customStyle="1" w:styleId="570">
    <w:name w:val="xl8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kern w:val="0"/>
      <w:sz w:val="20"/>
    </w:rPr>
  </w:style>
  <w:style w:type="paragraph" w:customStyle="1" w:styleId="571">
    <w:name w:val="xl88"/>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细黑" w:hAnsi="华文细黑" w:eastAsia="华文细黑" w:cs="宋体"/>
      <w:color w:val="FF00FF"/>
      <w:kern w:val="0"/>
      <w:sz w:val="20"/>
    </w:rPr>
  </w:style>
  <w:style w:type="paragraph" w:customStyle="1" w:styleId="572">
    <w:name w:val="xl89"/>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细黑" w:hAnsi="华文细黑" w:eastAsia="华文细黑" w:cs="宋体"/>
      <w:color w:val="FF00FF"/>
      <w:kern w:val="0"/>
      <w:sz w:val="20"/>
    </w:rPr>
  </w:style>
  <w:style w:type="paragraph" w:customStyle="1" w:styleId="573">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color w:val="FF0000"/>
      <w:kern w:val="0"/>
      <w:sz w:val="20"/>
    </w:rPr>
  </w:style>
  <w:style w:type="paragraph" w:customStyle="1" w:styleId="574">
    <w:name w:val="xl91"/>
    <w:basedOn w:val="1"/>
    <w:uiPriority w:val="0"/>
    <w:pPr>
      <w:widowControl/>
      <w:spacing w:before="100" w:beforeAutospacing="1" w:after="100" w:afterAutospacing="1"/>
      <w:jc w:val="left"/>
    </w:pPr>
    <w:rPr>
      <w:rFonts w:ascii="华文细黑" w:hAnsi="华文细黑" w:eastAsia="华文细黑" w:cs="宋体"/>
      <w:color w:val="993366"/>
      <w:kern w:val="0"/>
      <w:sz w:val="20"/>
    </w:rPr>
  </w:style>
  <w:style w:type="paragraph" w:customStyle="1" w:styleId="575">
    <w:name w:val="xl92"/>
    <w:basedOn w:val="1"/>
    <w:uiPriority w:val="0"/>
    <w:pPr>
      <w:widowControl/>
      <w:spacing w:before="100" w:beforeAutospacing="1" w:after="100" w:afterAutospacing="1"/>
      <w:jc w:val="left"/>
    </w:pPr>
    <w:rPr>
      <w:rFonts w:ascii="华文细黑" w:hAnsi="华文细黑" w:eastAsia="华文细黑" w:cs="宋体"/>
      <w:color w:val="993366"/>
      <w:kern w:val="0"/>
      <w:sz w:val="20"/>
    </w:rPr>
  </w:style>
  <w:style w:type="paragraph" w:customStyle="1" w:styleId="576">
    <w:name w:val="xl93"/>
    <w:basedOn w:val="1"/>
    <w:uiPriority w:val="0"/>
    <w:pPr>
      <w:widowControl/>
      <w:spacing w:before="100" w:beforeAutospacing="1" w:after="100" w:afterAutospacing="1"/>
      <w:jc w:val="center"/>
    </w:pPr>
    <w:rPr>
      <w:rFonts w:ascii="华文细黑" w:hAnsi="华文细黑" w:eastAsia="华文细黑" w:cs="宋体"/>
      <w:color w:val="993366"/>
      <w:kern w:val="0"/>
      <w:sz w:val="20"/>
    </w:rPr>
  </w:style>
  <w:style w:type="paragraph" w:customStyle="1" w:styleId="577">
    <w:name w:val="xl9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细黑" w:hAnsi="华文细黑" w:eastAsia="华文细黑" w:cs="宋体"/>
      <w:kern w:val="0"/>
      <w:sz w:val="20"/>
    </w:rPr>
  </w:style>
  <w:style w:type="paragraph" w:customStyle="1" w:styleId="578">
    <w:name w:val="xl95"/>
    <w:basedOn w:val="1"/>
    <w:uiPriority w:val="0"/>
    <w:pPr>
      <w:widowControl/>
      <w:pBdr>
        <w:bottom w:val="single" w:color="auto" w:sz="4" w:space="0"/>
      </w:pBdr>
      <w:spacing w:before="100" w:beforeAutospacing="1" w:after="100" w:afterAutospacing="1"/>
      <w:jc w:val="left"/>
    </w:pPr>
    <w:rPr>
      <w:rFonts w:ascii="华文细黑" w:hAnsi="华文细黑" w:eastAsia="华文细黑" w:cs="宋体"/>
      <w:kern w:val="0"/>
      <w:sz w:val="20"/>
    </w:rPr>
  </w:style>
  <w:style w:type="paragraph" w:customStyle="1" w:styleId="579">
    <w:name w:val="xl96"/>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 w:val="20"/>
    </w:rPr>
  </w:style>
  <w:style w:type="paragraph" w:customStyle="1" w:styleId="580">
    <w:name w:val="xl97"/>
    <w:basedOn w:val="1"/>
    <w:uiPriority w:val="0"/>
    <w:pPr>
      <w:widowControl/>
      <w:spacing w:before="100" w:beforeAutospacing="1" w:after="100" w:afterAutospacing="1"/>
      <w:jc w:val="left"/>
    </w:pPr>
    <w:rPr>
      <w:rFonts w:ascii="华文细黑" w:hAnsi="华文细黑" w:eastAsia="华文细黑" w:cs="宋体"/>
      <w:kern w:val="0"/>
      <w:sz w:val="32"/>
      <w:szCs w:val="32"/>
    </w:rPr>
  </w:style>
  <w:style w:type="paragraph" w:customStyle="1" w:styleId="581">
    <w:name w:val="xl98"/>
    <w:basedOn w:val="1"/>
    <w:uiPriority w:val="0"/>
    <w:pPr>
      <w:widowControl/>
      <w:pBdr>
        <w:top w:val="single" w:color="auto" w:sz="4" w:space="0"/>
        <w:left w:val="single" w:color="auto" w:sz="4" w:space="0"/>
      </w:pBdr>
      <w:spacing w:before="100" w:beforeAutospacing="1" w:after="100" w:afterAutospacing="1"/>
      <w:jc w:val="right"/>
    </w:pPr>
    <w:rPr>
      <w:rFonts w:ascii="华文细黑" w:hAnsi="华文细黑" w:eastAsia="华文细黑" w:cs="宋体"/>
      <w:kern w:val="0"/>
      <w:sz w:val="20"/>
    </w:rPr>
  </w:style>
  <w:style w:type="paragraph" w:customStyle="1" w:styleId="582">
    <w:name w:val="xl99"/>
    <w:basedOn w:val="1"/>
    <w:uiPriority w:val="0"/>
    <w:pPr>
      <w:widowControl/>
      <w:pBdr>
        <w:top w:val="single" w:color="auto" w:sz="4" w:space="0"/>
        <w:right w:val="single" w:color="auto" w:sz="4" w:space="0"/>
      </w:pBdr>
      <w:spacing w:before="100" w:beforeAutospacing="1" w:after="100" w:afterAutospacing="1"/>
      <w:jc w:val="left"/>
    </w:pPr>
    <w:rPr>
      <w:rFonts w:ascii="华文细黑" w:hAnsi="华文细黑" w:eastAsia="华文细黑" w:cs="宋体"/>
      <w:kern w:val="0"/>
      <w:sz w:val="20"/>
    </w:rPr>
  </w:style>
  <w:style w:type="paragraph" w:customStyle="1" w:styleId="583">
    <w:name w:val="xl10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华文细黑" w:hAnsi="华文细黑" w:eastAsia="华文细黑" w:cs="宋体"/>
      <w:kern w:val="0"/>
      <w:sz w:val="20"/>
    </w:rPr>
  </w:style>
  <w:style w:type="paragraph" w:customStyle="1" w:styleId="584">
    <w:name w:val="xl101"/>
    <w:basedOn w:val="1"/>
    <w:uiPriority w:val="0"/>
    <w:pPr>
      <w:widowControl/>
      <w:pBdr>
        <w:left w:val="single" w:color="auto" w:sz="4" w:space="0"/>
        <w:bottom w:val="single" w:color="auto" w:sz="4" w:space="0"/>
      </w:pBdr>
      <w:spacing w:before="100" w:beforeAutospacing="1" w:after="100" w:afterAutospacing="1"/>
      <w:jc w:val="right"/>
    </w:pPr>
    <w:rPr>
      <w:rFonts w:ascii="华文细黑" w:hAnsi="华文细黑" w:eastAsia="华文细黑" w:cs="宋体"/>
      <w:kern w:val="0"/>
      <w:sz w:val="20"/>
    </w:rPr>
  </w:style>
  <w:style w:type="paragraph" w:customStyle="1" w:styleId="585">
    <w:name w:val="xl102"/>
    <w:basedOn w:val="1"/>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left"/>
    </w:pPr>
    <w:rPr>
      <w:rFonts w:ascii="华文细黑" w:hAnsi="华文细黑" w:eastAsia="华文细黑" w:cs="宋体"/>
      <w:kern w:val="0"/>
      <w:sz w:val="20"/>
    </w:rPr>
  </w:style>
  <w:style w:type="paragraph" w:customStyle="1" w:styleId="586">
    <w:name w:val="xl103"/>
    <w:basedOn w:val="1"/>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pPr>
    <w:rPr>
      <w:rFonts w:ascii="华文细黑" w:hAnsi="华文细黑" w:eastAsia="华文细黑" w:cs="宋体"/>
      <w:kern w:val="0"/>
      <w:sz w:val="20"/>
    </w:rPr>
  </w:style>
  <w:style w:type="paragraph" w:customStyle="1" w:styleId="587">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华文细黑" w:hAnsi="华文细黑" w:eastAsia="华文细黑" w:cs="宋体"/>
      <w:b/>
      <w:bCs/>
      <w:kern w:val="0"/>
      <w:sz w:val="20"/>
    </w:rPr>
  </w:style>
  <w:style w:type="paragraph" w:customStyle="1" w:styleId="588">
    <w:name w:val="xl105"/>
    <w:basedOn w:val="1"/>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华文细黑" w:hAnsi="华文细黑" w:eastAsia="华文细黑" w:cs="宋体"/>
      <w:b/>
      <w:bCs/>
      <w:kern w:val="0"/>
      <w:sz w:val="20"/>
    </w:rPr>
  </w:style>
  <w:style w:type="paragraph" w:customStyle="1" w:styleId="589">
    <w:name w:val="xl106"/>
    <w:basedOn w:val="1"/>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华文细黑" w:hAnsi="华文细黑" w:eastAsia="华文细黑" w:cs="宋体"/>
      <w:b/>
      <w:bCs/>
      <w:kern w:val="0"/>
      <w:sz w:val="20"/>
    </w:rPr>
  </w:style>
  <w:style w:type="paragraph" w:customStyle="1" w:styleId="590">
    <w:name w:val="xl107"/>
    <w:basedOn w:val="1"/>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华文细黑" w:hAnsi="华文细黑" w:eastAsia="华文细黑" w:cs="宋体"/>
      <w:kern w:val="0"/>
      <w:sz w:val="20"/>
    </w:rPr>
  </w:style>
  <w:style w:type="paragraph" w:customStyle="1" w:styleId="591">
    <w:name w:val="xl108"/>
    <w:basedOn w:val="1"/>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华文细黑" w:hAnsi="华文细黑" w:eastAsia="华文细黑" w:cs="宋体"/>
      <w:kern w:val="0"/>
      <w:sz w:val="20"/>
    </w:rPr>
  </w:style>
  <w:style w:type="paragraph" w:customStyle="1" w:styleId="592">
    <w:name w:val="附件"/>
    <w:basedOn w:val="5"/>
    <w:next w:val="17"/>
    <w:uiPriority w:val="0"/>
    <w:pPr>
      <w:keepNext/>
      <w:keepLines/>
      <w:widowControl w:val="0"/>
      <w:adjustRightInd/>
      <w:snapToGrid/>
      <w:spacing w:beforeLines="0" w:afterLines="0" w:line="480" w:lineRule="auto"/>
      <w:jc w:val="center"/>
      <w:textAlignment w:val="auto"/>
    </w:pPr>
    <w:rPr>
      <w:rFonts w:eastAsia="楷体_GB2312"/>
      <w:b/>
      <w:bCs/>
      <w:color w:val="auto"/>
      <w:sz w:val="44"/>
      <w:szCs w:val="44"/>
    </w:rPr>
  </w:style>
  <w:style w:type="paragraph" w:customStyle="1" w:styleId="593">
    <w:name w:val="第一卷"/>
    <w:uiPriority w:val="0"/>
    <w:pPr>
      <w:adjustRightInd w:val="0"/>
      <w:snapToGrid w:val="0"/>
      <w:spacing w:line="360" w:lineRule="auto"/>
      <w:ind w:left="1"/>
      <w:jc w:val="center"/>
      <w:outlineLvl w:val="0"/>
    </w:pPr>
    <w:rPr>
      <w:rFonts w:ascii="Times New Roman" w:hAnsi="Times New Roman" w:eastAsia="楷体_GB2312" w:cs="Times New Roman"/>
      <w:b/>
      <w:snapToGrid w:val="0"/>
      <w:kern w:val="44"/>
      <w:sz w:val="44"/>
      <w:szCs w:val="24"/>
      <w:lang w:val="en-US" w:eastAsia="zh-CN" w:bidi="ar-SA"/>
    </w:rPr>
  </w:style>
  <w:style w:type="paragraph" w:customStyle="1" w:styleId="594">
    <w:name w:val="Char6 Char Char Char Char Char Char Char Char Char"/>
    <w:basedOn w:val="1"/>
    <w:uiPriority w:val="0"/>
    <w:rPr>
      <w:szCs w:val="24"/>
    </w:rPr>
  </w:style>
  <w:style w:type="paragraph" w:customStyle="1" w:styleId="595">
    <w:name w:val="xl109"/>
    <w:basedOn w:val="1"/>
    <w:uiPriority w:val="0"/>
    <w:pPr>
      <w:widowControl/>
      <w:shd w:val="clear" w:color="auto" w:fill="808000"/>
      <w:spacing w:before="100" w:beforeAutospacing="1" w:after="100" w:afterAutospacing="1"/>
      <w:jc w:val="right"/>
    </w:pPr>
    <w:rPr>
      <w:rFonts w:ascii="黑体" w:hAnsi="宋体" w:eastAsia="黑体" w:cs="宋体"/>
      <w:kern w:val="0"/>
      <w:sz w:val="24"/>
      <w:szCs w:val="24"/>
    </w:rPr>
  </w:style>
  <w:style w:type="paragraph" w:customStyle="1" w:styleId="596">
    <w:name w:val="xl110"/>
    <w:basedOn w:val="1"/>
    <w:uiPriority w:val="0"/>
    <w:pPr>
      <w:widowControl/>
      <w:pBdr>
        <w:top w:val="single" w:color="auto" w:sz="4" w:space="0"/>
        <w:right w:val="single" w:color="auto" w:sz="4" w:space="0"/>
      </w:pBdr>
      <w:shd w:val="clear" w:color="auto" w:fill="808000"/>
      <w:spacing w:before="100" w:beforeAutospacing="1" w:after="100" w:afterAutospacing="1"/>
      <w:jc w:val="left"/>
    </w:pPr>
    <w:rPr>
      <w:rFonts w:ascii="黑体" w:hAnsi="宋体" w:eastAsia="黑体" w:cs="宋体"/>
      <w:kern w:val="0"/>
      <w:sz w:val="24"/>
      <w:szCs w:val="24"/>
    </w:rPr>
  </w:style>
  <w:style w:type="paragraph" w:customStyle="1" w:styleId="597">
    <w:name w:val="xl111"/>
    <w:basedOn w:val="1"/>
    <w:uiPriority w:val="0"/>
    <w:pPr>
      <w:widowControl/>
      <w:pBdr>
        <w:top w:val="single" w:color="auto" w:sz="4" w:space="0"/>
        <w:right w:val="single" w:color="auto" w:sz="4" w:space="0"/>
      </w:pBdr>
      <w:spacing w:before="100" w:beforeAutospacing="1" w:after="100" w:afterAutospacing="1"/>
      <w:jc w:val="center"/>
    </w:pPr>
    <w:rPr>
      <w:rFonts w:ascii="黑体" w:hAnsi="宋体" w:eastAsia="黑体" w:cs="宋体"/>
      <w:kern w:val="0"/>
      <w:sz w:val="24"/>
      <w:szCs w:val="24"/>
    </w:rPr>
  </w:style>
  <w:style w:type="paragraph" w:customStyle="1" w:styleId="598">
    <w:name w:val="xl112"/>
    <w:basedOn w:val="1"/>
    <w:uiPriority w:val="0"/>
    <w:pPr>
      <w:widowControl/>
      <w:pBdr>
        <w:left w:val="single" w:color="auto" w:sz="4" w:space="0"/>
        <w:bottom w:val="single" w:color="auto" w:sz="4" w:space="0"/>
      </w:pBdr>
      <w:spacing w:before="100" w:beforeAutospacing="1" w:after="100" w:afterAutospacing="1"/>
      <w:jc w:val="center"/>
    </w:pPr>
    <w:rPr>
      <w:rFonts w:ascii="黑体" w:hAnsi="宋体" w:eastAsia="黑体" w:cs="宋体"/>
      <w:kern w:val="0"/>
      <w:sz w:val="24"/>
      <w:szCs w:val="24"/>
    </w:rPr>
  </w:style>
  <w:style w:type="paragraph" w:customStyle="1" w:styleId="599">
    <w:name w:val="xl113"/>
    <w:basedOn w:val="1"/>
    <w:uiPriority w:val="0"/>
    <w:pPr>
      <w:widowControl/>
      <w:pBdr>
        <w:bottom w:val="single" w:color="auto" w:sz="4" w:space="0"/>
        <w:right w:val="single" w:color="auto" w:sz="4" w:space="0"/>
      </w:pBdr>
      <w:spacing w:before="100" w:beforeAutospacing="1" w:after="100" w:afterAutospacing="1"/>
      <w:jc w:val="center"/>
    </w:pPr>
    <w:rPr>
      <w:rFonts w:ascii="黑体" w:hAnsi="宋体" w:eastAsia="黑体" w:cs="宋体"/>
      <w:kern w:val="0"/>
      <w:sz w:val="24"/>
      <w:szCs w:val="24"/>
    </w:rPr>
  </w:style>
  <w:style w:type="paragraph" w:customStyle="1" w:styleId="600">
    <w:name w:val="xl114"/>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kern w:val="0"/>
      <w:sz w:val="24"/>
      <w:szCs w:val="24"/>
    </w:rPr>
  </w:style>
  <w:style w:type="paragraph" w:customStyle="1" w:styleId="601">
    <w:name w:val="xl115"/>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黑体" w:hAnsi="宋体" w:eastAsia="黑体" w:cs="宋体"/>
      <w:color w:val="FF0000"/>
      <w:kern w:val="0"/>
      <w:sz w:val="24"/>
      <w:szCs w:val="24"/>
    </w:rPr>
  </w:style>
  <w:style w:type="paragraph" w:customStyle="1" w:styleId="602">
    <w:name w:val="xl116"/>
    <w:basedOn w:val="1"/>
    <w:uiPriority w:val="0"/>
    <w:pPr>
      <w:widowControl/>
      <w:pBdr>
        <w:top w:val="single" w:color="auto" w:sz="4" w:space="0"/>
        <w:bottom w:val="single" w:color="auto" w:sz="4" w:space="0"/>
      </w:pBdr>
      <w:spacing w:before="100" w:beforeAutospacing="1" w:after="100" w:afterAutospacing="1"/>
      <w:jc w:val="left"/>
    </w:pPr>
    <w:rPr>
      <w:rFonts w:ascii="黑体" w:hAnsi="宋体" w:eastAsia="黑体" w:cs="宋体"/>
      <w:color w:val="FF0000"/>
      <w:kern w:val="0"/>
      <w:sz w:val="24"/>
      <w:szCs w:val="24"/>
    </w:rPr>
  </w:style>
  <w:style w:type="paragraph" w:customStyle="1" w:styleId="603">
    <w:name w:val="xl11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FF0000"/>
      <w:kern w:val="0"/>
      <w:sz w:val="24"/>
      <w:szCs w:val="24"/>
    </w:rPr>
  </w:style>
  <w:style w:type="paragraph" w:customStyle="1" w:styleId="604">
    <w:name w:val="xl118"/>
    <w:basedOn w:val="1"/>
    <w:uiPriority w:val="0"/>
    <w:pPr>
      <w:widowControl/>
      <w:pBdr>
        <w:top w:val="single" w:color="auto" w:sz="4" w:space="0"/>
        <w:left w:val="single" w:color="auto" w:sz="4" w:space="0"/>
      </w:pBdr>
      <w:shd w:val="clear" w:color="auto" w:fill="C0C0C0"/>
      <w:spacing w:before="100" w:beforeAutospacing="1" w:after="100" w:afterAutospacing="1"/>
      <w:jc w:val="center"/>
    </w:pPr>
    <w:rPr>
      <w:rFonts w:ascii="黑体" w:hAnsi="宋体" w:eastAsia="黑体" w:cs="宋体"/>
      <w:kern w:val="0"/>
      <w:sz w:val="24"/>
      <w:szCs w:val="24"/>
    </w:rPr>
  </w:style>
  <w:style w:type="paragraph" w:customStyle="1" w:styleId="605">
    <w:name w:val="xl119"/>
    <w:basedOn w:val="1"/>
    <w:uiPriority w:val="0"/>
    <w:pPr>
      <w:widowControl/>
      <w:pBdr>
        <w:bottom w:val="single" w:color="auto" w:sz="4" w:space="0"/>
      </w:pBdr>
      <w:spacing w:before="100" w:beforeAutospacing="1" w:after="100" w:afterAutospacing="1"/>
      <w:jc w:val="center"/>
    </w:pPr>
    <w:rPr>
      <w:rFonts w:ascii="黑体" w:hAnsi="宋体" w:eastAsia="黑体" w:cs="宋体"/>
      <w:kern w:val="0"/>
      <w:sz w:val="24"/>
      <w:szCs w:val="24"/>
    </w:rPr>
  </w:style>
  <w:style w:type="paragraph" w:customStyle="1" w:styleId="606">
    <w:name w:val="xl12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4"/>
      <w:szCs w:val="24"/>
    </w:rPr>
  </w:style>
  <w:style w:type="paragraph" w:customStyle="1" w:styleId="607">
    <w:name w:val="xl121"/>
    <w:basedOn w:val="1"/>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黑体" w:hAnsi="宋体" w:eastAsia="黑体" w:cs="宋体"/>
      <w:kern w:val="0"/>
      <w:sz w:val="24"/>
      <w:szCs w:val="24"/>
    </w:rPr>
  </w:style>
  <w:style w:type="paragraph" w:customStyle="1" w:styleId="608">
    <w:name w:val="xl122"/>
    <w:basedOn w:val="1"/>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黑体" w:hAnsi="宋体" w:eastAsia="黑体" w:cs="宋体"/>
      <w:kern w:val="0"/>
      <w:sz w:val="24"/>
      <w:szCs w:val="24"/>
    </w:rPr>
  </w:style>
  <w:style w:type="paragraph" w:customStyle="1" w:styleId="609">
    <w:name w:val="xl123"/>
    <w:basedOn w:val="1"/>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黑体" w:hAnsi="宋体" w:eastAsia="黑体" w:cs="宋体"/>
      <w:kern w:val="0"/>
      <w:sz w:val="24"/>
      <w:szCs w:val="24"/>
    </w:rPr>
  </w:style>
  <w:style w:type="paragraph" w:customStyle="1" w:styleId="610">
    <w:name w:val="xl124"/>
    <w:basedOn w:val="1"/>
    <w:uiPriority w:val="0"/>
    <w:pPr>
      <w:widowControl/>
      <w:pBdr>
        <w:left w:val="single" w:color="auto" w:sz="4" w:space="0"/>
        <w:right w:val="single" w:color="auto" w:sz="4" w:space="0"/>
      </w:pBdr>
      <w:spacing w:before="100" w:beforeAutospacing="1" w:after="100" w:afterAutospacing="1"/>
      <w:jc w:val="center"/>
    </w:pPr>
    <w:rPr>
      <w:rFonts w:ascii="黑体" w:hAnsi="宋体" w:eastAsia="黑体" w:cs="宋体"/>
      <w:kern w:val="0"/>
      <w:sz w:val="24"/>
      <w:szCs w:val="24"/>
    </w:rPr>
  </w:style>
  <w:style w:type="paragraph" w:customStyle="1" w:styleId="611">
    <w:name w:val="font0"/>
    <w:basedOn w:val="1"/>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612">
    <w:name w:val="正文文本 22"/>
    <w:basedOn w:val="1"/>
    <w:uiPriority w:val="0"/>
    <w:pPr>
      <w:adjustRightInd w:val="0"/>
      <w:spacing w:line="430" w:lineRule="exact"/>
      <w:textAlignment w:val="baseline"/>
    </w:pPr>
    <w:rPr>
      <w:rFonts w:eastAsia="楷体_GB2312"/>
    </w:rPr>
  </w:style>
  <w:style w:type="paragraph" w:customStyle="1" w:styleId="613">
    <w:name w:val="中元项目符号"/>
    <w:basedOn w:val="1"/>
    <w:uiPriority w:val="0"/>
    <w:pPr>
      <w:numPr>
        <w:ilvl w:val="1"/>
        <w:numId w:val="13"/>
      </w:numPr>
      <w:spacing w:line="300" w:lineRule="auto"/>
    </w:pPr>
    <w:rPr>
      <w:rFonts w:ascii="Arial" w:hAnsi="Arial"/>
      <w:sz w:val="24"/>
      <w:szCs w:val="24"/>
    </w:rPr>
  </w:style>
  <w:style w:type="paragraph" w:customStyle="1" w:styleId="614">
    <w:name w:val="Char Char Char Char Char"/>
    <w:basedOn w:val="1"/>
    <w:uiPriority w:val="0"/>
    <w:pPr>
      <w:widowControl/>
      <w:spacing w:after="160" w:line="240" w:lineRule="exact"/>
      <w:jc w:val="left"/>
    </w:pPr>
    <w:rPr>
      <w:rFonts w:ascii="Verdana" w:hAnsi="Verdana"/>
      <w:kern w:val="0"/>
      <w:sz w:val="20"/>
      <w:lang w:eastAsia="en-US"/>
    </w:rPr>
  </w:style>
  <w:style w:type="paragraph" w:customStyle="1" w:styleId="615">
    <w:name w:val="font12"/>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616">
    <w:name w:val="font13"/>
    <w:basedOn w:val="1"/>
    <w:uiPriority w:val="0"/>
    <w:pPr>
      <w:widowControl/>
      <w:spacing w:before="100" w:beforeAutospacing="1" w:after="100" w:afterAutospacing="1"/>
      <w:jc w:val="left"/>
    </w:pPr>
    <w:rPr>
      <w:rFonts w:ascii="MingLiU" w:hAnsi="MingLiU" w:eastAsia="MingLiU" w:cs="宋体"/>
      <w:color w:val="000000"/>
      <w:kern w:val="0"/>
      <w:sz w:val="20"/>
    </w:rPr>
  </w:style>
  <w:style w:type="paragraph" w:customStyle="1" w:styleId="617">
    <w:name w:val="font14"/>
    <w:basedOn w:val="1"/>
    <w:uiPriority w:val="0"/>
    <w:pPr>
      <w:widowControl/>
      <w:spacing w:before="100" w:beforeAutospacing="1" w:after="100" w:afterAutospacing="1"/>
      <w:jc w:val="left"/>
    </w:pPr>
    <w:rPr>
      <w:rFonts w:ascii="宋体" w:hAnsi="宋体" w:cs="宋体"/>
      <w:kern w:val="0"/>
      <w:sz w:val="20"/>
    </w:rPr>
  </w:style>
  <w:style w:type="paragraph" w:customStyle="1" w:styleId="618">
    <w:name w:val="font15"/>
    <w:basedOn w:val="1"/>
    <w:uiPriority w:val="0"/>
    <w:pPr>
      <w:widowControl/>
      <w:spacing w:before="100" w:beforeAutospacing="1" w:after="100" w:afterAutospacing="1"/>
      <w:jc w:val="left"/>
    </w:pPr>
    <w:rPr>
      <w:rFonts w:ascii="宋体" w:hAnsi="宋体" w:cs="宋体"/>
      <w:kern w:val="0"/>
      <w:sz w:val="20"/>
    </w:rPr>
  </w:style>
  <w:style w:type="paragraph" w:customStyle="1" w:styleId="619">
    <w:name w:val="font16"/>
    <w:basedOn w:val="1"/>
    <w:uiPriority w:val="0"/>
    <w:pPr>
      <w:widowControl/>
      <w:spacing w:before="100" w:beforeAutospacing="1" w:after="100" w:afterAutospacing="1"/>
      <w:jc w:val="left"/>
    </w:pPr>
    <w:rPr>
      <w:rFonts w:ascii="宋体" w:hAnsi="宋体" w:cs="宋体"/>
      <w:kern w:val="0"/>
      <w:sz w:val="20"/>
    </w:rPr>
  </w:style>
  <w:style w:type="paragraph" w:customStyle="1" w:styleId="620">
    <w:name w:val="font17"/>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621">
    <w:name w:val="font18"/>
    <w:basedOn w:val="1"/>
    <w:uiPriority w:val="0"/>
    <w:pPr>
      <w:widowControl/>
      <w:spacing w:before="100" w:beforeAutospacing="1" w:after="100" w:afterAutospacing="1"/>
      <w:jc w:val="left"/>
    </w:pPr>
    <w:rPr>
      <w:rFonts w:ascii="宋体" w:hAnsi="宋体" w:cs="宋体"/>
      <w:kern w:val="0"/>
      <w:sz w:val="20"/>
    </w:rPr>
  </w:style>
  <w:style w:type="paragraph" w:customStyle="1" w:styleId="622">
    <w:name w:val="font19"/>
    <w:basedOn w:val="1"/>
    <w:uiPriority w:val="0"/>
    <w:pPr>
      <w:widowControl/>
      <w:spacing w:before="100" w:beforeAutospacing="1" w:after="100" w:afterAutospacing="1"/>
      <w:jc w:val="left"/>
    </w:pPr>
    <w:rPr>
      <w:rFonts w:ascii="宋体" w:hAnsi="宋体" w:cs="宋体"/>
      <w:kern w:val="0"/>
      <w:sz w:val="20"/>
    </w:rPr>
  </w:style>
  <w:style w:type="paragraph" w:customStyle="1" w:styleId="623">
    <w:name w:val="font20"/>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624">
    <w:name w:val="font22"/>
    <w:basedOn w:val="1"/>
    <w:uiPriority w:val="0"/>
    <w:pPr>
      <w:widowControl/>
      <w:spacing w:before="100" w:beforeAutospacing="1" w:after="100" w:afterAutospacing="1"/>
      <w:jc w:val="left"/>
    </w:pPr>
    <w:rPr>
      <w:rFonts w:ascii="宋体" w:hAnsi="宋体" w:cs="宋体"/>
      <w:kern w:val="0"/>
      <w:sz w:val="20"/>
    </w:rPr>
  </w:style>
  <w:style w:type="paragraph" w:customStyle="1" w:styleId="625">
    <w:name w:val="font23"/>
    <w:basedOn w:val="1"/>
    <w:uiPriority w:val="0"/>
    <w:pPr>
      <w:widowControl/>
      <w:spacing w:before="100" w:beforeAutospacing="1" w:after="100" w:afterAutospacing="1"/>
      <w:jc w:val="left"/>
    </w:pPr>
    <w:rPr>
      <w:rFonts w:ascii="宋体" w:hAnsi="宋体" w:cs="宋体"/>
      <w:kern w:val="0"/>
      <w:sz w:val="20"/>
    </w:rPr>
  </w:style>
  <w:style w:type="paragraph" w:customStyle="1" w:styleId="626">
    <w:name w:val="font24"/>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627">
    <w:name w:val="font25"/>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628">
    <w:name w:val="xl125"/>
    <w:basedOn w:val="1"/>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top"/>
    </w:pPr>
    <w:rPr>
      <w:rFonts w:ascii="Arial" w:hAnsi="Arial" w:cs="Arial"/>
      <w:kern w:val="0"/>
      <w:sz w:val="20"/>
    </w:rPr>
  </w:style>
  <w:style w:type="paragraph" w:customStyle="1" w:styleId="629">
    <w:name w:val="xl12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20"/>
    </w:rPr>
  </w:style>
  <w:style w:type="paragraph" w:customStyle="1" w:styleId="630">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0"/>
    </w:rPr>
  </w:style>
  <w:style w:type="paragraph" w:customStyle="1" w:styleId="631">
    <w:name w:val="xl128"/>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宋体" w:hAnsi="宋体" w:cs="宋体"/>
      <w:kern w:val="0"/>
      <w:sz w:val="20"/>
    </w:rPr>
  </w:style>
  <w:style w:type="paragraph" w:customStyle="1" w:styleId="632">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Arial" w:hAnsi="Arial" w:cs="Arial"/>
      <w:kern w:val="0"/>
      <w:sz w:val="20"/>
    </w:rPr>
  </w:style>
  <w:style w:type="paragraph" w:customStyle="1" w:styleId="633">
    <w:name w:val="xl130"/>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top"/>
    </w:pPr>
    <w:rPr>
      <w:rFonts w:ascii="Arial" w:hAnsi="Arial" w:cs="Arial"/>
      <w:kern w:val="0"/>
      <w:sz w:val="20"/>
    </w:rPr>
  </w:style>
  <w:style w:type="paragraph" w:customStyle="1" w:styleId="634">
    <w:name w:val="xl131"/>
    <w:basedOn w:val="1"/>
    <w:uiPriority w:val="0"/>
    <w:pPr>
      <w:widowControl/>
      <w:shd w:val="clear" w:color="000000" w:fill="FFFF00"/>
      <w:spacing w:before="100" w:beforeAutospacing="1" w:after="100" w:afterAutospacing="1"/>
      <w:jc w:val="left"/>
      <w:textAlignment w:val="top"/>
    </w:pPr>
    <w:rPr>
      <w:rFonts w:ascii="Arial" w:hAnsi="Arial" w:cs="Arial"/>
      <w:kern w:val="0"/>
      <w:sz w:val="20"/>
    </w:rPr>
  </w:style>
  <w:style w:type="paragraph" w:customStyle="1" w:styleId="635">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Arial" w:hAnsi="Arial" w:cs="Arial"/>
      <w:kern w:val="0"/>
      <w:sz w:val="20"/>
    </w:rPr>
  </w:style>
  <w:style w:type="paragraph" w:customStyle="1" w:styleId="636">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Arial" w:hAnsi="Arial" w:cs="Arial"/>
      <w:kern w:val="0"/>
      <w:sz w:val="20"/>
    </w:rPr>
  </w:style>
  <w:style w:type="paragraph" w:customStyle="1" w:styleId="637">
    <w:name w:val="xl134"/>
    <w:basedOn w:val="1"/>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textAlignment w:val="top"/>
    </w:pPr>
    <w:rPr>
      <w:rFonts w:ascii="宋体" w:hAnsi="宋体" w:cs="宋体"/>
      <w:kern w:val="0"/>
      <w:sz w:val="20"/>
    </w:rPr>
  </w:style>
  <w:style w:type="paragraph" w:customStyle="1" w:styleId="638">
    <w:name w:val="xl135"/>
    <w:basedOn w:val="1"/>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textAlignment w:val="top"/>
    </w:pPr>
    <w:rPr>
      <w:rFonts w:ascii="Arial" w:hAnsi="Arial" w:cs="Arial"/>
      <w:kern w:val="0"/>
      <w:sz w:val="20"/>
    </w:rPr>
  </w:style>
  <w:style w:type="paragraph" w:customStyle="1" w:styleId="639">
    <w:name w:val="xl136"/>
    <w:basedOn w:val="1"/>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left"/>
      <w:textAlignment w:val="top"/>
    </w:pPr>
    <w:rPr>
      <w:rFonts w:ascii="Arial" w:hAnsi="Arial" w:cs="Arial"/>
      <w:kern w:val="0"/>
      <w:sz w:val="20"/>
    </w:rPr>
  </w:style>
  <w:style w:type="paragraph" w:customStyle="1" w:styleId="640">
    <w:name w:val="xl137"/>
    <w:basedOn w:val="1"/>
    <w:uiPriority w:val="0"/>
    <w:pPr>
      <w:widowControl/>
      <w:shd w:val="clear" w:color="000000" w:fill="FFFF99"/>
      <w:spacing w:before="100" w:beforeAutospacing="1" w:after="100" w:afterAutospacing="1"/>
      <w:jc w:val="left"/>
      <w:textAlignment w:val="top"/>
    </w:pPr>
    <w:rPr>
      <w:rFonts w:ascii="Arial" w:hAnsi="Arial" w:cs="Arial"/>
      <w:kern w:val="0"/>
      <w:sz w:val="20"/>
    </w:rPr>
  </w:style>
  <w:style w:type="paragraph" w:customStyle="1" w:styleId="641">
    <w:name w:val="xl138"/>
    <w:basedOn w:val="1"/>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left"/>
      <w:textAlignment w:val="top"/>
    </w:pPr>
    <w:rPr>
      <w:rFonts w:ascii="Arial" w:hAnsi="Arial" w:cs="Arial"/>
      <w:kern w:val="0"/>
      <w:sz w:val="20"/>
    </w:rPr>
  </w:style>
  <w:style w:type="paragraph" w:customStyle="1" w:styleId="642">
    <w:name w:val="xl140"/>
    <w:basedOn w:val="1"/>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left"/>
      <w:textAlignment w:val="top"/>
    </w:pPr>
    <w:rPr>
      <w:rFonts w:ascii="Arial" w:hAnsi="Arial" w:cs="Arial"/>
      <w:color w:val="000000"/>
      <w:kern w:val="0"/>
      <w:sz w:val="20"/>
    </w:rPr>
  </w:style>
  <w:style w:type="paragraph" w:customStyle="1" w:styleId="643">
    <w:name w:val="xl1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644">
    <w:name w:val="xl1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0"/>
    </w:rPr>
  </w:style>
  <w:style w:type="paragraph" w:customStyle="1" w:styleId="645">
    <w:name w:val="xl14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646">
    <w:name w:val="xl1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647">
    <w:name w:val="xl1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rPr>
  </w:style>
  <w:style w:type="paragraph" w:customStyle="1" w:styleId="648">
    <w:name w:val="xl1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rPr>
  </w:style>
  <w:style w:type="paragraph" w:customStyle="1" w:styleId="649">
    <w:name w:val="xl1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0"/>
    </w:rPr>
  </w:style>
  <w:style w:type="paragraph" w:customStyle="1" w:styleId="650">
    <w:name w:val="xl148"/>
    <w:basedOn w:val="1"/>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top"/>
    </w:pPr>
    <w:rPr>
      <w:rFonts w:ascii="Arial" w:hAnsi="Arial" w:cs="Arial"/>
      <w:kern w:val="0"/>
      <w:sz w:val="20"/>
    </w:rPr>
  </w:style>
  <w:style w:type="paragraph" w:customStyle="1" w:styleId="651">
    <w:name w:val="xl1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652">
    <w:name w:val="xl1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color w:val="FF0000"/>
      <w:kern w:val="0"/>
      <w:sz w:val="20"/>
    </w:rPr>
  </w:style>
  <w:style w:type="paragraph" w:customStyle="1" w:styleId="653">
    <w:name w:val="xl1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654">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top"/>
    </w:pPr>
    <w:rPr>
      <w:rFonts w:ascii="宋体" w:hAnsi="宋体" w:cs="宋体"/>
      <w:kern w:val="0"/>
      <w:sz w:val="20"/>
    </w:rPr>
  </w:style>
  <w:style w:type="paragraph" w:customStyle="1" w:styleId="655">
    <w:name w:val="xl1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color w:val="000000"/>
      <w:kern w:val="0"/>
      <w:sz w:val="20"/>
    </w:rPr>
  </w:style>
  <w:style w:type="paragraph" w:customStyle="1" w:styleId="656">
    <w:name w:val="xl154"/>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textAlignment w:val="top"/>
    </w:pPr>
    <w:rPr>
      <w:rFonts w:ascii="宋体" w:hAnsi="宋体" w:cs="宋体"/>
      <w:color w:val="000000"/>
      <w:kern w:val="0"/>
      <w:sz w:val="20"/>
    </w:rPr>
  </w:style>
  <w:style w:type="paragraph" w:customStyle="1" w:styleId="657">
    <w:name w:val="xl155"/>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textAlignment w:val="top"/>
    </w:pPr>
    <w:rPr>
      <w:rFonts w:ascii="Arial" w:hAnsi="Arial" w:cs="Arial"/>
      <w:kern w:val="0"/>
      <w:sz w:val="20"/>
    </w:rPr>
  </w:style>
  <w:style w:type="paragraph" w:customStyle="1" w:styleId="658">
    <w:name w:val="xl156"/>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textAlignment w:val="top"/>
    </w:pPr>
    <w:rPr>
      <w:rFonts w:ascii="宋体" w:hAnsi="宋体" w:cs="宋体"/>
      <w:kern w:val="0"/>
      <w:sz w:val="20"/>
    </w:rPr>
  </w:style>
  <w:style w:type="paragraph" w:customStyle="1" w:styleId="659">
    <w:name w:val="xl157"/>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textAlignment w:val="top"/>
    </w:pPr>
    <w:rPr>
      <w:rFonts w:ascii="Arial" w:hAnsi="Arial" w:cs="Arial"/>
      <w:kern w:val="0"/>
      <w:sz w:val="20"/>
    </w:rPr>
  </w:style>
  <w:style w:type="paragraph" w:customStyle="1" w:styleId="660">
    <w:name w:val="xl158"/>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textAlignment w:val="top"/>
    </w:pPr>
    <w:rPr>
      <w:rFonts w:ascii="Arial" w:hAnsi="Arial" w:cs="Arial"/>
      <w:kern w:val="0"/>
      <w:sz w:val="20"/>
    </w:rPr>
  </w:style>
  <w:style w:type="paragraph" w:customStyle="1" w:styleId="661">
    <w:name w:val="xl159"/>
    <w:basedOn w:val="1"/>
    <w:uiPriority w:val="0"/>
    <w:pPr>
      <w:widowControl/>
      <w:shd w:val="clear" w:color="000000" w:fill="DBEEF3"/>
      <w:spacing w:before="100" w:beforeAutospacing="1" w:after="100" w:afterAutospacing="1"/>
      <w:jc w:val="left"/>
      <w:textAlignment w:val="top"/>
    </w:pPr>
    <w:rPr>
      <w:rFonts w:ascii="Arial" w:hAnsi="Arial" w:cs="Arial"/>
      <w:kern w:val="0"/>
      <w:sz w:val="20"/>
    </w:rPr>
  </w:style>
  <w:style w:type="paragraph" w:customStyle="1" w:styleId="662">
    <w:name w:val="xl160"/>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textAlignment w:val="top"/>
    </w:pPr>
    <w:rPr>
      <w:rFonts w:ascii="宋体" w:hAnsi="宋体" w:cs="宋体"/>
      <w:color w:val="000000"/>
      <w:kern w:val="0"/>
      <w:sz w:val="20"/>
    </w:rPr>
  </w:style>
  <w:style w:type="paragraph" w:customStyle="1" w:styleId="663">
    <w:name w:val="xl161"/>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textAlignment w:val="top"/>
    </w:pPr>
    <w:rPr>
      <w:rFonts w:ascii="Arial" w:hAnsi="Arial" w:cs="Arial"/>
      <w:color w:val="000000"/>
      <w:kern w:val="0"/>
      <w:sz w:val="20"/>
    </w:rPr>
  </w:style>
  <w:style w:type="paragraph" w:customStyle="1" w:styleId="664">
    <w:name w:val="xl162"/>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textAlignment w:val="top"/>
    </w:pPr>
    <w:rPr>
      <w:rFonts w:ascii="Arial" w:hAnsi="Arial" w:cs="Arial"/>
      <w:kern w:val="0"/>
      <w:sz w:val="20"/>
    </w:rPr>
  </w:style>
  <w:style w:type="paragraph" w:customStyle="1" w:styleId="665">
    <w:name w:val="xl163"/>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textAlignment w:val="top"/>
    </w:pPr>
    <w:rPr>
      <w:rFonts w:ascii="宋体" w:hAnsi="宋体" w:cs="宋体"/>
      <w:kern w:val="0"/>
      <w:sz w:val="20"/>
    </w:rPr>
  </w:style>
  <w:style w:type="paragraph" w:customStyle="1" w:styleId="666">
    <w:name w:val="xl164"/>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center"/>
      <w:textAlignment w:val="top"/>
    </w:pPr>
    <w:rPr>
      <w:rFonts w:ascii="宋体" w:hAnsi="宋体" w:cs="宋体"/>
      <w:kern w:val="0"/>
      <w:sz w:val="20"/>
    </w:rPr>
  </w:style>
  <w:style w:type="paragraph" w:customStyle="1" w:styleId="667">
    <w:name w:val="xl165"/>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textAlignment w:val="top"/>
    </w:pPr>
    <w:rPr>
      <w:rFonts w:ascii="宋体" w:hAnsi="宋体" w:cs="宋体"/>
      <w:kern w:val="0"/>
      <w:sz w:val="20"/>
    </w:rPr>
  </w:style>
  <w:style w:type="paragraph" w:customStyle="1" w:styleId="668">
    <w:name w:val="xl166"/>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textAlignment w:val="top"/>
    </w:pPr>
    <w:rPr>
      <w:rFonts w:ascii="Arial" w:hAnsi="Arial" w:cs="Arial"/>
      <w:kern w:val="0"/>
      <w:sz w:val="20"/>
    </w:rPr>
  </w:style>
  <w:style w:type="paragraph" w:customStyle="1" w:styleId="669">
    <w:name w:val="xl167"/>
    <w:basedOn w:val="1"/>
    <w:uiPriority w:val="0"/>
    <w:pPr>
      <w:widowControl/>
      <w:pBdr>
        <w:top w:val="single" w:color="auto" w:sz="4" w:space="0"/>
        <w:left w:val="single" w:color="auto" w:sz="4" w:space="0"/>
        <w:bottom w:val="single" w:color="auto" w:sz="4" w:space="0"/>
        <w:right w:val="single" w:color="auto" w:sz="4" w:space="0"/>
      </w:pBdr>
      <w:shd w:val="clear" w:color="000000" w:fill="DBEEF3"/>
      <w:spacing w:before="100" w:beforeAutospacing="1" w:after="100" w:afterAutospacing="1"/>
      <w:jc w:val="left"/>
      <w:textAlignment w:val="top"/>
    </w:pPr>
    <w:rPr>
      <w:rFonts w:ascii="Arial" w:hAnsi="Arial" w:cs="Arial"/>
      <w:color w:val="000000"/>
      <w:kern w:val="0"/>
      <w:sz w:val="20"/>
    </w:rPr>
  </w:style>
  <w:style w:type="paragraph" w:customStyle="1" w:styleId="670">
    <w:name w:val="xl168"/>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top"/>
    </w:pPr>
    <w:rPr>
      <w:rFonts w:ascii="宋体" w:hAnsi="宋体" w:cs="宋体"/>
      <w:kern w:val="0"/>
      <w:sz w:val="20"/>
    </w:rPr>
  </w:style>
  <w:style w:type="paragraph" w:customStyle="1" w:styleId="671">
    <w:name w:val="xl169"/>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rPr>
  </w:style>
  <w:style w:type="paragraph" w:customStyle="1" w:styleId="672">
    <w:name w:val="xl170"/>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rPr>
  </w:style>
  <w:style w:type="paragraph" w:customStyle="1" w:styleId="673">
    <w:name w:val="xl171"/>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rPr>
  </w:style>
  <w:style w:type="paragraph" w:customStyle="1" w:styleId="674">
    <w:name w:val="xl172"/>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top"/>
    </w:pPr>
    <w:rPr>
      <w:rFonts w:ascii="宋体" w:hAnsi="宋体" w:cs="宋体"/>
      <w:kern w:val="0"/>
      <w:sz w:val="20"/>
    </w:rPr>
  </w:style>
  <w:style w:type="paragraph" w:customStyle="1" w:styleId="675">
    <w:name w:val="xl173"/>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top"/>
    </w:pPr>
    <w:rPr>
      <w:rFonts w:ascii="Arial" w:hAnsi="Arial" w:cs="Arial"/>
      <w:color w:val="000000"/>
      <w:kern w:val="0"/>
      <w:sz w:val="20"/>
    </w:rPr>
  </w:style>
  <w:style w:type="paragraph" w:customStyle="1" w:styleId="676">
    <w:name w:val="xl17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top"/>
    </w:pPr>
    <w:rPr>
      <w:rFonts w:ascii="Arial" w:hAnsi="Arial" w:cs="Arial"/>
      <w:color w:val="000000"/>
      <w:kern w:val="0"/>
      <w:sz w:val="20"/>
    </w:rPr>
  </w:style>
  <w:style w:type="paragraph" w:customStyle="1" w:styleId="677">
    <w:name w:val="xl175"/>
    <w:basedOn w:val="1"/>
    <w:uiPriority w:val="0"/>
    <w:pPr>
      <w:widowControl/>
      <w:pBdr>
        <w:top w:val="single" w:color="auto" w:sz="4" w:space="0"/>
        <w:left w:val="single" w:color="auto" w:sz="8" w:space="0"/>
        <w:bottom w:val="single" w:color="auto" w:sz="4" w:space="0"/>
        <w:right w:val="single" w:color="auto" w:sz="4" w:space="0"/>
      </w:pBdr>
      <w:shd w:val="clear" w:color="000000" w:fill="CCCCFF"/>
      <w:spacing w:before="100" w:beforeAutospacing="1" w:after="100" w:afterAutospacing="1"/>
      <w:jc w:val="center"/>
      <w:textAlignment w:val="top"/>
    </w:pPr>
    <w:rPr>
      <w:rFonts w:ascii="Arial" w:hAnsi="Arial" w:cs="Arial"/>
      <w:kern w:val="0"/>
      <w:sz w:val="20"/>
    </w:rPr>
  </w:style>
  <w:style w:type="paragraph" w:customStyle="1" w:styleId="678">
    <w:name w:val="xl176"/>
    <w:basedOn w:val="1"/>
    <w:uiPriority w:val="0"/>
    <w:pPr>
      <w:widowControl/>
      <w:pBdr>
        <w:top w:val="single" w:color="auto" w:sz="4" w:space="0"/>
        <w:left w:val="single" w:color="auto" w:sz="4" w:space="0"/>
        <w:bottom w:val="single" w:color="auto" w:sz="4" w:space="0"/>
        <w:right w:val="single" w:color="auto" w:sz="8" w:space="0"/>
      </w:pBdr>
      <w:shd w:val="clear" w:color="000000" w:fill="CCCCFF"/>
      <w:spacing w:before="100" w:beforeAutospacing="1" w:after="100" w:afterAutospacing="1"/>
      <w:jc w:val="center"/>
      <w:textAlignment w:val="top"/>
    </w:pPr>
    <w:rPr>
      <w:rFonts w:ascii="Arial" w:hAnsi="Arial" w:cs="Arial"/>
      <w:kern w:val="0"/>
      <w:sz w:val="20"/>
    </w:rPr>
  </w:style>
  <w:style w:type="paragraph" w:customStyle="1" w:styleId="679">
    <w:name w:val="xl17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rPr>
  </w:style>
  <w:style w:type="paragraph" w:customStyle="1" w:styleId="680">
    <w:name w:val="xl178"/>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top"/>
    </w:pPr>
    <w:rPr>
      <w:rFonts w:ascii="宋体" w:hAnsi="宋体" w:cs="宋体"/>
      <w:kern w:val="0"/>
      <w:sz w:val="20"/>
    </w:rPr>
  </w:style>
  <w:style w:type="paragraph" w:customStyle="1" w:styleId="681">
    <w:name w:val="xl179"/>
    <w:basedOn w:val="1"/>
    <w:uiPriority w:val="0"/>
    <w:pPr>
      <w:widowControl/>
      <w:pBdr>
        <w:top w:val="single" w:color="auto" w:sz="4" w:space="0"/>
        <w:left w:val="single" w:color="auto" w:sz="8" w:space="0"/>
        <w:bottom w:val="single" w:color="auto" w:sz="4" w:space="0"/>
        <w:right w:val="single" w:color="auto" w:sz="4" w:space="0"/>
      </w:pBdr>
      <w:shd w:val="clear" w:color="000000" w:fill="FFFF00"/>
      <w:spacing w:before="100" w:beforeAutospacing="1" w:after="100" w:afterAutospacing="1"/>
      <w:jc w:val="center"/>
      <w:textAlignment w:val="top"/>
    </w:pPr>
    <w:rPr>
      <w:rFonts w:ascii="Arial" w:hAnsi="Arial" w:cs="Arial"/>
      <w:kern w:val="0"/>
      <w:sz w:val="20"/>
    </w:rPr>
  </w:style>
  <w:style w:type="paragraph" w:customStyle="1" w:styleId="682">
    <w:name w:val="xl180"/>
    <w:basedOn w:val="1"/>
    <w:uiPriority w:val="0"/>
    <w:pPr>
      <w:widowControl/>
      <w:pBdr>
        <w:top w:val="single" w:color="auto" w:sz="4" w:space="0"/>
        <w:left w:val="single" w:color="auto" w:sz="4" w:space="0"/>
        <w:bottom w:val="single" w:color="auto" w:sz="4" w:space="0"/>
        <w:right w:val="single" w:color="auto" w:sz="8" w:space="0"/>
      </w:pBdr>
      <w:shd w:val="clear" w:color="000000" w:fill="FFFF00"/>
      <w:spacing w:before="100" w:beforeAutospacing="1" w:after="100" w:afterAutospacing="1"/>
      <w:jc w:val="center"/>
      <w:textAlignment w:val="top"/>
    </w:pPr>
    <w:rPr>
      <w:rFonts w:ascii="Arial" w:hAnsi="Arial" w:cs="Arial"/>
      <w:kern w:val="0"/>
      <w:sz w:val="20"/>
    </w:rPr>
  </w:style>
  <w:style w:type="paragraph" w:customStyle="1" w:styleId="683">
    <w:name w:val="xl181"/>
    <w:basedOn w:val="1"/>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textAlignment w:val="top"/>
    </w:pPr>
    <w:rPr>
      <w:rFonts w:ascii="Arial" w:hAnsi="Arial" w:cs="Arial"/>
      <w:kern w:val="0"/>
      <w:sz w:val="20"/>
    </w:rPr>
  </w:style>
  <w:style w:type="paragraph" w:customStyle="1" w:styleId="684">
    <w:name w:val="xl182"/>
    <w:basedOn w:val="1"/>
    <w:uiPriority w:val="0"/>
    <w:pPr>
      <w:widowControl/>
      <w:pBdr>
        <w:top w:val="single" w:color="auto" w:sz="4" w:space="0"/>
        <w:left w:val="single" w:color="auto" w:sz="4" w:space="0"/>
        <w:bottom w:val="single" w:color="auto" w:sz="4" w:space="0"/>
        <w:right w:val="single" w:color="auto" w:sz="8" w:space="0"/>
      </w:pBdr>
      <w:shd w:val="clear" w:color="000000" w:fill="CCFFFF"/>
      <w:spacing w:before="100" w:beforeAutospacing="1" w:after="100" w:afterAutospacing="1"/>
      <w:jc w:val="center"/>
      <w:textAlignment w:val="top"/>
    </w:pPr>
    <w:rPr>
      <w:rFonts w:ascii="Arial" w:hAnsi="Arial" w:cs="Arial"/>
      <w:kern w:val="0"/>
      <w:sz w:val="20"/>
    </w:rPr>
  </w:style>
  <w:style w:type="paragraph" w:customStyle="1" w:styleId="685">
    <w:name w:val="xl183"/>
    <w:basedOn w:val="1"/>
    <w:uiPriority w:val="0"/>
    <w:pPr>
      <w:widowControl/>
      <w:pBdr>
        <w:top w:val="single" w:color="auto" w:sz="4" w:space="0"/>
        <w:left w:val="single" w:color="auto" w:sz="4" w:space="0"/>
        <w:bottom w:val="single" w:color="auto" w:sz="4" w:space="0"/>
        <w:right w:val="single" w:color="auto" w:sz="8" w:space="0"/>
      </w:pBdr>
      <w:shd w:val="clear" w:color="000000" w:fill="CCFFFF"/>
      <w:spacing w:before="100" w:beforeAutospacing="1" w:after="100" w:afterAutospacing="1"/>
      <w:jc w:val="left"/>
      <w:textAlignment w:val="top"/>
    </w:pPr>
    <w:rPr>
      <w:rFonts w:ascii="Arial" w:hAnsi="Arial" w:cs="Arial"/>
      <w:kern w:val="0"/>
      <w:sz w:val="20"/>
    </w:rPr>
  </w:style>
  <w:style w:type="paragraph" w:customStyle="1" w:styleId="686">
    <w:name w:val="xl184"/>
    <w:basedOn w:val="1"/>
    <w:uiPriority w:val="0"/>
    <w:pPr>
      <w:widowControl/>
      <w:pBdr>
        <w:top w:val="single" w:color="auto" w:sz="4" w:space="0"/>
        <w:left w:val="single" w:color="auto" w:sz="4" w:space="0"/>
        <w:bottom w:val="single" w:color="auto" w:sz="4" w:space="0"/>
        <w:right w:val="single" w:color="auto" w:sz="8" w:space="0"/>
      </w:pBdr>
      <w:shd w:val="clear" w:color="000000" w:fill="CCFFFF"/>
      <w:spacing w:before="100" w:beforeAutospacing="1" w:after="100" w:afterAutospacing="1"/>
      <w:jc w:val="center"/>
      <w:textAlignment w:val="top"/>
    </w:pPr>
    <w:rPr>
      <w:rFonts w:ascii="Arial" w:hAnsi="Arial" w:cs="Arial"/>
      <w:kern w:val="0"/>
      <w:sz w:val="20"/>
    </w:rPr>
  </w:style>
  <w:style w:type="paragraph" w:customStyle="1" w:styleId="687">
    <w:name w:val="xl185"/>
    <w:basedOn w:val="1"/>
    <w:uiPriority w:val="0"/>
    <w:pPr>
      <w:widowControl/>
      <w:pBdr>
        <w:top w:val="single" w:color="auto" w:sz="4" w:space="0"/>
        <w:left w:val="single" w:color="auto" w:sz="4" w:space="0"/>
        <w:bottom w:val="single" w:color="auto" w:sz="4" w:space="0"/>
        <w:right w:val="single" w:color="auto" w:sz="8" w:space="0"/>
      </w:pBdr>
      <w:shd w:val="clear" w:color="000000" w:fill="CCFFFF"/>
      <w:spacing w:before="100" w:beforeAutospacing="1" w:after="100" w:afterAutospacing="1"/>
      <w:jc w:val="center"/>
      <w:textAlignment w:val="top"/>
    </w:pPr>
    <w:rPr>
      <w:rFonts w:ascii="宋体" w:hAnsi="宋体" w:cs="宋体"/>
      <w:kern w:val="0"/>
      <w:sz w:val="20"/>
    </w:rPr>
  </w:style>
  <w:style w:type="paragraph" w:customStyle="1" w:styleId="688">
    <w:name w:val="xl18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top"/>
    </w:pPr>
    <w:rPr>
      <w:rFonts w:ascii="Arial" w:hAnsi="Arial" w:cs="Arial"/>
      <w:kern w:val="0"/>
      <w:sz w:val="20"/>
    </w:rPr>
  </w:style>
  <w:style w:type="paragraph" w:customStyle="1" w:styleId="689">
    <w:name w:val="xl187"/>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top"/>
    </w:pPr>
    <w:rPr>
      <w:rFonts w:ascii="Arial" w:hAnsi="Arial" w:cs="Arial"/>
      <w:kern w:val="0"/>
      <w:sz w:val="20"/>
    </w:rPr>
  </w:style>
  <w:style w:type="paragraph" w:customStyle="1" w:styleId="690">
    <w:name w:val="xl188"/>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rPr>
  </w:style>
  <w:style w:type="paragraph" w:customStyle="1" w:styleId="691">
    <w:name w:val="xl189"/>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top"/>
    </w:pPr>
    <w:rPr>
      <w:rFonts w:ascii="宋体" w:hAnsi="宋体" w:cs="宋体"/>
      <w:color w:val="000000"/>
      <w:kern w:val="0"/>
      <w:sz w:val="20"/>
    </w:rPr>
  </w:style>
  <w:style w:type="paragraph" w:customStyle="1" w:styleId="692">
    <w:name w:val="xl190"/>
    <w:basedOn w:val="1"/>
    <w:uiPriority w:val="0"/>
    <w:pPr>
      <w:widowControl/>
      <w:pBdr>
        <w:top w:val="single" w:color="auto" w:sz="4" w:space="0"/>
        <w:left w:val="single" w:color="auto" w:sz="8" w:space="0"/>
        <w:bottom w:val="single" w:color="auto" w:sz="4" w:space="0"/>
        <w:right w:val="single" w:color="auto" w:sz="4" w:space="0"/>
      </w:pBdr>
      <w:shd w:val="clear" w:color="000000" w:fill="DBEEF3"/>
      <w:spacing w:before="100" w:beforeAutospacing="1" w:after="100" w:afterAutospacing="1"/>
      <w:jc w:val="center"/>
      <w:textAlignment w:val="top"/>
    </w:pPr>
    <w:rPr>
      <w:rFonts w:ascii="Arial" w:hAnsi="Arial" w:cs="Arial"/>
      <w:kern w:val="0"/>
      <w:sz w:val="20"/>
    </w:rPr>
  </w:style>
  <w:style w:type="paragraph" w:customStyle="1" w:styleId="693">
    <w:name w:val="xl191"/>
    <w:basedOn w:val="1"/>
    <w:uiPriority w:val="0"/>
    <w:pPr>
      <w:widowControl/>
      <w:pBdr>
        <w:top w:val="single" w:color="auto" w:sz="4" w:space="0"/>
        <w:left w:val="single" w:color="auto" w:sz="4" w:space="0"/>
        <w:bottom w:val="single" w:color="auto" w:sz="4" w:space="0"/>
        <w:right w:val="single" w:color="auto" w:sz="8" w:space="0"/>
      </w:pBdr>
      <w:shd w:val="clear" w:color="000000" w:fill="DBEEF3"/>
      <w:spacing w:before="100" w:beforeAutospacing="1" w:after="100" w:afterAutospacing="1"/>
      <w:jc w:val="left"/>
      <w:textAlignment w:val="top"/>
    </w:pPr>
    <w:rPr>
      <w:rFonts w:ascii="宋体" w:hAnsi="宋体" w:cs="宋体"/>
      <w:color w:val="000000"/>
      <w:kern w:val="0"/>
      <w:sz w:val="20"/>
    </w:rPr>
  </w:style>
  <w:style w:type="paragraph" w:customStyle="1" w:styleId="694">
    <w:name w:val="xl192"/>
    <w:basedOn w:val="1"/>
    <w:uiPriority w:val="0"/>
    <w:pPr>
      <w:widowControl/>
      <w:pBdr>
        <w:top w:val="single" w:color="auto" w:sz="4" w:space="0"/>
        <w:left w:val="single" w:color="auto" w:sz="4" w:space="0"/>
        <w:bottom w:val="single" w:color="auto" w:sz="4" w:space="0"/>
        <w:right w:val="single" w:color="auto" w:sz="8" w:space="0"/>
      </w:pBdr>
      <w:shd w:val="clear" w:color="000000" w:fill="DBEEF3"/>
      <w:spacing w:before="100" w:beforeAutospacing="1" w:after="100" w:afterAutospacing="1"/>
      <w:jc w:val="center"/>
      <w:textAlignment w:val="top"/>
    </w:pPr>
    <w:rPr>
      <w:rFonts w:ascii="宋体" w:hAnsi="宋体" w:cs="宋体"/>
      <w:kern w:val="0"/>
      <w:sz w:val="20"/>
    </w:rPr>
  </w:style>
  <w:style w:type="paragraph" w:customStyle="1" w:styleId="695">
    <w:name w:val="xl193"/>
    <w:basedOn w:val="1"/>
    <w:uiPriority w:val="0"/>
    <w:pPr>
      <w:widowControl/>
      <w:pBdr>
        <w:top w:val="single" w:color="auto" w:sz="4" w:space="0"/>
        <w:left w:val="single" w:color="auto" w:sz="4" w:space="0"/>
        <w:bottom w:val="single" w:color="auto" w:sz="4" w:space="0"/>
        <w:right w:val="single" w:color="auto" w:sz="8" w:space="0"/>
      </w:pBdr>
      <w:shd w:val="clear" w:color="000000" w:fill="DBEEF3"/>
      <w:spacing w:before="100" w:beforeAutospacing="1" w:after="100" w:afterAutospacing="1"/>
      <w:jc w:val="center"/>
      <w:textAlignment w:val="top"/>
    </w:pPr>
    <w:rPr>
      <w:rFonts w:ascii="宋体" w:hAnsi="宋体" w:cs="宋体"/>
      <w:kern w:val="0"/>
      <w:sz w:val="20"/>
    </w:rPr>
  </w:style>
  <w:style w:type="paragraph" w:customStyle="1" w:styleId="696">
    <w:name w:val="xl194"/>
    <w:basedOn w:val="1"/>
    <w:uiPriority w:val="0"/>
    <w:pPr>
      <w:widowControl/>
      <w:pBdr>
        <w:top w:val="single" w:color="auto" w:sz="4" w:space="0"/>
        <w:left w:val="single" w:color="auto" w:sz="8" w:space="0"/>
        <w:bottom w:val="single" w:color="auto" w:sz="4" w:space="0"/>
        <w:right w:val="single" w:color="auto" w:sz="4" w:space="0"/>
      </w:pBdr>
      <w:shd w:val="clear" w:color="000000" w:fill="DBEEF3"/>
      <w:spacing w:before="100" w:beforeAutospacing="1" w:after="100" w:afterAutospacing="1"/>
      <w:jc w:val="center"/>
      <w:textAlignment w:val="top"/>
    </w:pPr>
    <w:rPr>
      <w:rFonts w:ascii="Arial" w:hAnsi="Arial" w:cs="Arial"/>
      <w:kern w:val="0"/>
      <w:sz w:val="20"/>
    </w:rPr>
  </w:style>
  <w:style w:type="paragraph" w:customStyle="1" w:styleId="697">
    <w:name w:val="xl195"/>
    <w:basedOn w:val="1"/>
    <w:uiPriority w:val="0"/>
    <w:pPr>
      <w:widowControl/>
      <w:pBdr>
        <w:top w:val="single" w:color="auto" w:sz="4" w:space="0"/>
        <w:left w:val="single" w:color="auto" w:sz="4" w:space="0"/>
        <w:bottom w:val="single" w:color="auto" w:sz="4" w:space="0"/>
        <w:right w:val="single" w:color="auto" w:sz="8" w:space="0"/>
      </w:pBdr>
      <w:shd w:val="clear" w:color="000000" w:fill="DBEEF3"/>
      <w:spacing w:before="100" w:beforeAutospacing="1" w:after="100" w:afterAutospacing="1"/>
      <w:jc w:val="center"/>
      <w:textAlignment w:val="top"/>
    </w:pPr>
    <w:rPr>
      <w:rFonts w:ascii="宋体" w:hAnsi="宋体" w:cs="宋体"/>
      <w:kern w:val="0"/>
      <w:sz w:val="20"/>
    </w:rPr>
  </w:style>
  <w:style w:type="paragraph" w:customStyle="1" w:styleId="698">
    <w:name w:val="xl196"/>
    <w:basedOn w:val="1"/>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top"/>
    </w:pPr>
    <w:rPr>
      <w:rFonts w:ascii="Arial" w:hAnsi="Arial" w:cs="Arial"/>
      <w:kern w:val="0"/>
      <w:sz w:val="20"/>
    </w:rPr>
  </w:style>
  <w:style w:type="paragraph" w:customStyle="1" w:styleId="699">
    <w:name w:val="xl197"/>
    <w:basedOn w:val="1"/>
    <w:uiPriority w:val="0"/>
    <w:pPr>
      <w:widowControl/>
      <w:pBdr>
        <w:top w:val="single" w:color="auto" w:sz="4" w:space="0"/>
        <w:left w:val="single" w:color="auto" w:sz="4" w:space="0"/>
        <w:bottom w:val="single" w:color="auto" w:sz="4" w:space="0"/>
        <w:right w:val="single" w:color="auto" w:sz="8" w:space="0"/>
      </w:pBdr>
      <w:shd w:val="clear" w:color="000000" w:fill="DBEEF3"/>
      <w:spacing w:before="100" w:beforeAutospacing="1" w:after="100" w:afterAutospacing="1"/>
      <w:jc w:val="center"/>
      <w:textAlignment w:val="top"/>
    </w:pPr>
    <w:rPr>
      <w:rFonts w:ascii="宋体" w:hAnsi="宋体" w:cs="宋体"/>
      <w:kern w:val="0"/>
      <w:sz w:val="20"/>
    </w:rPr>
  </w:style>
  <w:style w:type="paragraph" w:customStyle="1" w:styleId="700">
    <w:name w:val="xl198"/>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top"/>
    </w:pPr>
    <w:rPr>
      <w:rFonts w:ascii="Arial" w:hAnsi="Arial" w:cs="Arial"/>
      <w:color w:val="000000"/>
      <w:kern w:val="0"/>
      <w:sz w:val="20"/>
    </w:rPr>
  </w:style>
  <w:style w:type="paragraph" w:customStyle="1" w:styleId="701">
    <w:name w:val="xl199"/>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top"/>
    </w:pPr>
    <w:rPr>
      <w:rFonts w:ascii="Arial" w:hAnsi="Arial" w:cs="Arial"/>
      <w:kern w:val="0"/>
      <w:sz w:val="20"/>
    </w:rPr>
  </w:style>
  <w:style w:type="paragraph" w:customStyle="1" w:styleId="702">
    <w:name w:val="xl20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top"/>
    </w:pPr>
    <w:rPr>
      <w:rFonts w:ascii="Arial" w:hAnsi="Arial" w:cs="Arial"/>
      <w:kern w:val="0"/>
      <w:sz w:val="20"/>
    </w:rPr>
  </w:style>
  <w:style w:type="paragraph" w:customStyle="1" w:styleId="703">
    <w:name w:val="xl20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top"/>
    </w:pPr>
    <w:rPr>
      <w:rFonts w:ascii="宋体" w:hAnsi="宋体" w:cs="宋体"/>
      <w:kern w:val="0"/>
      <w:sz w:val="20"/>
    </w:rPr>
  </w:style>
  <w:style w:type="paragraph" w:customStyle="1" w:styleId="704">
    <w:name w:val="xl202"/>
    <w:basedOn w:val="1"/>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right"/>
      <w:textAlignment w:val="top"/>
    </w:pPr>
    <w:rPr>
      <w:rFonts w:ascii="Arial" w:hAnsi="Arial" w:cs="Arial"/>
      <w:kern w:val="0"/>
      <w:sz w:val="20"/>
    </w:rPr>
  </w:style>
  <w:style w:type="paragraph" w:customStyle="1" w:styleId="705">
    <w:name w:val="xl20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top"/>
    </w:pPr>
    <w:rPr>
      <w:rFonts w:ascii="Arial" w:hAnsi="Arial" w:cs="Arial"/>
      <w:kern w:val="0"/>
      <w:sz w:val="20"/>
    </w:rPr>
  </w:style>
  <w:style w:type="paragraph" w:customStyle="1" w:styleId="706">
    <w:name w:val="xl20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top"/>
    </w:pPr>
    <w:rPr>
      <w:rFonts w:ascii="Arial" w:hAnsi="Arial" w:cs="Arial"/>
      <w:kern w:val="0"/>
      <w:sz w:val="20"/>
    </w:rPr>
  </w:style>
  <w:style w:type="paragraph" w:customStyle="1" w:styleId="707">
    <w:name w:val="xl20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top"/>
    </w:pPr>
    <w:rPr>
      <w:rFonts w:ascii="Arial" w:hAnsi="Arial" w:cs="Arial"/>
      <w:kern w:val="0"/>
      <w:sz w:val="20"/>
    </w:rPr>
  </w:style>
  <w:style w:type="paragraph" w:customStyle="1" w:styleId="708">
    <w:name w:val="xl206"/>
    <w:basedOn w:val="1"/>
    <w:uiPriority w:val="0"/>
    <w:pPr>
      <w:widowControl/>
      <w:pBdr>
        <w:top w:val="single" w:color="auto" w:sz="4" w:space="0"/>
        <w:left w:val="single" w:color="auto" w:sz="8" w:space="0"/>
        <w:bottom w:val="single" w:color="auto" w:sz="4" w:space="0"/>
        <w:right w:val="single" w:color="auto" w:sz="4" w:space="0"/>
      </w:pBdr>
      <w:shd w:val="clear" w:color="000000" w:fill="FFFF99"/>
      <w:spacing w:before="100" w:beforeAutospacing="1" w:after="100" w:afterAutospacing="1"/>
      <w:jc w:val="center"/>
      <w:textAlignment w:val="top"/>
    </w:pPr>
    <w:rPr>
      <w:rFonts w:ascii="Arial" w:hAnsi="Arial" w:cs="Arial"/>
      <w:kern w:val="0"/>
      <w:sz w:val="20"/>
    </w:rPr>
  </w:style>
  <w:style w:type="paragraph" w:customStyle="1" w:styleId="709">
    <w:name w:val="xl207"/>
    <w:basedOn w:val="1"/>
    <w:uiPriority w:val="0"/>
    <w:pPr>
      <w:widowControl/>
      <w:pBdr>
        <w:top w:val="single" w:color="auto" w:sz="4" w:space="0"/>
        <w:left w:val="single" w:color="auto" w:sz="4" w:space="0"/>
        <w:bottom w:val="single" w:color="auto" w:sz="4" w:space="0"/>
        <w:right w:val="single" w:color="auto" w:sz="8" w:space="0"/>
      </w:pBdr>
      <w:shd w:val="clear" w:color="000000" w:fill="FFFF99"/>
      <w:spacing w:before="100" w:beforeAutospacing="1" w:after="100" w:afterAutospacing="1"/>
      <w:jc w:val="center"/>
      <w:textAlignment w:val="top"/>
    </w:pPr>
    <w:rPr>
      <w:rFonts w:ascii="宋体" w:hAnsi="宋体" w:cs="宋体"/>
      <w:kern w:val="0"/>
      <w:sz w:val="20"/>
    </w:rPr>
  </w:style>
  <w:style w:type="paragraph" w:customStyle="1" w:styleId="710">
    <w:name w:val="xl208"/>
    <w:basedOn w:val="1"/>
    <w:uiPriority w:val="0"/>
    <w:pPr>
      <w:widowControl/>
      <w:pBdr>
        <w:top w:val="single" w:color="auto" w:sz="4" w:space="0"/>
        <w:left w:val="single" w:color="auto" w:sz="4" w:space="0"/>
        <w:bottom w:val="single" w:color="auto" w:sz="4" w:space="0"/>
        <w:right w:val="single" w:color="auto" w:sz="8" w:space="0"/>
      </w:pBdr>
      <w:shd w:val="clear" w:color="000000" w:fill="FFFF99"/>
      <w:spacing w:before="100" w:beforeAutospacing="1" w:after="100" w:afterAutospacing="1"/>
      <w:jc w:val="center"/>
      <w:textAlignment w:val="top"/>
    </w:pPr>
    <w:rPr>
      <w:rFonts w:ascii="宋体" w:hAnsi="宋体" w:cs="宋体"/>
      <w:kern w:val="0"/>
      <w:sz w:val="20"/>
    </w:rPr>
  </w:style>
  <w:style w:type="paragraph" w:customStyle="1" w:styleId="711">
    <w:name w:val="xl209"/>
    <w:basedOn w:val="1"/>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712">
    <w:name w:val="xl210"/>
    <w:basedOn w:val="1"/>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textAlignment w:val="top"/>
    </w:pPr>
    <w:rPr>
      <w:rFonts w:ascii="Arial" w:hAnsi="Arial" w:cs="Arial"/>
      <w:kern w:val="0"/>
      <w:sz w:val="20"/>
    </w:rPr>
  </w:style>
  <w:style w:type="paragraph" w:customStyle="1" w:styleId="713">
    <w:name w:val="xl21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top"/>
    </w:pPr>
    <w:rPr>
      <w:rFonts w:ascii="Arial" w:hAnsi="Arial" w:cs="Arial"/>
      <w:kern w:val="0"/>
      <w:sz w:val="20"/>
    </w:rPr>
  </w:style>
  <w:style w:type="paragraph" w:customStyle="1" w:styleId="714">
    <w:name w:val="xl212"/>
    <w:basedOn w:val="1"/>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textAlignment w:val="top"/>
    </w:pPr>
    <w:rPr>
      <w:rFonts w:ascii="Arial" w:hAnsi="Arial" w:cs="Arial"/>
      <w:kern w:val="0"/>
      <w:sz w:val="20"/>
    </w:rPr>
  </w:style>
  <w:style w:type="paragraph" w:customStyle="1" w:styleId="715">
    <w:name w:val="xl21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top"/>
    </w:pPr>
    <w:rPr>
      <w:rFonts w:ascii="Arial" w:hAnsi="Arial" w:cs="Arial"/>
      <w:color w:val="000000"/>
      <w:kern w:val="0"/>
      <w:sz w:val="20"/>
    </w:rPr>
  </w:style>
  <w:style w:type="paragraph" w:customStyle="1" w:styleId="716">
    <w:name w:val="xl21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top"/>
    </w:pPr>
    <w:rPr>
      <w:rFonts w:ascii="Arial" w:hAnsi="Arial" w:cs="Arial"/>
      <w:kern w:val="0"/>
      <w:sz w:val="20"/>
    </w:rPr>
  </w:style>
  <w:style w:type="paragraph" w:customStyle="1" w:styleId="717">
    <w:name w:val="xl21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top"/>
    </w:pPr>
    <w:rPr>
      <w:rFonts w:ascii="Arial" w:hAnsi="Arial" w:cs="Arial"/>
      <w:kern w:val="0"/>
      <w:sz w:val="20"/>
    </w:rPr>
  </w:style>
  <w:style w:type="paragraph" w:customStyle="1" w:styleId="718">
    <w:name w:val="xl21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top"/>
    </w:pPr>
    <w:rPr>
      <w:rFonts w:ascii="宋体" w:hAnsi="宋体" w:cs="宋体"/>
      <w:color w:val="000000"/>
      <w:kern w:val="0"/>
      <w:sz w:val="20"/>
    </w:rPr>
  </w:style>
  <w:style w:type="paragraph" w:customStyle="1" w:styleId="719">
    <w:name w:val="xl217"/>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top"/>
    </w:pPr>
    <w:rPr>
      <w:rFonts w:ascii="宋体" w:hAnsi="宋体" w:cs="宋体"/>
      <w:kern w:val="0"/>
      <w:sz w:val="20"/>
    </w:rPr>
  </w:style>
  <w:style w:type="paragraph" w:customStyle="1" w:styleId="720">
    <w:name w:val="xl218"/>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top"/>
    </w:pPr>
    <w:rPr>
      <w:rFonts w:ascii="Arial" w:hAnsi="Arial" w:cs="Arial"/>
      <w:color w:val="000000"/>
      <w:kern w:val="0"/>
      <w:sz w:val="20"/>
    </w:rPr>
  </w:style>
  <w:style w:type="paragraph" w:customStyle="1" w:styleId="721">
    <w:name w:val="xl21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top"/>
    </w:pPr>
    <w:rPr>
      <w:rFonts w:ascii="宋体" w:hAnsi="宋体" w:cs="宋体"/>
      <w:color w:val="FF0000"/>
      <w:kern w:val="0"/>
      <w:sz w:val="20"/>
    </w:rPr>
  </w:style>
  <w:style w:type="paragraph" w:customStyle="1" w:styleId="722">
    <w:name w:val="xl22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top"/>
    </w:pPr>
    <w:rPr>
      <w:rFonts w:ascii="Arial" w:hAnsi="Arial" w:cs="Arial"/>
      <w:color w:val="000000"/>
      <w:kern w:val="0"/>
      <w:sz w:val="20"/>
    </w:rPr>
  </w:style>
  <w:style w:type="paragraph" w:customStyle="1" w:styleId="723">
    <w:name w:val="xl221"/>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top"/>
    </w:pPr>
    <w:rPr>
      <w:rFonts w:ascii="Arial" w:hAnsi="Arial" w:cs="Arial"/>
      <w:color w:val="000000"/>
      <w:kern w:val="0"/>
      <w:sz w:val="20"/>
    </w:rPr>
  </w:style>
  <w:style w:type="paragraph" w:customStyle="1" w:styleId="724">
    <w:name w:val="xl222"/>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top"/>
    </w:pPr>
    <w:rPr>
      <w:rFonts w:ascii="Arial" w:hAnsi="Arial" w:cs="Arial"/>
      <w:color w:val="000000"/>
      <w:kern w:val="0"/>
      <w:sz w:val="20"/>
    </w:rPr>
  </w:style>
  <w:style w:type="paragraph" w:customStyle="1" w:styleId="725">
    <w:name w:val="xl223"/>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top"/>
    </w:pPr>
    <w:rPr>
      <w:rFonts w:ascii="Arial" w:hAnsi="Arial" w:cs="Arial"/>
      <w:color w:val="FF0000"/>
      <w:kern w:val="0"/>
      <w:sz w:val="20"/>
    </w:rPr>
  </w:style>
  <w:style w:type="paragraph" w:customStyle="1" w:styleId="726">
    <w:name w:val="xl224"/>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top"/>
    </w:pPr>
    <w:rPr>
      <w:rFonts w:ascii="Arial" w:hAnsi="Arial" w:cs="Arial"/>
      <w:color w:val="000000"/>
      <w:kern w:val="0"/>
      <w:sz w:val="20"/>
    </w:rPr>
  </w:style>
  <w:style w:type="paragraph" w:customStyle="1" w:styleId="727">
    <w:name w:val="xl225"/>
    <w:basedOn w:val="1"/>
    <w:uiPriority w:val="0"/>
    <w:pPr>
      <w:widowControl/>
      <w:spacing w:before="100" w:beforeAutospacing="1" w:after="100" w:afterAutospacing="1"/>
      <w:jc w:val="left"/>
      <w:textAlignment w:val="top"/>
    </w:pPr>
    <w:rPr>
      <w:rFonts w:ascii="宋体" w:hAnsi="宋体" w:cs="宋体"/>
      <w:b/>
      <w:bCs/>
      <w:kern w:val="0"/>
      <w:sz w:val="20"/>
    </w:rPr>
  </w:style>
  <w:style w:type="paragraph" w:customStyle="1" w:styleId="728">
    <w:name w:val="xl226"/>
    <w:basedOn w:val="1"/>
    <w:uiPriority w:val="0"/>
    <w:pPr>
      <w:widowControl/>
      <w:spacing w:before="100" w:beforeAutospacing="1" w:after="100" w:afterAutospacing="1"/>
      <w:jc w:val="left"/>
      <w:textAlignment w:val="top"/>
    </w:pPr>
    <w:rPr>
      <w:rFonts w:ascii="Arial" w:hAnsi="Arial" w:cs="Arial"/>
      <w:kern w:val="0"/>
      <w:sz w:val="20"/>
    </w:rPr>
  </w:style>
  <w:style w:type="paragraph" w:customStyle="1" w:styleId="729">
    <w:name w:val="Char Char1 Char"/>
    <w:basedOn w:val="1"/>
    <w:uiPriority w:val="0"/>
    <w:pPr>
      <w:adjustRightInd w:val="0"/>
      <w:spacing w:line="360" w:lineRule="atLeast"/>
      <w:textAlignment w:val="baseline"/>
    </w:pPr>
    <w:rPr>
      <w:rFonts w:ascii="Tahoma" w:hAnsi="Tahoma"/>
      <w:sz w:val="24"/>
    </w:rPr>
  </w:style>
  <w:style w:type="paragraph" w:customStyle="1" w:styleId="730">
    <w:name w:val="Char1 Char Char Char Char Char Char1"/>
    <w:basedOn w:val="1"/>
    <w:uiPriority w:val="0"/>
    <w:rPr>
      <w:szCs w:val="24"/>
    </w:rPr>
  </w:style>
  <w:style w:type="paragraph" w:customStyle="1" w:styleId="731">
    <w:name w:val="Char Char2 Char Char"/>
    <w:basedOn w:val="1"/>
    <w:uiPriority w:val="0"/>
    <w:rPr>
      <w:szCs w:val="21"/>
    </w:rPr>
  </w:style>
  <w:style w:type="paragraph" w:customStyle="1" w:styleId="732">
    <w:name w:val="±íÍ·"/>
    <w:basedOn w:val="1"/>
    <w:uiPriority w:val="0"/>
    <w:pPr>
      <w:tabs>
        <w:tab w:val="left" w:pos="480"/>
      </w:tabs>
      <w:jc w:val="center"/>
    </w:pPr>
    <w:rPr>
      <w:rFonts w:ascii="宋体"/>
      <w:kern w:val="0"/>
    </w:rPr>
  </w:style>
  <w:style w:type="paragraph" w:customStyle="1" w:styleId="733">
    <w:name w:val="Char1 Char Char Char Char Char Char Char Char Char"/>
    <w:basedOn w:val="1"/>
    <w:uiPriority w:val="0"/>
    <w:rPr>
      <w:szCs w:val="21"/>
    </w:rPr>
  </w:style>
  <w:style w:type="character" w:customStyle="1" w:styleId="734">
    <w:name w:val="articlebody21"/>
    <w:uiPriority w:val="0"/>
    <w:rPr>
      <w:sz w:val="21"/>
      <w:szCs w:val="21"/>
    </w:rPr>
  </w:style>
  <w:style w:type="character" w:customStyle="1" w:styleId="735">
    <w:name w:val="正文4"/>
    <w:uiPriority w:val="0"/>
  </w:style>
  <w:style w:type="paragraph" w:customStyle="1" w:styleId="736">
    <w:name w:val="yh"/>
    <w:basedOn w:val="1"/>
    <w:uiPriority w:val="0"/>
    <w:pPr>
      <w:spacing w:afterLines="50" w:line="440" w:lineRule="exact"/>
      <w:ind w:firstLine="200" w:firstLineChars="200"/>
    </w:pPr>
    <w:rPr>
      <w:rFonts w:ascii="宋体" w:hAnsi="宋体"/>
      <w:color w:val="000000"/>
      <w:szCs w:val="18"/>
    </w:rPr>
  </w:style>
  <w:style w:type="paragraph" w:customStyle="1" w:styleId="737">
    <w:name w:val="加黑"/>
    <w:basedOn w:val="1"/>
    <w:uiPriority w:val="0"/>
    <w:pPr>
      <w:spacing w:before="120" w:after="120" w:line="360" w:lineRule="auto"/>
      <w:ind w:firstLine="539"/>
      <w:jc w:val="left"/>
    </w:pPr>
    <w:rPr>
      <w:rFonts w:ascii="宋体"/>
      <w:b/>
      <w:kern w:val="24"/>
      <w:sz w:val="24"/>
      <w:szCs w:val="24"/>
    </w:rPr>
  </w:style>
  <w:style w:type="paragraph" w:customStyle="1" w:styleId="738">
    <w:name w:val="Char Char Char Char Char Char Char Char Char Char"/>
    <w:basedOn w:val="1"/>
    <w:uiPriority w:val="0"/>
    <w:rPr>
      <w:szCs w:val="24"/>
    </w:rPr>
  </w:style>
  <w:style w:type="paragraph" w:customStyle="1" w:styleId="739">
    <w:name w:val="Char1 Char Char Char Char Char1 Char Char Char Char Char Char Char Char Char Char Char Char Char Char Char Char Char Char Char Char Char Char Char Char Char"/>
    <w:basedOn w:val="1"/>
    <w:uiPriority w:val="0"/>
    <w:pPr>
      <w:spacing w:line="360" w:lineRule="auto"/>
    </w:pPr>
    <w:rPr>
      <w:rFonts w:ascii="华文楷体" w:hAnsi="华文楷体" w:eastAsia="华文楷体"/>
      <w:b/>
      <w:sz w:val="24"/>
      <w:szCs w:val="21"/>
    </w:rPr>
  </w:style>
  <w:style w:type="character" w:customStyle="1" w:styleId="740">
    <w:name w:val="不同e"/>
    <w:uiPriority w:val="0"/>
    <w:rPr>
      <w:rFonts w:ascii="宋体" w:hAnsi="宋体" w:eastAsia="宋体" w:cs="Times New Roman"/>
      <w:color w:val="FF0000"/>
      <w:kern w:val="22"/>
      <w:sz w:val="22"/>
    </w:rPr>
  </w:style>
  <w:style w:type="paragraph" w:customStyle="1" w:styleId="741">
    <w:name w:val="我的正文格式"/>
    <w:basedOn w:val="1"/>
    <w:next w:val="1"/>
    <w:uiPriority w:val="0"/>
    <w:pPr>
      <w:snapToGrid w:val="0"/>
      <w:spacing w:line="360" w:lineRule="auto"/>
    </w:pPr>
    <w:rPr>
      <w:kern w:val="16"/>
      <w:sz w:val="24"/>
      <w:szCs w:val="24"/>
    </w:rPr>
  </w:style>
  <w:style w:type="paragraph" w:customStyle="1" w:styleId="742">
    <w:name w:val="Char Char Char Char Char Char"/>
    <w:basedOn w:val="1"/>
    <w:uiPriority w:val="0"/>
    <w:rPr>
      <w:szCs w:val="24"/>
    </w:rPr>
  </w:style>
  <w:style w:type="paragraph" w:customStyle="1" w:styleId="743">
    <w:name w:val="xl34"/>
    <w:basedOn w:val="1"/>
    <w:uiPriority w:val="0"/>
    <w:pPr>
      <w:widowControl/>
      <w:pBdr>
        <w:bottom w:val="single" w:color="auto" w:sz="12" w:space="0"/>
      </w:pBdr>
      <w:spacing w:before="100" w:beforeAutospacing="1" w:after="100" w:afterAutospacing="1"/>
      <w:jc w:val="center"/>
      <w:textAlignment w:val="center"/>
    </w:pPr>
    <w:rPr>
      <w:rFonts w:ascii="宋体" w:hAnsi="宋体"/>
      <w:kern w:val="0"/>
      <w:sz w:val="20"/>
    </w:rPr>
  </w:style>
  <w:style w:type="paragraph" w:customStyle="1" w:styleId="744">
    <w:name w:val="表格内正文"/>
    <w:uiPriority w:val="0"/>
    <w:pPr>
      <w:spacing w:before="20" w:line="180" w:lineRule="atLeast"/>
      <w:jc w:val="center"/>
    </w:pPr>
    <w:rPr>
      <w:rFonts w:ascii="Arial" w:hAnsi="Arial" w:eastAsia="宋体" w:cs="Times New Roman"/>
      <w:sz w:val="24"/>
      <w:lang w:val="en-US" w:eastAsia="zh-CN" w:bidi="ar-SA"/>
    </w:rPr>
  </w:style>
  <w:style w:type="paragraph" w:customStyle="1" w:styleId="745">
    <w:name w:val="xl31"/>
    <w:basedOn w:val="1"/>
    <w:uiPriority w:val="0"/>
    <w:pPr>
      <w:widowControl/>
      <w:pBdr>
        <w:bottom w:val="single" w:color="000000" w:sz="4" w:space="0"/>
        <w:right w:val="single" w:color="000000" w:sz="4" w:space="0"/>
      </w:pBdr>
      <w:spacing w:before="100" w:beforeAutospacing="1" w:after="100" w:afterAutospacing="1"/>
      <w:jc w:val="center"/>
    </w:pPr>
    <w:rPr>
      <w:rFonts w:eastAsia="Arial Unicode MS"/>
      <w:kern w:val="0"/>
      <w:szCs w:val="21"/>
    </w:rPr>
  </w:style>
  <w:style w:type="character" w:customStyle="1" w:styleId="746">
    <w:name w:val="原文22"/>
    <w:uiPriority w:val="0"/>
    <w:rPr>
      <w:rFonts w:ascii="Times New Roman" w:hAnsi="Times New Roman" w:eastAsia="宋体" w:cs="Times New Roman"/>
      <w:color w:val="0000FF"/>
      <w:kern w:val="22"/>
      <w:sz w:val="22"/>
    </w:rPr>
  </w:style>
  <w:style w:type="character" w:customStyle="1" w:styleId="747">
    <w:name w:val="下标e"/>
    <w:uiPriority w:val="0"/>
    <w:rPr>
      <w:rFonts w:ascii="宋体" w:hAnsi="宋体" w:eastAsia="宋体" w:cs="Times New Roman"/>
      <w:color w:val="FF00FF"/>
      <w:kern w:val="22"/>
      <w:sz w:val="22"/>
      <w:vertAlign w:val="subscript"/>
    </w:rPr>
  </w:style>
  <w:style w:type="character" w:customStyle="1" w:styleId="748">
    <w:name w:val="上标e"/>
    <w:uiPriority w:val="0"/>
    <w:rPr>
      <w:rFonts w:ascii="宋体" w:hAnsi="宋体" w:eastAsia="宋体" w:cs="Times New Roman"/>
      <w:color w:val="FF00FF"/>
      <w:kern w:val="22"/>
      <w:sz w:val="22"/>
      <w:vertAlign w:val="superscript"/>
    </w:rPr>
  </w:style>
  <w:style w:type="paragraph" w:customStyle="1" w:styleId="749">
    <w:name w:val="tll"/>
    <w:basedOn w:val="1"/>
    <w:uiPriority w:val="0"/>
    <w:pPr>
      <w:autoSpaceDE w:val="0"/>
      <w:autoSpaceDN w:val="0"/>
      <w:adjustRightInd w:val="0"/>
      <w:jc w:val="left"/>
      <w:textAlignment w:val="baseline"/>
    </w:pPr>
    <w:rPr>
      <w:rFonts w:ascii="仿宋_GB2312" w:hAnsi="Arial" w:eastAsia="仿宋_GB2312"/>
      <w:kern w:val="0"/>
    </w:rPr>
  </w:style>
  <w:style w:type="paragraph" w:customStyle="1" w:styleId="750">
    <w:name w:val="标题2"/>
    <w:basedOn w:val="6"/>
    <w:uiPriority w:val="0"/>
    <w:pPr>
      <w:keepNext/>
      <w:keepLines/>
      <w:widowControl w:val="0"/>
      <w:numPr>
        <w:ilvl w:val="1"/>
        <w:numId w:val="14"/>
      </w:numPr>
      <w:tabs>
        <w:tab w:val="left" w:pos="1418"/>
      </w:tabs>
      <w:snapToGrid/>
      <w:spacing w:line="360" w:lineRule="auto"/>
      <w:jc w:val="both"/>
    </w:pPr>
    <w:rPr>
      <w:b w:val="0"/>
      <w:sz w:val="24"/>
    </w:rPr>
  </w:style>
  <w:style w:type="paragraph" w:customStyle="1" w:styleId="751">
    <w:name w:val="Style1"/>
    <w:basedOn w:val="1"/>
    <w:uiPriority w:val="0"/>
    <w:pPr>
      <w:widowControl/>
      <w:tabs>
        <w:tab w:val="left" w:pos="-720"/>
      </w:tabs>
      <w:spacing w:after="120"/>
    </w:pPr>
    <w:rPr>
      <w:spacing w:val="-3"/>
      <w:kern w:val="0"/>
      <w:sz w:val="24"/>
      <w:lang w:val="en-AU" w:eastAsia="en-US"/>
    </w:rPr>
  </w:style>
  <w:style w:type="paragraph" w:customStyle="1" w:styleId="752">
    <w:name w:val="Jazzy"/>
    <w:uiPriority w:val="0"/>
    <w:pPr>
      <w:overflowPunct w:val="0"/>
      <w:autoSpaceDE w:val="0"/>
      <w:autoSpaceDN w:val="0"/>
      <w:adjustRightInd w:val="0"/>
      <w:spacing w:line="480" w:lineRule="exact"/>
      <w:jc w:val="center"/>
      <w:textAlignment w:val="baseline"/>
    </w:pPr>
    <w:rPr>
      <w:rFonts w:ascii="Times New Roman" w:hAnsi="Times New Roman" w:eastAsia="宋体" w:cs="Times New Roman"/>
      <w:b/>
      <w:sz w:val="24"/>
      <w:lang w:val="en-US" w:eastAsia="zh-CN" w:bidi="ar-SA"/>
    </w:rPr>
  </w:style>
  <w:style w:type="paragraph" w:customStyle="1" w:styleId="753">
    <w:name w:val="Fliestext/Aufz."/>
    <w:basedOn w:val="1"/>
    <w:uiPriority w:val="0"/>
    <w:pPr>
      <w:widowControl/>
      <w:overflowPunct w:val="0"/>
      <w:autoSpaceDE w:val="0"/>
      <w:autoSpaceDN w:val="0"/>
      <w:adjustRightInd w:val="0"/>
      <w:spacing w:after="120"/>
      <w:textAlignment w:val="baseline"/>
    </w:pPr>
    <w:rPr>
      <w:rFonts w:ascii="Arial" w:hAnsi="Arial" w:eastAsia="MS Mincho"/>
      <w:kern w:val="0"/>
      <w:sz w:val="22"/>
      <w:lang w:val="de-DE" w:eastAsia="ja-JP"/>
    </w:rPr>
  </w:style>
  <w:style w:type="paragraph" w:customStyle="1" w:styleId="754">
    <w:name w:val="正文报告"/>
    <w:basedOn w:val="1"/>
    <w:uiPriority w:val="0"/>
    <w:pPr>
      <w:tabs>
        <w:tab w:val="left" w:pos="510"/>
      </w:tabs>
      <w:adjustRightInd w:val="0"/>
      <w:spacing w:line="460" w:lineRule="exact"/>
      <w:ind w:firstLine="482"/>
      <w:jc w:val="left"/>
      <w:textAlignment w:val="baseline"/>
    </w:pPr>
    <w:rPr>
      <w:kern w:val="0"/>
      <w:sz w:val="15"/>
    </w:rPr>
  </w:style>
  <w:style w:type="paragraph" w:customStyle="1" w:styleId="755">
    <w:name w:val="文章标题"/>
    <w:basedOn w:val="1"/>
    <w:next w:val="20"/>
    <w:uiPriority w:val="0"/>
    <w:pPr>
      <w:spacing w:line="480" w:lineRule="auto"/>
      <w:jc w:val="center"/>
    </w:pPr>
    <w:rPr>
      <w:rFonts w:ascii="Tahoma" w:hAnsi="Tahoma"/>
      <w:b/>
      <w:sz w:val="15"/>
    </w:rPr>
  </w:style>
  <w:style w:type="paragraph" w:customStyle="1" w:styleId="756">
    <w:name w:val="Char Char Char Char Char Char Char Char Char1"/>
    <w:basedOn w:val="1"/>
    <w:uiPriority w:val="0"/>
    <w:pPr>
      <w:spacing w:line="360" w:lineRule="auto"/>
      <w:ind w:firstLine="200" w:firstLineChars="200"/>
    </w:pPr>
    <w:rPr>
      <w:rFonts w:ascii="宋体" w:hAnsi="宋体" w:cs="宋体"/>
      <w:sz w:val="24"/>
      <w:szCs w:val="24"/>
    </w:rPr>
  </w:style>
  <w:style w:type="paragraph" w:customStyle="1" w:styleId="757">
    <w:name w:val="表"/>
    <w:basedOn w:val="1"/>
    <w:uiPriority w:val="0"/>
    <w:pPr>
      <w:widowControl/>
      <w:jc w:val="center"/>
    </w:pPr>
    <w:rPr>
      <w:rFonts w:ascii="Arial" w:hAnsi="Arial"/>
      <w:szCs w:val="21"/>
    </w:rPr>
  </w:style>
  <w:style w:type="paragraph" w:customStyle="1" w:styleId="758">
    <w:name w:val="表题"/>
    <w:basedOn w:val="1"/>
    <w:next w:val="1"/>
    <w:uiPriority w:val="0"/>
    <w:pPr>
      <w:widowControl/>
      <w:spacing w:line="360" w:lineRule="auto"/>
    </w:pPr>
    <w:rPr>
      <w:rFonts w:ascii="黑体" w:eastAsia="黑体"/>
      <w:szCs w:val="21"/>
    </w:rPr>
  </w:style>
  <w:style w:type="character" w:customStyle="1" w:styleId="759">
    <w:name w:val="black0001"/>
    <w:uiPriority w:val="0"/>
    <w:rPr>
      <w:rFonts w:cs="Times New Roman"/>
      <w:b/>
      <w:bCs/>
      <w:color w:val="000000"/>
      <w:sz w:val="24"/>
      <w:szCs w:val="24"/>
    </w:rPr>
  </w:style>
  <w:style w:type="paragraph" w:customStyle="1" w:styleId="760">
    <w:name w:val="封面标准号2"/>
    <w:basedOn w:val="1"/>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rPr>
  </w:style>
  <w:style w:type="paragraph" w:customStyle="1" w:styleId="761">
    <w:name w:val="a"/>
    <w:basedOn w:val="1"/>
    <w:uiPriority w:val="0"/>
    <w:pPr>
      <w:adjustRightInd w:val="0"/>
      <w:spacing w:before="60" w:after="60" w:line="315" w:lineRule="atLeast"/>
      <w:jc w:val="left"/>
      <w:textAlignment w:val="baseline"/>
    </w:pPr>
    <w:rPr>
      <w:rFonts w:ascii="宋体"/>
      <w:kern w:val="0"/>
      <w:sz w:val="24"/>
    </w:rPr>
  </w:style>
  <w:style w:type="paragraph" w:customStyle="1" w:styleId="762">
    <w:name w:val="简单回函地址"/>
    <w:basedOn w:val="1"/>
    <w:uiPriority w:val="0"/>
    <w:pPr>
      <w:spacing w:line="360" w:lineRule="auto"/>
    </w:pPr>
  </w:style>
  <w:style w:type="paragraph" w:customStyle="1" w:styleId="763">
    <w:name w:val="tj"/>
    <w:basedOn w:val="113"/>
    <w:uiPriority w:val="0"/>
    <w:pPr>
      <w:tabs>
        <w:tab w:val="clear" w:pos="900"/>
        <w:tab w:val="clear" w:pos="1134"/>
      </w:tabs>
      <w:autoSpaceDE w:val="0"/>
      <w:autoSpaceDN w:val="0"/>
      <w:snapToGrid/>
      <w:spacing w:beforeLines="0" w:afterLines="0" w:line="360" w:lineRule="atLeast"/>
      <w:ind w:left="0" w:leftChars="0" w:right="170" w:rightChars="0"/>
      <w:textAlignment w:val="auto"/>
    </w:pPr>
    <w:rPr>
      <w:rFonts w:ascii="宋体" w:hAnsi="Times New Roman"/>
    </w:rPr>
  </w:style>
  <w:style w:type="paragraph" w:customStyle="1" w:styleId="764">
    <w:name w:val="Char Char 字元 字元 字元 Char Char Char Char Char Char Char"/>
    <w:basedOn w:val="1"/>
    <w:uiPriority w:val="0"/>
    <w:pPr>
      <w:adjustRightInd w:val="0"/>
      <w:spacing w:line="360" w:lineRule="auto"/>
    </w:pPr>
    <w:rPr>
      <w:kern w:val="0"/>
      <w:sz w:val="24"/>
    </w:rPr>
  </w:style>
  <w:style w:type="paragraph" w:customStyle="1" w:styleId="765">
    <w:name w:val="Char Char Char Char1"/>
    <w:basedOn w:val="1"/>
    <w:uiPriority w:val="0"/>
    <w:rPr>
      <w:szCs w:val="24"/>
    </w:rPr>
  </w:style>
  <w:style w:type="table" w:customStyle="1" w:styleId="766">
    <w:name w:val="网格型1"/>
    <w:basedOn w:val="71"/>
    <w:uiPriority w:val="0"/>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7">
    <w:name w:val="表样式"/>
    <w:basedOn w:val="1"/>
    <w:uiPriority w:val="0"/>
    <w:pPr>
      <w:autoSpaceDE w:val="0"/>
      <w:autoSpaceDN w:val="0"/>
      <w:adjustRightInd w:val="0"/>
      <w:spacing w:beforeLines="25" w:afterLines="25"/>
      <w:jc w:val="left"/>
    </w:pPr>
    <w:rPr>
      <w:rFonts w:ascii="Arial Narrow" w:hAnsi="Arial Narrow"/>
      <w:kern w:val="0"/>
      <w:sz w:val="18"/>
      <w:szCs w:val="24"/>
    </w:rPr>
  </w:style>
  <w:style w:type="paragraph" w:customStyle="1" w:styleId="768">
    <w:name w:val="正文(五号)"/>
    <w:basedOn w:val="1"/>
    <w:uiPriority w:val="0"/>
    <w:pPr>
      <w:widowControl/>
      <w:tabs>
        <w:tab w:val="left" w:pos="480"/>
      </w:tabs>
      <w:autoSpaceDE w:val="0"/>
      <w:autoSpaceDN w:val="0"/>
      <w:adjustRightInd w:val="0"/>
      <w:snapToGrid w:val="0"/>
      <w:spacing w:beforeLines="25" w:afterLines="25" w:line="288" w:lineRule="auto"/>
      <w:textAlignment w:val="bottom"/>
    </w:pPr>
    <w:rPr>
      <w:rFonts w:ascii="黑体" w:hAnsi="宋体" w:eastAsia="黑体"/>
      <w:b/>
      <w:bCs/>
      <w:kern w:val="0"/>
      <w:szCs w:val="21"/>
    </w:rPr>
  </w:style>
  <w:style w:type="paragraph" w:customStyle="1" w:styleId="769">
    <w:name w:val="列出段落2"/>
    <w:basedOn w:val="1"/>
    <w:qFormat/>
    <w:uiPriority w:val="34"/>
    <w:pPr>
      <w:spacing w:beforeLines="25" w:afterLines="25" w:line="400" w:lineRule="exact"/>
      <w:ind w:firstLine="420" w:firstLineChars="200"/>
    </w:pPr>
    <w:rPr>
      <w:rFonts w:ascii="Calibri" w:hAnsi="Calibri"/>
      <w:bCs/>
      <w:sz w:val="24"/>
      <w:szCs w:val="22"/>
    </w:rPr>
  </w:style>
  <w:style w:type="paragraph" w:customStyle="1" w:styleId="770">
    <w:name w:val="cs10 additive Default Pa"/>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771">
    <w:name w:val="表格题注"/>
    <w:basedOn w:val="1"/>
    <w:uiPriority w:val="0"/>
    <w:pPr>
      <w:keepLines/>
      <w:autoSpaceDE w:val="0"/>
      <w:autoSpaceDN w:val="0"/>
      <w:adjustRightInd w:val="0"/>
      <w:spacing w:beforeLines="25" w:afterLines="25"/>
      <w:ind w:left="1701"/>
      <w:jc w:val="center"/>
    </w:pPr>
    <w:rPr>
      <w:rFonts w:ascii="Arial" w:hAnsi="Arial"/>
      <w:kern w:val="0"/>
      <w:sz w:val="18"/>
      <w:szCs w:val="24"/>
    </w:rPr>
  </w:style>
  <w:style w:type="paragraph" w:customStyle="1" w:styleId="772">
    <w:name w:val="正表头"/>
    <w:basedOn w:val="1"/>
    <w:uiPriority w:val="0"/>
    <w:pPr>
      <w:widowControl/>
      <w:tabs>
        <w:tab w:val="left" w:pos="480"/>
      </w:tabs>
      <w:autoSpaceDE w:val="0"/>
      <w:autoSpaceDN w:val="0"/>
      <w:adjustRightInd w:val="0"/>
      <w:spacing w:beforeLines="25" w:afterLines="25"/>
      <w:jc w:val="center"/>
      <w:textAlignment w:val="bottom"/>
    </w:pPr>
    <w:rPr>
      <w:rFonts w:ascii="宋体"/>
      <w:kern w:val="0"/>
    </w:rPr>
  </w:style>
  <w:style w:type="paragraph" w:customStyle="1" w:styleId="773">
    <w:name w:val="HTML 预先格式化"/>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afterLines="25"/>
      <w:jc w:val="left"/>
    </w:pPr>
    <w:rPr>
      <w:rFonts w:ascii="黑体" w:hAnsi="Courier New" w:eastAsia="黑体"/>
      <w:kern w:val="0"/>
      <w:sz w:val="20"/>
    </w:rPr>
  </w:style>
  <w:style w:type="character" w:customStyle="1" w:styleId="774">
    <w:name w:val="标准 Char"/>
    <w:uiPriority w:val="0"/>
    <w:rPr>
      <w:rFonts w:ascii="宋体" w:eastAsia="宋体" w:cs="宋体"/>
      <w:kern w:val="2"/>
      <w:sz w:val="24"/>
      <w:szCs w:val="24"/>
      <w:lang w:val="zh-CN" w:eastAsia="zh-CN" w:bidi="ar-SA"/>
    </w:rPr>
  </w:style>
  <w:style w:type="character" w:customStyle="1" w:styleId="775">
    <w:name w:val="样式 标题 4 +1 Char Char"/>
    <w:uiPriority w:val="0"/>
    <w:rPr>
      <w:rFonts w:ascii="宋体" w:hAnsi="宋体" w:eastAsia="宋体"/>
      <w:bCs/>
      <w:kern w:val="2"/>
      <w:sz w:val="24"/>
      <w:szCs w:val="24"/>
      <w:lang w:val="en-US" w:eastAsia="zh-CN" w:bidi="ar-SA"/>
    </w:rPr>
  </w:style>
  <w:style w:type="character" w:customStyle="1" w:styleId="776">
    <w:name w:val="表内小字 Char Char"/>
    <w:uiPriority w:val="0"/>
    <w:rPr>
      <w:rFonts w:ascii="宋体" w:eastAsia="宋体"/>
      <w:kern w:val="2"/>
      <w:sz w:val="18"/>
      <w:szCs w:val="18"/>
      <w:lang w:val="en-US" w:eastAsia="zh-CN" w:bidi="ar-SA"/>
    </w:rPr>
  </w:style>
  <w:style w:type="character" w:customStyle="1" w:styleId="777">
    <w:name w:val="表名 Char Char"/>
    <w:uiPriority w:val="0"/>
    <w:rPr>
      <w:rFonts w:ascii="宋体" w:eastAsia="宋体"/>
      <w:kern w:val="2"/>
      <w:sz w:val="24"/>
      <w:szCs w:val="24"/>
      <w:lang w:val="en-US" w:eastAsia="zh-CN" w:bidi="ar-SA"/>
    </w:rPr>
  </w:style>
  <w:style w:type="character" w:customStyle="1" w:styleId="778">
    <w:name w:val="Book Title"/>
    <w:qFormat/>
    <w:uiPriority w:val="33"/>
    <w:rPr>
      <w:rFonts w:ascii="Cambria" w:hAnsi="Cambria" w:eastAsia="宋体" w:cs="Times New Roman"/>
      <w:b/>
      <w:bCs/>
      <w:i/>
      <w:iCs/>
      <w:color w:val="auto"/>
    </w:rPr>
  </w:style>
  <w:style w:type="character" w:customStyle="1" w:styleId="779">
    <w:name w:val="10"/>
    <w:uiPriority w:val="0"/>
    <w:rPr>
      <w:rFonts w:hint="default" w:ascii="Calibri" w:hAnsi="Calibri" w:cs="Calibri"/>
    </w:rPr>
  </w:style>
  <w:style w:type="character" w:customStyle="1" w:styleId="780">
    <w:name w:val="15"/>
    <w:uiPriority w:val="0"/>
    <w:rPr>
      <w:rFonts w:hint="default" w:ascii="Calibri" w:hAnsi="Calibri" w:cs="Calibri"/>
    </w:rPr>
  </w:style>
  <w:style w:type="character" w:customStyle="1" w:styleId="781">
    <w:name w:val="16"/>
    <w:uiPriority w:val="0"/>
    <w:rPr>
      <w:rFonts w:hint="default" w:ascii="Calibri" w:hAnsi="Calibri" w:cs="Calibri"/>
      <w:sz w:val="21"/>
      <w:szCs w:val="21"/>
    </w:rPr>
  </w:style>
  <w:style w:type="paragraph" w:customStyle="1" w:styleId="782">
    <w:name w:val="列出段落3"/>
    <w:basedOn w:val="1"/>
    <w:uiPriority w:val="0"/>
    <w:pPr>
      <w:adjustRightInd w:val="0"/>
      <w:spacing w:line="360" w:lineRule="atLeast"/>
      <w:ind w:firstLine="420" w:firstLineChars="200"/>
      <w:textAlignment w:val="baseline"/>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46579-8ABE-40BB-9FB0-E51AC5980971}">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67</Pages>
  <Words>7556</Words>
  <Characters>43071</Characters>
  <Lines>358</Lines>
  <Paragraphs>101</Paragraphs>
  <TotalTime>9513</TotalTime>
  <ScaleCrop>false</ScaleCrop>
  <LinksUpToDate>false</LinksUpToDate>
  <CharactersWithSpaces>50526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2023-06-09T07:27:00Z</dcterms:created>
  <dc:creator>benbenhou</dc:creator>
  <cp:lastModifiedBy>支佩</cp:lastModifiedBy>
  <cp:lastPrinted>2019-04-03T07:39:00Z</cp:lastPrinted>
  <dcterms:modified xsi:type="dcterms:W3CDTF">2023-08-23T03:20:58Z</dcterms:modified>
  <dc:title>涪江干流梯级渠化双江航电枢纽工程励磁系统及其附属设备采购</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D84AD041F4DF4D3F833F733EB2FD180D</vt:lpwstr>
  </property>
</Properties>
</file>