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both"/>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snapToGrid w:val="0"/>
        <w:spacing w:line="360" w:lineRule="auto"/>
        <w:jc w:val="center"/>
        <w:rPr>
          <w:rFonts w:ascii="黑体" w:eastAsia="黑体"/>
          <w:color w:val="000000" w:themeColor="text1"/>
          <w:sz w:val="48"/>
          <w:lang w:eastAsia="zh-CN"/>
          <w14:textFill>
            <w14:solidFill>
              <w14:schemeClr w14:val="tx1"/>
            </w14:solidFill>
          </w14:textFill>
        </w:rPr>
      </w:pPr>
      <w:r>
        <w:rPr>
          <w:rFonts w:hint="eastAsia" w:ascii="黑体" w:eastAsia="黑体"/>
          <w:color w:val="000000" w:themeColor="text1"/>
          <w:sz w:val="48"/>
          <w:lang w:eastAsia="zh-CN"/>
          <w14:textFill>
            <w14:solidFill>
              <w14:schemeClr w14:val="tx1"/>
            </w14:solidFill>
          </w14:textFill>
        </w:rPr>
        <w:t>涪江干流梯级渠化双江航电枢纽工程</w:t>
      </w:r>
    </w:p>
    <w:p>
      <w:pPr>
        <w:autoSpaceDE w:val="0"/>
        <w:autoSpaceDN w:val="0"/>
        <w:adjustRightInd w:val="0"/>
        <w:spacing w:line="360" w:lineRule="auto"/>
        <w:jc w:val="center"/>
        <w:rPr>
          <w:rFonts w:ascii="Times New Roman" w:hAnsi="Times New Roman" w:eastAsia="方正小标宋_GBK" w:cs="Times New Roman"/>
          <w:color w:val="FF0000"/>
          <w:sz w:val="20"/>
          <w:szCs w:val="20"/>
          <w:lang w:eastAsia="zh-CN"/>
        </w:rPr>
      </w:pPr>
      <w:r>
        <w:rPr>
          <w:rFonts w:hint="eastAsia" w:ascii="黑体" w:eastAsia="黑体"/>
          <w:color w:val="000000" w:themeColor="text1"/>
          <w:sz w:val="48"/>
          <w:lang w:eastAsia="zh-CN"/>
          <w14:textFill>
            <w14:solidFill>
              <w14:schemeClr w14:val="tx1"/>
            </w14:solidFill>
          </w14:textFill>
        </w:rPr>
        <w:t>直流系统及其附属设备采购</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r>
        <w:rPr>
          <w:rFonts w:hint="eastAsia" w:ascii="Times New Roman" w:hAnsi="Times New Roman" w:eastAsia="方正小标宋_GBK" w:cs="Times New Roman"/>
          <w:sz w:val="36"/>
          <w:szCs w:val="36"/>
          <w:lang w:eastAsia="zh-CN"/>
        </w:rPr>
        <w:t>询价人：重庆双江航运发展有限公司</w:t>
      </w:r>
    </w:p>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NumType w:start="1"/>
          <w:cols w:space="720" w:num="1"/>
          <w:docGrid w:linePitch="299" w:charSpace="0"/>
        </w:sectPr>
      </w:pPr>
      <w:r>
        <w:rPr>
          <w:rFonts w:hint="eastAsia" w:ascii="Times New Roman" w:hAnsi="Times New Roman" w:eastAsia="方正小标宋_GBK" w:cs="Times New Roman"/>
          <w:bCs/>
          <w:sz w:val="32"/>
          <w:szCs w:val="32"/>
          <w:lang w:eastAsia="zh-CN"/>
        </w:rPr>
        <w:t>2023</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9</w:t>
      </w:r>
      <w:r>
        <w:rPr>
          <w:rFonts w:ascii="Times New Roman" w:hAnsi="Times New Roman" w:eastAsia="方正小标宋_GBK" w:cs="Times New Roman"/>
          <w:bCs/>
          <w:sz w:val="32"/>
          <w:szCs w:val="32"/>
          <w:lang w:val="zh-CN" w:eastAsia="zh-CN"/>
        </w:rPr>
        <w:t>月</w:t>
      </w:r>
    </w:p>
    <w:sdt>
      <w:sdtPr>
        <w:rPr>
          <w:rFonts w:hint="eastAsia" w:ascii="仿宋" w:hAnsi="仿宋" w:eastAsia="仿宋" w:cs="仿宋"/>
          <w:b w:val="0"/>
          <w:bCs w:val="0"/>
          <w:color w:val="auto"/>
          <w:sz w:val="24"/>
          <w:szCs w:val="24"/>
          <w:lang w:val="zh-CN" w:eastAsia="en-US"/>
        </w:rPr>
        <w:id w:val="-1379861479"/>
      </w:sdtPr>
      <w:sdtEndPr>
        <w:rPr>
          <w:rFonts w:hint="eastAsia" w:ascii="仿宋" w:hAnsi="仿宋" w:eastAsia="仿宋" w:cs="仿宋"/>
          <w:b w:val="0"/>
          <w:bCs w:val="0"/>
          <w:color w:val="auto"/>
          <w:sz w:val="24"/>
          <w:szCs w:val="24"/>
          <w:lang w:val="zh-CN" w:eastAsia="en-US"/>
        </w:rPr>
      </w:sdtEndPr>
      <w:sdtContent>
        <w:p>
          <w:pPr>
            <w:pStyle w:val="81"/>
            <w:jc w:val="center"/>
            <w:rPr>
              <w:rFonts w:ascii="仿宋" w:hAnsi="仿宋" w:eastAsia="仿宋" w:cs="仿宋"/>
              <w:b w:val="0"/>
              <w:bCs w:val="0"/>
              <w:color w:val="auto"/>
              <w:sz w:val="24"/>
              <w:szCs w:val="24"/>
              <w:lang w:val="zh-CN"/>
            </w:rPr>
          </w:pPr>
          <w:r>
            <w:rPr>
              <w:rFonts w:hint="eastAsia" w:ascii="仿宋" w:hAnsi="仿宋" w:eastAsia="仿宋" w:cs="仿宋"/>
              <w:color w:val="auto"/>
              <w:sz w:val="24"/>
              <w:szCs w:val="24"/>
              <w:lang w:val="zh-CN"/>
            </w:rPr>
            <w:t>目录</w:t>
          </w:r>
        </w:p>
        <w:p>
          <w:pPr>
            <w:pStyle w:val="29"/>
            <w:tabs>
              <w:tab w:val="right" w:leader="dot" w:pos="9064"/>
            </w:tabs>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fldChar w:fldCharType="begin"/>
          </w:r>
          <w:r>
            <w:instrText xml:space="preserve"> HYPERLINK \l "_Toc13760" </w:instrText>
          </w:r>
          <w:r>
            <w:fldChar w:fldCharType="separate"/>
          </w:r>
          <w:r>
            <w:rPr>
              <w:rFonts w:hint="eastAsia" w:ascii="黑体" w:hAnsi="黑体" w:eastAsia="黑体" w:cs="黑体"/>
              <w:bCs/>
              <w:sz w:val="24"/>
              <w:szCs w:val="24"/>
              <w:lang w:val="zh-CN" w:eastAsia="zh-CN"/>
            </w:rPr>
            <w:t>第一章 询价公告</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_Toc13760 \h </w:instrText>
          </w:r>
          <w:r>
            <w:rPr>
              <w:rFonts w:hint="eastAsia" w:ascii="黑体" w:hAnsi="黑体" w:eastAsia="黑体" w:cs="黑体"/>
              <w:sz w:val="24"/>
              <w:szCs w:val="24"/>
            </w:rPr>
            <w:fldChar w:fldCharType="separate"/>
          </w:r>
          <w:r>
            <w:rPr>
              <w:rFonts w:hint="eastAsia" w:ascii="黑体" w:hAnsi="黑体" w:eastAsia="黑体" w:cs="黑体"/>
              <w:sz w:val="24"/>
              <w:szCs w:val="24"/>
            </w:rPr>
            <w:t>3</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"_Toc17963" </w:instrText>
          </w:r>
          <w:r>
            <w:fldChar w:fldCharType="separate"/>
          </w:r>
          <w:r>
            <w:rPr>
              <w:rFonts w:hint="eastAsia" w:ascii="仿宋" w:hAnsi="仿宋" w:eastAsia="仿宋" w:cs="仿宋"/>
              <w:sz w:val="24"/>
              <w:szCs w:val="24"/>
              <w:lang w:eastAsia="zh-CN"/>
            </w:rPr>
            <w:t>1.询价条件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_Toc17963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"_Toc30567" </w:instrText>
          </w:r>
          <w:r>
            <w:fldChar w:fldCharType="separate"/>
          </w:r>
          <w:r>
            <w:rPr>
              <w:rFonts w:hint="eastAsia" w:ascii="仿宋" w:hAnsi="仿宋" w:eastAsia="仿宋" w:cs="仿宋"/>
              <w:sz w:val="24"/>
              <w:szCs w:val="24"/>
              <w:lang w:eastAsia="zh-CN"/>
            </w:rPr>
            <w:t>2.项目概况与工作范围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_Toc30567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"_Toc8682" </w:instrText>
          </w:r>
          <w:r>
            <w:fldChar w:fldCharType="separate"/>
          </w:r>
          <w:r>
            <w:rPr>
              <w:rFonts w:hint="eastAsia" w:ascii="仿宋" w:hAnsi="仿宋" w:eastAsia="仿宋" w:cs="仿宋"/>
              <w:sz w:val="24"/>
              <w:szCs w:val="24"/>
              <w:lang w:eastAsia="zh-CN"/>
            </w:rPr>
            <w:t>3.报价人资格要求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_Toc8682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"_Toc30379" </w:instrText>
          </w:r>
          <w:r>
            <w:fldChar w:fldCharType="separate"/>
          </w:r>
          <w:r>
            <w:rPr>
              <w:rFonts w:hint="eastAsia" w:ascii="仿宋" w:hAnsi="仿宋" w:eastAsia="仿宋" w:cs="仿宋"/>
              <w:sz w:val="24"/>
              <w:szCs w:val="24"/>
              <w:lang w:eastAsia="zh-CN"/>
            </w:rPr>
            <w:t>4. 报价文件的递交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_Toc30379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"_Toc3769" </w:instrText>
          </w:r>
          <w:r>
            <w:fldChar w:fldCharType="separate"/>
          </w:r>
          <w:r>
            <w:rPr>
              <w:rFonts w:hint="eastAsia" w:ascii="仿宋" w:hAnsi="仿宋" w:eastAsia="仿宋" w:cs="仿宋"/>
              <w:sz w:val="24"/>
              <w:szCs w:val="24"/>
              <w:lang w:eastAsia="zh-CN"/>
            </w:rPr>
            <w:t>5.发布公告的媒介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_Toc3769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9"/>
            <w:tabs>
              <w:tab w:val="right" w:leader="dot" w:pos="9064"/>
            </w:tabs>
            <w:rPr>
              <w:rFonts w:ascii="黑体" w:hAnsi="黑体" w:eastAsia="黑体" w:cs="黑体"/>
              <w:sz w:val="24"/>
              <w:szCs w:val="24"/>
            </w:rPr>
          </w:pPr>
          <w:r>
            <w:fldChar w:fldCharType="begin"/>
          </w:r>
          <w:r>
            <w:instrText xml:space="preserve"> HYPERLINK \l "_Toc2577" </w:instrText>
          </w:r>
          <w:r>
            <w:fldChar w:fldCharType="separate"/>
          </w:r>
          <w:r>
            <w:rPr>
              <w:rFonts w:hint="eastAsia" w:ascii="黑体" w:hAnsi="黑体" w:eastAsia="黑体" w:cs="黑体"/>
              <w:bCs/>
              <w:sz w:val="24"/>
              <w:szCs w:val="24"/>
              <w:lang w:val="zh-CN" w:eastAsia="zh-CN"/>
            </w:rPr>
            <w:t>第二章 报价文件要求与评审办法</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_Toc2577 \h </w:instrText>
          </w:r>
          <w:r>
            <w:rPr>
              <w:rFonts w:hint="eastAsia" w:ascii="黑体" w:hAnsi="黑体" w:eastAsia="黑体" w:cs="黑体"/>
              <w:sz w:val="24"/>
              <w:szCs w:val="24"/>
            </w:rPr>
            <w:fldChar w:fldCharType="separate"/>
          </w:r>
          <w:r>
            <w:rPr>
              <w:rFonts w:hint="eastAsia" w:ascii="黑体" w:hAnsi="黑体" w:eastAsia="黑体" w:cs="黑体"/>
              <w:sz w:val="24"/>
              <w:szCs w:val="24"/>
            </w:rPr>
            <w:t>6</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29"/>
            <w:tabs>
              <w:tab w:val="right" w:leader="dot" w:pos="9064"/>
            </w:tabs>
            <w:rPr>
              <w:rFonts w:ascii="仿宋" w:hAnsi="仿宋" w:eastAsia="仿宋" w:cs="仿宋"/>
              <w:sz w:val="24"/>
              <w:szCs w:val="24"/>
            </w:rPr>
          </w:pPr>
          <w:r>
            <w:fldChar w:fldCharType="begin"/>
          </w:r>
          <w:r>
            <w:instrText xml:space="preserve"> HYPERLINK \l "_Toc15704" </w:instrText>
          </w:r>
          <w:r>
            <w:fldChar w:fldCharType="separate"/>
          </w:r>
          <w:r>
            <w:rPr>
              <w:rFonts w:hint="eastAsia" w:ascii="黑体" w:hAnsi="黑体" w:eastAsia="黑体" w:cs="黑体"/>
              <w:bCs/>
              <w:sz w:val="24"/>
              <w:szCs w:val="24"/>
              <w:lang w:val="zh-CN" w:eastAsia="zh-CN"/>
            </w:rPr>
            <w:t>第三章 合同条款</w:t>
          </w:r>
          <w:r>
            <w:rPr>
              <w:rFonts w:hint="eastAsia" w:ascii="黑体" w:hAnsi="黑体" w:eastAsia="黑体" w:cs="黑体"/>
              <w:bCs/>
              <w:sz w:val="24"/>
              <w:szCs w:val="24"/>
              <w:lang w:eastAsia="zh-CN"/>
            </w:rPr>
            <w:t>及格式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_Toc15704 \h </w:instrText>
          </w:r>
          <w:r>
            <w:rPr>
              <w:rFonts w:hint="eastAsia" w:ascii="黑体" w:hAnsi="黑体" w:eastAsia="黑体" w:cs="黑体"/>
              <w:sz w:val="24"/>
              <w:szCs w:val="24"/>
            </w:rPr>
            <w:fldChar w:fldCharType="separate"/>
          </w:r>
          <w:r>
            <w:rPr>
              <w:rFonts w:hint="eastAsia" w:ascii="黑体" w:hAnsi="黑体" w:eastAsia="黑体" w:cs="黑体"/>
              <w:sz w:val="24"/>
              <w:szCs w:val="24"/>
            </w:rPr>
            <w:t>7</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"_Toc19342" </w:instrText>
          </w:r>
          <w:r>
            <w:fldChar w:fldCharType="separate"/>
          </w:r>
          <w:r>
            <w:rPr>
              <w:rFonts w:hint="eastAsia" w:ascii="仿宋" w:hAnsi="仿宋" w:eastAsia="仿宋" w:cs="仿宋"/>
              <w:sz w:val="24"/>
              <w:szCs w:val="24"/>
            </w:rPr>
            <w:t>第一节 通用合同条款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_Toc19342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"_Toc9024" </w:instrText>
          </w:r>
          <w:r>
            <w:fldChar w:fldCharType="separate"/>
          </w:r>
          <w:r>
            <w:rPr>
              <w:rFonts w:hint="eastAsia" w:ascii="仿宋" w:hAnsi="仿宋" w:eastAsia="仿宋" w:cs="仿宋"/>
              <w:sz w:val="24"/>
              <w:szCs w:val="24"/>
            </w:rPr>
            <w:t>1.一般约定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_Toc9024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"_Toc14554" </w:instrText>
          </w:r>
          <w:r>
            <w:fldChar w:fldCharType="separate"/>
          </w:r>
          <w:r>
            <w:rPr>
              <w:rFonts w:hint="eastAsia" w:ascii="仿宋" w:hAnsi="仿宋" w:eastAsia="仿宋" w:cs="仿宋"/>
              <w:sz w:val="24"/>
              <w:szCs w:val="24"/>
            </w:rPr>
            <w:t>2.合同范围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_Toc14554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"_Toc30442" </w:instrText>
          </w:r>
          <w:r>
            <w:fldChar w:fldCharType="separate"/>
          </w:r>
          <w:r>
            <w:rPr>
              <w:rFonts w:hint="eastAsia" w:ascii="仿宋" w:hAnsi="仿宋" w:eastAsia="仿宋" w:cs="仿宋"/>
              <w:sz w:val="24"/>
              <w:szCs w:val="24"/>
            </w:rPr>
            <w:t>3.合同价格与支付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_Toc30442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"_Toc335" </w:instrText>
          </w:r>
          <w:r>
            <w:fldChar w:fldCharType="separate"/>
          </w:r>
          <w:r>
            <w:rPr>
              <w:rFonts w:hint="eastAsia" w:ascii="仿宋" w:hAnsi="仿宋" w:eastAsia="仿宋" w:cs="仿宋"/>
              <w:sz w:val="24"/>
              <w:szCs w:val="24"/>
            </w:rPr>
            <w:t>4.监造及交货前检验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_Toc335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"_Toc4308" </w:instrText>
          </w:r>
          <w:r>
            <w:fldChar w:fldCharType="separate"/>
          </w:r>
          <w:r>
            <w:rPr>
              <w:rFonts w:hint="eastAsia" w:ascii="仿宋" w:hAnsi="仿宋" w:eastAsia="仿宋" w:cs="仿宋"/>
              <w:sz w:val="24"/>
              <w:szCs w:val="24"/>
            </w:rPr>
            <w:t>5.包装、标记、运输和交付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_Toc4308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"_Toc8410" </w:instrText>
          </w:r>
          <w:r>
            <w:fldChar w:fldCharType="separate"/>
          </w:r>
          <w:r>
            <w:rPr>
              <w:rFonts w:hint="eastAsia" w:ascii="仿宋" w:hAnsi="仿宋" w:eastAsia="仿宋" w:cs="仿宋"/>
              <w:sz w:val="24"/>
              <w:szCs w:val="24"/>
            </w:rPr>
            <w:t>6.开箱检验、安装、调试、考核、验收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_Toc8410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"_Toc5364" </w:instrText>
          </w:r>
          <w:r>
            <w:fldChar w:fldCharType="separate"/>
          </w:r>
          <w:r>
            <w:rPr>
              <w:rFonts w:hint="eastAsia" w:ascii="仿宋" w:hAnsi="仿宋" w:eastAsia="仿宋" w:cs="仿宋"/>
              <w:sz w:val="24"/>
              <w:szCs w:val="24"/>
            </w:rPr>
            <w:t>7.技术服务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_Toc5364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"_Toc27736" </w:instrText>
          </w:r>
          <w:r>
            <w:fldChar w:fldCharType="separate"/>
          </w:r>
          <w:r>
            <w:rPr>
              <w:rFonts w:hint="eastAsia" w:ascii="仿宋" w:hAnsi="仿宋" w:eastAsia="仿宋" w:cs="仿宋"/>
              <w:sz w:val="24"/>
              <w:szCs w:val="24"/>
            </w:rPr>
            <w:t>8.质量保证期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_Toc27736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"_Toc17554" </w:instrText>
          </w:r>
          <w:r>
            <w:fldChar w:fldCharType="separate"/>
          </w:r>
          <w:r>
            <w:rPr>
              <w:rFonts w:hint="eastAsia" w:ascii="仿宋" w:hAnsi="仿宋" w:eastAsia="仿宋" w:cs="仿宋"/>
              <w:sz w:val="24"/>
              <w:szCs w:val="24"/>
            </w:rPr>
            <w:t>9.质保期服务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_Toc17554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"_Toc21398" </w:instrText>
          </w:r>
          <w:r>
            <w:fldChar w:fldCharType="separate"/>
          </w:r>
          <w:r>
            <w:rPr>
              <w:rFonts w:hint="eastAsia" w:ascii="仿宋" w:hAnsi="仿宋" w:eastAsia="仿宋" w:cs="仿宋"/>
              <w:sz w:val="24"/>
              <w:szCs w:val="24"/>
            </w:rPr>
            <w:t>10.履约保证金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_Toc21398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"_Toc15955" </w:instrText>
          </w:r>
          <w:r>
            <w:fldChar w:fldCharType="separate"/>
          </w:r>
          <w:r>
            <w:rPr>
              <w:rFonts w:hint="eastAsia" w:ascii="仿宋" w:hAnsi="仿宋" w:eastAsia="仿宋" w:cs="仿宋"/>
              <w:sz w:val="24"/>
              <w:szCs w:val="24"/>
            </w:rPr>
            <w:t>11.保证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_Toc15955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"_Toc26927" </w:instrText>
          </w:r>
          <w:r>
            <w:fldChar w:fldCharType="separate"/>
          </w:r>
          <w:r>
            <w:rPr>
              <w:rFonts w:hint="eastAsia" w:ascii="仿宋" w:hAnsi="仿宋" w:eastAsia="仿宋" w:cs="仿宋"/>
              <w:sz w:val="24"/>
              <w:szCs w:val="24"/>
            </w:rPr>
            <w:t>12.知识产权</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_Toc26927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"_Toc20500" </w:instrText>
          </w:r>
          <w:r>
            <w:fldChar w:fldCharType="separate"/>
          </w:r>
          <w:r>
            <w:rPr>
              <w:rFonts w:hint="eastAsia" w:ascii="仿宋" w:hAnsi="仿宋" w:eastAsia="仿宋" w:cs="仿宋"/>
              <w:sz w:val="24"/>
              <w:szCs w:val="24"/>
            </w:rPr>
            <w:t>13.保密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_Toc20500 \h </w:instrText>
          </w:r>
          <w:r>
            <w:rPr>
              <w:rFonts w:hint="eastAsia" w:ascii="仿宋" w:hAnsi="仿宋" w:eastAsia="仿宋" w:cs="仿宋"/>
              <w:sz w:val="24"/>
              <w:szCs w:val="24"/>
            </w:rPr>
            <w:fldChar w:fldCharType="separate"/>
          </w:r>
          <w:r>
            <w:rPr>
              <w:rFonts w:hint="eastAsia" w:ascii="仿宋" w:hAnsi="仿宋" w:eastAsia="仿宋" w:cs="仿宋"/>
              <w:sz w:val="24"/>
              <w:szCs w:val="24"/>
            </w:rPr>
            <w:t>21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"_Toc10985" </w:instrText>
          </w:r>
          <w:r>
            <w:fldChar w:fldCharType="separate"/>
          </w:r>
          <w:r>
            <w:rPr>
              <w:rFonts w:hint="eastAsia" w:ascii="仿宋" w:hAnsi="仿宋" w:eastAsia="仿宋" w:cs="仿宋"/>
              <w:sz w:val="24"/>
              <w:szCs w:val="24"/>
            </w:rPr>
            <w:t>14.违约责任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_Toc10985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"_Toc23049" </w:instrText>
          </w:r>
          <w:r>
            <w:fldChar w:fldCharType="separate"/>
          </w:r>
          <w:r>
            <w:rPr>
              <w:rFonts w:hint="eastAsia" w:ascii="仿宋" w:hAnsi="仿宋" w:eastAsia="仿宋" w:cs="仿宋"/>
              <w:sz w:val="24"/>
              <w:szCs w:val="24"/>
            </w:rPr>
            <w:t>15.合同的解除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_Toc23049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"_Toc829" </w:instrText>
          </w:r>
          <w:r>
            <w:fldChar w:fldCharType="separate"/>
          </w:r>
          <w:r>
            <w:rPr>
              <w:rFonts w:hint="eastAsia" w:ascii="仿宋" w:hAnsi="仿宋" w:eastAsia="仿宋" w:cs="仿宋"/>
              <w:sz w:val="24"/>
              <w:szCs w:val="24"/>
            </w:rPr>
            <w:t>16.不可抗力</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_Toc829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"_Toc17303" </w:instrText>
          </w:r>
          <w:r>
            <w:fldChar w:fldCharType="separate"/>
          </w:r>
          <w:r>
            <w:rPr>
              <w:rFonts w:hint="eastAsia" w:ascii="仿宋" w:hAnsi="仿宋" w:eastAsia="仿宋" w:cs="仿宋"/>
              <w:sz w:val="24"/>
              <w:szCs w:val="24"/>
            </w:rPr>
            <w:t>17.争议的解决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_Toc17303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"_Toc28573" </w:instrText>
          </w:r>
          <w:r>
            <w:fldChar w:fldCharType="separate"/>
          </w:r>
          <w:r>
            <w:rPr>
              <w:rFonts w:hint="eastAsia" w:ascii="仿宋" w:hAnsi="仿宋" w:eastAsia="仿宋" w:cs="仿宋"/>
              <w:sz w:val="24"/>
              <w:szCs w:val="24"/>
            </w:rPr>
            <w:t>第二节专用合同条款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_Toc28573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"_Toc377" </w:instrText>
          </w:r>
          <w:r>
            <w:fldChar w:fldCharType="separate"/>
          </w:r>
          <w:r>
            <w:rPr>
              <w:rFonts w:hint="eastAsia" w:ascii="仿宋" w:hAnsi="仿宋" w:eastAsia="仿宋" w:cs="仿宋"/>
              <w:sz w:val="24"/>
              <w:szCs w:val="24"/>
              <w:lang w:eastAsia="zh-CN"/>
            </w:rPr>
            <w:t>1.一般约定</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_Toc377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"_Toc12936" </w:instrText>
          </w:r>
          <w:r>
            <w:fldChar w:fldCharType="separate"/>
          </w:r>
          <w:r>
            <w:rPr>
              <w:rFonts w:hint="eastAsia" w:ascii="仿宋" w:hAnsi="仿宋" w:eastAsia="仿宋" w:cs="仿宋"/>
              <w:sz w:val="24"/>
              <w:szCs w:val="24"/>
              <w:lang w:val="zh-CN" w:eastAsia="zh-CN"/>
            </w:rPr>
            <w:t>2.合同范围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_Toc12936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"_Toc12837" </w:instrText>
          </w:r>
          <w:r>
            <w:fldChar w:fldCharType="separate"/>
          </w:r>
          <w:r>
            <w:rPr>
              <w:rFonts w:hint="eastAsia" w:ascii="仿宋" w:hAnsi="仿宋" w:eastAsia="仿宋" w:cs="仿宋"/>
              <w:sz w:val="24"/>
              <w:szCs w:val="24"/>
            </w:rPr>
            <w:t>3.</w:t>
          </w:r>
          <w:r>
            <w:rPr>
              <w:rFonts w:hint="eastAsia" w:ascii="仿宋" w:hAnsi="仿宋" w:eastAsia="仿宋" w:cs="仿宋"/>
              <w:sz w:val="24"/>
              <w:szCs w:val="24"/>
              <w:lang w:val="zh-CN"/>
            </w:rPr>
            <w:t>合同价格与支付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_Toc12837 \h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"_Toc26337" </w:instrText>
          </w:r>
          <w:r>
            <w:fldChar w:fldCharType="separate"/>
          </w:r>
          <w:r>
            <w:rPr>
              <w:rFonts w:hint="eastAsia" w:ascii="仿宋" w:hAnsi="仿宋" w:eastAsia="仿宋" w:cs="仿宋"/>
              <w:sz w:val="24"/>
              <w:szCs w:val="24"/>
              <w:lang w:val="zh-CN" w:eastAsia="zh-CN"/>
            </w:rPr>
            <w:t>4.监造及交货前检验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_Toc26337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"_Toc10791" </w:instrText>
          </w:r>
          <w:r>
            <w:fldChar w:fldCharType="separate"/>
          </w:r>
          <w:r>
            <w:rPr>
              <w:rFonts w:hint="eastAsia" w:ascii="仿宋" w:hAnsi="仿宋" w:eastAsia="仿宋" w:cs="仿宋"/>
              <w:sz w:val="24"/>
              <w:szCs w:val="24"/>
              <w:lang w:val="zh-CN" w:eastAsia="zh-CN"/>
            </w:rPr>
            <w:t>5.包装、标记、运输和交付</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_Toc10791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"_Toc1872" </w:instrText>
          </w:r>
          <w:r>
            <w:fldChar w:fldCharType="separate"/>
          </w:r>
          <w:r>
            <w:rPr>
              <w:rFonts w:hint="eastAsia" w:ascii="仿宋" w:hAnsi="仿宋" w:eastAsia="仿宋" w:cs="仿宋"/>
              <w:sz w:val="24"/>
              <w:szCs w:val="24"/>
              <w:lang w:val="zh-CN" w:eastAsia="zh-CN"/>
            </w:rPr>
            <w:t>6.考核、验收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_Toc1872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"_Toc22675" </w:instrText>
          </w:r>
          <w:r>
            <w:fldChar w:fldCharType="separate"/>
          </w:r>
          <w:r>
            <w:rPr>
              <w:rFonts w:hint="eastAsia" w:ascii="仿宋" w:hAnsi="仿宋" w:eastAsia="仿宋" w:cs="仿宋"/>
              <w:sz w:val="24"/>
              <w:szCs w:val="24"/>
              <w:lang w:val="zh-CN" w:eastAsia="zh-CN"/>
            </w:rPr>
            <w:t>7. 技术服务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_Toc22675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"_Toc20867" </w:instrText>
          </w:r>
          <w:r>
            <w:fldChar w:fldCharType="separate"/>
          </w:r>
          <w:r>
            <w:rPr>
              <w:rFonts w:hint="eastAsia" w:ascii="仿宋" w:hAnsi="仿宋" w:eastAsia="仿宋" w:cs="仿宋"/>
              <w:sz w:val="24"/>
              <w:szCs w:val="24"/>
              <w:lang w:val="zh-CN" w:eastAsia="zh-CN"/>
            </w:rPr>
            <w:t>8.质量保证期</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_Toc20867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"_Toc27575" </w:instrText>
          </w:r>
          <w:r>
            <w:fldChar w:fldCharType="separate"/>
          </w:r>
          <w:r>
            <w:rPr>
              <w:rFonts w:hint="eastAsia" w:ascii="仿宋" w:hAnsi="仿宋" w:eastAsia="仿宋" w:cs="仿宋"/>
              <w:sz w:val="24"/>
              <w:szCs w:val="24"/>
              <w:lang w:val="zh-CN" w:eastAsia="zh-CN"/>
            </w:rPr>
            <w:t>9. 质保期服务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_Toc27575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"_Toc27773" </w:instrText>
          </w:r>
          <w:r>
            <w:fldChar w:fldCharType="separate"/>
          </w:r>
          <w:r>
            <w:rPr>
              <w:rFonts w:hint="eastAsia" w:ascii="仿宋" w:hAnsi="仿宋" w:eastAsia="仿宋" w:cs="仿宋"/>
              <w:sz w:val="24"/>
              <w:szCs w:val="24"/>
              <w:lang w:val="zh-CN" w:eastAsia="zh-CN"/>
            </w:rPr>
            <w:t>10. 履约保证金</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_Toc27773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"_Toc12889" </w:instrText>
          </w:r>
          <w:r>
            <w:fldChar w:fldCharType="separate"/>
          </w:r>
          <w:r>
            <w:rPr>
              <w:rFonts w:hint="eastAsia" w:ascii="仿宋" w:hAnsi="仿宋" w:eastAsia="仿宋" w:cs="仿宋"/>
              <w:sz w:val="24"/>
              <w:szCs w:val="24"/>
              <w:lang w:val="zh-CN" w:eastAsia="zh-CN"/>
            </w:rPr>
            <w:t>11.保证</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_Toc12889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"_Toc15546" </w:instrText>
          </w:r>
          <w:r>
            <w:fldChar w:fldCharType="separate"/>
          </w:r>
          <w:r>
            <w:rPr>
              <w:rFonts w:hint="eastAsia" w:ascii="仿宋" w:hAnsi="仿宋" w:eastAsia="仿宋" w:cs="仿宋"/>
              <w:sz w:val="24"/>
              <w:szCs w:val="24"/>
              <w:lang w:val="zh-CN" w:eastAsia="zh-CN"/>
            </w:rPr>
            <w:t>14.违约责任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_Toc15546 \h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"_Toc16681" </w:instrText>
          </w:r>
          <w:r>
            <w:fldChar w:fldCharType="separate"/>
          </w:r>
          <w:r>
            <w:rPr>
              <w:rFonts w:hint="eastAsia" w:ascii="仿宋" w:hAnsi="仿宋" w:eastAsia="仿宋" w:cs="仿宋"/>
              <w:sz w:val="24"/>
              <w:szCs w:val="24"/>
              <w:lang w:val="zh-CN" w:eastAsia="zh-CN"/>
            </w:rPr>
            <w:t>17.争议的解决</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_Toc16681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"_Toc25812" </w:instrText>
          </w:r>
          <w:r>
            <w:fldChar w:fldCharType="separate"/>
          </w:r>
          <w:r>
            <w:rPr>
              <w:rFonts w:hint="eastAsia" w:ascii="仿宋" w:hAnsi="仿宋" w:eastAsia="仿宋" w:cs="仿宋"/>
              <w:sz w:val="24"/>
              <w:szCs w:val="24"/>
              <w:lang w:val="zh-CN" w:eastAsia="zh-CN"/>
            </w:rPr>
            <w:t>18.索赔</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_Toc25812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"_Toc21471" </w:instrText>
          </w:r>
          <w:r>
            <w:fldChar w:fldCharType="separate"/>
          </w:r>
          <w:r>
            <w:rPr>
              <w:rFonts w:hint="eastAsia" w:ascii="仿宋" w:hAnsi="仿宋" w:eastAsia="仿宋" w:cs="仿宋"/>
              <w:sz w:val="24"/>
              <w:szCs w:val="24"/>
              <w:lang w:val="zh-CN" w:eastAsia="zh-CN"/>
            </w:rPr>
            <w:t>19.税费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_Toc21471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r>
            <w:fldChar w:fldCharType="begin"/>
          </w:r>
          <w:r>
            <w:instrText xml:space="preserve"> HYPERLINK \l "_Toc29128" </w:instrText>
          </w:r>
          <w:r>
            <w:fldChar w:fldCharType="separate"/>
          </w:r>
          <w:r>
            <w:rPr>
              <w:rFonts w:hint="eastAsia" w:ascii="仿宋" w:hAnsi="仿宋" w:eastAsia="仿宋" w:cs="仿宋"/>
              <w:sz w:val="24"/>
              <w:szCs w:val="24"/>
              <w:lang w:val="zh-CN" w:eastAsia="zh-CN"/>
            </w:rPr>
            <w:t>20.保险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_Toc29128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"_Toc11102" </w:instrText>
          </w:r>
          <w:r>
            <w:fldChar w:fldCharType="separate"/>
          </w:r>
          <w:r>
            <w:rPr>
              <w:rFonts w:hint="eastAsia" w:ascii="仿宋" w:hAnsi="仿宋" w:eastAsia="仿宋" w:cs="仿宋"/>
              <w:sz w:val="24"/>
              <w:szCs w:val="24"/>
            </w:rPr>
            <w:t>第三节 合同附件格式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_Toc11102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"_Toc1881" </w:instrText>
          </w:r>
          <w:r>
            <w:fldChar w:fldCharType="separate"/>
          </w:r>
          <w:r>
            <w:rPr>
              <w:rFonts w:hint="eastAsia" w:ascii="仿宋" w:hAnsi="仿宋" w:eastAsia="仿宋" w:cs="仿宋"/>
              <w:sz w:val="24"/>
              <w:szCs w:val="24"/>
            </w:rPr>
            <w:t>附件一：合同协议书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_Toc1881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rPr>
              <w:rFonts w:ascii="仿宋" w:hAnsi="仿宋" w:eastAsia="仿宋" w:cs="仿宋"/>
              <w:sz w:val="24"/>
              <w:szCs w:val="24"/>
            </w:rPr>
          </w:pPr>
        </w:p>
        <w:p>
          <w:pPr>
            <w:pStyle w:val="35"/>
            <w:tabs>
              <w:tab w:val="right" w:leader="dot" w:pos="9064"/>
            </w:tabs>
            <w:rPr>
              <w:rFonts w:ascii="仿宋" w:hAnsi="仿宋" w:eastAsia="仿宋" w:cs="仿宋"/>
              <w:sz w:val="24"/>
              <w:szCs w:val="24"/>
            </w:rPr>
          </w:pPr>
          <w:r>
            <w:fldChar w:fldCharType="begin"/>
          </w:r>
          <w:r>
            <w:instrText xml:space="preserve"> HYPERLINK \l "_Toc2081" </w:instrText>
          </w:r>
          <w:r>
            <w:fldChar w:fldCharType="separate"/>
          </w:r>
          <w:r>
            <w:rPr>
              <w:rFonts w:hint="eastAsia" w:ascii="仿宋" w:hAnsi="仿宋" w:eastAsia="仿宋" w:cs="仿宋"/>
              <w:sz w:val="24"/>
              <w:szCs w:val="24"/>
            </w:rPr>
            <w:t>附件二：履约保函格式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_Toc2081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"_Toc13003" </w:instrText>
          </w:r>
          <w:r>
            <w:fldChar w:fldCharType="separate"/>
          </w:r>
          <w:r>
            <w:rPr>
              <w:rFonts w:hint="eastAsia" w:ascii="仿宋" w:hAnsi="仿宋" w:eastAsia="仿宋" w:cs="仿宋"/>
              <w:sz w:val="24"/>
              <w:szCs w:val="24"/>
              <w:lang w:eastAsia="zh-CN"/>
            </w:rPr>
            <w:t>附件三：廉政合同格式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_Toc13003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0"/>
            <w:tabs>
              <w:tab w:val="right" w:leader="dot" w:pos="9064"/>
            </w:tabs>
            <w:ind w:left="0"/>
            <w:rPr>
              <w:rFonts w:ascii="仿宋" w:hAnsi="仿宋" w:eastAsia="仿宋" w:cs="仿宋"/>
              <w:sz w:val="24"/>
              <w:szCs w:val="24"/>
            </w:rPr>
          </w:pPr>
        </w:p>
        <w:p>
          <w:pPr>
            <w:pStyle w:val="29"/>
            <w:tabs>
              <w:tab w:val="right" w:leader="dot" w:pos="9064"/>
            </w:tabs>
            <w:rPr>
              <w:rFonts w:ascii="黑体" w:hAnsi="黑体" w:eastAsia="黑体" w:cs="黑体"/>
              <w:sz w:val="24"/>
              <w:szCs w:val="24"/>
            </w:rPr>
          </w:pPr>
          <w:r>
            <w:rPr>
              <w:rFonts w:hint="eastAsia" w:ascii="黑体" w:hAnsi="黑体" w:eastAsia="黑体" w:cs="黑体"/>
              <w:bCs/>
              <w:sz w:val="24"/>
              <w:szCs w:val="24"/>
              <w:lang w:val="zh-CN"/>
            </w:rPr>
            <w:fldChar w:fldCharType="begin"/>
          </w:r>
          <w:r>
            <w:rPr>
              <w:rFonts w:ascii="黑体" w:hAnsi="黑体" w:eastAsia="黑体" w:cs="黑体"/>
              <w:bCs/>
              <w:sz w:val="24"/>
              <w:szCs w:val="24"/>
              <w:lang w:val="zh-CN"/>
            </w:rPr>
            <w:instrText xml:space="preserve"> HYPERLINK \l _Toc2528 </w:instrText>
          </w:r>
          <w:r>
            <w:rPr>
              <w:rFonts w:hint="eastAsia" w:ascii="黑体" w:hAnsi="黑体" w:eastAsia="黑体" w:cs="黑体"/>
              <w:bCs/>
              <w:sz w:val="24"/>
              <w:szCs w:val="24"/>
              <w:lang w:val="zh-CN"/>
            </w:rPr>
            <w:fldChar w:fldCharType="separate"/>
          </w:r>
          <w:r>
            <w:rPr>
              <w:rFonts w:hint="eastAsia" w:ascii="黑体" w:hAnsi="黑体" w:eastAsia="黑体" w:cs="黑体"/>
              <w:bCs/>
              <w:sz w:val="24"/>
              <w:szCs w:val="24"/>
              <w:lang w:val="zh-CN" w:eastAsia="zh-CN"/>
            </w:rPr>
            <w:t>第四章</w:t>
          </w:r>
          <w:r>
            <w:rPr>
              <w:rFonts w:ascii="黑体" w:hAnsi="黑体" w:eastAsia="黑体" w:cs="黑体"/>
              <w:bCs/>
              <w:sz w:val="24"/>
              <w:szCs w:val="24"/>
              <w:lang w:eastAsia="zh-CN"/>
            </w:rPr>
            <w:t xml:space="preserve"> </w:t>
          </w:r>
          <w:r>
            <w:rPr>
              <w:rFonts w:hint="eastAsia" w:ascii="黑体" w:hAnsi="黑体" w:eastAsia="黑体" w:cs="黑体"/>
              <w:bCs/>
              <w:sz w:val="24"/>
              <w:szCs w:val="24"/>
              <w:lang w:val="zh-CN" w:eastAsia="zh-CN"/>
            </w:rPr>
            <w:t>报价文件格式</w:t>
          </w:r>
          <w:r>
            <w:rPr>
              <w:rFonts w:ascii="黑体" w:hAnsi="黑体" w:eastAsia="黑体" w:cs="黑体"/>
              <w:sz w:val="24"/>
              <w:szCs w:val="24"/>
            </w:rPr>
            <w:tab/>
          </w:r>
          <w:r>
            <w:rPr>
              <w:rFonts w:hint="eastAsia" w:ascii="黑体" w:hAnsi="黑体" w:eastAsia="黑体" w:cs="黑体"/>
              <w:sz w:val="24"/>
              <w:szCs w:val="24"/>
            </w:rPr>
            <w:fldChar w:fldCharType="begin"/>
          </w:r>
          <w:r>
            <w:rPr>
              <w:rFonts w:ascii="黑体" w:hAnsi="黑体" w:eastAsia="黑体" w:cs="黑体"/>
              <w:sz w:val="24"/>
              <w:szCs w:val="24"/>
            </w:rPr>
            <w:instrText xml:space="preserve"> PAGEREF _Toc2528 \h </w:instrText>
          </w:r>
          <w:r>
            <w:rPr>
              <w:rFonts w:hint="eastAsia" w:ascii="黑体" w:hAnsi="黑体" w:eastAsia="黑体" w:cs="黑体"/>
              <w:sz w:val="24"/>
              <w:szCs w:val="24"/>
            </w:rPr>
            <w:fldChar w:fldCharType="separate"/>
          </w:r>
          <w:r>
            <w:rPr>
              <w:rFonts w:ascii="黑体" w:hAnsi="黑体" w:eastAsia="黑体" w:cs="黑体"/>
              <w:sz w:val="24"/>
              <w:szCs w:val="24"/>
            </w:rPr>
            <w:t>43</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"_Toc29942" </w:instrText>
          </w:r>
          <w:r>
            <w:fldChar w:fldCharType="separate"/>
          </w:r>
          <w:r>
            <w:rPr>
              <w:rFonts w:hint="eastAsia" w:ascii="仿宋" w:hAnsi="仿宋" w:eastAsia="仿宋" w:cs="仿宋"/>
              <w:sz w:val="24"/>
              <w:szCs w:val="24"/>
            </w:rPr>
            <w:t>一、法定代表人身份证明或授权委托书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_Toc29942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"_Toc12431" </w:instrText>
          </w:r>
          <w:r>
            <w:fldChar w:fldCharType="separate"/>
          </w:r>
          <w:r>
            <w:rPr>
              <w:rFonts w:hint="eastAsia" w:ascii="仿宋" w:hAnsi="仿宋" w:eastAsia="仿宋" w:cs="仿宋"/>
              <w:sz w:val="24"/>
              <w:szCs w:val="24"/>
              <w:lang w:eastAsia="zh-CN"/>
            </w:rPr>
            <w:t>二、报价函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_Toc12431 \h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"_Toc7096" </w:instrText>
          </w:r>
          <w:r>
            <w:fldChar w:fldCharType="separate"/>
          </w:r>
          <w:r>
            <w:rPr>
              <w:rFonts w:hint="eastAsia" w:ascii="仿宋" w:hAnsi="仿宋" w:eastAsia="仿宋" w:cs="仿宋"/>
              <w:sz w:val="24"/>
              <w:szCs w:val="24"/>
            </w:rPr>
            <w:t>三、报价表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_Toc7096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"_Toc18883" </w:instrText>
          </w:r>
          <w:r>
            <w:fldChar w:fldCharType="separate"/>
          </w:r>
          <w:r>
            <w:rPr>
              <w:rFonts w:hint="eastAsia" w:ascii="仿宋" w:hAnsi="仿宋" w:eastAsia="仿宋" w:cs="仿宋"/>
              <w:sz w:val="24"/>
              <w:szCs w:val="24"/>
            </w:rPr>
            <w:t>四、资格审查资料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_Toc18883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35"/>
            <w:tabs>
              <w:tab w:val="right" w:leader="dot" w:pos="9064"/>
            </w:tabs>
            <w:rPr>
              <w:rFonts w:ascii="仿宋" w:hAnsi="仿宋" w:eastAsia="仿宋" w:cs="仿宋"/>
              <w:sz w:val="24"/>
              <w:szCs w:val="24"/>
            </w:rPr>
          </w:pPr>
          <w:r>
            <w:fldChar w:fldCharType="begin"/>
          </w:r>
          <w:r>
            <w:instrText xml:space="preserve"> HYPERLINK \l "_Toc30363" </w:instrText>
          </w:r>
          <w:r>
            <w:fldChar w:fldCharType="separate"/>
          </w:r>
          <w:r>
            <w:rPr>
              <w:rFonts w:hint="eastAsia" w:ascii="仿宋" w:hAnsi="仿宋" w:eastAsia="仿宋" w:cs="仿宋"/>
              <w:sz w:val="24"/>
              <w:szCs w:val="24"/>
            </w:rPr>
            <w:t>五、项目方案及性能参数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_Toc30363 \h </w:instrText>
          </w:r>
          <w:r>
            <w:rPr>
              <w:rFonts w:hint="eastAsia" w:ascii="仿宋" w:hAnsi="仿宋" w:eastAsia="仿宋" w:cs="仿宋"/>
              <w:sz w:val="24"/>
              <w:szCs w:val="24"/>
            </w:rPr>
            <w:fldChar w:fldCharType="separate"/>
          </w:r>
          <w:r>
            <w:rPr>
              <w:rFonts w:hint="eastAsia" w:ascii="仿宋" w:hAnsi="仿宋" w:eastAsia="仿宋" w:cs="仿宋"/>
              <w:sz w:val="24"/>
              <w:szCs w:val="24"/>
            </w:rPr>
            <w:t>59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9"/>
            <w:tabs>
              <w:tab w:val="right" w:leader="dot" w:pos="9064"/>
            </w:tabs>
            <w:rPr>
              <w:rFonts w:ascii="仿宋" w:hAnsi="仿宋" w:eastAsia="仿宋" w:cs="仿宋"/>
              <w:sz w:val="24"/>
              <w:szCs w:val="24"/>
            </w:rPr>
          </w:pPr>
          <w:r>
            <w:rPr>
              <w:rFonts w:hint="eastAsia" w:ascii="黑体" w:hAnsi="黑体" w:eastAsia="黑体" w:cs="黑体"/>
              <w:bCs/>
              <w:sz w:val="24"/>
              <w:szCs w:val="24"/>
              <w:lang w:val="zh-CN"/>
            </w:rPr>
            <w:fldChar w:fldCharType="begin"/>
          </w:r>
          <w:r>
            <w:rPr>
              <w:rFonts w:ascii="黑体" w:hAnsi="黑体" w:eastAsia="黑体" w:cs="黑体"/>
              <w:bCs/>
              <w:sz w:val="24"/>
              <w:szCs w:val="24"/>
              <w:lang w:val="zh-CN"/>
            </w:rPr>
            <w:instrText xml:space="preserve"> HYPERLINK \l _Toc20296 </w:instrText>
          </w:r>
          <w:r>
            <w:rPr>
              <w:rFonts w:hint="eastAsia" w:ascii="黑体" w:hAnsi="黑体" w:eastAsia="黑体" w:cs="黑体"/>
              <w:bCs/>
              <w:sz w:val="24"/>
              <w:szCs w:val="24"/>
              <w:lang w:val="zh-CN"/>
            </w:rPr>
            <w:fldChar w:fldCharType="separate"/>
          </w:r>
          <w:r>
            <w:rPr>
              <w:rFonts w:hint="eastAsia" w:ascii="黑体" w:hAnsi="黑体" w:eastAsia="黑体" w:cs="黑体"/>
              <w:bCs/>
              <w:sz w:val="24"/>
              <w:szCs w:val="24"/>
              <w:lang w:val="zh-CN" w:eastAsia="zh-CN"/>
            </w:rPr>
            <w:t>第五章</w:t>
          </w:r>
          <w:r>
            <w:rPr>
              <w:rFonts w:ascii="黑体" w:hAnsi="黑体" w:eastAsia="黑体" w:cs="黑体"/>
              <w:bCs/>
              <w:sz w:val="24"/>
              <w:szCs w:val="24"/>
              <w:lang w:eastAsia="zh-CN"/>
            </w:rPr>
            <w:t xml:space="preserve"> </w:t>
          </w:r>
          <w:r>
            <w:rPr>
              <w:rFonts w:hint="eastAsia" w:ascii="黑体" w:hAnsi="黑体" w:eastAsia="黑体" w:cs="黑体"/>
              <w:bCs/>
              <w:sz w:val="24"/>
              <w:szCs w:val="24"/>
              <w:lang w:val="zh-CN" w:eastAsia="zh-CN"/>
            </w:rPr>
            <w:t>技术标准和要求</w:t>
          </w:r>
          <w:r>
            <w:rPr>
              <w:rFonts w:ascii="黑体" w:hAnsi="黑体" w:eastAsia="黑体" w:cs="黑体"/>
              <w:sz w:val="24"/>
              <w:szCs w:val="24"/>
            </w:rPr>
            <w:tab/>
          </w:r>
          <w:r>
            <w:rPr>
              <w:rFonts w:hint="eastAsia" w:ascii="黑体" w:hAnsi="黑体" w:eastAsia="黑体" w:cs="黑体"/>
              <w:sz w:val="24"/>
              <w:szCs w:val="24"/>
            </w:rPr>
            <w:fldChar w:fldCharType="begin"/>
          </w:r>
          <w:r>
            <w:rPr>
              <w:rFonts w:ascii="黑体" w:hAnsi="黑体" w:eastAsia="黑体" w:cs="黑体"/>
              <w:sz w:val="24"/>
              <w:szCs w:val="24"/>
            </w:rPr>
            <w:instrText xml:space="preserve"> PAGEREF _Toc20296 \h </w:instrText>
          </w:r>
          <w:r>
            <w:rPr>
              <w:rFonts w:hint="eastAsia" w:ascii="黑体" w:hAnsi="黑体" w:eastAsia="黑体" w:cs="黑体"/>
              <w:sz w:val="24"/>
              <w:szCs w:val="24"/>
            </w:rPr>
            <w:fldChar w:fldCharType="separate"/>
          </w:r>
          <w:r>
            <w:rPr>
              <w:rFonts w:ascii="黑体" w:hAnsi="黑体" w:eastAsia="黑体" w:cs="黑体"/>
              <w:sz w:val="24"/>
              <w:szCs w:val="24"/>
            </w:rPr>
            <w:t>62</w:t>
          </w:r>
          <w:r>
            <w:rPr>
              <w:rFonts w:hint="eastAsia" w:ascii="黑体" w:hAnsi="黑体" w:eastAsia="黑体" w:cs="黑体"/>
              <w:sz w:val="24"/>
              <w:szCs w:val="24"/>
            </w:rPr>
            <w:fldChar w:fldCharType="end"/>
          </w:r>
          <w:r>
            <w:rPr>
              <w:rFonts w:hint="eastAsia" w:ascii="黑体" w:hAnsi="黑体" w:eastAsia="黑体" w:cs="黑体"/>
              <w:bCs/>
              <w:sz w:val="24"/>
              <w:szCs w:val="24"/>
              <w:lang w:val="zh-CN"/>
            </w:rPr>
            <w:fldChar w:fldCharType="end"/>
          </w:r>
        </w:p>
        <w:p>
          <w:pPr>
            <w:rPr>
              <w:rFonts w:ascii="Times New Roman" w:hAnsi="Times New Roman" w:cs="Times New Roman"/>
            </w:rPr>
          </w:pPr>
          <w:r>
            <w:rPr>
              <w:rFonts w:hint="eastAsia" w:ascii="仿宋" w:hAnsi="仿宋" w:eastAsia="仿宋" w:cs="仿宋"/>
              <w:b/>
              <w:bCs/>
              <w:sz w:val="24"/>
              <w:szCs w:val="24"/>
              <w:lang w:val="zh-CN"/>
            </w:rPr>
            <w:fldChar w:fldCharType="end"/>
          </w:r>
        </w:p>
      </w:sdtContent>
    </w:sdt>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docGrid w:linePitch="299" w:charSpace="0"/>
        </w:sectPr>
      </w:pPr>
    </w:p>
    <w:p>
      <w:pPr>
        <w:rPr>
          <w:rFonts w:ascii="Times New Roman" w:hAnsi="Times New Roman" w:eastAsia="方正小标宋_GBK" w:cs="Times New Roman"/>
          <w:bCs/>
          <w:sz w:val="44"/>
          <w:szCs w:val="44"/>
          <w:lang w:val="zh-CN" w:eastAsia="zh-CN"/>
        </w:rPr>
      </w:pPr>
      <w:bookmarkStart w:id="0" w:name="_Toc52097499"/>
      <w:bookmarkStart w:id="1" w:name="_Toc29194680"/>
    </w:p>
    <w:bookmarkEnd w:id="0"/>
    <w:bookmarkEnd w:id="1"/>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bookmarkStart w:id="2" w:name="_Toc5878"/>
      <w:bookmarkStart w:id="3" w:name="_Toc6697"/>
      <w:bookmarkStart w:id="4" w:name="_Toc13760"/>
      <w:bookmarkStart w:id="5" w:name="_Toc18976"/>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bookmarkEnd w:id="2"/>
      <w:bookmarkEnd w:id="3"/>
      <w:bookmarkEnd w:id="4"/>
      <w:bookmarkEnd w:id="5"/>
    </w:p>
    <w:p>
      <w:pPr>
        <w:spacing w:line="510" w:lineRule="exact"/>
        <w:jc w:val="center"/>
        <w:rPr>
          <w:rFonts w:ascii="Times New Roman" w:hAnsi="Times New Roman" w:eastAsia="方正小标宋_GBK" w:cs="Times New Roman"/>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eastAsia="zh-CN"/>
          <w14:textFill>
            <w14:solidFill>
              <w14:schemeClr w14:val="tx1"/>
            </w14:solidFill>
          </w14:textFill>
        </w:rPr>
        <w:t>涪江干流梯级渠化双江航电枢纽工程</w:t>
      </w:r>
    </w:p>
    <w:p>
      <w:pPr>
        <w:spacing w:line="510" w:lineRule="exact"/>
        <w:jc w:val="center"/>
        <w:rPr>
          <w:rFonts w:ascii="Times New Roman" w:hAnsi="Times New Roman" w:eastAsia="方正小标宋_GBK" w:cs="Times New Roman"/>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eastAsia="zh-CN"/>
          <w14:textFill>
            <w14:solidFill>
              <w14:schemeClr w14:val="tx1"/>
            </w14:solidFill>
          </w14:textFill>
        </w:rPr>
        <w:t>直流系统及其附属设备采购</w:t>
      </w:r>
      <w:r>
        <w:rPr>
          <w:rFonts w:ascii="Times New Roman" w:hAnsi="Times New Roman" w:eastAsia="方正小标宋_GBK" w:cs="Times New Roman"/>
          <w:color w:val="000000" w:themeColor="text1"/>
          <w:sz w:val="36"/>
          <w:szCs w:val="36"/>
          <w:lang w:eastAsia="zh-CN"/>
          <w14:textFill>
            <w14:solidFill>
              <w14:schemeClr w14:val="tx1"/>
            </w14:solidFill>
          </w14:textFill>
        </w:rPr>
        <w:t>项目询价公告</w:t>
      </w:r>
    </w:p>
    <w:p>
      <w:pPr>
        <w:spacing w:line="510" w:lineRule="exact"/>
        <w:jc w:val="center"/>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4"/>
        <w:spacing w:line="510" w:lineRule="exact"/>
        <w:rPr>
          <w:rFonts w:ascii="Times New Roman" w:hAnsi="Times New Roman" w:eastAsia="黑体" w:cs="Times New Roman"/>
          <w:b w:val="0"/>
          <w:lang w:eastAsia="zh-CN"/>
        </w:rPr>
      </w:pPr>
      <w:bookmarkStart w:id="6" w:name="_Toc52097500"/>
      <w:bookmarkEnd w:id="6"/>
      <w:bookmarkStart w:id="7" w:name="_Toc29194681"/>
      <w:bookmarkEnd w:id="7"/>
      <w:bookmarkStart w:id="8" w:name="_Toc6230450"/>
      <w:bookmarkEnd w:id="8"/>
      <w:bookmarkStart w:id="9" w:name="_Toc370126361"/>
      <w:bookmarkEnd w:id="9"/>
      <w:bookmarkStart w:id="10" w:name="_Toc375641571"/>
      <w:bookmarkEnd w:id="10"/>
      <w:bookmarkStart w:id="11" w:name="_Toc2141"/>
      <w:bookmarkStart w:id="12" w:name="_Toc17963"/>
      <w:bookmarkStart w:id="13" w:name="_Toc31830"/>
      <w:bookmarkStart w:id="14" w:name="_Toc7509"/>
      <w:r>
        <w:rPr>
          <w:rFonts w:hint="eastAsia" w:ascii="Times New Roman" w:hAnsi="Times New Roman" w:eastAsia="黑体" w:cs="Times New Roman"/>
          <w:b w:val="0"/>
          <w:lang w:eastAsia="zh-CN"/>
        </w:rPr>
        <w:t>1.询价条件</w:t>
      </w:r>
      <w:bookmarkEnd w:id="11"/>
      <w:bookmarkEnd w:id="12"/>
      <w:bookmarkEnd w:id="13"/>
      <w:bookmarkEnd w:id="14"/>
    </w:p>
    <w:p>
      <w:pPr>
        <w:spacing w:line="510" w:lineRule="exact"/>
        <w:ind w:firstLine="480" w:firstLineChars="200"/>
        <w:jc w:val="both"/>
        <w:rPr>
          <w:rFonts w:ascii="Times New Roman" w:hAnsi="Times New Roman" w:eastAsia="方正仿宋_GBK" w:cs="Times New Roman"/>
          <w:bCs/>
          <w:sz w:val="32"/>
          <w:szCs w:val="32"/>
          <w:lang w:eastAsia="zh-CN"/>
        </w:rPr>
      </w:pPr>
      <w:r>
        <w:rPr>
          <w:rFonts w:hint="eastAsia"/>
          <w:snapToGrid w:val="0"/>
          <w:sz w:val="24"/>
          <w:szCs w:val="24"/>
          <w:u w:val="single"/>
          <w:lang w:eastAsia="zh-CN"/>
        </w:rPr>
        <w:t>涪江干流梯级渠化双江航电枢纽工程直流系统及其附属设备采购</w:t>
      </w:r>
      <w:r>
        <w:rPr>
          <w:rFonts w:hint="eastAsia"/>
          <w:snapToGrid w:val="0"/>
          <w:sz w:val="24"/>
          <w:szCs w:val="24"/>
          <w:lang w:eastAsia="zh-CN"/>
        </w:rPr>
        <w:t>项目已具备询价条件，询价人为</w:t>
      </w:r>
      <w:r>
        <w:rPr>
          <w:rFonts w:hint="eastAsia"/>
          <w:snapToGrid w:val="0"/>
          <w:sz w:val="24"/>
          <w:szCs w:val="24"/>
          <w:u w:val="single"/>
          <w:lang w:eastAsia="zh-CN"/>
        </w:rPr>
        <w:t>重庆双江航运发展有限公司</w:t>
      </w:r>
      <w:r>
        <w:rPr>
          <w:rFonts w:hint="eastAsia"/>
          <w:snapToGrid w:val="0"/>
          <w:sz w:val="24"/>
          <w:szCs w:val="24"/>
          <w:lang w:eastAsia="zh-CN"/>
        </w:rPr>
        <w:t>。根据实际工作需要，现计划对该项目采取公开询价方式确定服务单位。</w:t>
      </w:r>
    </w:p>
    <w:p>
      <w:pPr>
        <w:pStyle w:val="4"/>
        <w:spacing w:line="510" w:lineRule="exact"/>
        <w:rPr>
          <w:rFonts w:ascii="Times New Roman" w:hAnsi="Times New Roman" w:eastAsia="方正仿宋_GBK" w:cs="Times New Roman"/>
          <w:lang w:eastAsia="zh-CN"/>
        </w:rPr>
      </w:pPr>
      <w:bookmarkStart w:id="15" w:name="_Toc29194682"/>
      <w:bookmarkEnd w:id="15"/>
      <w:bookmarkStart w:id="16" w:name="_Toc6230451"/>
      <w:bookmarkEnd w:id="16"/>
      <w:bookmarkStart w:id="17" w:name="_Toc52097501"/>
      <w:bookmarkEnd w:id="17"/>
      <w:bookmarkStart w:id="18" w:name="_Toc9387"/>
      <w:bookmarkStart w:id="19" w:name="_Toc25238"/>
      <w:bookmarkStart w:id="20" w:name="_Toc30567"/>
      <w:bookmarkStart w:id="21" w:name="_Toc27290"/>
      <w:bookmarkStart w:id="22" w:name="_Toc21092"/>
      <w:bookmarkStart w:id="23" w:name="_Toc324429695"/>
      <w:bookmarkStart w:id="24" w:name="_Toc323734100"/>
      <w:r>
        <w:rPr>
          <w:rFonts w:ascii="Times New Roman" w:hAnsi="Times New Roman" w:eastAsia="黑体" w:cs="Times New Roman"/>
          <w:b w:val="0"/>
          <w:lang w:eastAsia="zh-CN"/>
        </w:rPr>
        <w:t>2.项目概况与工作范围</w:t>
      </w:r>
      <w:bookmarkEnd w:id="18"/>
      <w:bookmarkEnd w:id="19"/>
      <w:bookmarkEnd w:id="20"/>
      <w:bookmarkEnd w:id="21"/>
      <w:r>
        <w:rPr>
          <w:rFonts w:ascii="Times New Roman" w:hAnsi="Times New Roman" w:eastAsia="方正仿宋_GBK" w:cs="Times New Roman"/>
          <w:lang w:eastAsia="zh-CN"/>
        </w:rPr>
        <w:t xml:space="preserve">                               </w:t>
      </w:r>
    </w:p>
    <w:p>
      <w:pPr>
        <w:spacing w:line="510" w:lineRule="exact"/>
        <w:ind w:firstLine="480" w:firstLineChars="200"/>
        <w:jc w:val="both"/>
        <w:rPr>
          <w:snapToGrid w:val="0"/>
          <w:sz w:val="24"/>
          <w:szCs w:val="24"/>
          <w:lang w:eastAsia="zh-CN"/>
        </w:rPr>
      </w:pPr>
      <w:r>
        <w:rPr>
          <w:rFonts w:hint="eastAsia"/>
          <w:snapToGrid w:val="0"/>
          <w:sz w:val="24"/>
          <w:szCs w:val="24"/>
          <w:lang w:eastAsia="zh-CN"/>
        </w:rPr>
        <w:t xml:space="preserve"> 2.1项目概况</w:t>
      </w:r>
    </w:p>
    <w:p>
      <w:pPr>
        <w:tabs>
          <w:tab w:val="left" w:pos="3840"/>
          <w:tab w:val="left" w:pos="5300"/>
        </w:tabs>
        <w:autoSpaceDE w:val="0"/>
        <w:autoSpaceDN w:val="0"/>
        <w:adjustRightInd w:val="0"/>
        <w:snapToGrid w:val="0"/>
        <w:spacing w:line="360" w:lineRule="auto"/>
        <w:ind w:firstLine="440" w:firstLineChars="200"/>
        <w:jc w:val="left"/>
        <w:rPr>
          <w:rFonts w:ascii="Times New Roman" w:hAnsi="Times New Roman" w:eastAsia="方正仿宋_GBK" w:cs="Times New Roman"/>
          <w:bCs/>
          <w:sz w:val="24"/>
          <w:szCs w:val="24"/>
          <w:lang w:eastAsia="zh-CN"/>
        </w:rPr>
      </w:pPr>
      <w:r>
        <w:rPr>
          <w:rFonts w:hint="eastAsia"/>
        </w:rPr>
        <w:t>双江航电枢纽工程位于潼南区双江镇原三块石溢流坝下游约500m处，上接四川省遂宁市三星航电枢纽，下连潼南航电枢纽。主要建设内容为枢纽工程、大坝下游航道整治、生产生活区建筑及配套工程。枢纽建成后可渠化航道约28公里，其中重庆境内15公里，航道等级为内河IV级，船闸有效尺度150x23x4.2米(长度x宽度x门槛水深)</w:t>
      </w:r>
      <w:r>
        <w:rPr>
          <w:rFonts w:hint="eastAsia"/>
          <w:lang w:eastAsia="zh-CN"/>
        </w:rPr>
        <w:t>，</w:t>
      </w:r>
      <w:r>
        <w:rPr>
          <w:rFonts w:hint="eastAsia"/>
        </w:rPr>
        <w:t>可通行1000吨级船舶，单向年通过能力近期481万吨、远期611万吨</w:t>
      </w:r>
      <w:r>
        <w:rPr>
          <w:rFonts w:hint="eastAsia"/>
          <w:lang w:eastAsia="zh-CN"/>
        </w:rPr>
        <w:t>；</w:t>
      </w:r>
      <w:r>
        <w:rPr>
          <w:rFonts w:hint="eastAsia"/>
        </w:rPr>
        <w:t>枢纽正常蓄水位249.00m,水库总库容1.61亿m</w:t>
      </w:r>
      <w:r>
        <w:rPr>
          <w:vertAlign w:val="superscript"/>
        </w:rPr>
        <w:t>3</w:t>
      </w:r>
      <w:r>
        <w:rPr>
          <w:rFonts w:hint="eastAsia"/>
        </w:rPr>
        <w:t>，日调节库容871万m</w:t>
      </w:r>
      <w:r>
        <w:rPr>
          <w:vertAlign w:val="superscript"/>
        </w:rPr>
        <w:t>3</w:t>
      </w:r>
      <w:r>
        <w:rPr>
          <w:rFonts w:hint="eastAsia"/>
          <w:lang w:eastAsia="zh-CN"/>
        </w:rPr>
        <w:t>；</w:t>
      </w:r>
      <w:r>
        <w:rPr>
          <w:rFonts w:hint="eastAsia"/>
        </w:rPr>
        <w:t>装机总容量4.8万kW,年发电量1.885亿kW .h</w:t>
      </w:r>
      <w:r>
        <w:rPr>
          <w:rFonts w:hint="eastAsia"/>
          <w:lang w:eastAsia="zh-CN"/>
        </w:rPr>
        <w:t>。</w:t>
      </w:r>
      <w:r>
        <w:rPr>
          <w:rFonts w:hint="eastAsia"/>
        </w:rPr>
        <w:t>工程</w:t>
      </w:r>
      <w:r>
        <w:rPr>
          <w:rFonts w:hint="eastAsia"/>
          <w:lang w:eastAsia="zh-CN"/>
        </w:rPr>
        <w:t>于</w:t>
      </w:r>
      <w:r>
        <w:rPr>
          <w:rFonts w:hint="eastAsia"/>
        </w:rPr>
        <w:t>2022年10月开工，</w:t>
      </w:r>
      <w:r>
        <w:rPr>
          <w:rFonts w:hint="eastAsia"/>
          <w:lang w:val="en-US" w:eastAsia="zh-CN"/>
        </w:rPr>
        <w:t>计划</w:t>
      </w:r>
      <w:r>
        <w:rPr>
          <w:rFonts w:hint="eastAsia"/>
        </w:rPr>
        <w:t>2024年</w:t>
      </w:r>
      <w:r>
        <w:rPr>
          <w:rFonts w:hint="eastAsia"/>
          <w:lang w:val="en-US" w:eastAsia="zh-CN"/>
        </w:rPr>
        <w:t>4</w:t>
      </w:r>
      <w:r>
        <w:rPr>
          <w:rFonts w:hint="eastAsia"/>
        </w:rPr>
        <w:t>月底首台机组具备发电条件，</w:t>
      </w:r>
      <w:r>
        <w:rPr>
          <w:rFonts w:hint="eastAsia"/>
          <w:lang w:val="en-US" w:eastAsia="zh-CN"/>
        </w:rPr>
        <w:t>2024年底船闸具备通航条件，</w:t>
      </w:r>
      <w:r>
        <w:rPr>
          <w:rFonts w:hint="eastAsia"/>
        </w:rPr>
        <w:t>2025年</w:t>
      </w:r>
      <w:r>
        <w:rPr>
          <w:rFonts w:hint="eastAsia"/>
          <w:lang w:val="en-US" w:eastAsia="zh-CN"/>
        </w:rPr>
        <w:t>3月</w:t>
      </w:r>
      <w:r>
        <w:rPr>
          <w:rFonts w:hint="eastAsia"/>
        </w:rPr>
        <w:t>完工</w:t>
      </w:r>
      <w:r>
        <w:rPr>
          <w:rFonts w:hint="eastAsia"/>
          <w:lang w:eastAsia="zh-CN"/>
        </w:rPr>
        <w:t>，整个</w:t>
      </w:r>
      <w:r>
        <w:rPr>
          <w:rFonts w:hint="eastAsia"/>
        </w:rPr>
        <w:t>工程投资概算为25.84亿元。</w:t>
      </w:r>
    </w:p>
    <w:p>
      <w:pPr>
        <w:spacing w:line="510" w:lineRule="exact"/>
        <w:ind w:firstLine="480" w:firstLineChars="200"/>
        <w:jc w:val="both"/>
        <w:rPr>
          <w:rFonts w:ascii="Times New Roman" w:hAnsi="Times New Roman" w:eastAsia="方正仿宋_GBK" w:cs="Times New Roman"/>
          <w:bCs/>
          <w:sz w:val="32"/>
          <w:szCs w:val="32"/>
          <w:lang w:eastAsia="zh-CN"/>
        </w:rPr>
      </w:pPr>
      <w:r>
        <w:rPr>
          <w:rFonts w:hint="eastAsia"/>
          <w:snapToGrid w:val="0"/>
          <w:sz w:val="24"/>
          <w:szCs w:val="24"/>
          <w:lang w:eastAsia="zh-CN"/>
        </w:rPr>
        <w:t>本次</w:t>
      </w:r>
      <w:r>
        <w:rPr>
          <w:rFonts w:hint="eastAsia"/>
          <w:snapToGrid w:val="0"/>
          <w:sz w:val="24"/>
          <w:szCs w:val="24"/>
          <w:lang w:val="en-US" w:eastAsia="zh-CN"/>
        </w:rPr>
        <w:t>采购的</w:t>
      </w:r>
      <w:r>
        <w:rPr>
          <w:rFonts w:hint="eastAsia"/>
          <w:snapToGrid w:val="0"/>
          <w:sz w:val="24"/>
          <w:szCs w:val="24"/>
          <w:lang w:eastAsia="zh-CN"/>
        </w:rPr>
        <w:t>设备为2组500Ah阀控式密封铅酸管式胶体蓄电池(OPZV)，共208只，采用支架安装方式，馈线屏2面、机组交/</w:t>
      </w:r>
      <w:r>
        <w:rPr>
          <w:rFonts w:hint="eastAsia"/>
          <w:snapToGrid w:val="0"/>
          <w:sz w:val="24"/>
          <w:szCs w:val="24"/>
          <w:lang w:val="en-US" w:eastAsia="zh-CN"/>
        </w:rPr>
        <w:t>直流</w:t>
      </w:r>
      <w:r>
        <w:rPr>
          <w:rFonts w:hint="eastAsia"/>
          <w:snapToGrid w:val="0"/>
          <w:sz w:val="24"/>
          <w:szCs w:val="24"/>
          <w:lang w:eastAsia="zh-CN"/>
        </w:rPr>
        <w:t>分电屏3面、开关站交流配电屏1面、相关附属设备等。蓄电池分别布置在EL247.1高程#1蓄电池室和#2蓄电池室内，直流屏布置在EL251高程二次盘柜室内。</w:t>
      </w:r>
    </w:p>
    <w:p>
      <w:pPr>
        <w:spacing w:line="510" w:lineRule="exact"/>
        <w:ind w:firstLine="480" w:firstLineChars="200"/>
        <w:jc w:val="both"/>
        <w:rPr>
          <w:rFonts w:ascii="Times New Roman" w:hAnsi="Times New Roman" w:eastAsia="方正仿宋_GBK" w:cs="Times New Roman"/>
          <w:bCs/>
          <w:sz w:val="32"/>
          <w:szCs w:val="32"/>
          <w:lang w:eastAsia="zh-CN"/>
        </w:rPr>
      </w:pPr>
      <w:r>
        <w:rPr>
          <w:rFonts w:hint="eastAsia"/>
          <w:snapToGrid w:val="0"/>
          <w:sz w:val="24"/>
          <w:szCs w:val="24"/>
          <w:lang w:eastAsia="zh-CN"/>
        </w:rPr>
        <w:t>2.2本次项目最高限价金额：</w:t>
      </w:r>
      <w:r>
        <w:rPr>
          <w:rFonts w:hint="eastAsia"/>
          <w:snapToGrid w:val="0"/>
          <w:sz w:val="24"/>
          <w:szCs w:val="24"/>
          <w:lang w:val="en-US" w:eastAsia="zh-CN"/>
        </w:rPr>
        <w:t>1360000</w:t>
      </w:r>
      <w:r>
        <w:rPr>
          <w:rFonts w:hint="eastAsia"/>
          <w:snapToGrid w:val="0"/>
          <w:sz w:val="24"/>
          <w:szCs w:val="24"/>
          <w:lang w:eastAsia="zh-CN"/>
        </w:rPr>
        <w:t>元。</w:t>
      </w:r>
    </w:p>
    <w:p>
      <w:pPr>
        <w:spacing w:line="510" w:lineRule="exact"/>
        <w:ind w:firstLine="480" w:firstLineChars="200"/>
        <w:jc w:val="both"/>
        <w:rPr>
          <w:snapToGrid w:val="0"/>
          <w:sz w:val="24"/>
          <w:szCs w:val="24"/>
          <w:lang w:eastAsia="zh-CN"/>
        </w:rPr>
      </w:pPr>
      <w:r>
        <w:rPr>
          <w:rFonts w:hint="eastAsia"/>
          <w:snapToGrid w:val="0"/>
          <w:sz w:val="24"/>
          <w:szCs w:val="24"/>
          <w:lang w:eastAsia="zh-CN"/>
        </w:rPr>
        <w:t>2.3工作范围</w:t>
      </w:r>
    </w:p>
    <w:p>
      <w:pPr>
        <w:spacing w:line="510" w:lineRule="exact"/>
        <w:ind w:firstLine="480" w:firstLineChars="200"/>
        <w:jc w:val="both"/>
        <w:rPr>
          <w:snapToGrid w:val="0"/>
          <w:sz w:val="24"/>
          <w:szCs w:val="24"/>
          <w:lang w:eastAsia="zh-CN"/>
        </w:rPr>
      </w:pPr>
      <w:r>
        <w:rPr>
          <w:rFonts w:hint="eastAsia"/>
          <w:snapToGrid w:val="0"/>
          <w:sz w:val="24"/>
          <w:szCs w:val="24"/>
          <w:lang w:eastAsia="zh-CN"/>
        </w:rPr>
        <w:t>按照询价函要求提供全新的、完整的、符合本招标文件规定运行功能和性能要求的且是成套的220V直流电源系统及其附属设备</w:t>
      </w:r>
      <w:r>
        <w:rPr>
          <w:rFonts w:hint="eastAsia"/>
          <w:color w:val="000000" w:themeColor="text1"/>
          <w:spacing w:val="5"/>
          <w:szCs w:val="21"/>
          <w:lang w:eastAsia="zh-CN"/>
          <w14:textFill>
            <w14:solidFill>
              <w14:schemeClr w14:val="tx1"/>
            </w14:solidFill>
          </w14:textFill>
        </w:rPr>
        <w:t>、</w:t>
      </w:r>
      <w:r>
        <w:rPr>
          <w:color w:val="000000" w:themeColor="text1"/>
          <w:spacing w:val="5"/>
          <w:szCs w:val="21"/>
          <w:lang w:eastAsia="zh-CN"/>
          <w14:textFill>
            <w14:solidFill>
              <w14:schemeClr w14:val="tx1"/>
            </w14:solidFill>
          </w14:textFill>
        </w:rPr>
        <w:t>备品备件和专用工具</w:t>
      </w:r>
      <w:r>
        <w:rPr>
          <w:rFonts w:hint="eastAsia"/>
          <w:snapToGrid w:val="0"/>
          <w:sz w:val="24"/>
          <w:szCs w:val="24"/>
          <w:lang w:eastAsia="zh-CN"/>
        </w:rPr>
        <w:t>，包括不限于以下：</w:t>
      </w:r>
    </w:p>
    <w:p>
      <w:pPr>
        <w:spacing w:line="510" w:lineRule="exact"/>
        <w:ind w:firstLine="480" w:firstLineChars="200"/>
        <w:jc w:val="both"/>
        <w:rPr>
          <w:snapToGrid w:val="0"/>
          <w:sz w:val="24"/>
          <w:szCs w:val="24"/>
          <w:lang w:eastAsia="zh-CN"/>
        </w:rPr>
      </w:pPr>
      <w:r>
        <w:rPr>
          <w:rFonts w:hint="eastAsia"/>
          <w:snapToGrid w:val="0"/>
          <w:sz w:val="24"/>
          <w:szCs w:val="24"/>
          <w:lang w:eastAsia="zh-CN"/>
        </w:rPr>
        <w:t>1）全面负责合同设备的设计（包括硬件、软件）、制造，所需材料和部件的采购、</w:t>
      </w:r>
      <w:bookmarkStart w:id="25" w:name="_Hlt37488170"/>
      <w:r>
        <w:rPr>
          <w:rFonts w:hint="eastAsia"/>
          <w:snapToGrid w:val="0"/>
          <w:sz w:val="24"/>
          <w:szCs w:val="24"/>
          <w:lang w:eastAsia="zh-CN"/>
        </w:rPr>
        <w:t>成套、工厂检验、试验、出厂前的组装检查、出厂试验、包装、保管、运输及保险、交货、现场开箱检验；</w:t>
      </w:r>
      <w:bookmarkEnd w:id="25"/>
    </w:p>
    <w:p>
      <w:pPr>
        <w:spacing w:line="510" w:lineRule="exact"/>
        <w:ind w:firstLine="480" w:firstLineChars="200"/>
        <w:jc w:val="both"/>
        <w:rPr>
          <w:snapToGrid w:val="0"/>
          <w:sz w:val="24"/>
          <w:szCs w:val="24"/>
          <w:lang w:eastAsia="zh-CN"/>
        </w:rPr>
      </w:pPr>
      <w:r>
        <w:rPr>
          <w:rFonts w:hint="eastAsia"/>
          <w:snapToGrid w:val="0"/>
          <w:sz w:val="24"/>
          <w:szCs w:val="24"/>
          <w:lang w:eastAsia="zh-CN"/>
        </w:rPr>
        <w:t>2）提交全套技术文件(含可编辑的电子文档)、三维设计模型；</w:t>
      </w:r>
    </w:p>
    <w:p>
      <w:pPr>
        <w:spacing w:line="510" w:lineRule="exact"/>
        <w:ind w:firstLine="480" w:firstLineChars="200"/>
        <w:jc w:val="both"/>
        <w:rPr>
          <w:snapToGrid w:val="0"/>
          <w:sz w:val="24"/>
          <w:szCs w:val="24"/>
          <w:lang w:eastAsia="zh-CN"/>
        </w:rPr>
      </w:pPr>
      <w:r>
        <w:rPr>
          <w:rFonts w:hint="eastAsia"/>
          <w:snapToGrid w:val="0"/>
          <w:sz w:val="24"/>
          <w:szCs w:val="24"/>
          <w:lang w:eastAsia="zh-CN"/>
        </w:rPr>
        <w:t xml:space="preserve">3）提供设计联络会、工厂组装及等服务； </w:t>
      </w:r>
    </w:p>
    <w:p>
      <w:pPr>
        <w:spacing w:line="510" w:lineRule="exact"/>
        <w:ind w:firstLine="480" w:firstLineChars="200"/>
        <w:jc w:val="both"/>
        <w:rPr>
          <w:snapToGrid w:val="0"/>
          <w:sz w:val="24"/>
          <w:szCs w:val="24"/>
          <w:lang w:eastAsia="zh-CN"/>
        </w:rPr>
      </w:pPr>
      <w:r>
        <w:rPr>
          <w:rFonts w:hint="eastAsia"/>
          <w:snapToGrid w:val="0"/>
          <w:sz w:val="24"/>
          <w:szCs w:val="24"/>
          <w:lang w:eastAsia="zh-CN"/>
        </w:rPr>
        <w:t>4）负责合同设备与电站其他系统承包方的配合、协调等服务；</w:t>
      </w:r>
    </w:p>
    <w:p>
      <w:pPr>
        <w:spacing w:line="510" w:lineRule="exact"/>
        <w:ind w:firstLine="480" w:firstLineChars="200"/>
        <w:jc w:val="both"/>
        <w:rPr>
          <w:snapToGrid w:val="0"/>
          <w:sz w:val="24"/>
          <w:szCs w:val="24"/>
          <w:lang w:eastAsia="zh-CN"/>
        </w:rPr>
      </w:pPr>
      <w:r>
        <w:rPr>
          <w:rFonts w:hint="eastAsia"/>
          <w:snapToGrid w:val="0"/>
          <w:sz w:val="24"/>
          <w:szCs w:val="24"/>
          <w:lang w:eastAsia="zh-CN"/>
        </w:rPr>
        <w:t>5）对合同设备的安装承包方的现场安装、调试、试验、试运行、验收提供技术指导、监督服务和相关配合工作。</w:t>
      </w:r>
    </w:p>
    <w:p>
      <w:pPr>
        <w:spacing w:line="510" w:lineRule="exact"/>
        <w:ind w:firstLine="480" w:firstLineChars="200"/>
        <w:jc w:val="both"/>
        <w:rPr>
          <w:snapToGrid w:val="0"/>
          <w:sz w:val="24"/>
          <w:szCs w:val="24"/>
          <w:lang w:eastAsia="zh-CN"/>
        </w:rPr>
      </w:pPr>
      <w:r>
        <w:rPr>
          <w:rFonts w:hint="eastAsia"/>
          <w:snapToGrid w:val="0"/>
          <w:sz w:val="24"/>
          <w:szCs w:val="24"/>
          <w:lang w:eastAsia="zh-CN"/>
        </w:rPr>
        <w:t>6）卖方所提供的不仅是各个单项设备而应是一个系统，即使有的设备或要做的工作在本合同范围的细节中没有特别提到，但只要这些设备和工作对于系统设备的完整性而言是必要的，就都应该提供，其费</w:t>
      </w:r>
      <w:bookmarkStart w:id="797" w:name="_GoBack"/>
      <w:bookmarkEnd w:id="797"/>
      <w:r>
        <w:rPr>
          <w:rFonts w:hint="eastAsia"/>
          <w:snapToGrid w:val="0"/>
          <w:sz w:val="24"/>
          <w:szCs w:val="24"/>
          <w:lang w:eastAsia="zh-CN"/>
        </w:rPr>
        <w:t>用包括在合同总价中。</w:t>
      </w:r>
    </w:p>
    <w:p>
      <w:pPr>
        <w:spacing w:line="510" w:lineRule="exact"/>
        <w:ind w:firstLine="480" w:firstLineChars="200"/>
        <w:jc w:val="both"/>
        <w:rPr>
          <w:rFonts w:ascii="Times New Roman" w:hAnsi="Times New Roman" w:eastAsia="方正仿宋_GBK" w:cs="Times New Roman"/>
          <w:bCs/>
          <w:sz w:val="32"/>
          <w:szCs w:val="32"/>
          <w:lang w:eastAsia="zh-CN"/>
        </w:rPr>
      </w:pPr>
      <w:r>
        <w:rPr>
          <w:rFonts w:hint="eastAsia"/>
          <w:snapToGrid w:val="0"/>
          <w:sz w:val="24"/>
          <w:szCs w:val="24"/>
          <w:lang w:eastAsia="zh-CN"/>
        </w:rPr>
        <w:t>7）卖方提供的设备应满足</w:t>
      </w:r>
      <w:r>
        <w:rPr>
          <w:rFonts w:hint="eastAsia"/>
          <w:color w:val="000000" w:themeColor="text1"/>
          <w:spacing w:val="5"/>
          <w:szCs w:val="21"/>
          <w:lang w:eastAsia="zh-CN"/>
          <w14:textFill>
            <w14:solidFill>
              <w14:schemeClr w14:val="tx1"/>
            </w14:solidFill>
          </w14:textFill>
        </w:rPr>
        <w:t>国家电网重庆电力公司</w:t>
      </w:r>
      <w:r>
        <w:rPr>
          <w:rFonts w:hint="eastAsia"/>
          <w:snapToGrid w:val="0"/>
          <w:sz w:val="24"/>
          <w:szCs w:val="24"/>
          <w:lang w:eastAsia="zh-CN"/>
        </w:rPr>
        <w:t>对直流电源系统的各项要求。</w:t>
      </w:r>
    </w:p>
    <w:p>
      <w:pPr>
        <w:spacing w:line="510" w:lineRule="exact"/>
        <w:ind w:firstLine="480" w:firstLineChars="200"/>
        <w:jc w:val="both"/>
        <w:rPr>
          <w:snapToGrid w:val="0"/>
          <w:sz w:val="24"/>
          <w:szCs w:val="24"/>
          <w:highlight w:val="none"/>
          <w:lang w:eastAsia="zh-CN"/>
        </w:rPr>
      </w:pPr>
      <w:r>
        <w:rPr>
          <w:rFonts w:hint="eastAsia"/>
          <w:snapToGrid w:val="0"/>
          <w:sz w:val="24"/>
          <w:szCs w:val="24"/>
          <w:lang w:eastAsia="zh-CN"/>
        </w:rPr>
        <w:t>2.4工期（交货期、服务期）：</w:t>
      </w:r>
      <w:r>
        <w:rPr>
          <w:rFonts w:hint="eastAsia"/>
          <w:snapToGrid w:val="0"/>
          <w:sz w:val="24"/>
          <w:szCs w:val="24"/>
          <w:highlight w:val="none"/>
          <w:lang w:eastAsia="zh-CN"/>
        </w:rPr>
        <w:t>计划2024年</w:t>
      </w:r>
      <w:r>
        <w:rPr>
          <w:rFonts w:hint="eastAsia"/>
          <w:snapToGrid w:val="0"/>
          <w:sz w:val="24"/>
          <w:szCs w:val="24"/>
          <w:highlight w:val="none"/>
          <w:lang w:val="en-US" w:eastAsia="zh-CN"/>
        </w:rPr>
        <w:t>1</w:t>
      </w:r>
      <w:r>
        <w:rPr>
          <w:rFonts w:hint="eastAsia"/>
          <w:snapToGrid w:val="0"/>
          <w:sz w:val="24"/>
          <w:szCs w:val="24"/>
          <w:highlight w:val="none"/>
          <w:lang w:eastAsia="zh-CN"/>
        </w:rPr>
        <w:t>月</w:t>
      </w:r>
      <w:r>
        <w:rPr>
          <w:rFonts w:hint="eastAsia"/>
          <w:snapToGrid w:val="0"/>
          <w:sz w:val="24"/>
          <w:szCs w:val="24"/>
          <w:highlight w:val="none"/>
          <w:lang w:val="en-US" w:eastAsia="zh-CN"/>
        </w:rPr>
        <w:t>30</w:t>
      </w:r>
      <w:r>
        <w:rPr>
          <w:rFonts w:hint="eastAsia"/>
          <w:snapToGrid w:val="0"/>
          <w:sz w:val="24"/>
          <w:szCs w:val="24"/>
          <w:highlight w:val="none"/>
          <w:lang w:eastAsia="zh-CN"/>
        </w:rPr>
        <w:t>日前交货，具体交货时间由询价人书面通知。</w:t>
      </w:r>
    </w:p>
    <w:p>
      <w:pPr>
        <w:spacing w:line="510" w:lineRule="exact"/>
        <w:ind w:firstLine="480" w:firstLineChars="200"/>
        <w:jc w:val="both"/>
        <w:rPr>
          <w:snapToGrid w:val="0"/>
          <w:sz w:val="24"/>
          <w:szCs w:val="24"/>
          <w:lang w:eastAsia="zh-CN"/>
        </w:rPr>
      </w:pPr>
      <w:r>
        <w:rPr>
          <w:rFonts w:hint="eastAsia"/>
          <w:snapToGrid w:val="0"/>
          <w:sz w:val="24"/>
          <w:szCs w:val="24"/>
          <w:lang w:eastAsia="zh-CN"/>
        </w:rPr>
        <w:t>2.5交货地点：重庆市潼南区双江航电枢纽工程工地现场询价人指定地点。</w:t>
      </w:r>
    </w:p>
    <w:bookmarkEnd w:id="22"/>
    <w:bookmarkEnd w:id="23"/>
    <w:bookmarkEnd w:id="24"/>
    <w:p>
      <w:pPr>
        <w:pStyle w:val="4"/>
        <w:spacing w:line="510" w:lineRule="exact"/>
        <w:rPr>
          <w:rFonts w:ascii="Times New Roman" w:hAnsi="Times New Roman" w:eastAsia="黑体" w:cs="Times New Roman"/>
          <w:b w:val="0"/>
          <w:sz w:val="30"/>
          <w:szCs w:val="30"/>
          <w:lang w:eastAsia="zh-CN"/>
        </w:rPr>
      </w:pPr>
      <w:bookmarkStart w:id="26" w:name="_Toc6230452"/>
      <w:bookmarkEnd w:id="26"/>
      <w:bookmarkStart w:id="27" w:name="_Toc52097502"/>
      <w:bookmarkEnd w:id="27"/>
      <w:bookmarkStart w:id="28" w:name="_Toc29194683"/>
      <w:bookmarkEnd w:id="28"/>
      <w:bookmarkStart w:id="29" w:name="_Toc7634"/>
      <w:bookmarkStart w:id="30" w:name="_Toc5299"/>
      <w:bookmarkStart w:id="31" w:name="_Toc10530"/>
      <w:bookmarkStart w:id="32" w:name="_Toc8682"/>
      <w:r>
        <w:rPr>
          <w:rFonts w:ascii="Times New Roman" w:hAnsi="Times New Roman" w:eastAsia="黑体" w:cs="Times New Roman"/>
          <w:b w:val="0"/>
          <w:sz w:val="30"/>
          <w:szCs w:val="30"/>
          <w:lang w:eastAsia="zh-CN"/>
        </w:rPr>
        <w:t>3.报价人资格要求</w:t>
      </w:r>
      <w:bookmarkEnd w:id="29"/>
      <w:bookmarkEnd w:id="30"/>
      <w:bookmarkEnd w:id="31"/>
      <w:bookmarkEnd w:id="32"/>
    </w:p>
    <w:p>
      <w:pPr>
        <w:spacing w:line="510" w:lineRule="exact"/>
        <w:ind w:firstLine="480" w:firstLineChars="200"/>
        <w:jc w:val="both"/>
        <w:rPr>
          <w:snapToGrid w:val="0"/>
          <w:sz w:val="24"/>
          <w:szCs w:val="24"/>
          <w:lang w:eastAsia="zh-CN"/>
        </w:rPr>
      </w:pPr>
      <w:r>
        <w:rPr>
          <w:rFonts w:hint="eastAsia"/>
          <w:snapToGrid w:val="0"/>
          <w:sz w:val="24"/>
          <w:szCs w:val="24"/>
          <w:lang w:eastAsia="zh-CN"/>
        </w:rPr>
        <w:t>3.1报价人应同时满足下列资格条件：</w:t>
      </w:r>
    </w:p>
    <w:p>
      <w:pPr>
        <w:spacing w:line="510" w:lineRule="exact"/>
        <w:ind w:firstLine="480" w:firstLineChars="200"/>
        <w:jc w:val="both"/>
        <w:rPr>
          <w:snapToGrid w:val="0"/>
          <w:sz w:val="24"/>
          <w:szCs w:val="24"/>
          <w:lang w:eastAsia="zh-CN"/>
        </w:rPr>
      </w:pPr>
      <w:r>
        <w:rPr>
          <w:rFonts w:hint="eastAsia"/>
          <w:snapToGrid w:val="0"/>
          <w:sz w:val="24"/>
          <w:szCs w:val="24"/>
          <w:lang w:eastAsia="zh-CN"/>
        </w:rPr>
        <w:t>（1）报价人为中国境内注册的独立法人企业，具有有效营业执照、税务登记证、组织机构代码证，多证合一的需备注；</w:t>
      </w:r>
    </w:p>
    <w:p>
      <w:pPr>
        <w:spacing w:line="510" w:lineRule="exact"/>
        <w:ind w:firstLine="480" w:firstLineChars="200"/>
        <w:jc w:val="both"/>
        <w:rPr>
          <w:snapToGrid w:val="0"/>
          <w:sz w:val="24"/>
          <w:szCs w:val="24"/>
          <w:lang w:eastAsia="zh-CN"/>
        </w:rPr>
      </w:pPr>
      <w:r>
        <w:rPr>
          <w:rFonts w:hint="eastAsia"/>
          <w:snapToGrid w:val="0"/>
          <w:sz w:val="24"/>
          <w:szCs w:val="24"/>
          <w:lang w:eastAsia="zh-CN"/>
        </w:rPr>
        <w:t>（2）制造企业需具备有直流系统制造的相关资质。</w:t>
      </w:r>
    </w:p>
    <w:p>
      <w:pPr>
        <w:spacing w:line="510" w:lineRule="exact"/>
        <w:ind w:firstLine="480" w:firstLineChars="200"/>
        <w:jc w:val="both"/>
        <w:rPr>
          <w:snapToGrid w:val="0"/>
          <w:sz w:val="24"/>
          <w:szCs w:val="24"/>
          <w:lang w:eastAsia="zh-CN"/>
        </w:rPr>
      </w:pPr>
      <w:r>
        <w:rPr>
          <w:rFonts w:hint="eastAsia"/>
          <w:snapToGrid w:val="0"/>
          <w:sz w:val="24"/>
          <w:szCs w:val="24"/>
          <w:lang w:eastAsia="zh-CN"/>
        </w:rPr>
        <w:t>注：提供有效的资质证书和有效的试验报告复印件。</w:t>
      </w:r>
    </w:p>
    <w:p>
      <w:pPr>
        <w:spacing w:line="510" w:lineRule="exact"/>
        <w:ind w:firstLine="480" w:firstLineChars="200"/>
        <w:jc w:val="both"/>
        <w:rPr>
          <w:snapToGrid w:val="0"/>
          <w:sz w:val="24"/>
          <w:szCs w:val="24"/>
          <w:lang w:eastAsia="zh-CN"/>
        </w:rPr>
      </w:pPr>
      <w:r>
        <w:rPr>
          <w:rFonts w:hint="eastAsia"/>
          <w:snapToGrid w:val="0"/>
          <w:sz w:val="24"/>
          <w:szCs w:val="24"/>
          <w:lang w:eastAsia="zh-CN"/>
        </w:rPr>
        <w:t>（3）报价人具有以下业绩：报价人自2018年1月1日至报价截止日止，至少有1个合同金额在100万</w:t>
      </w:r>
      <w:r>
        <w:rPr>
          <w:rFonts w:hint="eastAsia"/>
          <w:snapToGrid w:val="0"/>
          <w:sz w:val="24"/>
          <w:szCs w:val="24"/>
          <w:lang w:val="en-US" w:eastAsia="zh-CN"/>
        </w:rPr>
        <w:t>及以上</w:t>
      </w:r>
      <w:r>
        <w:rPr>
          <w:rFonts w:hint="eastAsia"/>
          <w:snapToGrid w:val="0"/>
          <w:sz w:val="24"/>
          <w:szCs w:val="24"/>
          <w:lang w:eastAsia="zh-CN"/>
        </w:rPr>
        <w:t>的类似业绩。</w:t>
      </w:r>
    </w:p>
    <w:p>
      <w:pPr>
        <w:spacing w:line="510" w:lineRule="exact"/>
        <w:ind w:firstLine="480" w:firstLineChars="200"/>
        <w:jc w:val="both"/>
        <w:rPr>
          <w:snapToGrid w:val="0"/>
          <w:sz w:val="24"/>
          <w:szCs w:val="24"/>
          <w:lang w:eastAsia="zh-CN"/>
        </w:rPr>
      </w:pPr>
      <w:r>
        <w:rPr>
          <w:rFonts w:hint="eastAsia"/>
          <w:snapToGrid w:val="0"/>
          <w:sz w:val="24"/>
          <w:szCs w:val="24"/>
          <w:lang w:eastAsia="zh-CN"/>
        </w:rPr>
        <w:t>注：1、业绩时间以合同签订时间为准。</w:t>
      </w:r>
    </w:p>
    <w:p>
      <w:pPr>
        <w:spacing w:line="510" w:lineRule="exact"/>
        <w:ind w:firstLine="480" w:firstLineChars="200"/>
        <w:jc w:val="both"/>
        <w:rPr>
          <w:snapToGrid w:val="0"/>
          <w:sz w:val="24"/>
          <w:szCs w:val="24"/>
          <w:lang w:eastAsia="zh-CN"/>
        </w:rPr>
      </w:pPr>
      <w:r>
        <w:rPr>
          <w:rFonts w:hint="eastAsia"/>
          <w:snapToGrid w:val="0"/>
          <w:sz w:val="24"/>
          <w:szCs w:val="24"/>
          <w:lang w:eastAsia="zh-CN"/>
        </w:rPr>
        <w:t xml:space="preserve">    2、业绩证明材料形式不限于：合同协议书、完工证明材料、中标通知书等。</w:t>
      </w:r>
    </w:p>
    <w:p>
      <w:pPr>
        <w:spacing w:line="510" w:lineRule="exact"/>
        <w:ind w:firstLine="480" w:firstLineChars="200"/>
        <w:jc w:val="both"/>
        <w:rPr>
          <w:rFonts w:hint="eastAsia"/>
          <w:snapToGrid w:val="0"/>
          <w:sz w:val="24"/>
          <w:szCs w:val="24"/>
          <w:lang w:eastAsia="zh-CN"/>
        </w:rPr>
      </w:pPr>
      <w:r>
        <w:rPr>
          <w:rFonts w:hint="eastAsia"/>
          <w:snapToGrid w:val="0"/>
          <w:sz w:val="24"/>
          <w:szCs w:val="24"/>
          <w:lang w:eastAsia="zh-CN"/>
        </w:rPr>
        <w:t>3.2报价人没有被列入重庆高速公路集团有限公司黑名单。</w:t>
      </w:r>
    </w:p>
    <w:p>
      <w:pPr>
        <w:pStyle w:val="2"/>
        <w:ind w:firstLine="480" w:firstLineChars="200"/>
        <w:rPr>
          <w:rFonts w:hint="default"/>
          <w:lang w:val="en-US" w:eastAsia="zh-CN"/>
        </w:rPr>
      </w:pPr>
      <w:r>
        <w:rPr>
          <w:rFonts w:hint="eastAsia"/>
          <w:snapToGrid w:val="0"/>
          <w:sz w:val="24"/>
          <w:szCs w:val="24"/>
          <w:lang w:val="en-US" w:eastAsia="zh-CN"/>
        </w:rPr>
        <w:t>3.3</w:t>
      </w:r>
      <w:r>
        <w:rPr>
          <w:rFonts w:hint="eastAsia" w:ascii="仿宋" w:hAnsi="仿宋" w:eastAsia="仿宋" w:cs="仿宋"/>
          <w:kern w:val="0"/>
          <w:sz w:val="28"/>
          <w:szCs w:val="28"/>
          <w:lang w:val="en-US" w:eastAsia="zh-CN"/>
        </w:rPr>
        <w:t>报价人</w:t>
      </w:r>
      <w:r>
        <w:rPr>
          <w:rFonts w:hint="eastAsia" w:ascii="仿宋" w:hAnsi="仿宋" w:eastAsia="仿宋" w:cs="仿宋"/>
          <w:kern w:val="0"/>
          <w:sz w:val="28"/>
          <w:szCs w:val="28"/>
        </w:rPr>
        <w:t>不得与</w:t>
      </w:r>
      <w:r>
        <w:rPr>
          <w:rFonts w:hint="eastAsia" w:ascii="仿宋" w:hAnsi="仿宋" w:eastAsia="仿宋" w:cs="仿宋"/>
          <w:kern w:val="0"/>
          <w:sz w:val="28"/>
          <w:szCs w:val="28"/>
          <w:lang w:val="en-US" w:eastAsia="zh-CN"/>
        </w:rPr>
        <w:t>询价人、</w:t>
      </w:r>
      <w:r>
        <w:rPr>
          <w:rFonts w:hint="eastAsia" w:ascii="仿宋" w:hAnsi="仿宋" w:eastAsia="仿宋" w:cs="仿宋"/>
          <w:kern w:val="0"/>
          <w:sz w:val="28"/>
          <w:szCs w:val="28"/>
        </w:rPr>
        <w:t>监理</w:t>
      </w:r>
      <w:r>
        <w:rPr>
          <w:rFonts w:hint="eastAsia" w:ascii="仿宋" w:hAnsi="仿宋" w:eastAsia="仿宋" w:cs="仿宋"/>
          <w:kern w:val="0"/>
          <w:sz w:val="28"/>
          <w:szCs w:val="28"/>
          <w:lang w:val="en-US" w:eastAsia="zh-CN"/>
        </w:rPr>
        <w:t>人</w:t>
      </w:r>
      <w:r>
        <w:rPr>
          <w:rFonts w:hint="eastAsia" w:ascii="仿宋" w:hAnsi="仿宋" w:eastAsia="仿宋" w:cs="仿宋"/>
          <w:kern w:val="0"/>
          <w:sz w:val="28"/>
          <w:szCs w:val="28"/>
        </w:rPr>
        <w:t>有隶属关系或者其他利害关系。</w:t>
      </w:r>
    </w:p>
    <w:p>
      <w:pPr>
        <w:pStyle w:val="4"/>
        <w:spacing w:line="510" w:lineRule="exact"/>
        <w:rPr>
          <w:rFonts w:ascii="Times New Roman" w:hAnsi="Times New Roman" w:eastAsia="黑体" w:cs="Times New Roman"/>
          <w:b w:val="0"/>
          <w:sz w:val="30"/>
          <w:szCs w:val="30"/>
          <w:lang w:eastAsia="zh-CN"/>
        </w:rPr>
      </w:pPr>
      <w:bookmarkStart w:id="33" w:name="_Toc16019"/>
      <w:bookmarkStart w:id="34" w:name="_Toc30379"/>
      <w:bookmarkStart w:id="35" w:name="_Toc13385"/>
      <w:bookmarkStart w:id="36" w:name="_Toc28207"/>
      <w:r>
        <w:rPr>
          <w:rFonts w:ascii="Times New Roman" w:hAnsi="Times New Roman" w:eastAsia="黑体" w:cs="Times New Roman"/>
          <w:b w:val="0"/>
          <w:sz w:val="30"/>
          <w:szCs w:val="30"/>
          <w:lang w:eastAsia="zh-CN"/>
        </w:rPr>
        <w:t>4. 报价文件的递交</w:t>
      </w:r>
      <w:bookmarkEnd w:id="33"/>
      <w:bookmarkEnd w:id="34"/>
      <w:bookmarkEnd w:id="35"/>
      <w:bookmarkEnd w:id="36"/>
    </w:p>
    <w:p>
      <w:pPr>
        <w:spacing w:line="510" w:lineRule="exact"/>
        <w:ind w:firstLine="480" w:firstLineChars="200"/>
        <w:jc w:val="both"/>
        <w:rPr>
          <w:snapToGrid w:val="0"/>
          <w:sz w:val="24"/>
          <w:szCs w:val="24"/>
          <w:lang w:eastAsia="zh-CN"/>
        </w:rPr>
      </w:pPr>
      <w:r>
        <w:rPr>
          <w:rFonts w:hint="eastAsia"/>
          <w:snapToGrid w:val="0"/>
          <w:sz w:val="24"/>
          <w:szCs w:val="24"/>
          <w:lang w:eastAsia="zh-CN"/>
        </w:rPr>
        <w:t>4.1报价文件递交地点：重庆市潼南区桂林街道春阳街460号重庆双江航运发展有限公司合同管理部。</w:t>
      </w:r>
    </w:p>
    <w:p>
      <w:pPr>
        <w:spacing w:line="510" w:lineRule="exact"/>
        <w:ind w:firstLine="480" w:firstLineChars="200"/>
        <w:jc w:val="both"/>
        <w:rPr>
          <w:snapToGrid w:val="0"/>
          <w:sz w:val="24"/>
          <w:szCs w:val="24"/>
          <w:lang w:eastAsia="zh-CN"/>
        </w:rPr>
      </w:pPr>
      <w:r>
        <w:rPr>
          <w:rFonts w:hint="eastAsia"/>
          <w:snapToGrid w:val="0"/>
          <w:sz w:val="24"/>
          <w:szCs w:val="24"/>
          <w:lang w:eastAsia="zh-CN"/>
        </w:rPr>
        <w:t>4.2报价文件递交截止时间：挂网公示后第5个工作日17时 30分为止（北京时间）。</w:t>
      </w:r>
    </w:p>
    <w:p>
      <w:pPr>
        <w:spacing w:line="510" w:lineRule="exact"/>
        <w:ind w:firstLine="480" w:firstLineChars="200"/>
        <w:jc w:val="both"/>
        <w:rPr>
          <w:snapToGrid w:val="0"/>
          <w:sz w:val="24"/>
          <w:szCs w:val="24"/>
          <w:lang w:eastAsia="zh-CN"/>
        </w:rPr>
      </w:pPr>
      <w:r>
        <w:rPr>
          <w:rFonts w:hint="eastAsia"/>
          <w:snapToGrid w:val="0"/>
          <w:sz w:val="24"/>
          <w:szCs w:val="24"/>
          <w:lang w:eastAsia="zh-CN"/>
        </w:rPr>
        <w:t>4.3逾期送达的、未送达指定地点的或者不按照询价文件要求密封的报价文件，将予以拒收。</w:t>
      </w:r>
    </w:p>
    <w:p>
      <w:pPr>
        <w:spacing w:line="510" w:lineRule="exact"/>
        <w:ind w:firstLine="480" w:firstLineChars="200"/>
        <w:jc w:val="both"/>
        <w:rPr>
          <w:rFonts w:ascii="Times New Roman" w:hAnsi="Times New Roman" w:eastAsia="方正仿宋_GBK" w:cs="Times New Roman"/>
          <w:bCs/>
          <w:sz w:val="32"/>
          <w:szCs w:val="32"/>
          <w:lang w:eastAsia="zh-CN"/>
        </w:rPr>
      </w:pPr>
      <w:r>
        <w:rPr>
          <w:rFonts w:hint="eastAsia"/>
          <w:snapToGrid w:val="0"/>
          <w:sz w:val="24"/>
          <w:szCs w:val="24"/>
          <w:lang w:eastAsia="zh-CN"/>
        </w:rPr>
        <w:t>4.4采用邮寄等其他方式递交报价文件的，所有风险由报价人自行承担。</w:t>
      </w:r>
    </w:p>
    <w:p>
      <w:pPr>
        <w:pStyle w:val="4"/>
        <w:spacing w:line="510" w:lineRule="exact"/>
        <w:rPr>
          <w:rFonts w:ascii="Times New Roman" w:hAnsi="Times New Roman" w:eastAsia="黑体" w:cs="Times New Roman"/>
          <w:b w:val="0"/>
          <w:sz w:val="30"/>
          <w:szCs w:val="30"/>
          <w:lang w:eastAsia="zh-CN"/>
        </w:rPr>
      </w:pPr>
      <w:bookmarkStart w:id="37" w:name="_Toc20420"/>
      <w:bookmarkStart w:id="38" w:name="_Toc3769"/>
      <w:bookmarkStart w:id="39" w:name="_Toc6944"/>
      <w:bookmarkStart w:id="40" w:name="_Toc29169"/>
      <w:r>
        <w:rPr>
          <w:rFonts w:ascii="Times New Roman" w:hAnsi="Times New Roman" w:eastAsia="黑体" w:cs="Times New Roman"/>
          <w:b w:val="0"/>
          <w:sz w:val="30"/>
          <w:szCs w:val="30"/>
          <w:lang w:eastAsia="zh-CN"/>
        </w:rPr>
        <w:t>5.发布公告的媒介</w:t>
      </w:r>
      <w:bookmarkEnd w:id="37"/>
      <w:bookmarkEnd w:id="38"/>
      <w:bookmarkEnd w:id="39"/>
      <w:bookmarkEnd w:id="40"/>
    </w:p>
    <w:p>
      <w:pPr>
        <w:spacing w:line="510" w:lineRule="exact"/>
        <w:ind w:firstLine="480" w:firstLineChars="200"/>
        <w:jc w:val="both"/>
        <w:rPr>
          <w:snapToGrid w:val="0"/>
          <w:sz w:val="24"/>
          <w:szCs w:val="24"/>
          <w:lang w:eastAsia="zh-CN"/>
        </w:rPr>
      </w:pPr>
      <w:r>
        <w:rPr>
          <w:rFonts w:hint="eastAsia"/>
          <w:snapToGrid w:val="0"/>
          <w:sz w:val="24"/>
          <w:szCs w:val="24"/>
          <w:lang w:eastAsia="zh-CN"/>
        </w:rPr>
        <w:t>5.1本次询价公告及结果公示将在重庆高速公路集团官方网站（https://www.cegc.com.cn/index.html）上发布。</w:t>
      </w:r>
    </w:p>
    <w:p>
      <w:pPr>
        <w:spacing w:line="510" w:lineRule="exact"/>
        <w:ind w:firstLine="480" w:firstLineChars="200"/>
        <w:jc w:val="both"/>
        <w:rPr>
          <w:rFonts w:ascii="Times New Roman" w:hAnsi="Times New Roman" w:eastAsia="方正仿宋_GBK" w:cs="Times New Roman"/>
          <w:bCs/>
          <w:sz w:val="32"/>
          <w:szCs w:val="32"/>
          <w:lang w:eastAsia="zh-CN"/>
        </w:rPr>
      </w:pPr>
      <w:r>
        <w:rPr>
          <w:rFonts w:hint="eastAsia"/>
          <w:snapToGrid w:val="0"/>
          <w:sz w:val="24"/>
          <w:szCs w:val="24"/>
          <w:lang w:eastAsia="zh-CN"/>
        </w:rPr>
        <w:t>5.2凡愿意参加的单位，从公告发布之日起至报价递交截止时间前，在本项目公开询价公告中的获取方式（链接）自行下载询价文件。本项目不需要报名，直接提交报价文件。</w:t>
      </w:r>
    </w:p>
    <w:p>
      <w:pPr>
        <w:spacing w:line="510" w:lineRule="exact"/>
        <w:ind w:firstLine="600" w:firstLineChars="200"/>
        <w:jc w:val="both"/>
        <w:rPr>
          <w:rFonts w:ascii="黑体" w:hAnsi="黑体" w:eastAsia="黑体" w:cs="黑体"/>
          <w:sz w:val="30"/>
          <w:szCs w:val="30"/>
          <w:lang w:eastAsia="zh-CN"/>
        </w:rPr>
      </w:pPr>
      <w:r>
        <w:rPr>
          <w:rFonts w:hint="eastAsia" w:ascii="黑体" w:hAnsi="黑体" w:eastAsia="黑体" w:cs="黑体"/>
          <w:sz w:val="30"/>
          <w:szCs w:val="30"/>
          <w:lang w:eastAsia="zh-CN"/>
        </w:rPr>
        <w:t>6.联系方式</w:t>
      </w:r>
    </w:p>
    <w:p>
      <w:pPr>
        <w:tabs>
          <w:tab w:val="left" w:pos="3840"/>
          <w:tab w:val="left" w:pos="5300"/>
        </w:tabs>
        <w:autoSpaceDE w:val="0"/>
        <w:autoSpaceDN w:val="0"/>
        <w:adjustRightInd w:val="0"/>
        <w:snapToGrid w:val="0"/>
        <w:spacing w:line="460" w:lineRule="exact"/>
        <w:ind w:firstLine="480" w:firstLineChars="200"/>
        <w:rPr>
          <w:snapToGrid w:val="0"/>
          <w:sz w:val="24"/>
          <w:szCs w:val="24"/>
          <w:lang w:eastAsia="zh-CN"/>
        </w:rPr>
      </w:pPr>
      <w:r>
        <w:rPr>
          <w:rFonts w:hint="eastAsia"/>
          <w:snapToGrid w:val="0"/>
          <w:sz w:val="24"/>
          <w:szCs w:val="24"/>
          <w:lang w:eastAsia="zh-CN"/>
        </w:rPr>
        <w:t>询价人：重庆双江航运发展有限公司</w:t>
      </w:r>
    </w:p>
    <w:p>
      <w:pPr>
        <w:tabs>
          <w:tab w:val="left" w:pos="3840"/>
          <w:tab w:val="left" w:pos="5300"/>
        </w:tabs>
        <w:autoSpaceDE w:val="0"/>
        <w:autoSpaceDN w:val="0"/>
        <w:adjustRightInd w:val="0"/>
        <w:snapToGrid w:val="0"/>
        <w:spacing w:line="460" w:lineRule="exact"/>
        <w:ind w:firstLine="480" w:firstLineChars="200"/>
        <w:rPr>
          <w:snapToGrid w:val="0"/>
          <w:sz w:val="24"/>
          <w:szCs w:val="24"/>
          <w:lang w:eastAsia="zh-CN"/>
        </w:rPr>
      </w:pPr>
      <w:r>
        <w:rPr>
          <w:rFonts w:hint="eastAsia"/>
          <w:snapToGrid w:val="0"/>
          <w:sz w:val="24"/>
          <w:szCs w:val="24"/>
          <w:lang w:eastAsia="zh-CN"/>
        </w:rPr>
        <w:t>地  址：重庆市潼南区桂林街道春阳街460号</w:t>
      </w:r>
    </w:p>
    <w:p>
      <w:pPr>
        <w:tabs>
          <w:tab w:val="left" w:pos="3840"/>
          <w:tab w:val="left" w:pos="5300"/>
        </w:tabs>
        <w:autoSpaceDE w:val="0"/>
        <w:autoSpaceDN w:val="0"/>
        <w:adjustRightInd w:val="0"/>
        <w:snapToGrid w:val="0"/>
        <w:spacing w:line="460" w:lineRule="exact"/>
        <w:ind w:firstLine="480" w:firstLineChars="200"/>
        <w:rPr>
          <w:snapToGrid w:val="0"/>
          <w:sz w:val="24"/>
          <w:szCs w:val="24"/>
          <w:lang w:eastAsia="zh-CN"/>
        </w:rPr>
      </w:pPr>
      <w:r>
        <w:rPr>
          <w:rFonts w:hint="eastAsia"/>
          <w:snapToGrid w:val="0"/>
          <w:sz w:val="24"/>
          <w:szCs w:val="24"/>
          <w:lang w:eastAsia="zh-CN"/>
        </w:rPr>
        <w:t>联系人：支先生</w:t>
      </w:r>
    </w:p>
    <w:p>
      <w:pPr>
        <w:tabs>
          <w:tab w:val="left" w:pos="3840"/>
          <w:tab w:val="left" w:pos="5300"/>
        </w:tabs>
        <w:autoSpaceDE w:val="0"/>
        <w:autoSpaceDN w:val="0"/>
        <w:adjustRightInd w:val="0"/>
        <w:snapToGrid w:val="0"/>
        <w:spacing w:line="460" w:lineRule="exact"/>
        <w:ind w:firstLine="480" w:firstLineChars="200"/>
        <w:rPr>
          <w:snapToGrid w:val="0"/>
          <w:sz w:val="24"/>
          <w:szCs w:val="24"/>
          <w:lang w:eastAsia="zh-CN"/>
        </w:rPr>
      </w:pPr>
      <w:r>
        <w:rPr>
          <w:rFonts w:hint="eastAsia"/>
          <w:snapToGrid w:val="0"/>
          <w:sz w:val="24"/>
          <w:szCs w:val="24"/>
          <w:lang w:eastAsia="zh-CN"/>
        </w:rPr>
        <w:t>电  话：</w:t>
      </w:r>
      <w:r>
        <w:rPr>
          <w:snapToGrid w:val="0"/>
          <w:szCs w:val="21"/>
          <w:lang w:eastAsia="zh-CN"/>
        </w:rPr>
        <w:t>023-87288000</w:t>
      </w:r>
    </w:p>
    <w:p>
      <w:pPr>
        <w:spacing w:line="510" w:lineRule="exact"/>
        <w:ind w:firstLine="600" w:firstLineChars="200"/>
        <w:jc w:val="both"/>
        <w:rPr>
          <w:rFonts w:ascii="黑体" w:hAnsi="黑体" w:eastAsia="黑体" w:cs="黑体"/>
          <w:sz w:val="30"/>
          <w:szCs w:val="30"/>
          <w:lang w:eastAsia="zh-CN"/>
        </w:rPr>
      </w:pPr>
      <w:r>
        <w:rPr>
          <w:rFonts w:hint="eastAsia" w:ascii="黑体" w:hAnsi="黑体" w:eastAsia="黑体" w:cs="黑体"/>
          <w:sz w:val="30"/>
          <w:szCs w:val="30"/>
          <w:lang w:eastAsia="zh-CN"/>
        </w:rPr>
        <w:t>7.监督部门</w:t>
      </w:r>
    </w:p>
    <w:p>
      <w:pPr>
        <w:tabs>
          <w:tab w:val="left" w:pos="3840"/>
          <w:tab w:val="left" w:pos="5300"/>
        </w:tabs>
        <w:autoSpaceDE w:val="0"/>
        <w:autoSpaceDN w:val="0"/>
        <w:adjustRightInd w:val="0"/>
        <w:snapToGrid w:val="0"/>
        <w:spacing w:line="460" w:lineRule="exact"/>
        <w:ind w:firstLine="480" w:firstLineChars="200"/>
        <w:rPr>
          <w:snapToGrid w:val="0"/>
          <w:sz w:val="24"/>
          <w:szCs w:val="24"/>
          <w:lang w:eastAsia="zh-CN"/>
        </w:rPr>
      </w:pPr>
      <w:r>
        <w:rPr>
          <w:rFonts w:hint="eastAsia"/>
          <w:snapToGrid w:val="0"/>
          <w:sz w:val="24"/>
          <w:szCs w:val="24"/>
          <w:lang w:eastAsia="zh-CN"/>
        </w:rPr>
        <w:t>监督部门：重庆双江航运发展有限公司</w:t>
      </w:r>
    </w:p>
    <w:p>
      <w:pPr>
        <w:tabs>
          <w:tab w:val="left" w:pos="3840"/>
          <w:tab w:val="left" w:pos="5300"/>
        </w:tabs>
        <w:autoSpaceDE w:val="0"/>
        <w:autoSpaceDN w:val="0"/>
        <w:adjustRightInd w:val="0"/>
        <w:snapToGrid w:val="0"/>
        <w:spacing w:line="460" w:lineRule="exact"/>
        <w:ind w:firstLine="480" w:firstLineChars="200"/>
        <w:rPr>
          <w:snapToGrid w:val="0"/>
          <w:sz w:val="24"/>
          <w:szCs w:val="24"/>
          <w:lang w:eastAsia="zh-CN"/>
        </w:rPr>
      </w:pPr>
      <w:r>
        <w:rPr>
          <w:rFonts w:hint="eastAsia"/>
          <w:snapToGrid w:val="0"/>
          <w:sz w:val="24"/>
          <w:szCs w:val="24"/>
          <w:lang w:eastAsia="zh-CN"/>
        </w:rPr>
        <w:t>联系电话：023-87285692</w:t>
      </w:r>
    </w:p>
    <w:p>
      <w:pPr>
        <w:jc w:val="right"/>
        <w:rPr>
          <w:lang w:eastAsia="zh-CN"/>
        </w:rPr>
      </w:pPr>
      <w:r>
        <w:rPr>
          <w:lang w:eastAsia="zh-CN"/>
        </w:rPr>
        <w:br w:type="page"/>
      </w:r>
    </w:p>
    <w:p>
      <w:pPr>
        <w:jc w:val="right"/>
        <w:rPr>
          <w:lang w:eastAsia="zh-CN"/>
        </w:rPr>
      </w:pPr>
    </w:p>
    <w:p>
      <w:pPr>
        <w:widowControl/>
        <w:rPr>
          <w:rFonts w:ascii="Times New Roman" w:hAnsi="Times New Roman" w:eastAsia="方正小标宋_GBK" w:cs="Times New Roman"/>
          <w:bCs/>
          <w:sz w:val="44"/>
          <w:szCs w:val="44"/>
          <w:lang w:eastAsia="zh-CN"/>
        </w:rPr>
      </w:pP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41" w:name="_Toc6594"/>
      <w:bookmarkStart w:id="42" w:name="_Toc2577"/>
      <w:bookmarkStart w:id="43" w:name="_Toc6116"/>
      <w:bookmarkStart w:id="44" w:name="_Toc22272"/>
      <w:r>
        <w:rPr>
          <w:rFonts w:ascii="Times New Roman" w:hAnsi="Times New Roman" w:eastAsia="方正小标宋_GBK" w:cs="Times New Roman"/>
          <w:bCs/>
          <w:sz w:val="44"/>
          <w:szCs w:val="44"/>
          <w:lang w:val="zh-CN" w:eastAsia="zh-CN"/>
        </w:rPr>
        <w:t>第二章 报价文件要求与评审办法</w:t>
      </w:r>
      <w:bookmarkEnd w:id="41"/>
      <w:bookmarkEnd w:id="42"/>
      <w:bookmarkEnd w:id="43"/>
      <w:bookmarkEnd w:id="44"/>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bookmarkStart w:id="45" w:name="_Toc28459"/>
      <w:bookmarkStart w:id="46" w:name="_Toc31278"/>
      <w:bookmarkStart w:id="47" w:name="_Toc13314"/>
      <w:bookmarkStart w:id="48" w:name="_Toc31559"/>
      <w:r>
        <w:rPr>
          <w:rFonts w:ascii="Times New Roman" w:hAnsi="Times New Roman" w:eastAsia="黑体" w:cs="Times New Roman"/>
          <w:b w:val="0"/>
          <w:sz w:val="30"/>
          <w:szCs w:val="30"/>
          <w:lang w:eastAsia="zh-CN"/>
        </w:rPr>
        <w:t>1.报价文件要求</w:t>
      </w:r>
      <w:bookmarkEnd w:id="45"/>
      <w:bookmarkEnd w:id="46"/>
      <w:bookmarkEnd w:id="47"/>
      <w:bookmarkEnd w:id="48"/>
    </w:p>
    <w:p>
      <w:pPr>
        <w:spacing w:line="510" w:lineRule="exact"/>
        <w:ind w:firstLine="480" w:firstLineChars="200"/>
        <w:jc w:val="both"/>
        <w:rPr>
          <w:snapToGrid w:val="0"/>
          <w:sz w:val="24"/>
          <w:szCs w:val="24"/>
          <w:lang w:eastAsia="zh-CN"/>
        </w:rPr>
      </w:pPr>
      <w:r>
        <w:rPr>
          <w:rFonts w:hint="eastAsia"/>
          <w:snapToGrid w:val="0"/>
          <w:sz w:val="24"/>
          <w:szCs w:val="24"/>
          <w:lang w:eastAsia="zh-CN"/>
        </w:rPr>
        <w:t>1.1本项目总价最高限价为人民币</w:t>
      </w:r>
      <w:r>
        <w:rPr>
          <w:rFonts w:hint="eastAsia"/>
          <w:snapToGrid w:val="0"/>
          <w:sz w:val="24"/>
          <w:szCs w:val="24"/>
          <w:lang w:val="en-US" w:eastAsia="zh-CN"/>
        </w:rPr>
        <w:t>1360000</w:t>
      </w:r>
      <w:r>
        <w:rPr>
          <w:rFonts w:hint="eastAsia"/>
          <w:snapToGrid w:val="0"/>
          <w:sz w:val="24"/>
          <w:szCs w:val="24"/>
          <w:lang w:eastAsia="zh-CN"/>
        </w:rPr>
        <w:t>元整（￥</w:t>
      </w:r>
      <w:r>
        <w:rPr>
          <w:rFonts w:hint="eastAsia"/>
          <w:snapToGrid w:val="0"/>
          <w:sz w:val="24"/>
          <w:szCs w:val="24"/>
          <w:lang w:val="en-US" w:eastAsia="zh-CN"/>
        </w:rPr>
        <w:t>136</w:t>
      </w:r>
      <w:r>
        <w:rPr>
          <w:rFonts w:hint="eastAsia"/>
          <w:snapToGrid w:val="0"/>
          <w:sz w:val="24"/>
          <w:szCs w:val="24"/>
          <w:lang w:eastAsia="zh-CN"/>
        </w:rPr>
        <w:t>万元）。报价人的报价不得高于最高限价，否则其报价文件将被否决。其它要求详见报价表中的报价说明。</w:t>
      </w:r>
    </w:p>
    <w:p>
      <w:pPr>
        <w:spacing w:line="510" w:lineRule="exact"/>
        <w:ind w:firstLine="480" w:firstLineChars="200"/>
        <w:jc w:val="both"/>
        <w:rPr>
          <w:snapToGrid w:val="0"/>
          <w:sz w:val="24"/>
          <w:szCs w:val="24"/>
          <w:lang w:eastAsia="zh-CN"/>
        </w:rPr>
      </w:pPr>
      <w:r>
        <w:rPr>
          <w:rFonts w:hint="eastAsia"/>
          <w:snapToGrid w:val="0"/>
          <w:sz w:val="24"/>
          <w:szCs w:val="24"/>
          <w:lang w:eastAsia="zh-CN"/>
        </w:rPr>
        <w:t>1.2报价文件内容格式详见第四章格式要求；装订采用A4纸幅面。</w:t>
      </w:r>
    </w:p>
    <w:p>
      <w:pPr>
        <w:spacing w:line="510" w:lineRule="exact"/>
        <w:ind w:firstLine="480" w:firstLineChars="200"/>
        <w:jc w:val="both"/>
        <w:rPr>
          <w:snapToGrid w:val="0"/>
          <w:sz w:val="24"/>
          <w:szCs w:val="24"/>
          <w:lang w:eastAsia="zh-CN"/>
        </w:rPr>
      </w:pPr>
      <w:r>
        <w:rPr>
          <w:rFonts w:hint="eastAsia"/>
          <w:snapToGrid w:val="0"/>
          <w:sz w:val="24"/>
          <w:szCs w:val="24"/>
          <w:lang w:eastAsia="zh-CN"/>
        </w:rPr>
        <w:t>1.3报价文件应装入封套，密封完好并在封口处加盖报价人单位公章，否则其报价文件将被否决。封套上应注明：</w:t>
      </w:r>
      <w:r>
        <w:rPr>
          <w:rFonts w:hint="eastAsia"/>
          <w:snapToGrid w:val="0"/>
          <w:sz w:val="24"/>
          <w:szCs w:val="24"/>
          <w:u w:val="single"/>
          <w:lang w:eastAsia="zh-CN"/>
        </w:rPr>
        <w:t>双江航电直流系统</w:t>
      </w:r>
      <w:r>
        <w:rPr>
          <w:rFonts w:hint="eastAsia"/>
          <w:snapToGrid w:val="0"/>
          <w:sz w:val="24"/>
          <w:szCs w:val="24"/>
          <w:lang w:eastAsia="zh-CN"/>
        </w:rPr>
        <w:t>项目，以及提交报价文件当天日期。</w:t>
      </w:r>
    </w:p>
    <w:p>
      <w:pPr>
        <w:pStyle w:val="4"/>
        <w:spacing w:line="510" w:lineRule="exact"/>
        <w:ind w:firstLine="600" w:firstLineChars="200"/>
        <w:jc w:val="both"/>
        <w:rPr>
          <w:rFonts w:ascii="Times New Roman" w:hAnsi="Times New Roman" w:eastAsia="黑体" w:cs="Times New Roman"/>
          <w:b w:val="0"/>
          <w:sz w:val="30"/>
          <w:szCs w:val="30"/>
          <w:lang w:eastAsia="zh-CN"/>
        </w:rPr>
      </w:pPr>
      <w:r>
        <w:rPr>
          <w:rFonts w:ascii="Times New Roman" w:hAnsi="Times New Roman" w:eastAsia="黑体" w:cs="Times New Roman"/>
          <w:b w:val="0"/>
          <w:sz w:val="30"/>
          <w:szCs w:val="30"/>
          <w:lang w:eastAsia="zh-CN"/>
        </w:rPr>
        <w:t>2.评审办法</w:t>
      </w:r>
    </w:p>
    <w:p>
      <w:pPr>
        <w:spacing w:line="510" w:lineRule="exact"/>
        <w:ind w:firstLine="480" w:firstLineChars="200"/>
        <w:jc w:val="both"/>
        <w:rPr>
          <w:snapToGrid w:val="0"/>
          <w:sz w:val="24"/>
          <w:szCs w:val="24"/>
          <w:lang w:eastAsia="zh-CN"/>
        </w:rPr>
      </w:pPr>
      <w:r>
        <w:rPr>
          <w:rFonts w:hint="eastAsia"/>
          <w:snapToGrid w:val="0"/>
          <w:sz w:val="24"/>
          <w:szCs w:val="24"/>
          <w:lang w:eastAsia="zh-CN"/>
        </w:rPr>
        <w:t>本项目采用经评审的最低价法。</w:t>
      </w:r>
    </w:p>
    <w:p>
      <w:pPr>
        <w:widowControl/>
        <w:spacing w:line="360" w:lineRule="auto"/>
        <w:jc w:val="center"/>
        <w:outlineLvl w:val="0"/>
        <w:rPr>
          <w:b/>
          <w:sz w:val="28"/>
          <w:szCs w:val="28"/>
          <w:u w:val="single"/>
          <w:lang w:eastAsia="zh-CN"/>
        </w:rPr>
      </w:pPr>
      <w:bookmarkStart w:id="49" w:name="_Toc113559467"/>
    </w:p>
    <w:p>
      <w:pPr>
        <w:widowControl/>
        <w:spacing w:line="360" w:lineRule="auto"/>
        <w:jc w:val="center"/>
        <w:outlineLvl w:val="0"/>
        <w:rPr>
          <w:b/>
          <w:sz w:val="28"/>
          <w:szCs w:val="28"/>
          <w:u w:val="single"/>
          <w:lang w:eastAsia="zh-CN"/>
        </w:rPr>
      </w:pPr>
      <w:r>
        <w:rPr>
          <w:rFonts w:hint="eastAsia"/>
          <w:b/>
          <w:sz w:val="28"/>
          <w:szCs w:val="28"/>
          <w:u w:val="single"/>
          <w:lang w:eastAsia="zh-CN"/>
        </w:rPr>
        <w:t>附件：经评审的最低价法否决报价情况一览表</w:t>
      </w:r>
      <w:bookmarkEnd w:id="49"/>
    </w:p>
    <w:p>
      <w:pPr>
        <w:widowControl/>
        <w:spacing w:line="360" w:lineRule="auto"/>
        <w:ind w:firstLine="440" w:firstLineChars="200"/>
        <w:rPr>
          <w:szCs w:val="21"/>
          <w:lang w:eastAsia="zh-CN"/>
        </w:rPr>
      </w:pPr>
      <w:r>
        <w:rPr>
          <w:rFonts w:hint="eastAsia"/>
          <w:szCs w:val="21"/>
          <w:lang w:eastAsia="zh-CN"/>
        </w:rPr>
        <w:t>报价文件存在本一览表下列情形之一的，报价文件视为重大偏差并作否决报价处理，否则，评标小组不得视为重大偏差而否决报价人的报价文件。</w:t>
      </w:r>
    </w:p>
    <w:tbl>
      <w:tblPr>
        <w:tblStyle w:val="44"/>
        <w:tblW w:w="904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898"/>
        <w:gridCol w:w="714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tcBorders>
              <w:top w:val="single" w:color="000000" w:sz="8" w:space="0"/>
              <w:left w:val="single" w:color="000000" w:sz="8" w:space="0"/>
              <w:bottom w:val="single" w:color="000000" w:sz="4" w:space="0"/>
              <w:right w:val="single" w:color="000000" w:sz="4" w:space="0"/>
            </w:tcBorders>
            <w:vAlign w:val="center"/>
          </w:tcPr>
          <w:p>
            <w:pPr>
              <w:spacing w:line="400" w:lineRule="exact"/>
              <w:jc w:val="center"/>
              <w:rPr>
                <w:b/>
                <w:szCs w:val="21"/>
              </w:rPr>
            </w:pPr>
            <w:r>
              <w:rPr>
                <w:rFonts w:hint="eastAsia"/>
                <w:b/>
                <w:szCs w:val="21"/>
              </w:rPr>
              <w:t>条款名称</w:t>
            </w:r>
          </w:p>
        </w:tc>
        <w:tc>
          <w:tcPr>
            <w:tcW w:w="7147" w:type="dxa"/>
            <w:tcBorders>
              <w:top w:val="single" w:color="000000" w:sz="8" w:space="0"/>
              <w:left w:val="single" w:color="000000" w:sz="4" w:space="0"/>
              <w:bottom w:val="single" w:color="000000" w:sz="4" w:space="0"/>
              <w:right w:val="single" w:color="000000" w:sz="8" w:space="0"/>
            </w:tcBorders>
            <w:vAlign w:val="center"/>
          </w:tcPr>
          <w:p>
            <w:pPr>
              <w:spacing w:line="400" w:lineRule="exact"/>
              <w:jc w:val="center"/>
              <w:rPr>
                <w:b/>
                <w:szCs w:val="21"/>
              </w:rPr>
            </w:pPr>
            <w:r>
              <w:rPr>
                <w:rFonts w:hint="eastAsia"/>
                <w:b/>
                <w:szCs w:val="21"/>
              </w:rPr>
              <w:t>否决</w:t>
            </w:r>
            <w:r>
              <w:rPr>
                <w:rFonts w:hint="eastAsia"/>
                <w:b/>
                <w:szCs w:val="21"/>
                <w:lang w:eastAsia="zh-CN"/>
              </w:rPr>
              <w:t>报价</w:t>
            </w:r>
            <w:r>
              <w:rPr>
                <w:rFonts w:hint="eastAsia"/>
                <w:b/>
                <w:szCs w:val="21"/>
              </w:rPr>
              <w:t>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8" w:type="dxa"/>
            <w:vMerge w:val="restart"/>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szCs w:val="21"/>
              </w:rPr>
            </w:pPr>
            <w:r>
              <w:rPr>
                <w:rFonts w:hint="eastAsia"/>
                <w:szCs w:val="21"/>
              </w:rPr>
              <w:t>资格评审</w:t>
            </w: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A-1报价人的营业执照须满足询价公告3.报价人资格要求的要求，否则由评标小组作否决报价处理。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A-2报价人的业绩须满足询价公告3.报价人资格要求的要求，否则由评标小组作否决报价处理（如有）。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A-3报价人的报价截止日报价资格情况须满足询价公告3.报价人资格要求的要求，否则由评标小组作否决报价处理。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A-4报价人的其他要求须满足询价公告3.报价人资格要求的要求，否则由评标小组作否决报价处理。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restart"/>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szCs w:val="21"/>
              </w:rPr>
            </w:pPr>
            <w:r>
              <w:rPr>
                <w:rFonts w:hint="eastAsia"/>
                <w:szCs w:val="21"/>
              </w:rPr>
              <w:t>形式评审</w:t>
            </w: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A-5报价人名称必须与营业执照一致，依法变更名称的应提交相应证明材料，否则由评标小组作否决报价处理。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A-6编制报价文件时不得对第四章“报价文件格式”的相应要素作实质性修改，否则视为重大偏差，由评标小组作否决报价处理。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A-7第四章 报价文件格式</w:t>
            </w:r>
            <w:r>
              <w:rPr>
                <w:rFonts w:hint="eastAsia"/>
                <w:lang w:eastAsia="zh-CN"/>
              </w:rPr>
              <w:t>（不含报价函部分）</w:t>
            </w:r>
            <w:r>
              <w:rPr>
                <w:rFonts w:hint="eastAsia"/>
                <w:szCs w:val="21"/>
                <w:lang w:eastAsia="zh-CN"/>
              </w:rPr>
              <w:t>要求法定代表人或其委托代理人签名（或盖章）的须齐全</w:t>
            </w:r>
            <w:r>
              <w:rPr>
                <w:rFonts w:hint="eastAsia"/>
                <w:lang w:eastAsia="zh-CN"/>
              </w:rPr>
              <w:t>。要求签名的，签名采用手写签名或签章均可。</w:t>
            </w:r>
            <w:r>
              <w:rPr>
                <w:rFonts w:hint="eastAsia"/>
                <w:szCs w:val="21"/>
                <w:lang w:eastAsia="zh-CN"/>
              </w:rPr>
              <w:t>否则由评标小组作否决报价处理。</w:t>
            </w:r>
          </w:p>
          <w:p>
            <w:pPr>
              <w:spacing w:line="400" w:lineRule="exact"/>
              <w:ind w:firstLine="440" w:firstLineChars="200"/>
              <w:rPr>
                <w:szCs w:val="21"/>
                <w:lang w:eastAsia="zh-CN"/>
              </w:rPr>
            </w:pPr>
            <w:r>
              <w:rPr>
                <w:rFonts w:hint="eastAsia"/>
                <w:lang w:eastAsia="zh-CN"/>
              </w:rPr>
              <w:t>第四章 报价文件格式（不含报价函部分）要求加盖单位</w:t>
            </w:r>
            <w:r>
              <w:rPr>
                <w:rFonts w:hint="eastAsia"/>
                <w:szCs w:val="21"/>
                <w:lang w:eastAsia="zh-CN"/>
              </w:rPr>
              <w:t>法人章的须齐全</w:t>
            </w:r>
            <w:r>
              <w:rPr>
                <w:rFonts w:hint="eastAsia"/>
                <w:lang w:eastAsia="zh-CN"/>
              </w:rPr>
              <w:t>，</w:t>
            </w:r>
            <w:r>
              <w:rPr>
                <w:rFonts w:hint="eastAsia"/>
                <w:szCs w:val="21"/>
                <w:lang w:eastAsia="zh-CN"/>
              </w:rPr>
              <w:t>否则由评标小组作否决报价处理</w:t>
            </w:r>
            <w:r>
              <w:rPr>
                <w:rFonts w:hint="eastAsia"/>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A-8报价人法定代表人的委托代理人有法定代表人签署的授权委托书，否则由评标小组作否决报价处理。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restart"/>
            <w:tcBorders>
              <w:top w:val="single" w:color="000000" w:sz="4" w:space="0"/>
              <w:left w:val="single" w:color="000000" w:sz="8" w:space="0"/>
              <w:right w:val="single" w:color="000000" w:sz="4" w:space="0"/>
            </w:tcBorders>
            <w:vAlign w:val="center"/>
          </w:tcPr>
          <w:p>
            <w:pPr>
              <w:widowControl/>
              <w:jc w:val="center"/>
              <w:rPr>
                <w:szCs w:val="21"/>
              </w:rPr>
            </w:pPr>
            <w:r>
              <w:rPr>
                <w:rFonts w:hint="eastAsia"/>
                <w:szCs w:val="21"/>
              </w:rPr>
              <w:t>响应性评审</w:t>
            </w: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A-9报价内容符合询价公告规定，否则由评标小组作否决报价处理。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left w:val="single" w:color="000000" w:sz="8"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rPr>
            </w:pPr>
            <w:r>
              <w:rPr>
                <w:rFonts w:hint="eastAsia"/>
                <w:szCs w:val="21"/>
                <w:lang w:eastAsia="zh-CN"/>
              </w:rPr>
              <w:t>A-10符合第三章“合同条款及格式”规定，报价文件不应附有询价人不能接受的条件。否则由评标小组作否决报价处理。</w:t>
            </w:r>
            <w:r>
              <w:rPr>
                <w:rFonts w:hint="eastAsia"/>
                <w:lang w:eastAsia="zh-CN"/>
              </w:rPr>
              <w:t>（由报价人承诺，承诺书格式详见第六章报价文件格式。</w:t>
            </w:r>
            <w:r>
              <w:rPr>
                <w:rFonts w:hint="eastAsia"/>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left w:val="single" w:color="000000" w:sz="8" w:space="0"/>
              <w:right w:val="single" w:color="000000" w:sz="4" w:space="0"/>
            </w:tcBorders>
            <w:vAlign w:val="center"/>
          </w:tcPr>
          <w:p>
            <w:pPr>
              <w:widowControl/>
              <w:rPr>
                <w:szCs w:val="21"/>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A-11</w:t>
            </w:r>
            <w:r>
              <w:rPr>
                <w:rFonts w:hint="eastAsia"/>
                <w:lang w:eastAsia="zh-CN"/>
              </w:rPr>
              <w:t>供货要求应</w:t>
            </w:r>
            <w:r>
              <w:rPr>
                <w:rFonts w:hint="eastAsia"/>
                <w:lang w:val="en-US" w:eastAsia="zh-CN"/>
              </w:rPr>
              <w:t>满足</w:t>
            </w:r>
            <w:r>
              <w:rPr>
                <w:rFonts w:hint="eastAsia"/>
                <w:lang w:eastAsia="zh-CN"/>
              </w:rPr>
              <w:t>第五章“</w:t>
            </w:r>
            <w:r>
              <w:rPr>
                <w:rFonts w:hint="eastAsia"/>
                <w:lang w:val="zh-CN" w:eastAsia="zh-CN"/>
              </w:rPr>
              <w:t>技术标准和要求</w:t>
            </w:r>
            <w:r>
              <w:rPr>
                <w:rFonts w:hint="eastAsia"/>
                <w:lang w:eastAsia="zh-CN"/>
              </w:rPr>
              <w:t>”中的</w:t>
            </w:r>
            <w:r>
              <w:rPr>
                <w:rFonts w:hint="eastAsia"/>
                <w:sz w:val="22"/>
                <w:szCs w:val="22"/>
                <w:lang w:val="en-US" w:eastAsia="zh-CN"/>
              </w:rPr>
              <w:t>主要技术指标表</w:t>
            </w:r>
            <w:r>
              <w:rPr>
                <w:rFonts w:hint="eastAsia"/>
                <w:lang w:eastAsia="zh-CN"/>
              </w:rPr>
              <w:t>要求。由报价人承诺，承诺书格式详见</w:t>
            </w:r>
            <w:r>
              <w:rPr>
                <w:rFonts w:hint="eastAsia"/>
                <w:szCs w:val="21"/>
                <w:lang w:eastAsia="zh-CN"/>
              </w:rPr>
              <w:t>第四章</w:t>
            </w:r>
            <w:r>
              <w:rPr>
                <w:rFonts w:hint="eastAsia"/>
                <w:lang w:eastAsia="zh-CN"/>
              </w:rPr>
              <w:t>报价文件格式，</w:t>
            </w:r>
            <w:r>
              <w:rPr>
                <w:rFonts w:hint="eastAsia"/>
                <w:szCs w:val="21"/>
                <w:lang w:eastAsia="zh-CN"/>
              </w:rPr>
              <w:t>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tcPr>
          <w:p>
            <w:pPr>
              <w:spacing w:line="400" w:lineRule="exact"/>
              <w:ind w:firstLine="440" w:firstLineChars="200"/>
              <w:rPr>
                <w:szCs w:val="21"/>
                <w:lang w:eastAsia="zh-CN"/>
              </w:rPr>
            </w:pPr>
            <w:r>
              <w:rPr>
                <w:rFonts w:hint="eastAsia"/>
                <w:szCs w:val="21"/>
                <w:lang w:eastAsia="zh-CN"/>
              </w:rPr>
              <w:t>A-12报价人有以下情形之一的，其报价文件由评标小组作否决报价处理：</w:t>
            </w:r>
          </w:p>
          <w:p>
            <w:pPr>
              <w:spacing w:line="400" w:lineRule="exact"/>
              <w:ind w:firstLine="440" w:firstLineChars="200"/>
              <w:rPr>
                <w:szCs w:val="21"/>
                <w:lang w:eastAsia="zh-CN"/>
              </w:rPr>
            </w:pPr>
            <w:r>
              <w:rPr>
                <w:rFonts w:hint="eastAsia"/>
                <w:szCs w:val="21"/>
                <w:lang w:eastAsia="zh-CN"/>
              </w:rPr>
              <w:t>1.询价公告3</w:t>
            </w:r>
            <w:r>
              <w:rPr>
                <w:rFonts w:hint="eastAsia"/>
                <w:szCs w:val="21"/>
                <w:lang w:val="en-US" w:eastAsia="zh-CN"/>
              </w:rPr>
              <w:t>.3</w:t>
            </w:r>
            <w:r>
              <w:rPr>
                <w:rFonts w:hint="eastAsia"/>
                <w:szCs w:val="21"/>
                <w:lang w:eastAsia="zh-CN"/>
              </w:rPr>
              <w:t>项规定的任何一种情形的；</w:t>
            </w:r>
          </w:p>
          <w:p>
            <w:pPr>
              <w:spacing w:line="400" w:lineRule="exact"/>
              <w:ind w:firstLine="440" w:firstLineChars="200"/>
              <w:rPr>
                <w:szCs w:val="21"/>
                <w:lang w:eastAsia="zh-CN"/>
              </w:rPr>
            </w:pPr>
            <w:r>
              <w:rPr>
                <w:rFonts w:hint="eastAsia"/>
                <w:szCs w:val="21"/>
                <w:lang w:eastAsia="zh-CN"/>
              </w:rPr>
              <w:t>2.本次报价有串通报价、弄虚作假等违反招报价相关法律、法规的行为的；</w:t>
            </w:r>
          </w:p>
          <w:p>
            <w:pPr>
              <w:spacing w:line="400" w:lineRule="exact"/>
              <w:ind w:firstLine="440" w:firstLineChars="200"/>
              <w:rPr>
                <w:szCs w:val="21"/>
                <w:lang w:eastAsia="zh-CN"/>
              </w:rPr>
            </w:pPr>
            <w:r>
              <w:rPr>
                <w:rFonts w:hint="eastAsia"/>
                <w:szCs w:val="21"/>
                <w:lang w:eastAsia="zh-CN"/>
              </w:rPr>
              <w:t>3.拒绝按评标小组要求澄清、说明或补正的。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restart"/>
            <w:tcBorders>
              <w:top w:val="single" w:color="000000" w:sz="4" w:space="0"/>
              <w:left w:val="single" w:color="000000" w:sz="8" w:space="0"/>
              <w:bottom w:val="single" w:color="000000" w:sz="4" w:space="0"/>
              <w:right w:val="single" w:color="000000" w:sz="4" w:space="0"/>
            </w:tcBorders>
            <w:vAlign w:val="center"/>
          </w:tcPr>
          <w:p>
            <w:pPr>
              <w:spacing w:line="400" w:lineRule="exact"/>
              <w:jc w:val="center"/>
              <w:rPr>
                <w:szCs w:val="21"/>
                <w:lang w:eastAsia="zh-CN"/>
              </w:rPr>
            </w:pPr>
            <w:r>
              <w:rPr>
                <w:rFonts w:hint="eastAsia"/>
                <w:lang w:eastAsia="zh-CN"/>
              </w:rPr>
              <w:t>报价函及报价文件</w:t>
            </w:r>
            <w:r>
              <w:rPr>
                <w:rFonts w:hint="eastAsia"/>
                <w:szCs w:val="21"/>
                <w:lang w:eastAsia="zh-CN"/>
              </w:rPr>
              <w:t>评审</w:t>
            </w: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rPr>
            </w:pPr>
            <w:r>
              <w:rPr>
                <w:rFonts w:hint="eastAsia"/>
                <w:szCs w:val="21"/>
                <w:lang w:eastAsia="zh-CN"/>
              </w:rPr>
              <w:t>A-13</w:t>
            </w:r>
            <w:r>
              <w:rPr>
                <w:rFonts w:hint="eastAsia"/>
                <w:lang w:eastAsia="zh-CN"/>
              </w:rPr>
              <w:t>报价函部分的格式要求法定代表人或其委托代理人签名（或盖章）的须齐全。要求签名的，签名采用手写签名或签章均可。要求加盖单位法人章的，应加盖报价人的单位法人章。</w:t>
            </w:r>
            <w:r>
              <w:rPr>
                <w:rFonts w:hint="eastAsia"/>
              </w:rPr>
              <w:t>否则由</w:t>
            </w:r>
            <w:r>
              <w:rPr>
                <w:rFonts w:hint="eastAsia"/>
                <w:lang w:eastAsia="zh-CN"/>
              </w:rPr>
              <w:t>评标小组</w:t>
            </w:r>
            <w:r>
              <w:rPr>
                <w:rFonts w:hint="eastAsia"/>
              </w:rPr>
              <w:t>作否决</w:t>
            </w:r>
            <w:r>
              <w:rPr>
                <w:rFonts w:hint="eastAsia"/>
                <w:lang w:eastAsia="zh-CN"/>
              </w:rPr>
              <w:t>报价</w:t>
            </w:r>
            <w:r>
              <w:rPr>
                <w:rFonts w:hint="eastAsia"/>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A-14</w:t>
            </w:r>
            <w:r>
              <w:rPr>
                <w:rFonts w:hint="eastAsia"/>
                <w:lang w:eastAsia="zh-CN"/>
              </w:rPr>
              <w:t>交货地点符合“询价公告”第</w:t>
            </w:r>
            <w:r>
              <w:rPr>
                <w:rFonts w:hint="eastAsia"/>
                <w:szCs w:val="21"/>
                <w:lang w:eastAsia="zh-CN"/>
              </w:rPr>
              <w:t>2.5</w:t>
            </w:r>
            <w:r>
              <w:rPr>
                <w:rFonts w:hint="eastAsia"/>
                <w:lang w:eastAsia="zh-CN"/>
              </w:rPr>
              <w:t>项规定</w:t>
            </w:r>
            <w:r>
              <w:rPr>
                <w:rFonts w:hint="eastAsia"/>
                <w:szCs w:val="21"/>
                <w:lang w:eastAsia="zh-CN"/>
              </w:rPr>
              <w:t>，否则由评标小组作否决报价处理。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A-15交货期符合</w:t>
            </w:r>
            <w:r>
              <w:rPr>
                <w:rFonts w:hint="eastAsia"/>
                <w:lang w:eastAsia="zh-CN"/>
              </w:rPr>
              <w:t>“询价公告”第</w:t>
            </w:r>
            <w:r>
              <w:rPr>
                <w:rFonts w:hint="eastAsia"/>
                <w:szCs w:val="21"/>
                <w:lang w:eastAsia="zh-CN"/>
              </w:rPr>
              <w:t>2.4</w:t>
            </w:r>
            <w:r>
              <w:rPr>
                <w:rFonts w:hint="eastAsia"/>
                <w:lang w:eastAsia="zh-CN"/>
              </w:rPr>
              <w:t>项规定</w:t>
            </w:r>
            <w:r>
              <w:rPr>
                <w:rFonts w:hint="eastAsia"/>
                <w:szCs w:val="21"/>
                <w:lang w:eastAsia="zh-CN"/>
              </w:rPr>
              <w:t>，否则由评标小组作否决报价处理。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A-16报价有效期符合</w:t>
            </w:r>
            <w:r>
              <w:rPr>
                <w:rFonts w:hint="eastAsia"/>
                <w:lang w:eastAsia="zh-CN"/>
              </w:rPr>
              <w:t>“询价公告”第</w:t>
            </w:r>
            <w:r>
              <w:rPr>
                <w:rFonts w:hint="eastAsia"/>
                <w:szCs w:val="21"/>
                <w:lang w:eastAsia="zh-CN"/>
              </w:rPr>
              <w:t>4.2</w:t>
            </w:r>
            <w:r>
              <w:rPr>
                <w:rFonts w:hint="eastAsia"/>
                <w:lang w:eastAsia="zh-CN"/>
              </w:rPr>
              <w:t>项规定</w:t>
            </w:r>
            <w:r>
              <w:rPr>
                <w:rFonts w:hint="eastAsia"/>
                <w:szCs w:val="21"/>
                <w:lang w:eastAsia="zh-CN"/>
              </w:rPr>
              <w:t>，否则由评标小组作否决报价处理。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A-17符合符合</w:t>
            </w:r>
            <w:r>
              <w:rPr>
                <w:rFonts w:hint="eastAsia"/>
                <w:lang w:eastAsia="zh-CN"/>
              </w:rPr>
              <w:t>“询价公告”第</w:t>
            </w:r>
            <w:r>
              <w:rPr>
                <w:rFonts w:hint="eastAsia"/>
                <w:szCs w:val="21"/>
                <w:lang w:eastAsia="zh-CN"/>
              </w:rPr>
              <w:t>2.2</w:t>
            </w:r>
            <w:r>
              <w:rPr>
                <w:rFonts w:hint="eastAsia"/>
                <w:lang w:eastAsia="zh-CN"/>
              </w:rPr>
              <w:t>项规定</w:t>
            </w:r>
            <w:r>
              <w:rPr>
                <w:rFonts w:hint="eastAsia"/>
                <w:szCs w:val="21"/>
                <w:lang w:eastAsia="zh-CN"/>
              </w:rPr>
              <w:t>，报价人的报价报价不得超过最高限价，否则由评标小组作否决报价处理。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A-18只能有一个有效报价。在询价文件没有规定的情况下，不得提交选择性报价，否则由评标小组作否决报价处理。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vMerge w:val="continue"/>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szCs w:val="21"/>
                <w:lang w:eastAsia="zh-CN"/>
              </w:rPr>
            </w:pPr>
            <w:r>
              <w:rPr>
                <w:rFonts w:hint="eastAsia"/>
                <w:szCs w:val="21"/>
                <w:lang w:eastAsia="zh-CN"/>
              </w:rPr>
              <w:t>A-19报价报价有算术错误的，由评标小组作否决报价处理。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898" w:type="dxa"/>
            <w:tcBorders>
              <w:top w:val="single" w:color="000000" w:sz="4" w:space="0"/>
              <w:left w:val="single" w:color="000000" w:sz="8" w:space="0"/>
              <w:bottom w:val="single" w:color="000000" w:sz="4" w:space="0"/>
              <w:right w:val="single" w:color="000000" w:sz="4" w:space="0"/>
            </w:tcBorders>
            <w:vAlign w:val="center"/>
          </w:tcPr>
          <w:p>
            <w:pPr>
              <w:widowControl/>
              <w:rPr>
                <w:szCs w:val="21"/>
                <w:lang w:eastAsia="zh-CN"/>
              </w:rPr>
            </w:pPr>
          </w:p>
        </w:tc>
        <w:tc>
          <w:tcPr>
            <w:tcW w:w="7147" w:type="dxa"/>
            <w:tcBorders>
              <w:top w:val="single" w:color="000000" w:sz="4" w:space="0"/>
              <w:left w:val="single" w:color="000000" w:sz="4" w:space="0"/>
              <w:bottom w:val="single" w:color="000000" w:sz="4" w:space="0"/>
              <w:right w:val="single" w:color="000000" w:sz="8" w:space="0"/>
            </w:tcBorders>
            <w:vAlign w:val="center"/>
          </w:tcPr>
          <w:p>
            <w:pPr>
              <w:spacing w:line="400" w:lineRule="exact"/>
              <w:ind w:firstLine="440" w:firstLineChars="200"/>
              <w:rPr>
                <w:rFonts w:hint="eastAsia"/>
                <w:szCs w:val="21"/>
                <w:lang w:eastAsia="zh-CN"/>
              </w:rPr>
            </w:pPr>
          </w:p>
        </w:tc>
      </w:tr>
    </w:tbl>
    <w:p>
      <w:pPr>
        <w:pStyle w:val="2"/>
        <w:rPr>
          <w:lang w:eastAsia="zh-CN"/>
        </w:rPr>
      </w:pPr>
    </w:p>
    <w:p>
      <w:pPr>
        <w:jc w:val="both"/>
        <w:rPr>
          <w:rFonts w:ascii="Times New Roman" w:hAnsi="Times New Roman" w:cs="Times New Roman" w:eastAsiaTheme="minorEastAsia"/>
          <w:b/>
          <w:bCs/>
          <w:sz w:val="44"/>
          <w:szCs w:val="44"/>
          <w:lang w:val="zh-CN" w:eastAsia="zh-CN"/>
        </w:rPr>
      </w:pP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eastAsia="zh-CN"/>
        </w:rPr>
      </w:pPr>
      <w:bookmarkStart w:id="50" w:name="_Toc52097542"/>
      <w:bookmarkEnd w:id="50"/>
      <w:bookmarkStart w:id="51" w:name="_Toc29194791"/>
      <w:bookmarkEnd w:id="51"/>
      <w:bookmarkStart w:id="52" w:name="_Toc8414"/>
      <w:bookmarkStart w:id="53" w:name="_Toc15704"/>
      <w:bookmarkStart w:id="54" w:name="_Toc7245"/>
      <w:bookmarkStart w:id="55" w:name="_Toc12204"/>
      <w:r>
        <w:rPr>
          <w:rFonts w:ascii="Times New Roman" w:hAnsi="Times New Roman" w:eastAsia="方正小标宋_GBK" w:cs="Times New Roman"/>
          <w:bCs/>
          <w:sz w:val="44"/>
          <w:szCs w:val="44"/>
          <w:lang w:val="zh-CN" w:eastAsia="zh-CN"/>
        </w:rPr>
        <w:t>第三章 合同条款</w:t>
      </w:r>
      <w:r>
        <w:rPr>
          <w:rFonts w:hint="eastAsia" w:ascii="Times New Roman" w:hAnsi="Times New Roman" w:eastAsia="方正小标宋_GBK" w:cs="Times New Roman"/>
          <w:bCs/>
          <w:sz w:val="44"/>
          <w:szCs w:val="44"/>
          <w:lang w:eastAsia="zh-CN"/>
        </w:rPr>
        <w:t>及格式</w:t>
      </w:r>
      <w:bookmarkEnd w:id="52"/>
      <w:bookmarkEnd w:id="53"/>
      <w:bookmarkEnd w:id="54"/>
      <w:bookmarkEnd w:id="55"/>
    </w:p>
    <w:p>
      <w:pPr>
        <w:spacing w:line="510" w:lineRule="exact"/>
        <w:rPr>
          <w:rFonts w:ascii="Times New Roman" w:hAnsi="Times New Roman" w:eastAsia="黑体" w:cs="Times New Roman"/>
          <w:sz w:val="32"/>
          <w:szCs w:val="32"/>
          <w:lang w:eastAsia="zh-CN"/>
        </w:rPr>
      </w:pPr>
    </w:p>
    <w:p>
      <w:pPr>
        <w:pStyle w:val="176"/>
        <w:keepNext/>
        <w:keepLines/>
        <w:shd w:val="clear" w:color="auto" w:fill="auto"/>
        <w:spacing w:before="0" w:after="582" w:line="320" w:lineRule="exact"/>
        <w:ind w:right="40" w:firstLine="420"/>
        <w:jc w:val="center"/>
      </w:pPr>
      <w:bookmarkStart w:id="56" w:name="_Toc22032757"/>
      <w:bookmarkStart w:id="57" w:name="_Toc113559469"/>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6"/>
        <w:keepNext/>
        <w:keepLines/>
        <w:shd w:val="clear" w:color="auto" w:fill="auto"/>
        <w:spacing w:before="0" w:after="582" w:line="320" w:lineRule="exact"/>
        <w:ind w:right="40" w:firstLine="420"/>
        <w:jc w:val="center"/>
      </w:pPr>
    </w:p>
    <w:p>
      <w:pPr>
        <w:pStyle w:val="173"/>
        <w:keepNext/>
        <w:keepLines/>
        <w:shd w:val="clear" w:color="auto" w:fill="auto"/>
        <w:spacing w:before="0" w:after="582" w:line="320" w:lineRule="exact"/>
        <w:ind w:right="40"/>
        <w:jc w:val="both"/>
      </w:pPr>
    </w:p>
    <w:p>
      <w:pPr>
        <w:pStyle w:val="173"/>
        <w:keepNext/>
        <w:keepLines/>
        <w:shd w:val="clear" w:color="auto" w:fill="auto"/>
        <w:spacing w:before="0" w:after="582" w:line="320" w:lineRule="exact"/>
        <w:ind w:right="40"/>
        <w:jc w:val="center"/>
      </w:pPr>
      <w:bookmarkStart w:id="58" w:name="_Toc340"/>
      <w:bookmarkStart w:id="59" w:name="_Toc19342"/>
      <w:bookmarkStart w:id="60" w:name="_Toc5459"/>
      <w:bookmarkStart w:id="61" w:name="_Toc26869"/>
      <w:r>
        <w:t>第一节</w:t>
      </w:r>
      <w:r>
        <w:rPr>
          <w:rFonts w:hint="eastAsia"/>
        </w:rPr>
        <w:t xml:space="preserve"> </w:t>
      </w:r>
      <w:r>
        <w:t>通用合同条款</w:t>
      </w:r>
      <w:bookmarkEnd w:id="56"/>
      <w:bookmarkEnd w:id="57"/>
      <w:bookmarkEnd w:id="58"/>
      <w:bookmarkEnd w:id="59"/>
      <w:bookmarkEnd w:id="60"/>
      <w:bookmarkEnd w:id="61"/>
    </w:p>
    <w:p>
      <w:pPr>
        <w:pStyle w:val="173"/>
        <w:keepNext/>
        <w:keepLines/>
        <w:adjustRightInd w:val="0"/>
        <w:snapToGrid w:val="0"/>
        <w:spacing w:before="0" w:after="0" w:line="440" w:lineRule="exact"/>
        <w:outlineLvl w:val="2"/>
        <w:rPr>
          <w:sz w:val="21"/>
          <w:szCs w:val="21"/>
        </w:rPr>
      </w:pPr>
      <w:bookmarkStart w:id="62" w:name="_Toc8"/>
      <w:bookmarkStart w:id="63" w:name="_Toc22032758"/>
      <w:bookmarkStart w:id="64" w:name="_Toc9024"/>
      <w:bookmarkStart w:id="65" w:name="_Toc102983269"/>
      <w:bookmarkStart w:id="66" w:name="_Toc29381"/>
      <w:bookmarkStart w:id="67" w:name="_Toc113559470"/>
      <w:bookmarkStart w:id="68" w:name="_Toc4805"/>
      <w:r>
        <w:rPr>
          <w:rFonts w:hint="eastAsia"/>
          <w:sz w:val="21"/>
          <w:szCs w:val="21"/>
        </w:rPr>
        <w:t>1.一般约定</w:t>
      </w:r>
      <w:bookmarkEnd w:id="62"/>
      <w:bookmarkEnd w:id="63"/>
      <w:bookmarkEnd w:id="64"/>
      <w:bookmarkEnd w:id="65"/>
      <w:bookmarkEnd w:id="66"/>
      <w:bookmarkEnd w:id="67"/>
      <w:bookmarkEnd w:id="68"/>
    </w:p>
    <w:p>
      <w:pPr>
        <w:adjustRightInd w:val="0"/>
        <w:snapToGrid w:val="0"/>
        <w:spacing w:line="440" w:lineRule="exact"/>
        <w:outlineLvl w:val="3"/>
        <w:rPr>
          <w:szCs w:val="21"/>
          <w:lang w:eastAsia="zh-CN"/>
        </w:rPr>
      </w:pPr>
      <w:r>
        <w:rPr>
          <w:rFonts w:hint="eastAsia"/>
          <w:szCs w:val="21"/>
          <w:lang w:eastAsia="zh-CN"/>
        </w:rPr>
        <w:t>1.1词语定义</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除专用合同条款另有约定外，合同中的下列词语应具有本款所赋予的含义。</w:t>
      </w:r>
    </w:p>
    <w:p>
      <w:pPr>
        <w:adjustRightInd w:val="0"/>
        <w:snapToGrid w:val="0"/>
        <w:spacing w:line="440" w:lineRule="exact"/>
        <w:ind w:firstLine="440" w:firstLineChars="200"/>
        <w:outlineLvl w:val="4"/>
        <w:rPr>
          <w:szCs w:val="21"/>
          <w:lang w:eastAsia="zh-CN"/>
        </w:rPr>
      </w:pPr>
      <w:r>
        <w:rPr>
          <w:rFonts w:hint="eastAsia"/>
          <w:szCs w:val="21"/>
          <w:lang w:eastAsia="zh-CN"/>
        </w:rPr>
        <w:t>1.1.1合同</w:t>
      </w:r>
    </w:p>
    <w:p>
      <w:pPr>
        <w:adjustRightInd w:val="0"/>
        <w:snapToGrid w:val="0"/>
        <w:spacing w:line="440" w:lineRule="exact"/>
        <w:ind w:firstLine="440" w:firstLineChars="200"/>
        <w:rPr>
          <w:szCs w:val="21"/>
          <w:lang w:eastAsia="zh-CN"/>
        </w:rPr>
      </w:pPr>
      <w:r>
        <w:rPr>
          <w:rFonts w:hint="eastAsia"/>
          <w:szCs w:val="21"/>
          <w:lang w:eastAsia="zh-CN"/>
        </w:rPr>
        <w:t>1.1.1.1合同文件（或称合同）：指合同协议书、中标通知书、报价函、商务和技术偏差表、专用合同条款、通用合同条款、供货要求、分项报价表、中标设备技术性能指标的详细描述、技术服务和质保期服务计划，以及其他构成合同组成部分的文件。</w:t>
      </w:r>
    </w:p>
    <w:p>
      <w:pPr>
        <w:adjustRightInd w:val="0"/>
        <w:snapToGrid w:val="0"/>
        <w:spacing w:line="440" w:lineRule="exact"/>
        <w:ind w:firstLine="440" w:firstLineChars="200"/>
        <w:rPr>
          <w:szCs w:val="21"/>
          <w:lang w:eastAsia="zh-CN"/>
        </w:rPr>
      </w:pPr>
      <w:r>
        <w:rPr>
          <w:rFonts w:hint="eastAsia"/>
          <w:szCs w:val="21"/>
          <w:lang w:eastAsia="zh-CN"/>
        </w:rPr>
        <w:t>1.1.1.2合同协议书：指买方和卖方共同签署的合同协议书。</w:t>
      </w:r>
    </w:p>
    <w:p>
      <w:pPr>
        <w:adjustRightInd w:val="0"/>
        <w:snapToGrid w:val="0"/>
        <w:spacing w:line="440" w:lineRule="exact"/>
        <w:ind w:firstLine="440" w:firstLineChars="200"/>
        <w:rPr>
          <w:szCs w:val="21"/>
          <w:lang w:eastAsia="zh-CN"/>
        </w:rPr>
      </w:pPr>
      <w:r>
        <w:rPr>
          <w:rFonts w:hint="eastAsia"/>
          <w:szCs w:val="21"/>
          <w:lang w:eastAsia="zh-CN"/>
        </w:rPr>
        <w:t>1.1.1.3中标通知书：指招标人通知卖方中标的函件。</w:t>
      </w:r>
    </w:p>
    <w:p>
      <w:pPr>
        <w:adjustRightInd w:val="0"/>
        <w:snapToGrid w:val="0"/>
        <w:spacing w:line="440" w:lineRule="exact"/>
        <w:ind w:firstLine="440" w:firstLineChars="200"/>
        <w:rPr>
          <w:szCs w:val="21"/>
          <w:lang w:eastAsia="zh-CN"/>
        </w:rPr>
      </w:pPr>
      <w:r>
        <w:rPr>
          <w:rFonts w:hint="eastAsia"/>
          <w:szCs w:val="21"/>
          <w:lang w:eastAsia="zh-CN"/>
        </w:rPr>
        <w:t>1.1.1.4报价函：指由卖方填写并签署的，名为“报价函”的函件。</w:t>
      </w:r>
    </w:p>
    <w:p>
      <w:pPr>
        <w:adjustRightInd w:val="0"/>
        <w:snapToGrid w:val="0"/>
        <w:spacing w:line="440" w:lineRule="exact"/>
        <w:ind w:firstLine="440" w:firstLineChars="200"/>
        <w:rPr>
          <w:szCs w:val="21"/>
          <w:lang w:eastAsia="zh-CN"/>
        </w:rPr>
      </w:pPr>
      <w:r>
        <w:rPr>
          <w:rFonts w:hint="eastAsia"/>
          <w:szCs w:val="21"/>
          <w:lang w:eastAsia="zh-CN"/>
        </w:rPr>
        <w:t>1.1.1.5商务和技术偏差表：指卖方报价文件中的商务和技术偏差表。</w:t>
      </w:r>
    </w:p>
    <w:p>
      <w:pPr>
        <w:adjustRightInd w:val="0"/>
        <w:snapToGrid w:val="0"/>
        <w:spacing w:line="440" w:lineRule="exact"/>
        <w:ind w:firstLine="440" w:firstLineChars="200"/>
        <w:rPr>
          <w:szCs w:val="21"/>
          <w:lang w:eastAsia="zh-CN"/>
        </w:rPr>
      </w:pPr>
      <w:r>
        <w:rPr>
          <w:rFonts w:hint="eastAsia"/>
          <w:szCs w:val="21"/>
          <w:lang w:eastAsia="zh-CN"/>
        </w:rPr>
        <w:t>1.1.1.6供货要求：指合同文件中名为“供货要求”的文件。</w:t>
      </w:r>
    </w:p>
    <w:p>
      <w:pPr>
        <w:adjustRightInd w:val="0"/>
        <w:snapToGrid w:val="0"/>
        <w:spacing w:line="440" w:lineRule="exact"/>
        <w:ind w:firstLine="440" w:firstLineChars="200"/>
        <w:rPr>
          <w:szCs w:val="21"/>
          <w:lang w:eastAsia="zh-CN"/>
        </w:rPr>
      </w:pPr>
      <w:r>
        <w:rPr>
          <w:rFonts w:hint="eastAsia"/>
          <w:szCs w:val="21"/>
          <w:lang w:eastAsia="zh-CN"/>
        </w:rPr>
        <w:t>1.1.1.7中标设备技术性能指标的详细描述：指卖方报价文件中的报价设备技术性能指标的详细描述。</w:t>
      </w:r>
    </w:p>
    <w:p>
      <w:pPr>
        <w:adjustRightInd w:val="0"/>
        <w:snapToGrid w:val="0"/>
        <w:spacing w:line="440" w:lineRule="exact"/>
        <w:ind w:left="440" w:leftChars="200"/>
        <w:rPr>
          <w:szCs w:val="21"/>
          <w:lang w:eastAsia="zh-CN"/>
        </w:rPr>
      </w:pPr>
      <w:r>
        <w:rPr>
          <w:rFonts w:hint="eastAsia"/>
          <w:szCs w:val="21"/>
          <w:lang w:eastAsia="zh-CN"/>
        </w:rPr>
        <w:t>1.1.1.8技术服务和质保期服务计划：指卖方报价文件中的技术服务和质保期服务计划。1.1.1.9分项报价表：指卖方报价文件中的分项报价表。</w:t>
      </w:r>
    </w:p>
    <w:p>
      <w:pPr>
        <w:adjustRightInd w:val="0"/>
        <w:snapToGrid w:val="0"/>
        <w:spacing w:line="440" w:lineRule="exact"/>
        <w:ind w:firstLine="440" w:firstLineChars="200"/>
        <w:rPr>
          <w:szCs w:val="21"/>
          <w:lang w:eastAsia="zh-CN"/>
        </w:rPr>
      </w:pPr>
      <w:r>
        <w:rPr>
          <w:rFonts w:hint="eastAsia"/>
          <w:szCs w:val="21"/>
          <w:lang w:eastAsia="zh-CN"/>
        </w:rPr>
        <w:t>1.1.1.10其他合同文件：指经合同双方当事人确认构成合同文件的其他文件。</w:t>
      </w:r>
    </w:p>
    <w:p>
      <w:pPr>
        <w:adjustRightInd w:val="0"/>
        <w:snapToGrid w:val="0"/>
        <w:spacing w:line="440" w:lineRule="exact"/>
        <w:ind w:firstLine="440" w:firstLineChars="200"/>
        <w:outlineLvl w:val="4"/>
        <w:rPr>
          <w:szCs w:val="21"/>
          <w:lang w:eastAsia="zh-CN"/>
        </w:rPr>
      </w:pPr>
      <w:r>
        <w:rPr>
          <w:rFonts w:hint="eastAsia"/>
          <w:szCs w:val="21"/>
          <w:lang w:eastAsia="zh-CN"/>
        </w:rPr>
        <w:t>1.1.2合同当事人</w:t>
      </w:r>
    </w:p>
    <w:p>
      <w:pPr>
        <w:adjustRightInd w:val="0"/>
        <w:snapToGrid w:val="0"/>
        <w:spacing w:line="440" w:lineRule="exact"/>
        <w:ind w:firstLine="440" w:firstLineChars="200"/>
        <w:rPr>
          <w:szCs w:val="21"/>
          <w:lang w:eastAsia="zh-CN"/>
        </w:rPr>
      </w:pPr>
      <w:r>
        <w:rPr>
          <w:rFonts w:hint="eastAsia"/>
          <w:szCs w:val="21"/>
          <w:lang w:eastAsia="zh-CN"/>
        </w:rPr>
        <w:t>1.1.2.1合同当事人：指买方和（或）卖方。</w:t>
      </w:r>
    </w:p>
    <w:p>
      <w:pPr>
        <w:adjustRightInd w:val="0"/>
        <w:snapToGrid w:val="0"/>
        <w:spacing w:line="440" w:lineRule="exact"/>
        <w:ind w:firstLine="440" w:firstLineChars="200"/>
        <w:rPr>
          <w:szCs w:val="21"/>
          <w:lang w:eastAsia="zh-CN"/>
        </w:rPr>
      </w:pPr>
      <w:r>
        <w:rPr>
          <w:rFonts w:hint="eastAsia"/>
          <w:szCs w:val="21"/>
          <w:lang w:eastAsia="zh-CN"/>
        </w:rPr>
        <w:t>1.1.2.2买方：指与卖方签订合同协议书，购买合同设备和技术服务和质保期服务的当事人，</w:t>
      </w:r>
    </w:p>
    <w:p>
      <w:pPr>
        <w:adjustRightInd w:val="0"/>
        <w:snapToGrid w:val="0"/>
        <w:spacing w:line="440" w:lineRule="exact"/>
        <w:ind w:firstLine="440" w:firstLineChars="200"/>
        <w:rPr>
          <w:szCs w:val="21"/>
          <w:lang w:eastAsia="zh-CN"/>
        </w:rPr>
      </w:pPr>
      <w:r>
        <w:rPr>
          <w:rFonts w:hint="eastAsia"/>
          <w:szCs w:val="21"/>
          <w:lang w:eastAsia="zh-CN"/>
        </w:rPr>
        <w:t>及其合法继承人。</w:t>
      </w:r>
    </w:p>
    <w:p>
      <w:pPr>
        <w:adjustRightInd w:val="0"/>
        <w:snapToGrid w:val="0"/>
        <w:spacing w:line="440" w:lineRule="exact"/>
        <w:ind w:firstLine="440" w:firstLineChars="200"/>
        <w:rPr>
          <w:szCs w:val="21"/>
          <w:lang w:eastAsia="zh-CN"/>
        </w:rPr>
      </w:pPr>
      <w:r>
        <w:rPr>
          <w:rFonts w:hint="eastAsia"/>
          <w:szCs w:val="21"/>
          <w:lang w:eastAsia="zh-CN"/>
        </w:rPr>
        <w:t>1.1.2.3卖方：指与买方签订合同协议书，提供合同设备和技术服务和质保期服务的当事人，</w:t>
      </w:r>
    </w:p>
    <w:p>
      <w:pPr>
        <w:adjustRightInd w:val="0"/>
        <w:snapToGrid w:val="0"/>
        <w:spacing w:line="440" w:lineRule="exact"/>
        <w:ind w:firstLine="440" w:firstLineChars="200"/>
        <w:rPr>
          <w:szCs w:val="21"/>
          <w:lang w:eastAsia="zh-CN"/>
        </w:rPr>
      </w:pPr>
      <w:r>
        <w:rPr>
          <w:rFonts w:hint="eastAsia"/>
          <w:szCs w:val="21"/>
          <w:lang w:eastAsia="zh-CN"/>
        </w:rPr>
        <w:t>及其合法继承人。</w:t>
      </w:r>
    </w:p>
    <w:p>
      <w:pPr>
        <w:adjustRightInd w:val="0"/>
        <w:snapToGrid w:val="0"/>
        <w:spacing w:line="440" w:lineRule="exact"/>
        <w:ind w:firstLine="440" w:firstLineChars="200"/>
        <w:outlineLvl w:val="4"/>
        <w:rPr>
          <w:szCs w:val="21"/>
          <w:lang w:eastAsia="zh-CN"/>
        </w:rPr>
      </w:pPr>
      <w:r>
        <w:rPr>
          <w:rFonts w:hint="eastAsia"/>
          <w:szCs w:val="21"/>
          <w:lang w:eastAsia="zh-CN"/>
        </w:rPr>
        <w:t>1.1.3合同价格</w:t>
      </w:r>
    </w:p>
    <w:p>
      <w:pPr>
        <w:adjustRightInd w:val="0"/>
        <w:snapToGrid w:val="0"/>
        <w:spacing w:line="440" w:lineRule="exact"/>
        <w:ind w:firstLine="440" w:firstLineChars="200"/>
        <w:rPr>
          <w:szCs w:val="21"/>
          <w:lang w:eastAsia="zh-CN"/>
        </w:rPr>
      </w:pPr>
      <w:r>
        <w:rPr>
          <w:rFonts w:hint="eastAsia"/>
          <w:szCs w:val="21"/>
          <w:lang w:eastAsia="zh-CN"/>
        </w:rPr>
        <w:t>1.1.3.1签约合同价：是签订合同时合同协议书中写明的合同总金额。</w:t>
      </w:r>
    </w:p>
    <w:p>
      <w:pPr>
        <w:adjustRightInd w:val="0"/>
        <w:snapToGrid w:val="0"/>
        <w:spacing w:line="440" w:lineRule="exact"/>
        <w:ind w:left="440" w:leftChars="200"/>
        <w:rPr>
          <w:szCs w:val="21"/>
          <w:lang w:eastAsia="zh-CN"/>
        </w:rPr>
      </w:pPr>
      <w:r>
        <w:rPr>
          <w:rFonts w:hint="eastAsia"/>
          <w:szCs w:val="21"/>
          <w:lang w:eastAsia="zh-CN"/>
        </w:rPr>
        <w:t>1.1.3.2合同价格：指卖方按合同约定履行了全部合同义务后，买方应付给卖方的金额。</w:t>
      </w:r>
    </w:p>
    <w:p>
      <w:pPr>
        <w:adjustRightInd w:val="0"/>
        <w:snapToGrid w:val="0"/>
        <w:spacing w:line="440" w:lineRule="exact"/>
        <w:ind w:left="440" w:leftChars="200"/>
        <w:rPr>
          <w:szCs w:val="21"/>
          <w:lang w:eastAsia="zh-CN"/>
        </w:rPr>
      </w:pPr>
      <w:r>
        <w:rPr>
          <w:rFonts w:hint="eastAsia"/>
          <w:szCs w:val="21"/>
          <w:lang w:eastAsia="zh-CN"/>
        </w:rPr>
        <w:t>1.1.4合同设备：指卖方按合同约定应向买方提供的设备、装置、备品、备件、易损易耗件、配套使用的软件或其他辅助电子应用程序及技术资料，或其中任何一部分。</w:t>
      </w:r>
    </w:p>
    <w:p>
      <w:pPr>
        <w:adjustRightInd w:val="0"/>
        <w:snapToGrid w:val="0"/>
        <w:spacing w:line="440" w:lineRule="exact"/>
        <w:ind w:firstLine="440" w:firstLineChars="200"/>
        <w:rPr>
          <w:szCs w:val="21"/>
          <w:lang w:eastAsia="zh-CN"/>
        </w:rPr>
      </w:pPr>
      <w:r>
        <w:rPr>
          <w:rFonts w:hint="eastAsia"/>
          <w:szCs w:val="21"/>
          <w:lang w:eastAsia="zh-CN"/>
        </w:rPr>
        <w:t>1.1.5技术资料：指各种纸质及电子载体的与合同设备的设计、检验、安装、调试、考核、操作、维修以及保养等有关的技术指标、规格、图纸和说明文件。</w:t>
      </w:r>
    </w:p>
    <w:p>
      <w:pPr>
        <w:adjustRightInd w:val="0"/>
        <w:snapToGrid w:val="0"/>
        <w:spacing w:line="440" w:lineRule="exact"/>
        <w:ind w:firstLine="440" w:firstLineChars="200"/>
        <w:rPr>
          <w:szCs w:val="21"/>
          <w:lang w:eastAsia="zh-CN"/>
        </w:rPr>
      </w:pPr>
      <w:r>
        <w:rPr>
          <w:rFonts w:hint="eastAsia"/>
          <w:szCs w:val="21"/>
          <w:lang w:eastAsia="zh-CN"/>
        </w:rPr>
        <w:t>1.1.6安装：指对合同设备进行的组装、连接以及根据需要将合同设备固定在施工场地内一定的位置上，使其就位并与相关设备、工程实现连接。</w:t>
      </w:r>
    </w:p>
    <w:p>
      <w:pPr>
        <w:adjustRightInd w:val="0"/>
        <w:snapToGrid w:val="0"/>
        <w:spacing w:line="440" w:lineRule="exact"/>
        <w:ind w:firstLine="440" w:firstLineChars="200"/>
        <w:rPr>
          <w:szCs w:val="21"/>
          <w:lang w:eastAsia="zh-CN"/>
        </w:rPr>
      </w:pPr>
      <w:r>
        <w:rPr>
          <w:rFonts w:hint="eastAsia"/>
          <w:szCs w:val="21"/>
          <w:lang w:eastAsia="zh-CN"/>
        </w:rPr>
        <w:t>1.1.7调试：指在合同设备安装完成后，对合同设备所进行的调校和测试。</w:t>
      </w:r>
    </w:p>
    <w:p>
      <w:pPr>
        <w:adjustRightInd w:val="0"/>
        <w:snapToGrid w:val="0"/>
        <w:spacing w:line="440" w:lineRule="exact"/>
        <w:ind w:firstLine="440" w:firstLineChars="200"/>
        <w:rPr>
          <w:szCs w:val="21"/>
          <w:lang w:eastAsia="zh-CN"/>
        </w:rPr>
      </w:pPr>
      <w:r>
        <w:rPr>
          <w:rFonts w:hint="eastAsia"/>
          <w:szCs w:val="21"/>
          <w:lang w:eastAsia="zh-CN"/>
        </w:rPr>
        <w:t>1.1.8考核：指在合同设备调试完成后，对合同设备进行的用于确定其是否达到合同约定的技术性能考核指标的考核。</w:t>
      </w:r>
    </w:p>
    <w:p>
      <w:pPr>
        <w:adjustRightInd w:val="0"/>
        <w:snapToGrid w:val="0"/>
        <w:spacing w:line="440" w:lineRule="exact"/>
        <w:ind w:firstLine="440" w:firstLineChars="200"/>
        <w:rPr>
          <w:szCs w:val="21"/>
          <w:lang w:eastAsia="zh-CN"/>
        </w:rPr>
      </w:pPr>
      <w:r>
        <w:rPr>
          <w:rFonts w:hint="eastAsia"/>
          <w:szCs w:val="21"/>
          <w:lang w:eastAsia="zh-CN"/>
        </w:rPr>
        <w:t>1.1.9验收：指合同设备通过考核达到合同约定的技术性能考核指标后，买方作出接受合同设备的确认。</w:t>
      </w:r>
    </w:p>
    <w:p>
      <w:pPr>
        <w:adjustRightInd w:val="0"/>
        <w:snapToGrid w:val="0"/>
        <w:spacing w:line="440" w:lineRule="exact"/>
        <w:ind w:firstLine="440" w:firstLineChars="200"/>
        <w:rPr>
          <w:szCs w:val="21"/>
          <w:lang w:eastAsia="zh-CN"/>
        </w:rPr>
      </w:pPr>
      <w:r>
        <w:rPr>
          <w:rFonts w:hint="eastAsia"/>
          <w:szCs w:val="21"/>
          <w:lang w:eastAsia="zh-CN"/>
        </w:rPr>
        <w:t>1.1.10技术服务：指卖方按合同约定，在合同设备验收前，向买方提供的安装、调试服务，或者在由买方负责的安装、调试、考核中对买方进行的技术指导、协助、监督和培训等。</w:t>
      </w:r>
    </w:p>
    <w:p>
      <w:pPr>
        <w:adjustRightInd w:val="0"/>
        <w:snapToGrid w:val="0"/>
        <w:spacing w:line="440" w:lineRule="exact"/>
        <w:ind w:firstLine="440" w:firstLineChars="200"/>
        <w:rPr>
          <w:szCs w:val="21"/>
          <w:lang w:eastAsia="zh-CN"/>
        </w:rPr>
      </w:pPr>
      <w:r>
        <w:rPr>
          <w:rFonts w:hint="eastAsia"/>
          <w:szCs w:val="21"/>
          <w:lang w:eastAsia="zh-CN"/>
        </w:rPr>
        <w:t>1.1.11质量保证期：指合同设备验收后，卖方按合同约定保证合同设备适当、稳定运行，并负责消除合同设备故障的期限。</w:t>
      </w:r>
    </w:p>
    <w:p>
      <w:pPr>
        <w:adjustRightInd w:val="0"/>
        <w:snapToGrid w:val="0"/>
        <w:spacing w:line="440" w:lineRule="exact"/>
        <w:ind w:firstLine="440" w:firstLineChars="200"/>
        <w:rPr>
          <w:szCs w:val="21"/>
          <w:lang w:eastAsia="zh-CN"/>
        </w:rPr>
      </w:pPr>
      <w:r>
        <w:rPr>
          <w:rFonts w:hint="eastAsia"/>
          <w:szCs w:val="21"/>
          <w:lang w:eastAsia="zh-CN"/>
        </w:rPr>
        <w:t>1.1.12质保期服务：指在质量保证期内，卖方向买方提供的合同设备维护服务、咨询服务、技术指导、协助以及对出现故障的合同设备进行修理或更换的服务。</w:t>
      </w:r>
    </w:p>
    <w:p>
      <w:pPr>
        <w:adjustRightInd w:val="0"/>
        <w:snapToGrid w:val="0"/>
        <w:spacing w:line="440" w:lineRule="exact"/>
        <w:ind w:firstLine="440" w:firstLineChars="200"/>
        <w:outlineLvl w:val="4"/>
        <w:rPr>
          <w:szCs w:val="21"/>
          <w:lang w:eastAsia="zh-CN"/>
        </w:rPr>
      </w:pPr>
      <w:r>
        <w:rPr>
          <w:rFonts w:hint="eastAsia"/>
          <w:szCs w:val="21"/>
          <w:lang w:eastAsia="zh-CN"/>
        </w:rPr>
        <w:t>1.1.13工程</w:t>
      </w:r>
    </w:p>
    <w:p>
      <w:pPr>
        <w:adjustRightInd w:val="0"/>
        <w:snapToGrid w:val="0"/>
        <w:spacing w:line="440" w:lineRule="exact"/>
        <w:ind w:firstLine="440" w:firstLineChars="200"/>
        <w:rPr>
          <w:szCs w:val="21"/>
          <w:lang w:eastAsia="zh-CN"/>
        </w:rPr>
      </w:pPr>
      <w:r>
        <w:rPr>
          <w:rFonts w:hint="eastAsia"/>
          <w:szCs w:val="21"/>
          <w:lang w:eastAsia="zh-CN"/>
        </w:rPr>
        <w:t>1.1.13.1工程：指在专用合同条款中指明的，安装运行合同设备的工程。</w:t>
      </w:r>
    </w:p>
    <w:p>
      <w:pPr>
        <w:adjustRightInd w:val="0"/>
        <w:snapToGrid w:val="0"/>
        <w:spacing w:line="440" w:lineRule="exact"/>
        <w:ind w:firstLine="440" w:firstLineChars="200"/>
        <w:rPr>
          <w:szCs w:val="21"/>
          <w:lang w:eastAsia="zh-CN"/>
        </w:rPr>
      </w:pPr>
      <w:r>
        <w:rPr>
          <w:rFonts w:hint="eastAsia"/>
          <w:szCs w:val="21"/>
          <w:lang w:eastAsia="zh-CN"/>
        </w:rPr>
        <w:t>1.1.13.2施工场地（或称工地、施工现场）：指专用合同条款中指明的工程所在场所。</w:t>
      </w:r>
    </w:p>
    <w:p>
      <w:pPr>
        <w:adjustRightInd w:val="0"/>
        <w:snapToGrid w:val="0"/>
        <w:spacing w:line="440" w:lineRule="exact"/>
        <w:ind w:firstLine="440" w:firstLineChars="200"/>
        <w:rPr>
          <w:szCs w:val="21"/>
          <w:lang w:eastAsia="zh-CN"/>
        </w:rPr>
      </w:pPr>
      <w:r>
        <w:rPr>
          <w:rFonts w:hint="eastAsia"/>
          <w:szCs w:val="21"/>
          <w:lang w:eastAsia="zh-CN"/>
        </w:rPr>
        <w:t>1.1.14天（或称日）：除特别指明外，指日历天。合同中按天计算时间的，开始当天不计入，从次日开始计算。合同约定的期间的最后一天是星期日或者其他法定休假日的，以休假日的次日为期间的最后一天。</w:t>
      </w:r>
    </w:p>
    <w:p>
      <w:pPr>
        <w:adjustRightInd w:val="0"/>
        <w:snapToGrid w:val="0"/>
        <w:spacing w:line="440" w:lineRule="exact"/>
        <w:ind w:firstLine="440" w:firstLineChars="200"/>
        <w:rPr>
          <w:szCs w:val="21"/>
          <w:lang w:eastAsia="zh-CN"/>
        </w:rPr>
      </w:pPr>
      <w:r>
        <w:rPr>
          <w:rFonts w:hint="eastAsia"/>
          <w:szCs w:val="21"/>
          <w:lang w:eastAsia="zh-CN"/>
        </w:rPr>
        <w:t>1.1.15月：按照公历月计算。合同中按月计算时间的，开始当天不计入，从次日开始计算。合同约定的期间的最后一天是星期日或者其他法定休假日的，以休假日的次日为期间的最后一天。</w:t>
      </w:r>
    </w:p>
    <w:p>
      <w:pPr>
        <w:adjustRightInd w:val="0"/>
        <w:snapToGrid w:val="0"/>
        <w:spacing w:line="440" w:lineRule="exact"/>
        <w:ind w:firstLine="440" w:firstLineChars="200"/>
        <w:rPr>
          <w:szCs w:val="21"/>
          <w:lang w:eastAsia="zh-CN"/>
        </w:rPr>
      </w:pPr>
      <w:r>
        <w:rPr>
          <w:rFonts w:hint="eastAsia"/>
          <w:szCs w:val="21"/>
          <w:lang w:eastAsia="zh-CN"/>
        </w:rPr>
        <w:t>1.1.16书面形式：指合同文件、信件和数据电文（包括电报、电传、传真、电子数据交换和电子邮件）等可以有形地表现所载内容的形式。</w:t>
      </w:r>
    </w:p>
    <w:p>
      <w:pPr>
        <w:adjustRightInd w:val="0"/>
        <w:snapToGrid w:val="0"/>
        <w:spacing w:line="440" w:lineRule="exact"/>
        <w:outlineLvl w:val="3"/>
        <w:rPr>
          <w:szCs w:val="21"/>
          <w:lang w:eastAsia="zh-CN"/>
        </w:rPr>
      </w:pPr>
      <w:r>
        <w:rPr>
          <w:rFonts w:hint="eastAsia"/>
          <w:szCs w:val="21"/>
          <w:lang w:eastAsia="zh-CN"/>
        </w:rPr>
        <w:t>1.2语言文字</w:t>
      </w:r>
    </w:p>
    <w:p>
      <w:pPr>
        <w:adjustRightInd w:val="0"/>
        <w:snapToGrid w:val="0"/>
        <w:spacing w:line="440" w:lineRule="exact"/>
        <w:ind w:firstLine="440" w:firstLineChars="200"/>
        <w:rPr>
          <w:szCs w:val="21"/>
          <w:lang w:eastAsia="zh-CN"/>
        </w:rPr>
      </w:pPr>
      <w:r>
        <w:rPr>
          <w:rFonts w:hint="eastAsia"/>
          <w:szCs w:val="21"/>
          <w:lang w:eastAsia="zh-CN"/>
        </w:rPr>
        <w:t>合同使用的语言文字为中文。专用术语使用外文的，应附有中文注释。</w:t>
      </w:r>
    </w:p>
    <w:p>
      <w:pPr>
        <w:adjustRightInd w:val="0"/>
        <w:snapToGrid w:val="0"/>
        <w:spacing w:line="440" w:lineRule="exact"/>
        <w:outlineLvl w:val="3"/>
        <w:rPr>
          <w:szCs w:val="21"/>
          <w:lang w:eastAsia="zh-CN"/>
        </w:rPr>
      </w:pPr>
      <w:r>
        <w:rPr>
          <w:rFonts w:hint="eastAsia"/>
          <w:szCs w:val="21"/>
          <w:lang w:eastAsia="zh-CN"/>
        </w:rPr>
        <w:t>1.3合同文件的优先顺序</w:t>
      </w:r>
    </w:p>
    <w:p>
      <w:pPr>
        <w:adjustRightInd w:val="0"/>
        <w:snapToGrid w:val="0"/>
        <w:spacing w:line="440" w:lineRule="exact"/>
        <w:ind w:firstLine="440" w:firstLineChars="200"/>
        <w:rPr>
          <w:szCs w:val="21"/>
          <w:lang w:eastAsia="zh-CN"/>
        </w:rPr>
      </w:pPr>
      <w:r>
        <w:rPr>
          <w:rFonts w:hint="eastAsia"/>
          <w:szCs w:val="21"/>
          <w:lang w:eastAsia="zh-CN"/>
        </w:rPr>
        <w:t>组成合同的各项文件应互相解释，互为说明。除专用合同条款另有约定外，解释合同文件的优先顺序如下：</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合同协议书；</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中标通知书；</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报价函；</w:t>
      </w:r>
    </w:p>
    <w:p>
      <w:pPr>
        <w:adjustRightInd w:val="0"/>
        <w:snapToGrid w:val="0"/>
        <w:spacing w:line="440" w:lineRule="exact"/>
        <w:ind w:firstLine="440" w:firstLineChars="200"/>
        <w:rPr>
          <w:szCs w:val="21"/>
          <w:lang w:eastAsia="zh-CN"/>
        </w:rPr>
      </w:pPr>
      <w:r>
        <w:rPr>
          <w:rFonts w:hint="eastAsia"/>
          <w:szCs w:val="21"/>
          <w:lang w:eastAsia="zh-CN"/>
        </w:rPr>
        <w:t>(4)</w:t>
      </w:r>
      <w:r>
        <w:rPr>
          <w:rFonts w:hint="eastAsia"/>
          <w:szCs w:val="21"/>
          <w:lang w:eastAsia="zh-CN"/>
        </w:rPr>
        <w:tab/>
      </w:r>
      <w:r>
        <w:rPr>
          <w:rFonts w:hint="eastAsia"/>
          <w:szCs w:val="21"/>
          <w:lang w:eastAsia="zh-CN"/>
        </w:rPr>
        <w:t>专用合同条款；</w:t>
      </w:r>
    </w:p>
    <w:p>
      <w:pPr>
        <w:adjustRightInd w:val="0"/>
        <w:snapToGrid w:val="0"/>
        <w:spacing w:line="440" w:lineRule="exact"/>
        <w:ind w:firstLine="440" w:firstLineChars="200"/>
        <w:rPr>
          <w:szCs w:val="21"/>
          <w:lang w:eastAsia="zh-CN"/>
        </w:rPr>
      </w:pPr>
      <w:r>
        <w:rPr>
          <w:rFonts w:hint="eastAsia"/>
          <w:szCs w:val="21"/>
          <w:lang w:eastAsia="zh-CN"/>
        </w:rPr>
        <w:t>(5)</w:t>
      </w:r>
      <w:r>
        <w:rPr>
          <w:rFonts w:hint="eastAsia"/>
          <w:szCs w:val="21"/>
          <w:lang w:eastAsia="zh-CN"/>
        </w:rPr>
        <w:tab/>
      </w:r>
      <w:r>
        <w:rPr>
          <w:rFonts w:hint="eastAsia"/>
          <w:szCs w:val="21"/>
          <w:lang w:eastAsia="zh-CN"/>
        </w:rPr>
        <w:t>通用合同条款；</w:t>
      </w:r>
    </w:p>
    <w:p>
      <w:pPr>
        <w:adjustRightInd w:val="0"/>
        <w:snapToGrid w:val="0"/>
        <w:spacing w:line="440" w:lineRule="exact"/>
        <w:ind w:firstLine="440" w:firstLineChars="200"/>
        <w:rPr>
          <w:szCs w:val="21"/>
          <w:lang w:eastAsia="zh-CN"/>
        </w:rPr>
      </w:pPr>
      <w:r>
        <w:rPr>
          <w:rFonts w:hint="eastAsia"/>
          <w:szCs w:val="21"/>
          <w:lang w:eastAsia="zh-CN"/>
        </w:rPr>
        <w:t>(7)</w:t>
      </w:r>
      <w:r>
        <w:rPr>
          <w:rFonts w:hint="eastAsia"/>
          <w:szCs w:val="21"/>
          <w:lang w:eastAsia="zh-CN"/>
        </w:rPr>
        <w:tab/>
      </w:r>
      <w:r>
        <w:rPr>
          <w:rFonts w:hint="eastAsia"/>
          <w:szCs w:val="21"/>
          <w:lang w:eastAsia="zh-CN"/>
        </w:rPr>
        <w:t>供货要求；</w:t>
      </w:r>
    </w:p>
    <w:p>
      <w:pPr>
        <w:adjustRightInd w:val="0"/>
        <w:snapToGrid w:val="0"/>
        <w:spacing w:line="440" w:lineRule="exact"/>
        <w:ind w:firstLine="440" w:firstLineChars="200"/>
        <w:rPr>
          <w:szCs w:val="21"/>
          <w:lang w:eastAsia="zh-CN"/>
        </w:rPr>
      </w:pPr>
      <w:r>
        <w:rPr>
          <w:rFonts w:hint="eastAsia"/>
          <w:szCs w:val="21"/>
          <w:lang w:eastAsia="zh-CN"/>
        </w:rPr>
        <w:t>(8)</w:t>
      </w:r>
      <w:r>
        <w:rPr>
          <w:rFonts w:hint="eastAsia"/>
          <w:szCs w:val="21"/>
          <w:lang w:eastAsia="zh-CN"/>
        </w:rPr>
        <w:tab/>
      </w:r>
      <w:r>
        <w:rPr>
          <w:rFonts w:hint="eastAsia"/>
          <w:szCs w:val="21"/>
          <w:lang w:eastAsia="zh-CN"/>
        </w:rPr>
        <w:t>分项报价表；</w:t>
      </w:r>
    </w:p>
    <w:p>
      <w:pPr>
        <w:adjustRightInd w:val="0"/>
        <w:snapToGrid w:val="0"/>
        <w:spacing w:line="440" w:lineRule="exact"/>
        <w:ind w:firstLine="440" w:firstLineChars="200"/>
        <w:rPr>
          <w:szCs w:val="21"/>
          <w:lang w:eastAsia="zh-CN"/>
        </w:rPr>
      </w:pPr>
      <w:r>
        <w:rPr>
          <w:rFonts w:hint="eastAsia"/>
          <w:szCs w:val="21"/>
          <w:lang w:eastAsia="zh-CN"/>
        </w:rPr>
        <w:t>(9)</w:t>
      </w:r>
      <w:r>
        <w:rPr>
          <w:rFonts w:hint="eastAsia"/>
          <w:szCs w:val="21"/>
          <w:lang w:eastAsia="zh-CN"/>
        </w:rPr>
        <w:tab/>
      </w:r>
      <w:r>
        <w:rPr>
          <w:rFonts w:hint="eastAsia"/>
          <w:szCs w:val="21"/>
          <w:lang w:eastAsia="zh-CN"/>
        </w:rPr>
        <w:t>中标设备技术性能指标的详细描述；</w:t>
      </w:r>
    </w:p>
    <w:p>
      <w:pPr>
        <w:adjustRightInd w:val="0"/>
        <w:snapToGrid w:val="0"/>
        <w:spacing w:line="440" w:lineRule="exact"/>
        <w:ind w:firstLine="440" w:firstLineChars="200"/>
        <w:rPr>
          <w:szCs w:val="21"/>
          <w:lang w:eastAsia="zh-CN"/>
        </w:rPr>
      </w:pPr>
      <w:r>
        <w:rPr>
          <w:rFonts w:hint="eastAsia"/>
          <w:szCs w:val="21"/>
          <w:lang w:eastAsia="zh-CN"/>
        </w:rPr>
        <w:t>(11)其他合同文件。</w:t>
      </w:r>
    </w:p>
    <w:p>
      <w:pPr>
        <w:adjustRightInd w:val="0"/>
        <w:snapToGrid w:val="0"/>
        <w:spacing w:line="440" w:lineRule="exact"/>
        <w:outlineLvl w:val="3"/>
        <w:rPr>
          <w:szCs w:val="21"/>
          <w:lang w:eastAsia="zh-CN"/>
        </w:rPr>
      </w:pPr>
      <w:r>
        <w:rPr>
          <w:rFonts w:hint="eastAsia"/>
          <w:szCs w:val="21"/>
          <w:lang w:eastAsia="zh-CN"/>
        </w:rPr>
        <w:t>1.4合同的生效及变更</w:t>
      </w:r>
    </w:p>
    <w:p>
      <w:pPr>
        <w:adjustRightInd w:val="0"/>
        <w:snapToGrid w:val="0"/>
        <w:spacing w:line="440" w:lineRule="exact"/>
        <w:ind w:firstLine="440" w:firstLineChars="200"/>
        <w:rPr>
          <w:szCs w:val="21"/>
          <w:lang w:eastAsia="zh-CN"/>
        </w:rPr>
      </w:pPr>
      <w:r>
        <w:rPr>
          <w:rFonts w:hint="eastAsia"/>
          <w:szCs w:val="21"/>
          <w:lang w:eastAsia="zh-CN"/>
        </w:rPr>
        <w:t>1.4.1除专用合同条款另有约定外，买方和卖方的法定代表人（单位负责人）或其授权代表在合同协议书上签名并加盖单位章后，合同生效。</w:t>
      </w:r>
    </w:p>
    <w:p>
      <w:pPr>
        <w:adjustRightInd w:val="0"/>
        <w:snapToGrid w:val="0"/>
        <w:spacing w:line="440" w:lineRule="exact"/>
        <w:ind w:firstLine="440" w:firstLineChars="200"/>
        <w:rPr>
          <w:szCs w:val="21"/>
          <w:lang w:eastAsia="zh-CN"/>
        </w:rPr>
      </w:pPr>
      <w:r>
        <w:rPr>
          <w:rFonts w:hint="eastAsia"/>
          <w:szCs w:val="21"/>
          <w:lang w:eastAsia="zh-CN"/>
        </w:rPr>
        <w:t>1.4.2除专用合同条款另有约定外，在合同履行过程中，如需对合同进行变更，双方应签订书面协议，并经双方法定代表人（单位负责人）或其授权代表签名并加盖单位章后生效。</w:t>
      </w:r>
    </w:p>
    <w:p>
      <w:pPr>
        <w:adjustRightInd w:val="0"/>
        <w:snapToGrid w:val="0"/>
        <w:spacing w:line="440" w:lineRule="exact"/>
        <w:outlineLvl w:val="3"/>
        <w:rPr>
          <w:szCs w:val="21"/>
          <w:lang w:eastAsia="zh-CN"/>
        </w:rPr>
      </w:pPr>
      <w:r>
        <w:rPr>
          <w:rFonts w:hint="eastAsia"/>
          <w:szCs w:val="21"/>
          <w:lang w:eastAsia="zh-CN"/>
        </w:rPr>
        <w:t>1.5联络</w:t>
      </w:r>
    </w:p>
    <w:p>
      <w:pPr>
        <w:adjustRightInd w:val="0"/>
        <w:snapToGrid w:val="0"/>
        <w:spacing w:line="440" w:lineRule="exact"/>
        <w:ind w:firstLine="440" w:firstLineChars="200"/>
        <w:rPr>
          <w:szCs w:val="21"/>
          <w:lang w:eastAsia="zh-CN"/>
        </w:rPr>
      </w:pPr>
      <w:r>
        <w:rPr>
          <w:rFonts w:hint="eastAsia"/>
          <w:szCs w:val="21"/>
          <w:lang w:eastAsia="zh-CN"/>
        </w:rPr>
        <w:t>1.5.1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増加或变更指定联系人。</w:t>
      </w:r>
    </w:p>
    <w:p>
      <w:pPr>
        <w:adjustRightInd w:val="0"/>
        <w:snapToGrid w:val="0"/>
        <w:spacing w:line="440" w:lineRule="exact"/>
        <w:ind w:firstLine="440" w:firstLineChars="200"/>
        <w:rPr>
          <w:szCs w:val="21"/>
          <w:lang w:eastAsia="zh-CN"/>
        </w:rPr>
      </w:pPr>
      <w:r>
        <w:rPr>
          <w:rFonts w:hint="eastAsia"/>
          <w:szCs w:val="21"/>
          <w:lang w:eastAsia="zh-CN"/>
        </w:rPr>
        <w:t>1.5.2合同履行中或与合同有关的任何联络，送达到第1.5.1项指定的联系人即视为送达。</w:t>
      </w:r>
    </w:p>
    <w:p>
      <w:pPr>
        <w:adjustRightInd w:val="0"/>
        <w:snapToGrid w:val="0"/>
        <w:spacing w:line="440" w:lineRule="exact"/>
        <w:ind w:firstLine="440" w:firstLineChars="200"/>
        <w:rPr>
          <w:szCs w:val="21"/>
          <w:lang w:eastAsia="zh-CN"/>
        </w:rPr>
      </w:pPr>
      <w:r>
        <w:rPr>
          <w:rFonts w:hint="eastAsia"/>
          <w:szCs w:val="21"/>
          <w:lang w:eastAsia="zh-CN"/>
        </w:rPr>
        <w:t>1.5.3买方可以安排监理等相关人员作为买方人员，与卖方进行联络或参加合同设备的监造(如有）、交货前检验（如有）、开箱检验、安装、调试、考核、验收等，但应按照第1.5.1项的约定事先书面通知卖方。</w:t>
      </w:r>
    </w:p>
    <w:p>
      <w:pPr>
        <w:adjustRightInd w:val="0"/>
        <w:snapToGrid w:val="0"/>
        <w:spacing w:line="440" w:lineRule="exact"/>
        <w:outlineLvl w:val="3"/>
        <w:rPr>
          <w:szCs w:val="21"/>
          <w:lang w:eastAsia="zh-CN"/>
        </w:rPr>
      </w:pPr>
      <w:r>
        <w:rPr>
          <w:rFonts w:hint="eastAsia"/>
          <w:szCs w:val="21"/>
          <w:lang w:eastAsia="zh-CN"/>
        </w:rPr>
        <w:t>1.6联合体</w:t>
      </w:r>
    </w:p>
    <w:p>
      <w:pPr>
        <w:adjustRightInd w:val="0"/>
        <w:snapToGrid w:val="0"/>
        <w:spacing w:line="440" w:lineRule="exact"/>
        <w:ind w:firstLine="440" w:firstLineChars="200"/>
        <w:rPr>
          <w:szCs w:val="21"/>
          <w:lang w:eastAsia="zh-CN"/>
        </w:rPr>
      </w:pPr>
      <w:r>
        <w:rPr>
          <w:rFonts w:hint="eastAsia"/>
          <w:szCs w:val="21"/>
          <w:lang w:eastAsia="zh-CN"/>
        </w:rPr>
        <w:t>1.6.1卖方为联合体的，联合体各方应当共同与买方签订合同，并向买方为履行合同承担连带责任。</w:t>
      </w:r>
    </w:p>
    <w:p>
      <w:pPr>
        <w:adjustRightInd w:val="0"/>
        <w:snapToGrid w:val="0"/>
        <w:spacing w:line="440" w:lineRule="exact"/>
        <w:ind w:firstLine="440" w:firstLineChars="200"/>
        <w:rPr>
          <w:szCs w:val="21"/>
          <w:lang w:eastAsia="zh-CN"/>
        </w:rPr>
      </w:pPr>
      <w:r>
        <w:rPr>
          <w:rFonts w:hint="eastAsia"/>
          <w:szCs w:val="21"/>
          <w:lang w:eastAsia="zh-CN"/>
        </w:rPr>
        <w:t>1.6.2在合同履行过程中，未经买方同意，不得修改联合体协议。联合体协议中关于联合体成员间权利义务的划分，并不影响或减损联合体各方应就履行合同向买方承担的连带责任。</w:t>
      </w:r>
    </w:p>
    <w:p>
      <w:pPr>
        <w:adjustRightInd w:val="0"/>
        <w:snapToGrid w:val="0"/>
        <w:spacing w:line="440" w:lineRule="exact"/>
        <w:ind w:firstLine="440" w:firstLineChars="200"/>
        <w:rPr>
          <w:szCs w:val="21"/>
          <w:lang w:eastAsia="zh-CN"/>
        </w:rPr>
      </w:pPr>
      <w:r>
        <w:rPr>
          <w:rFonts w:hint="eastAsia"/>
          <w:szCs w:val="21"/>
          <w:lang w:eastAsia="zh-CN"/>
        </w:rPr>
        <w:t>1.6.3联合体牵头人代表联合体与买方联系，并接受指示，负责组织联合体各成员全面履行合同。除非专用合同条款另有约定，牵头人在履行合同中的所有行为均视为己获得联合体各方的授权。买方可将合同价款全部支付给牵头人并视为其己适当履行了付款义务。如牵头人的行为将构成对合同内容的变更，则牵头人须事先获得联合体各方的特别授权。</w:t>
      </w:r>
    </w:p>
    <w:p>
      <w:pPr>
        <w:adjustRightInd w:val="0"/>
        <w:snapToGrid w:val="0"/>
        <w:spacing w:line="440" w:lineRule="exact"/>
        <w:outlineLvl w:val="3"/>
        <w:rPr>
          <w:szCs w:val="21"/>
          <w:lang w:eastAsia="zh-CN"/>
        </w:rPr>
      </w:pPr>
      <w:r>
        <w:rPr>
          <w:rFonts w:hint="eastAsia"/>
          <w:szCs w:val="21"/>
          <w:lang w:eastAsia="zh-CN"/>
        </w:rPr>
        <w:t>1.7转让</w:t>
      </w:r>
    </w:p>
    <w:p>
      <w:pPr>
        <w:adjustRightInd w:val="0"/>
        <w:snapToGrid w:val="0"/>
        <w:spacing w:line="440" w:lineRule="exact"/>
        <w:ind w:firstLine="440" w:firstLineChars="200"/>
        <w:rPr>
          <w:szCs w:val="21"/>
          <w:lang w:eastAsia="zh-CN"/>
        </w:rPr>
      </w:pPr>
      <w:r>
        <w:rPr>
          <w:rFonts w:hint="eastAsia"/>
          <w:szCs w:val="21"/>
          <w:lang w:eastAsia="zh-CN"/>
        </w:rPr>
        <w:t>未经对方当事人书面同意，合同任何一方均不得转让其在合同项下的权利和（或）义务。</w:t>
      </w:r>
    </w:p>
    <w:p>
      <w:pPr>
        <w:pStyle w:val="173"/>
        <w:keepNext/>
        <w:keepLines/>
        <w:adjustRightInd w:val="0"/>
        <w:snapToGrid w:val="0"/>
        <w:spacing w:before="0" w:after="0" w:line="440" w:lineRule="exact"/>
        <w:outlineLvl w:val="2"/>
        <w:rPr>
          <w:sz w:val="21"/>
          <w:szCs w:val="21"/>
        </w:rPr>
      </w:pPr>
      <w:bookmarkStart w:id="69" w:name="_Toc6175"/>
      <w:bookmarkStart w:id="70" w:name="_Toc4712"/>
      <w:bookmarkStart w:id="71" w:name="_Toc14554"/>
      <w:bookmarkStart w:id="72" w:name="_Toc102983270"/>
      <w:bookmarkStart w:id="73" w:name="_Toc22032759"/>
      <w:bookmarkStart w:id="74" w:name="_Toc113559471"/>
      <w:bookmarkStart w:id="75" w:name="_Toc9771"/>
      <w:r>
        <w:rPr>
          <w:rFonts w:hint="eastAsia"/>
          <w:sz w:val="21"/>
          <w:szCs w:val="21"/>
        </w:rPr>
        <w:t>2.合同范围</w:t>
      </w:r>
      <w:bookmarkEnd w:id="69"/>
      <w:bookmarkEnd w:id="70"/>
      <w:bookmarkEnd w:id="71"/>
      <w:bookmarkEnd w:id="72"/>
      <w:bookmarkEnd w:id="73"/>
      <w:bookmarkEnd w:id="74"/>
      <w:bookmarkEnd w:id="75"/>
    </w:p>
    <w:p>
      <w:pPr>
        <w:adjustRightInd w:val="0"/>
        <w:snapToGrid w:val="0"/>
        <w:spacing w:line="440" w:lineRule="exact"/>
        <w:ind w:firstLine="440" w:firstLineChars="200"/>
        <w:rPr>
          <w:szCs w:val="21"/>
          <w:lang w:eastAsia="zh-CN"/>
        </w:rPr>
      </w:pPr>
      <w:r>
        <w:rPr>
          <w:rFonts w:hint="eastAsia"/>
          <w:szCs w:val="21"/>
          <w:lang w:eastAsia="zh-CN"/>
        </w:rPr>
        <w:t>卖方应根据供货要求、中标设备技术性能指标的详细描述、技术服务和质保期服务计划等合同文件的约定向买方提供合同设备、技术服务和质保期服务。</w:t>
      </w:r>
    </w:p>
    <w:p>
      <w:pPr>
        <w:pStyle w:val="173"/>
        <w:keepNext/>
        <w:keepLines/>
        <w:adjustRightInd w:val="0"/>
        <w:snapToGrid w:val="0"/>
        <w:spacing w:before="0" w:after="0" w:line="440" w:lineRule="exact"/>
        <w:outlineLvl w:val="2"/>
        <w:rPr>
          <w:sz w:val="21"/>
          <w:szCs w:val="21"/>
        </w:rPr>
      </w:pPr>
      <w:bookmarkStart w:id="76" w:name="_Toc30442"/>
      <w:bookmarkStart w:id="77" w:name="_Toc102983271"/>
      <w:bookmarkStart w:id="78" w:name="_Toc25095"/>
      <w:bookmarkStart w:id="79" w:name="_Toc22032760"/>
      <w:bookmarkStart w:id="80" w:name="_Toc31384"/>
      <w:bookmarkStart w:id="81" w:name="_Toc29750"/>
      <w:bookmarkStart w:id="82" w:name="_Toc113559472"/>
      <w:r>
        <w:rPr>
          <w:rFonts w:hint="eastAsia"/>
          <w:sz w:val="21"/>
          <w:szCs w:val="21"/>
        </w:rPr>
        <w:t>3.合同价格与支付</w:t>
      </w:r>
      <w:bookmarkEnd w:id="76"/>
      <w:bookmarkEnd w:id="77"/>
      <w:bookmarkEnd w:id="78"/>
      <w:bookmarkEnd w:id="79"/>
      <w:bookmarkEnd w:id="80"/>
      <w:bookmarkEnd w:id="81"/>
      <w:bookmarkEnd w:id="82"/>
    </w:p>
    <w:p>
      <w:pPr>
        <w:adjustRightInd w:val="0"/>
        <w:snapToGrid w:val="0"/>
        <w:spacing w:line="440" w:lineRule="exact"/>
        <w:outlineLvl w:val="3"/>
        <w:rPr>
          <w:szCs w:val="21"/>
        </w:rPr>
      </w:pPr>
      <w:r>
        <w:rPr>
          <w:rFonts w:hint="eastAsia"/>
          <w:szCs w:val="21"/>
        </w:rPr>
        <w:t>3.1合同价格</w:t>
      </w:r>
    </w:p>
    <w:p>
      <w:pPr>
        <w:adjustRightInd w:val="0"/>
        <w:snapToGrid w:val="0"/>
        <w:spacing w:line="440" w:lineRule="exact"/>
        <w:ind w:firstLine="440" w:firstLineChars="200"/>
        <w:rPr>
          <w:szCs w:val="21"/>
          <w:lang w:eastAsia="zh-CN"/>
        </w:rPr>
      </w:pPr>
      <w:r>
        <w:rPr>
          <w:rFonts w:hint="eastAsia"/>
          <w:szCs w:val="21"/>
          <w:lang w:eastAsia="zh-CN"/>
        </w:rPr>
        <w:t>3.1.1合同协议书中载明的签约合同价包括卖方为完成合同全部义务应承担的一切成本、费用和支出以及卖方的合理利润。</w:t>
      </w:r>
    </w:p>
    <w:p>
      <w:pPr>
        <w:adjustRightInd w:val="0"/>
        <w:snapToGrid w:val="0"/>
        <w:spacing w:line="440" w:lineRule="exact"/>
        <w:ind w:firstLine="440" w:firstLineChars="200"/>
        <w:outlineLvl w:val="4"/>
        <w:rPr>
          <w:szCs w:val="21"/>
          <w:lang w:eastAsia="zh-CN"/>
        </w:rPr>
      </w:pPr>
      <w:r>
        <w:rPr>
          <w:rFonts w:hint="eastAsia"/>
          <w:szCs w:val="21"/>
          <w:lang w:eastAsia="zh-CN"/>
        </w:rPr>
        <w:t>3.1.2除专用合同条款另有约定外，签约合同价为固定价格。</w:t>
      </w:r>
    </w:p>
    <w:p>
      <w:pPr>
        <w:adjustRightInd w:val="0"/>
        <w:snapToGrid w:val="0"/>
        <w:spacing w:line="440" w:lineRule="exact"/>
        <w:outlineLvl w:val="3"/>
        <w:rPr>
          <w:szCs w:val="21"/>
          <w:lang w:eastAsia="zh-CN"/>
        </w:rPr>
      </w:pPr>
      <w:r>
        <w:rPr>
          <w:rFonts w:hint="eastAsia"/>
          <w:szCs w:val="21"/>
          <w:lang w:eastAsia="zh-CN"/>
        </w:rPr>
        <w:t>3.2合同价款的支付</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除专用合同条款另有约定外，买方应通过以下方式和比例向卖方支付合同价款：</w:t>
      </w:r>
    </w:p>
    <w:p>
      <w:pPr>
        <w:adjustRightInd w:val="0"/>
        <w:snapToGrid w:val="0"/>
        <w:spacing w:line="440" w:lineRule="exact"/>
        <w:ind w:firstLine="440" w:firstLineChars="200"/>
        <w:outlineLvl w:val="4"/>
        <w:rPr>
          <w:szCs w:val="21"/>
          <w:lang w:eastAsia="zh-CN"/>
        </w:rPr>
      </w:pPr>
      <w:r>
        <w:rPr>
          <w:rFonts w:hint="eastAsia"/>
          <w:szCs w:val="21"/>
          <w:lang w:eastAsia="zh-CN"/>
        </w:rPr>
        <w:t>3.2.1预付款</w:t>
      </w:r>
    </w:p>
    <w:p>
      <w:pPr>
        <w:adjustRightInd w:val="0"/>
        <w:snapToGrid w:val="0"/>
        <w:spacing w:line="440" w:lineRule="exact"/>
        <w:ind w:firstLine="440" w:firstLineChars="200"/>
        <w:rPr>
          <w:szCs w:val="21"/>
          <w:lang w:eastAsia="zh-CN"/>
        </w:rPr>
      </w:pPr>
      <w:r>
        <w:rPr>
          <w:rFonts w:hint="eastAsia"/>
          <w:szCs w:val="21"/>
          <w:lang w:eastAsia="zh-CN"/>
        </w:rPr>
        <w:t>合同生效后，买方在收到卖方开具的注明应付预付款金额的财务收据正本一份并经审核无误后28日内，向卖方支付签约合同价的10%作为预付款。</w:t>
      </w:r>
    </w:p>
    <w:p>
      <w:pPr>
        <w:adjustRightInd w:val="0"/>
        <w:snapToGrid w:val="0"/>
        <w:spacing w:line="440" w:lineRule="exact"/>
        <w:ind w:firstLine="440" w:firstLineChars="200"/>
        <w:rPr>
          <w:szCs w:val="21"/>
          <w:lang w:eastAsia="zh-CN"/>
        </w:rPr>
      </w:pPr>
      <w:r>
        <w:rPr>
          <w:rFonts w:hint="eastAsia"/>
          <w:szCs w:val="21"/>
          <w:lang w:eastAsia="zh-CN"/>
        </w:rPr>
        <w:t>买方支付预付款后，如卖方未履行合同义务，则买方有权收回预付款；如卖方依约履行了合同义务，则预付款抵作合同价款。</w:t>
      </w:r>
    </w:p>
    <w:p>
      <w:pPr>
        <w:adjustRightInd w:val="0"/>
        <w:snapToGrid w:val="0"/>
        <w:spacing w:line="440" w:lineRule="exact"/>
        <w:ind w:firstLine="440" w:firstLineChars="200"/>
        <w:outlineLvl w:val="4"/>
        <w:rPr>
          <w:szCs w:val="21"/>
          <w:lang w:eastAsia="zh-CN"/>
        </w:rPr>
      </w:pPr>
      <w:r>
        <w:rPr>
          <w:rFonts w:hint="eastAsia"/>
          <w:szCs w:val="21"/>
          <w:lang w:eastAsia="zh-CN"/>
        </w:rPr>
        <w:t>3.2.2交货款</w:t>
      </w:r>
    </w:p>
    <w:p>
      <w:pPr>
        <w:adjustRightInd w:val="0"/>
        <w:snapToGrid w:val="0"/>
        <w:spacing w:line="440" w:lineRule="exact"/>
        <w:ind w:firstLine="440" w:firstLineChars="200"/>
        <w:rPr>
          <w:szCs w:val="21"/>
          <w:lang w:eastAsia="zh-CN"/>
        </w:rPr>
      </w:pPr>
      <w:r>
        <w:rPr>
          <w:rFonts w:hint="eastAsia"/>
          <w:szCs w:val="21"/>
          <w:lang w:eastAsia="zh-CN"/>
        </w:rPr>
        <w:t>卖方按合同约定交付全部合同设备后，买方在收到卖方提交的下列全部单据并经审核无误后28日内，向卖方支付合同价格的60%：</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卖方出具的交货清单正本一份；</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买方签署的收货清单正本一份；</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制造商出具的出厂质量合格证正本一份；</w:t>
      </w:r>
    </w:p>
    <w:p>
      <w:pPr>
        <w:adjustRightInd w:val="0"/>
        <w:snapToGrid w:val="0"/>
        <w:spacing w:line="440" w:lineRule="exact"/>
        <w:ind w:firstLine="440" w:firstLineChars="200"/>
        <w:rPr>
          <w:szCs w:val="21"/>
          <w:lang w:eastAsia="zh-CN"/>
        </w:rPr>
      </w:pPr>
      <w:r>
        <w:rPr>
          <w:rFonts w:hint="eastAsia"/>
          <w:szCs w:val="21"/>
          <w:lang w:eastAsia="zh-CN"/>
        </w:rPr>
        <w:t>(4)</w:t>
      </w:r>
      <w:r>
        <w:rPr>
          <w:rFonts w:hint="eastAsia"/>
          <w:szCs w:val="21"/>
          <w:lang w:eastAsia="zh-CN"/>
        </w:rPr>
        <w:tab/>
      </w:r>
      <w:r>
        <w:rPr>
          <w:rFonts w:hint="eastAsia"/>
          <w:szCs w:val="21"/>
          <w:lang w:eastAsia="zh-CN"/>
        </w:rPr>
        <w:t>合同价格100%金额的増值税发票正本一份。</w:t>
      </w:r>
    </w:p>
    <w:p>
      <w:pPr>
        <w:adjustRightInd w:val="0"/>
        <w:snapToGrid w:val="0"/>
        <w:spacing w:line="440" w:lineRule="exact"/>
        <w:ind w:firstLine="440" w:firstLineChars="200"/>
        <w:outlineLvl w:val="4"/>
        <w:rPr>
          <w:szCs w:val="21"/>
          <w:lang w:eastAsia="zh-CN"/>
        </w:rPr>
      </w:pPr>
      <w:r>
        <w:rPr>
          <w:rFonts w:hint="eastAsia"/>
          <w:szCs w:val="21"/>
          <w:lang w:eastAsia="zh-CN"/>
        </w:rPr>
        <w:t>3.2.3验收款</w:t>
      </w:r>
    </w:p>
    <w:p>
      <w:pPr>
        <w:adjustRightInd w:val="0"/>
        <w:snapToGrid w:val="0"/>
        <w:spacing w:line="440" w:lineRule="exact"/>
        <w:ind w:firstLine="440" w:firstLineChars="200"/>
        <w:rPr>
          <w:szCs w:val="21"/>
          <w:lang w:eastAsia="zh-CN"/>
        </w:rPr>
      </w:pPr>
      <w:r>
        <w:rPr>
          <w:rFonts w:hint="eastAsia"/>
          <w:szCs w:val="21"/>
          <w:lang w:eastAsia="zh-CN"/>
        </w:rPr>
        <w:t>买方在收到卖方提交的买卖双方签署的合同设备验收证书或己生效的验收款支付函正本一份并经审核无误后28日内，向卖方支付合同价格的25%。</w:t>
      </w:r>
    </w:p>
    <w:p>
      <w:pPr>
        <w:adjustRightInd w:val="0"/>
        <w:snapToGrid w:val="0"/>
        <w:spacing w:line="440" w:lineRule="exact"/>
        <w:ind w:firstLine="440" w:firstLineChars="200"/>
        <w:outlineLvl w:val="4"/>
        <w:rPr>
          <w:szCs w:val="21"/>
          <w:lang w:eastAsia="zh-CN"/>
        </w:rPr>
      </w:pPr>
      <w:r>
        <w:rPr>
          <w:rFonts w:hint="eastAsia"/>
          <w:szCs w:val="21"/>
          <w:lang w:eastAsia="zh-CN"/>
        </w:rPr>
        <w:t>3.2.4结清款</w:t>
      </w:r>
    </w:p>
    <w:p>
      <w:pPr>
        <w:adjustRightInd w:val="0"/>
        <w:snapToGrid w:val="0"/>
        <w:spacing w:line="440" w:lineRule="exact"/>
        <w:ind w:firstLine="440" w:firstLineChars="200"/>
        <w:rPr>
          <w:szCs w:val="21"/>
          <w:lang w:eastAsia="zh-CN"/>
        </w:rPr>
      </w:pPr>
      <w:r>
        <w:rPr>
          <w:rFonts w:hint="eastAsia"/>
          <w:szCs w:val="21"/>
          <w:lang w:eastAsia="zh-CN"/>
        </w:rPr>
        <w:t>买方在收到卖方提交的买方签署的质量保证期届满证书或己生效的结清款支付函正本一份并经审核无误后28日内，向卖方支付合同价格的5%。</w:t>
      </w:r>
    </w:p>
    <w:p>
      <w:pPr>
        <w:adjustRightInd w:val="0"/>
        <w:snapToGrid w:val="0"/>
        <w:spacing w:line="440" w:lineRule="exact"/>
        <w:ind w:firstLine="440" w:firstLineChars="200"/>
        <w:rPr>
          <w:szCs w:val="21"/>
          <w:lang w:eastAsia="zh-CN"/>
        </w:rPr>
      </w:pPr>
      <w:r>
        <w:rPr>
          <w:rFonts w:hint="eastAsia"/>
          <w:szCs w:val="21"/>
          <w:lang w:eastAsia="zh-CN"/>
        </w:rPr>
        <w:t>如果依照合同第9.1项，卖方应向买方支付费用的，买方有权从结清款中直接扣除该笔费用。</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除专用合同条款另有约定外，在买方向卖方支付验收款的同时或其后的任何时间内，卖方可在向买方提交买方可接受的金额为合同价格5%的合同结清款保函的前提下，要求买方支付合同结清款，买方不得拒绝。</w:t>
      </w:r>
    </w:p>
    <w:p>
      <w:pPr>
        <w:adjustRightInd w:val="0"/>
        <w:snapToGrid w:val="0"/>
        <w:spacing w:line="440" w:lineRule="exact"/>
        <w:outlineLvl w:val="3"/>
        <w:rPr>
          <w:szCs w:val="21"/>
          <w:lang w:eastAsia="zh-CN"/>
        </w:rPr>
      </w:pPr>
      <w:r>
        <w:rPr>
          <w:rFonts w:hint="eastAsia"/>
          <w:szCs w:val="21"/>
          <w:lang w:eastAsia="zh-CN"/>
        </w:rPr>
        <w:t>3.3买方扣款的权利</w:t>
      </w:r>
    </w:p>
    <w:p>
      <w:pPr>
        <w:adjustRightInd w:val="0"/>
        <w:snapToGrid w:val="0"/>
        <w:spacing w:line="440" w:lineRule="exact"/>
        <w:ind w:firstLine="440" w:firstLineChars="200"/>
        <w:rPr>
          <w:szCs w:val="21"/>
          <w:lang w:eastAsia="zh-CN"/>
        </w:rPr>
      </w:pPr>
      <w:r>
        <w:rPr>
          <w:rFonts w:hint="eastAsia"/>
          <w:szCs w:val="21"/>
          <w:lang w:eastAsia="zh-CN"/>
        </w:rPr>
        <w:t>当卖方应向买方支付合同项下的违约金或赔偿金时，买方有权从上述任何一笔应付款中予以直接扣除和（或）兑付履约保证金。</w:t>
      </w:r>
    </w:p>
    <w:p>
      <w:pPr>
        <w:pStyle w:val="173"/>
        <w:keepNext/>
        <w:keepLines/>
        <w:adjustRightInd w:val="0"/>
        <w:snapToGrid w:val="0"/>
        <w:spacing w:before="0" w:after="0" w:line="440" w:lineRule="exact"/>
        <w:outlineLvl w:val="2"/>
        <w:rPr>
          <w:sz w:val="21"/>
          <w:szCs w:val="21"/>
        </w:rPr>
      </w:pPr>
      <w:bookmarkStart w:id="83" w:name="_Toc22032761"/>
      <w:bookmarkStart w:id="84" w:name="_Toc113559473"/>
      <w:bookmarkStart w:id="85" w:name="_Toc19173"/>
      <w:bookmarkStart w:id="86" w:name="_Toc102983272"/>
      <w:bookmarkStart w:id="87" w:name="_Toc2114"/>
      <w:bookmarkStart w:id="88" w:name="_Toc335"/>
      <w:bookmarkStart w:id="89" w:name="_Toc12050"/>
      <w:r>
        <w:rPr>
          <w:rFonts w:hint="eastAsia"/>
          <w:sz w:val="21"/>
          <w:szCs w:val="21"/>
        </w:rPr>
        <w:t>4.监造及交货前检验</w:t>
      </w:r>
      <w:bookmarkEnd w:id="83"/>
      <w:bookmarkEnd w:id="84"/>
      <w:bookmarkEnd w:id="85"/>
      <w:bookmarkEnd w:id="86"/>
      <w:bookmarkEnd w:id="87"/>
      <w:bookmarkEnd w:id="88"/>
      <w:bookmarkEnd w:id="89"/>
    </w:p>
    <w:p>
      <w:pPr>
        <w:adjustRightInd w:val="0"/>
        <w:snapToGrid w:val="0"/>
        <w:spacing w:line="440" w:lineRule="exact"/>
        <w:outlineLvl w:val="3"/>
        <w:rPr>
          <w:szCs w:val="21"/>
          <w:lang w:eastAsia="zh-CN"/>
        </w:rPr>
      </w:pPr>
      <w:r>
        <w:rPr>
          <w:rFonts w:hint="eastAsia"/>
          <w:szCs w:val="21"/>
          <w:lang w:eastAsia="zh-CN"/>
        </w:rPr>
        <w:t>4.1监造</w:t>
      </w:r>
    </w:p>
    <w:p>
      <w:pPr>
        <w:adjustRightInd w:val="0"/>
        <w:snapToGrid w:val="0"/>
        <w:spacing w:line="440" w:lineRule="exact"/>
        <w:ind w:firstLine="440" w:firstLineChars="200"/>
        <w:rPr>
          <w:szCs w:val="21"/>
          <w:lang w:eastAsia="zh-CN"/>
        </w:rPr>
      </w:pPr>
      <w:r>
        <w:rPr>
          <w:rFonts w:hint="eastAsia"/>
          <w:szCs w:val="21"/>
          <w:lang w:eastAsia="zh-CN"/>
        </w:rPr>
        <w:t>专用合同条款约定买方对合同设备进行监造的，双方应按本款及专用合同条款约定履行。</w:t>
      </w:r>
    </w:p>
    <w:p>
      <w:pPr>
        <w:adjustRightInd w:val="0"/>
        <w:snapToGrid w:val="0"/>
        <w:spacing w:line="440" w:lineRule="exact"/>
        <w:ind w:firstLine="440" w:firstLineChars="200"/>
        <w:rPr>
          <w:szCs w:val="21"/>
          <w:lang w:eastAsia="zh-CN"/>
        </w:rPr>
      </w:pPr>
      <w:r>
        <w:rPr>
          <w:rFonts w:hint="eastAsia"/>
          <w:szCs w:val="21"/>
          <w:lang w:eastAsia="zh-CN"/>
        </w:rPr>
        <w:t>4.1.1在合同设备的制造过程中，买方可派出监造人员，对合同设备的生产制造进行监造，监督合同设备制造、检验等情况。监造的范围、方式等应符合专用合同条款和（或）供货要求等合同文件的约定。</w:t>
      </w:r>
    </w:p>
    <w:p>
      <w:pPr>
        <w:adjustRightInd w:val="0"/>
        <w:snapToGrid w:val="0"/>
        <w:spacing w:line="440" w:lineRule="exact"/>
        <w:ind w:firstLine="440" w:firstLineChars="200"/>
        <w:rPr>
          <w:szCs w:val="21"/>
          <w:lang w:eastAsia="zh-CN"/>
        </w:rPr>
      </w:pPr>
      <w:r>
        <w:rPr>
          <w:rFonts w:hint="eastAsia"/>
          <w:szCs w:val="21"/>
          <w:lang w:eastAsia="zh-CN"/>
        </w:rPr>
        <w:t>4.1.2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pPr>
        <w:adjustRightInd w:val="0"/>
        <w:snapToGrid w:val="0"/>
        <w:spacing w:line="440" w:lineRule="exact"/>
        <w:ind w:firstLine="440" w:firstLineChars="200"/>
        <w:rPr>
          <w:szCs w:val="21"/>
          <w:lang w:eastAsia="zh-CN"/>
        </w:rPr>
      </w:pPr>
      <w:r>
        <w:rPr>
          <w:rFonts w:hint="eastAsia"/>
          <w:szCs w:val="21"/>
          <w:lang w:eastAsia="zh-CN"/>
        </w:rPr>
        <w:t>4.1.3卖方制订生产制造合同设备的进度计划时，应将买方监造纳入计划安排，并提前通知买方；买方进行监造不应影响合同设备的正常生产。除专用合同条款和（或）供货要求等合同文件另有约定外，卖方应提前7日将需要买方监造人员现场监造事项通知买方；如买方监造人员未按通知出席，不影响合同设备及其关键部件的制造或检验，但买方监造人员有权事后了解、查阅、复制相关制造或检验记录。</w:t>
      </w:r>
    </w:p>
    <w:p>
      <w:pPr>
        <w:adjustRightInd w:val="0"/>
        <w:snapToGrid w:val="0"/>
        <w:spacing w:line="440" w:lineRule="exact"/>
        <w:ind w:firstLine="440" w:firstLineChars="200"/>
        <w:rPr>
          <w:szCs w:val="21"/>
          <w:lang w:eastAsia="zh-CN"/>
        </w:rPr>
      </w:pPr>
      <w:r>
        <w:rPr>
          <w:rFonts w:hint="eastAsia"/>
          <w:szCs w:val="21"/>
          <w:lang w:eastAsia="zh-CN"/>
        </w:rPr>
        <w:t>4.1.4买方监造人员在监造中如发现合同设备及其关键部件不符合合同约定的标准，则有权提出意见和建议。卖方应采取必要措施消除合同设备的不符，由此増加的费用和（或）造成的延误由卖方负责。</w:t>
      </w:r>
    </w:p>
    <w:p>
      <w:pPr>
        <w:adjustRightInd w:val="0"/>
        <w:snapToGrid w:val="0"/>
        <w:spacing w:line="440" w:lineRule="exact"/>
        <w:ind w:firstLine="440" w:firstLineChars="200"/>
        <w:rPr>
          <w:szCs w:val="21"/>
          <w:lang w:eastAsia="zh-CN"/>
        </w:rPr>
      </w:pPr>
      <w:r>
        <w:rPr>
          <w:rFonts w:hint="eastAsia"/>
          <w:szCs w:val="21"/>
          <w:lang w:eastAsia="zh-CN"/>
        </w:rPr>
        <w:t>4.1.5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pPr>
        <w:adjustRightInd w:val="0"/>
        <w:snapToGrid w:val="0"/>
        <w:spacing w:line="440" w:lineRule="exact"/>
        <w:outlineLvl w:val="3"/>
        <w:rPr>
          <w:szCs w:val="21"/>
          <w:lang w:eastAsia="zh-CN"/>
        </w:rPr>
      </w:pPr>
      <w:r>
        <w:rPr>
          <w:rFonts w:hint="eastAsia"/>
          <w:szCs w:val="21"/>
          <w:lang w:eastAsia="zh-CN"/>
        </w:rPr>
        <w:t>4.2交货前检验</w:t>
      </w:r>
    </w:p>
    <w:p>
      <w:pPr>
        <w:adjustRightInd w:val="0"/>
        <w:snapToGrid w:val="0"/>
        <w:spacing w:line="440" w:lineRule="exact"/>
        <w:ind w:firstLine="440" w:firstLineChars="200"/>
        <w:rPr>
          <w:szCs w:val="21"/>
          <w:lang w:eastAsia="zh-CN"/>
        </w:rPr>
      </w:pPr>
      <w:r>
        <w:rPr>
          <w:rFonts w:hint="eastAsia"/>
          <w:szCs w:val="21"/>
          <w:lang w:eastAsia="zh-CN"/>
        </w:rPr>
        <w:t>专用合同条款约定买方参与交货前检验的，双方应按本款及专用合同条款约定履行。</w:t>
      </w:r>
    </w:p>
    <w:p>
      <w:pPr>
        <w:adjustRightInd w:val="0"/>
        <w:snapToGrid w:val="0"/>
        <w:spacing w:line="440" w:lineRule="exact"/>
        <w:ind w:firstLine="440" w:firstLineChars="200"/>
        <w:rPr>
          <w:szCs w:val="21"/>
          <w:lang w:eastAsia="zh-CN"/>
        </w:rPr>
      </w:pPr>
      <w:r>
        <w:rPr>
          <w:rFonts w:hint="eastAsia"/>
          <w:szCs w:val="21"/>
          <w:lang w:eastAsia="zh-CN"/>
        </w:rPr>
        <w:t>4.2.1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pPr>
        <w:adjustRightInd w:val="0"/>
        <w:snapToGrid w:val="0"/>
        <w:spacing w:line="440" w:lineRule="exact"/>
        <w:ind w:firstLine="440" w:firstLineChars="200"/>
        <w:rPr>
          <w:szCs w:val="21"/>
          <w:lang w:eastAsia="zh-CN"/>
        </w:rPr>
      </w:pPr>
      <w:r>
        <w:rPr>
          <w:rFonts w:hint="eastAsia"/>
          <w:szCs w:val="21"/>
          <w:lang w:eastAsia="zh-CN"/>
        </w:rPr>
        <w:t>4.2.2除专用合同条款和（或）供货要求等合同文件另有约定外，卖方应提前7日将需要买方代表检验事项通知买方；如买方代表未按通知出席，不影响合同设备的检验。若卖方未依照合同约定提前通知买方而自行检验，则买方有权要求卖方暂停发货并重新进行检验，由此増加的费用和（或）造成的延误由卖方负责。</w:t>
      </w:r>
    </w:p>
    <w:p>
      <w:pPr>
        <w:adjustRightInd w:val="0"/>
        <w:snapToGrid w:val="0"/>
        <w:spacing w:line="440" w:lineRule="exact"/>
        <w:ind w:firstLine="440" w:firstLineChars="200"/>
        <w:rPr>
          <w:szCs w:val="21"/>
          <w:lang w:eastAsia="zh-CN"/>
        </w:rPr>
      </w:pPr>
      <w:r>
        <w:rPr>
          <w:rFonts w:hint="eastAsia"/>
          <w:szCs w:val="21"/>
          <w:lang w:eastAsia="zh-CN"/>
        </w:rPr>
        <w:t>4.2.3买方代表在检验中如发现合同设备不符合合同约定的标准，则有权提出异议。卖方应采取必要措施消除合同设备的不符，由此増加的费用和（或）造成的延误由卖方负责。</w:t>
      </w:r>
    </w:p>
    <w:p>
      <w:pPr>
        <w:adjustRightInd w:val="0"/>
        <w:snapToGrid w:val="0"/>
        <w:spacing w:line="440" w:lineRule="exact"/>
        <w:ind w:firstLine="440" w:firstLineChars="200"/>
        <w:rPr>
          <w:szCs w:val="21"/>
          <w:lang w:eastAsia="zh-CN"/>
        </w:rPr>
      </w:pPr>
      <w:r>
        <w:rPr>
          <w:rFonts w:hint="eastAsia"/>
          <w:szCs w:val="21"/>
          <w:lang w:eastAsia="zh-CN"/>
        </w:rPr>
        <w:t>4.2.4买方代表参与交货前检验及签署交货前检验记录的行为，不视为对合同设备质量的确认，不影响卖方交货后买方依照合同约定对合同设备提出质量异议和（或）退货的权利，也不免除卖方依照合同约定对合同设备所应承担的任何义务或责任。</w:t>
      </w:r>
    </w:p>
    <w:p>
      <w:pPr>
        <w:pStyle w:val="173"/>
        <w:keepNext/>
        <w:keepLines/>
        <w:adjustRightInd w:val="0"/>
        <w:snapToGrid w:val="0"/>
        <w:spacing w:before="0" w:after="0" w:line="440" w:lineRule="exact"/>
        <w:outlineLvl w:val="2"/>
        <w:rPr>
          <w:sz w:val="21"/>
          <w:szCs w:val="21"/>
        </w:rPr>
      </w:pPr>
      <w:bookmarkStart w:id="90" w:name="_Toc4308"/>
      <w:bookmarkStart w:id="91" w:name="_Toc19205"/>
      <w:bookmarkStart w:id="92" w:name="_Toc5180"/>
      <w:bookmarkStart w:id="93" w:name="_Toc13941"/>
      <w:bookmarkStart w:id="94" w:name="_Toc113559474"/>
      <w:bookmarkStart w:id="95" w:name="_Toc22032762"/>
      <w:bookmarkStart w:id="96" w:name="_Toc102983273"/>
      <w:r>
        <w:rPr>
          <w:rFonts w:hint="eastAsia"/>
          <w:sz w:val="21"/>
          <w:szCs w:val="21"/>
        </w:rPr>
        <w:t>5.包装、标记、运输和交付</w:t>
      </w:r>
      <w:bookmarkEnd w:id="90"/>
      <w:bookmarkEnd w:id="91"/>
      <w:bookmarkEnd w:id="92"/>
      <w:bookmarkEnd w:id="93"/>
      <w:bookmarkEnd w:id="94"/>
      <w:bookmarkEnd w:id="95"/>
      <w:bookmarkEnd w:id="96"/>
    </w:p>
    <w:p>
      <w:pPr>
        <w:adjustRightInd w:val="0"/>
        <w:snapToGrid w:val="0"/>
        <w:spacing w:line="440" w:lineRule="exact"/>
        <w:outlineLvl w:val="3"/>
        <w:rPr>
          <w:szCs w:val="21"/>
          <w:lang w:eastAsia="zh-CN"/>
        </w:rPr>
      </w:pPr>
      <w:r>
        <w:rPr>
          <w:rFonts w:hint="eastAsia"/>
          <w:szCs w:val="21"/>
          <w:lang w:eastAsia="zh-CN"/>
        </w:rPr>
        <w:t>5.1包装</w:t>
      </w:r>
    </w:p>
    <w:p>
      <w:pPr>
        <w:adjustRightInd w:val="0"/>
        <w:snapToGrid w:val="0"/>
        <w:spacing w:line="440" w:lineRule="exact"/>
        <w:ind w:firstLine="440" w:firstLineChars="200"/>
        <w:rPr>
          <w:szCs w:val="21"/>
          <w:lang w:eastAsia="zh-CN"/>
        </w:rPr>
      </w:pPr>
      <w:r>
        <w:rPr>
          <w:rFonts w:hint="eastAsia"/>
          <w:szCs w:val="21"/>
          <w:lang w:eastAsia="zh-CN"/>
        </w:rPr>
        <w:t>5.1.1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adjustRightInd w:val="0"/>
        <w:snapToGrid w:val="0"/>
        <w:spacing w:line="440" w:lineRule="exact"/>
        <w:ind w:firstLine="440" w:firstLineChars="200"/>
        <w:rPr>
          <w:szCs w:val="21"/>
          <w:lang w:eastAsia="zh-CN"/>
        </w:rPr>
      </w:pPr>
      <w:r>
        <w:rPr>
          <w:rFonts w:hint="eastAsia"/>
          <w:szCs w:val="21"/>
          <w:lang w:eastAsia="zh-CN"/>
        </w:rPr>
        <w:t>5.1.2每个独立包装箱内应附装箱清单、质量合格证、装配图、说明书、操作指南等资料。</w:t>
      </w:r>
    </w:p>
    <w:p>
      <w:pPr>
        <w:adjustRightInd w:val="0"/>
        <w:snapToGrid w:val="0"/>
        <w:spacing w:line="440" w:lineRule="exact"/>
        <w:ind w:firstLine="440" w:firstLineChars="200"/>
        <w:rPr>
          <w:szCs w:val="21"/>
          <w:lang w:eastAsia="zh-CN"/>
        </w:rPr>
      </w:pPr>
      <w:r>
        <w:rPr>
          <w:rFonts w:hint="eastAsia"/>
          <w:szCs w:val="21"/>
          <w:lang w:eastAsia="zh-CN"/>
        </w:rPr>
        <w:t>5.1.3除专用合同条款另有约定外，买方无需将包装物退还给卖方。</w:t>
      </w:r>
    </w:p>
    <w:p>
      <w:pPr>
        <w:adjustRightInd w:val="0"/>
        <w:snapToGrid w:val="0"/>
        <w:spacing w:line="440" w:lineRule="exact"/>
        <w:outlineLvl w:val="3"/>
        <w:rPr>
          <w:szCs w:val="21"/>
          <w:lang w:eastAsia="zh-CN"/>
        </w:rPr>
      </w:pPr>
      <w:r>
        <w:rPr>
          <w:rFonts w:hint="eastAsia"/>
          <w:szCs w:val="21"/>
          <w:lang w:eastAsia="zh-CN"/>
        </w:rPr>
        <w:t>5.2标记</w:t>
      </w:r>
    </w:p>
    <w:p>
      <w:pPr>
        <w:adjustRightInd w:val="0"/>
        <w:snapToGrid w:val="0"/>
        <w:spacing w:line="440" w:lineRule="exact"/>
        <w:ind w:firstLine="440" w:firstLineChars="200"/>
        <w:rPr>
          <w:szCs w:val="21"/>
          <w:lang w:eastAsia="zh-CN"/>
        </w:rPr>
      </w:pPr>
      <w:r>
        <w:rPr>
          <w:rFonts w:hint="eastAsia"/>
          <w:szCs w:val="21"/>
          <w:lang w:eastAsia="zh-CN"/>
        </w:rPr>
        <w:t>5.2.1除专用合同条款另有约定外，卖方应在每一包装箱相邻的四个侧面以不可擦除的、明显的方式标记必要的装运信息和标记，以满足合同设备运输和保管的需要。</w:t>
      </w:r>
    </w:p>
    <w:p>
      <w:pPr>
        <w:adjustRightInd w:val="0"/>
        <w:snapToGrid w:val="0"/>
        <w:spacing w:line="440" w:lineRule="exact"/>
        <w:ind w:firstLine="440" w:firstLineChars="200"/>
        <w:rPr>
          <w:szCs w:val="21"/>
          <w:lang w:eastAsia="zh-CN"/>
        </w:rPr>
      </w:pPr>
      <w:r>
        <w:rPr>
          <w:rFonts w:hint="eastAsia"/>
          <w:szCs w:val="21"/>
          <w:lang w:eastAsia="zh-CN"/>
        </w:rPr>
        <w:t>5.2.2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pPr>
        <w:adjustRightInd w:val="0"/>
        <w:snapToGrid w:val="0"/>
        <w:spacing w:line="440" w:lineRule="exact"/>
        <w:outlineLvl w:val="3"/>
        <w:rPr>
          <w:szCs w:val="21"/>
          <w:lang w:eastAsia="zh-CN"/>
        </w:rPr>
      </w:pPr>
      <w:r>
        <w:rPr>
          <w:rFonts w:hint="eastAsia"/>
          <w:szCs w:val="21"/>
          <w:lang w:eastAsia="zh-CN"/>
        </w:rPr>
        <w:t>5.3运输</w:t>
      </w:r>
    </w:p>
    <w:p>
      <w:pPr>
        <w:adjustRightInd w:val="0"/>
        <w:snapToGrid w:val="0"/>
        <w:spacing w:line="440" w:lineRule="exact"/>
        <w:ind w:firstLine="440" w:firstLineChars="200"/>
        <w:rPr>
          <w:szCs w:val="21"/>
          <w:lang w:eastAsia="zh-CN"/>
        </w:rPr>
      </w:pPr>
      <w:r>
        <w:rPr>
          <w:rFonts w:hint="eastAsia"/>
          <w:szCs w:val="21"/>
          <w:lang w:eastAsia="zh-CN"/>
        </w:rPr>
        <w:t>5.3.1卖方应自行选择适宜的运输工具及线路安排合同设备运输。</w:t>
      </w:r>
    </w:p>
    <w:p>
      <w:pPr>
        <w:adjustRightInd w:val="0"/>
        <w:snapToGrid w:val="0"/>
        <w:spacing w:line="440" w:lineRule="exact"/>
        <w:ind w:firstLine="440" w:firstLineChars="200"/>
        <w:rPr>
          <w:szCs w:val="21"/>
          <w:lang w:eastAsia="zh-CN"/>
        </w:rPr>
      </w:pPr>
      <w:r>
        <w:rPr>
          <w:rFonts w:hint="eastAsia"/>
          <w:szCs w:val="21"/>
          <w:lang w:eastAsia="zh-CN"/>
        </w:rPr>
        <w:t>5.3.2除专用合同条款另有约定外，每件能够独立运行的设备应整套装运。该设备安装、调试、考核和运行所使用的备品、备件、易损易耗件等应随相关的主机一齐装运。</w:t>
      </w:r>
    </w:p>
    <w:p>
      <w:pPr>
        <w:adjustRightInd w:val="0"/>
        <w:snapToGrid w:val="0"/>
        <w:spacing w:line="440" w:lineRule="exact"/>
        <w:ind w:firstLine="440" w:firstLineChars="200"/>
        <w:rPr>
          <w:szCs w:val="21"/>
          <w:lang w:eastAsia="zh-CN"/>
        </w:rPr>
      </w:pPr>
      <w:r>
        <w:rPr>
          <w:rFonts w:hint="eastAsia"/>
          <w:szCs w:val="21"/>
          <w:lang w:eastAsia="zh-CN"/>
        </w:rPr>
        <w:t>5.3.3除专用合同条款另有约定外，卖方应在合同设备预计启运7日前，将合同设备名称、数量、箱数、总毛重、总体积（用m3表示）、每箱尺寸（长x宽x高）、装运合同设备总金额、运输方式、预计交付日期和合同设备在运输、装卸、保管中的注意事项等预通知买方，并在合同设备启运后24小时之内正式通知买方。</w:t>
      </w:r>
    </w:p>
    <w:p>
      <w:pPr>
        <w:adjustRightInd w:val="0"/>
        <w:snapToGrid w:val="0"/>
        <w:spacing w:line="440" w:lineRule="exact"/>
        <w:ind w:firstLine="440" w:firstLineChars="200"/>
        <w:rPr>
          <w:szCs w:val="21"/>
          <w:lang w:eastAsia="zh-CN"/>
        </w:rPr>
      </w:pPr>
      <w:r>
        <w:rPr>
          <w:rFonts w:hint="eastAsia"/>
          <w:szCs w:val="21"/>
          <w:lang w:eastAsia="zh-CN"/>
        </w:rPr>
        <w:t>5.3.4卖方在根据第5.3.3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质、在运输、装卸、保管方面的特殊要求、注意事项和处理意外情况的方法等，也应一并通知买方。</w:t>
      </w:r>
    </w:p>
    <w:p>
      <w:pPr>
        <w:adjustRightInd w:val="0"/>
        <w:snapToGrid w:val="0"/>
        <w:spacing w:line="440" w:lineRule="exact"/>
        <w:outlineLvl w:val="3"/>
        <w:rPr>
          <w:szCs w:val="21"/>
          <w:lang w:eastAsia="zh-CN"/>
        </w:rPr>
      </w:pPr>
      <w:r>
        <w:rPr>
          <w:rFonts w:hint="eastAsia"/>
          <w:szCs w:val="21"/>
          <w:lang w:eastAsia="zh-CN"/>
        </w:rPr>
        <w:t>5.4交付</w:t>
      </w:r>
    </w:p>
    <w:p>
      <w:pPr>
        <w:adjustRightInd w:val="0"/>
        <w:snapToGrid w:val="0"/>
        <w:spacing w:line="440" w:lineRule="exact"/>
        <w:ind w:firstLine="440" w:firstLineChars="200"/>
        <w:rPr>
          <w:szCs w:val="21"/>
          <w:lang w:eastAsia="zh-CN"/>
        </w:rPr>
      </w:pPr>
      <w:r>
        <w:rPr>
          <w:rFonts w:hint="eastAsia"/>
          <w:szCs w:val="21"/>
          <w:lang w:eastAsia="zh-CN"/>
        </w:rPr>
        <w:t>5.4.1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pPr>
        <w:adjustRightInd w:val="0"/>
        <w:snapToGrid w:val="0"/>
        <w:spacing w:line="440" w:lineRule="exact"/>
        <w:ind w:firstLine="440" w:firstLineChars="200"/>
        <w:rPr>
          <w:szCs w:val="21"/>
          <w:lang w:eastAsia="zh-CN"/>
        </w:rPr>
      </w:pPr>
      <w:r>
        <w:rPr>
          <w:rFonts w:hint="eastAsia"/>
          <w:szCs w:val="21"/>
          <w:lang w:eastAsia="zh-CN"/>
        </w:rPr>
        <w:t>5.4.2合同设备的所有权和风险自交付时起由卖方转移至买方，合同设备交付给买方之前包括运输在内的所有风险均由卖方承担。</w:t>
      </w:r>
    </w:p>
    <w:p>
      <w:pPr>
        <w:adjustRightInd w:val="0"/>
        <w:snapToGrid w:val="0"/>
        <w:spacing w:line="440" w:lineRule="exact"/>
        <w:ind w:firstLine="440" w:firstLineChars="200"/>
        <w:rPr>
          <w:szCs w:val="21"/>
          <w:lang w:eastAsia="zh-CN"/>
        </w:rPr>
      </w:pPr>
      <w:r>
        <w:rPr>
          <w:rFonts w:hint="eastAsia"/>
          <w:szCs w:val="21"/>
          <w:lang w:eastAsia="zh-CN"/>
        </w:rPr>
        <w:t>5.4.3除专用合同条款另有约定外，买方如果发现技术资料存在短缺和（或）损坏，卖方应在收到买方的通知后7日内免费补齐短缺和（或）损坏的部分。如果买方发现卖方提供的技术资料有误，卖方应在收到买方通知后7日内免费替换。如由于买方原因导致技术资料丢失和（或)损坏，卖方应在收到买方的通知后7日内补齐丢失和（或）损坏的部分，但买方应向卖方支付合理的复制、邮寄费用。</w:t>
      </w:r>
    </w:p>
    <w:p>
      <w:pPr>
        <w:pStyle w:val="173"/>
        <w:keepNext/>
        <w:keepLines/>
        <w:adjustRightInd w:val="0"/>
        <w:snapToGrid w:val="0"/>
        <w:spacing w:before="0" w:after="0" w:line="440" w:lineRule="exact"/>
        <w:outlineLvl w:val="2"/>
        <w:rPr>
          <w:sz w:val="21"/>
          <w:szCs w:val="21"/>
        </w:rPr>
      </w:pPr>
      <w:bookmarkStart w:id="97" w:name="_Toc12031"/>
      <w:bookmarkStart w:id="98" w:name="_Toc31355"/>
      <w:bookmarkStart w:id="99" w:name="_Toc17297"/>
      <w:bookmarkStart w:id="100" w:name="_Toc8410"/>
      <w:bookmarkStart w:id="101" w:name="_Toc102983274"/>
      <w:bookmarkStart w:id="102" w:name="_Toc113559475"/>
      <w:bookmarkStart w:id="103" w:name="_Toc22032763"/>
      <w:r>
        <w:rPr>
          <w:rFonts w:hint="eastAsia"/>
          <w:sz w:val="21"/>
          <w:szCs w:val="21"/>
        </w:rPr>
        <w:t>6.开箱检验、安装、调试、考核、验收</w:t>
      </w:r>
      <w:bookmarkEnd w:id="97"/>
      <w:bookmarkEnd w:id="98"/>
      <w:bookmarkEnd w:id="99"/>
      <w:bookmarkEnd w:id="100"/>
      <w:bookmarkEnd w:id="101"/>
      <w:bookmarkEnd w:id="102"/>
      <w:bookmarkEnd w:id="103"/>
    </w:p>
    <w:p>
      <w:pPr>
        <w:adjustRightInd w:val="0"/>
        <w:snapToGrid w:val="0"/>
        <w:spacing w:line="440" w:lineRule="exact"/>
        <w:outlineLvl w:val="3"/>
        <w:rPr>
          <w:szCs w:val="21"/>
          <w:lang w:eastAsia="zh-CN"/>
        </w:rPr>
      </w:pPr>
      <w:r>
        <w:rPr>
          <w:rFonts w:hint="eastAsia"/>
          <w:szCs w:val="21"/>
          <w:lang w:eastAsia="zh-CN"/>
        </w:rPr>
        <w:t>6.1开箱检验</w:t>
      </w:r>
    </w:p>
    <w:p>
      <w:pPr>
        <w:adjustRightInd w:val="0"/>
        <w:snapToGrid w:val="0"/>
        <w:spacing w:line="440" w:lineRule="exact"/>
        <w:ind w:firstLine="440" w:firstLineChars="200"/>
        <w:rPr>
          <w:szCs w:val="21"/>
          <w:lang w:eastAsia="zh-CN"/>
        </w:rPr>
      </w:pPr>
      <w:r>
        <w:rPr>
          <w:rFonts w:hint="eastAsia"/>
          <w:szCs w:val="21"/>
          <w:lang w:eastAsia="zh-CN"/>
        </w:rPr>
        <w:t>6.1.1合同设备交付后应进行开箱检验，即合同设备数量及外观检验。开箱检验在专用合同条款约定的下列任一种时间进行：</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合同设备交付时；</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合同设备交付后的一定期限内。</w:t>
      </w:r>
    </w:p>
    <w:p>
      <w:pPr>
        <w:adjustRightInd w:val="0"/>
        <w:snapToGrid w:val="0"/>
        <w:spacing w:line="440" w:lineRule="exact"/>
        <w:ind w:firstLine="440" w:firstLineChars="200"/>
        <w:rPr>
          <w:szCs w:val="21"/>
          <w:lang w:eastAsia="zh-CN"/>
        </w:rPr>
      </w:pPr>
      <w:r>
        <w:rPr>
          <w:rFonts w:hint="eastAsia"/>
          <w:szCs w:val="21"/>
          <w:lang w:eastAsia="zh-CN"/>
        </w:rPr>
        <w:t>如开箱检验不在合同设备交付时进行，买方应在开箱检验3日前将开箱检验的时间和地点通知卖方。</w:t>
      </w:r>
    </w:p>
    <w:p>
      <w:pPr>
        <w:adjustRightInd w:val="0"/>
        <w:snapToGrid w:val="0"/>
        <w:spacing w:line="440" w:lineRule="exact"/>
        <w:ind w:firstLine="440" w:firstLineChars="200"/>
        <w:rPr>
          <w:szCs w:val="21"/>
          <w:lang w:eastAsia="zh-CN"/>
        </w:rPr>
      </w:pPr>
      <w:r>
        <w:rPr>
          <w:rFonts w:hint="eastAsia"/>
          <w:szCs w:val="21"/>
          <w:lang w:eastAsia="zh-CN"/>
        </w:rPr>
        <w:t>6.1.2除专用合同条款另有约定外，合同设备的开箱检验应在施工场地进行。</w:t>
      </w:r>
    </w:p>
    <w:p>
      <w:pPr>
        <w:adjustRightInd w:val="0"/>
        <w:snapToGrid w:val="0"/>
        <w:spacing w:line="440" w:lineRule="exact"/>
        <w:ind w:firstLine="440" w:firstLineChars="200"/>
        <w:rPr>
          <w:szCs w:val="21"/>
          <w:lang w:eastAsia="zh-CN"/>
        </w:rPr>
      </w:pPr>
      <w:r>
        <w:rPr>
          <w:rFonts w:hint="eastAsia"/>
          <w:szCs w:val="21"/>
          <w:lang w:eastAsia="zh-CN"/>
        </w:rPr>
        <w:t>6.1.3开箱检验由买卖双方共同进行，卖方应自负费用派遣代表到场参加开箱检验。</w:t>
      </w:r>
    </w:p>
    <w:p>
      <w:pPr>
        <w:adjustRightInd w:val="0"/>
        <w:snapToGrid w:val="0"/>
        <w:spacing w:line="440" w:lineRule="exact"/>
        <w:ind w:firstLine="440" w:firstLineChars="200"/>
        <w:rPr>
          <w:szCs w:val="21"/>
          <w:lang w:eastAsia="zh-CN"/>
        </w:rPr>
      </w:pPr>
      <w:r>
        <w:rPr>
          <w:rFonts w:hint="eastAsia"/>
          <w:szCs w:val="21"/>
          <w:lang w:eastAsia="zh-CN"/>
        </w:rPr>
        <w:t>6.1.4在开箱检验中，买方和卖方应共同签署数量、外观检验报告，报告应列明检验结果，包括检验合格或发现的任何短缺、损坏或其它与合同约定不符的情形。</w:t>
      </w:r>
    </w:p>
    <w:p>
      <w:pPr>
        <w:adjustRightInd w:val="0"/>
        <w:snapToGrid w:val="0"/>
        <w:spacing w:line="440" w:lineRule="exact"/>
        <w:ind w:firstLine="440" w:firstLineChars="200"/>
        <w:rPr>
          <w:szCs w:val="21"/>
          <w:lang w:eastAsia="zh-CN"/>
        </w:rPr>
      </w:pPr>
      <w:r>
        <w:rPr>
          <w:rFonts w:hint="eastAsia"/>
          <w:szCs w:val="21"/>
          <w:lang w:eastAsia="zh-CN"/>
        </w:rPr>
        <w:t>6.1.5如果卖方代表未能依约或按买方通知到场参加开箱检验，买方有权在卖方代表未在场的情况下进行开箱检验，并签署数量、外观检验报告，对于该检验报告和检验结果，视为卖方己接受，但卖方确有合理理由且事先与买方协商推迟开箱检验时间的除外。</w:t>
      </w:r>
    </w:p>
    <w:p>
      <w:pPr>
        <w:adjustRightInd w:val="0"/>
        <w:snapToGrid w:val="0"/>
        <w:spacing w:line="440" w:lineRule="exact"/>
        <w:ind w:firstLine="440" w:firstLineChars="200"/>
        <w:rPr>
          <w:szCs w:val="21"/>
          <w:lang w:eastAsia="zh-CN"/>
        </w:rPr>
      </w:pPr>
      <w:r>
        <w:rPr>
          <w:rFonts w:hint="eastAsia"/>
          <w:szCs w:val="21"/>
          <w:lang w:eastAsia="zh-CN"/>
        </w:rPr>
        <w:t>6.1.6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pPr>
        <w:adjustRightInd w:val="0"/>
        <w:snapToGrid w:val="0"/>
        <w:spacing w:line="440" w:lineRule="exact"/>
        <w:ind w:firstLine="440" w:firstLineChars="200"/>
        <w:rPr>
          <w:szCs w:val="21"/>
          <w:lang w:eastAsia="zh-CN"/>
        </w:rPr>
      </w:pPr>
      <w:r>
        <w:rPr>
          <w:rFonts w:hint="eastAsia"/>
          <w:szCs w:val="21"/>
          <w:lang w:eastAsia="zh-CN"/>
        </w:rPr>
        <w:t>6.1.7如双方在专用合同条款和（或）供货要求等合同文件中约定由第三方检测机构对合同设备进行开箱检验或在开箱检验过程中另行约定由第三方检验的，则第三方检测机构的检验结果对双方均具有约束力。</w:t>
      </w:r>
    </w:p>
    <w:p>
      <w:pPr>
        <w:adjustRightInd w:val="0"/>
        <w:snapToGrid w:val="0"/>
        <w:spacing w:line="440" w:lineRule="exact"/>
        <w:ind w:firstLine="440" w:firstLineChars="200"/>
        <w:rPr>
          <w:szCs w:val="21"/>
          <w:lang w:eastAsia="zh-CN"/>
        </w:rPr>
      </w:pPr>
      <w:r>
        <w:rPr>
          <w:rFonts w:hint="eastAsia"/>
          <w:szCs w:val="21"/>
          <w:lang w:eastAsia="zh-CN"/>
        </w:rPr>
        <w:t>6.1.8开箱检验的检验结果不能对抗在合同设备的安装、调试、考核、验收中及质量保证期内发现的合同设备质量问题，也不能免除或影响卖方依照合同约定对买方负有的包括合同设备质量在内的任何义务或责任。</w:t>
      </w:r>
    </w:p>
    <w:p>
      <w:pPr>
        <w:adjustRightInd w:val="0"/>
        <w:snapToGrid w:val="0"/>
        <w:spacing w:line="440" w:lineRule="exact"/>
        <w:outlineLvl w:val="3"/>
        <w:rPr>
          <w:szCs w:val="21"/>
          <w:lang w:eastAsia="zh-CN"/>
        </w:rPr>
      </w:pPr>
      <w:r>
        <w:rPr>
          <w:rFonts w:hint="eastAsia"/>
          <w:szCs w:val="21"/>
          <w:lang w:eastAsia="zh-CN"/>
        </w:rPr>
        <w:t>6.2安装、调试</w:t>
      </w:r>
    </w:p>
    <w:p>
      <w:pPr>
        <w:adjustRightInd w:val="0"/>
        <w:snapToGrid w:val="0"/>
        <w:spacing w:line="440" w:lineRule="exact"/>
        <w:ind w:firstLine="440" w:firstLineChars="200"/>
        <w:rPr>
          <w:szCs w:val="21"/>
          <w:lang w:eastAsia="zh-CN"/>
        </w:rPr>
      </w:pPr>
      <w:r>
        <w:rPr>
          <w:rFonts w:hint="eastAsia"/>
          <w:szCs w:val="21"/>
          <w:lang w:eastAsia="zh-CN"/>
        </w:rPr>
        <w:t>6.2.1开箱检验完成后，双方应对合同设备进行安装、调试，以使其具备考核的状态。安装、调试应按照专用合同条款约定的下列任一种方式进行：</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卖方按照合同约定完成合同设备的安装、调试工作；</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买方或买方安排第三方负责合同设备的安装、调试工作，卖方提供技术服务。</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pPr>
        <w:adjustRightInd w:val="0"/>
        <w:snapToGrid w:val="0"/>
        <w:spacing w:line="440" w:lineRule="exact"/>
        <w:ind w:firstLine="440" w:firstLineChars="200"/>
        <w:rPr>
          <w:szCs w:val="21"/>
          <w:lang w:eastAsia="zh-CN"/>
        </w:rPr>
      </w:pPr>
      <w:r>
        <w:rPr>
          <w:rFonts w:hint="eastAsia"/>
          <w:szCs w:val="21"/>
          <w:lang w:eastAsia="zh-CN"/>
        </w:rPr>
        <w:t>6.2.2除专用合同条款另有约定外，安装、调试中合同设备运行需要的用水、用电、其他动力和原材料（如需要）等均由买方承担。</w:t>
      </w:r>
    </w:p>
    <w:p>
      <w:pPr>
        <w:adjustRightInd w:val="0"/>
        <w:snapToGrid w:val="0"/>
        <w:spacing w:line="440" w:lineRule="exact"/>
        <w:ind w:firstLine="440" w:firstLineChars="200"/>
        <w:outlineLvl w:val="4"/>
        <w:rPr>
          <w:szCs w:val="21"/>
          <w:lang w:eastAsia="zh-CN"/>
        </w:rPr>
      </w:pPr>
      <w:r>
        <w:rPr>
          <w:rFonts w:hint="eastAsia"/>
          <w:szCs w:val="21"/>
          <w:lang w:eastAsia="zh-CN"/>
        </w:rPr>
        <w:t>6.2.3双方应对合同设备的安装、调试情况共同及时进行记录。</w:t>
      </w:r>
    </w:p>
    <w:p>
      <w:pPr>
        <w:adjustRightInd w:val="0"/>
        <w:snapToGrid w:val="0"/>
        <w:spacing w:line="440" w:lineRule="exact"/>
        <w:outlineLvl w:val="3"/>
        <w:rPr>
          <w:szCs w:val="21"/>
          <w:lang w:eastAsia="zh-CN"/>
        </w:rPr>
      </w:pPr>
      <w:r>
        <w:rPr>
          <w:rFonts w:hint="eastAsia"/>
          <w:szCs w:val="21"/>
          <w:lang w:eastAsia="zh-CN"/>
        </w:rPr>
        <w:t>6.3考核</w:t>
      </w:r>
    </w:p>
    <w:p>
      <w:pPr>
        <w:adjustRightInd w:val="0"/>
        <w:snapToGrid w:val="0"/>
        <w:spacing w:line="440" w:lineRule="exact"/>
        <w:ind w:firstLine="440" w:firstLineChars="200"/>
        <w:rPr>
          <w:szCs w:val="21"/>
          <w:lang w:eastAsia="zh-CN"/>
        </w:rPr>
      </w:pPr>
      <w:r>
        <w:rPr>
          <w:rFonts w:hint="eastAsia"/>
          <w:szCs w:val="21"/>
          <w:lang w:eastAsia="zh-CN"/>
        </w:rPr>
        <w:t>6.3.1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pPr>
        <w:adjustRightInd w:val="0"/>
        <w:snapToGrid w:val="0"/>
        <w:spacing w:line="440" w:lineRule="exact"/>
        <w:ind w:firstLine="440" w:firstLineChars="200"/>
        <w:rPr>
          <w:szCs w:val="21"/>
          <w:lang w:eastAsia="zh-CN"/>
        </w:rPr>
      </w:pPr>
      <w:r>
        <w:rPr>
          <w:rFonts w:hint="eastAsia"/>
          <w:szCs w:val="21"/>
          <w:lang w:eastAsia="zh-CN"/>
        </w:rPr>
        <w:t>6.3.2如由于卖方原因合同设备在考核中未能达到合同约定的技术性能考核指标，则卖方应在双方同意的期限内采取措施消除合同设备中存在的缺陷，并在缺陷消除以后，尽快进行再次考核。</w:t>
      </w:r>
    </w:p>
    <w:p>
      <w:pPr>
        <w:adjustRightInd w:val="0"/>
        <w:snapToGrid w:val="0"/>
        <w:spacing w:line="440" w:lineRule="exact"/>
        <w:ind w:firstLine="440" w:firstLineChars="200"/>
        <w:rPr>
          <w:szCs w:val="21"/>
          <w:lang w:eastAsia="zh-CN"/>
        </w:rPr>
      </w:pPr>
      <w:r>
        <w:rPr>
          <w:rFonts w:hint="eastAsia"/>
          <w:szCs w:val="21"/>
          <w:lang w:eastAsia="zh-CN"/>
        </w:rPr>
        <w:t>6.3.3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己达到技术性能考核指标，买方无权解除合同，且应接受合同设备，但卖方应按专用合同条款的约定进行减价或向买方支付补偿金。</w:t>
      </w:r>
    </w:p>
    <w:p>
      <w:pPr>
        <w:adjustRightInd w:val="0"/>
        <w:snapToGrid w:val="0"/>
        <w:spacing w:line="440" w:lineRule="exact"/>
        <w:ind w:firstLine="440" w:firstLineChars="200"/>
        <w:rPr>
          <w:szCs w:val="21"/>
          <w:lang w:eastAsia="zh-CN"/>
        </w:rPr>
      </w:pPr>
      <w:r>
        <w:rPr>
          <w:rFonts w:hint="eastAsia"/>
          <w:szCs w:val="21"/>
          <w:lang w:eastAsia="zh-CN"/>
        </w:rPr>
        <w:t>6.3.4如由于买方原因合同设备在考核中未能达到合同约定的技术性能考核指标，则卖方应协助买方安排再次考核。由于买方原因未能达到技术性能考核指标时，为买方进行考核的机会不超过三次。</w:t>
      </w:r>
    </w:p>
    <w:p>
      <w:pPr>
        <w:adjustRightInd w:val="0"/>
        <w:snapToGrid w:val="0"/>
        <w:spacing w:line="440" w:lineRule="exact"/>
        <w:ind w:firstLine="440" w:firstLineChars="200"/>
        <w:rPr>
          <w:szCs w:val="21"/>
          <w:lang w:eastAsia="zh-CN"/>
        </w:rPr>
      </w:pPr>
      <w:r>
        <w:rPr>
          <w:rFonts w:hint="eastAsia"/>
          <w:szCs w:val="21"/>
          <w:lang w:eastAsia="zh-CN"/>
        </w:rPr>
        <w:t>6.3.5考核期间，双方应及时共同记录合同设备的用水、用电、其他动力和原材料（如有)的使用及设备考核情况。对于未达到技术性能考核指标的，应如实记录设备表现、可能原因及处理情况等。</w:t>
      </w:r>
    </w:p>
    <w:p>
      <w:pPr>
        <w:adjustRightInd w:val="0"/>
        <w:snapToGrid w:val="0"/>
        <w:spacing w:line="440" w:lineRule="exact"/>
        <w:outlineLvl w:val="3"/>
        <w:rPr>
          <w:szCs w:val="21"/>
          <w:lang w:eastAsia="zh-CN"/>
        </w:rPr>
      </w:pPr>
      <w:r>
        <w:rPr>
          <w:rFonts w:hint="eastAsia"/>
          <w:szCs w:val="21"/>
          <w:lang w:eastAsia="zh-CN"/>
        </w:rPr>
        <w:t>6.4验收</w:t>
      </w:r>
    </w:p>
    <w:p>
      <w:pPr>
        <w:adjustRightInd w:val="0"/>
        <w:snapToGrid w:val="0"/>
        <w:spacing w:line="440" w:lineRule="exact"/>
        <w:ind w:firstLine="440" w:firstLineChars="200"/>
        <w:rPr>
          <w:szCs w:val="21"/>
          <w:lang w:eastAsia="zh-CN"/>
        </w:rPr>
      </w:pPr>
      <w:r>
        <w:rPr>
          <w:rFonts w:hint="eastAsia"/>
          <w:szCs w:val="21"/>
          <w:lang w:eastAsia="zh-CN"/>
        </w:rPr>
        <w:t>6.4.1如合同设备在考核中达到或视为达到技术性能考核指标，则买卖双方应在考核完成后7日内或专用合同条款另行约定的时间内签署合同设备验收证书一式二份，双方各持一份。验收日期应为合同设备达到或视为达到技术性能考核指标的日期。</w:t>
      </w:r>
    </w:p>
    <w:p>
      <w:pPr>
        <w:adjustRightInd w:val="0"/>
        <w:snapToGrid w:val="0"/>
        <w:spacing w:line="440" w:lineRule="exact"/>
        <w:ind w:firstLine="440" w:firstLineChars="200"/>
        <w:rPr>
          <w:szCs w:val="21"/>
          <w:lang w:eastAsia="zh-CN"/>
        </w:rPr>
      </w:pPr>
      <w:r>
        <w:rPr>
          <w:rFonts w:hint="eastAsia"/>
          <w:szCs w:val="21"/>
          <w:lang w:eastAsia="zh-CN"/>
        </w:rPr>
        <w:t>6.4.2如由于买方原因合同设备在三次考核中均未能达到技术性能考核指标，买卖双方应在考核结束后7日内或专用合同条款另行约定的时间内签署验收款支付函。</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除专用合同条款另有约定外，卖方有义务在验收款支付函签署后12个月内应买方要求提供相关技术服务，协助买方采取一切必要措施使合同设备达到技术性能考核指标。买方应承担卖方因此产生的全部费用。</w:t>
      </w:r>
    </w:p>
    <w:p>
      <w:pPr>
        <w:adjustRightInd w:val="0"/>
        <w:snapToGrid w:val="0"/>
        <w:spacing w:line="440" w:lineRule="exact"/>
        <w:ind w:firstLine="440" w:firstLineChars="200"/>
        <w:rPr>
          <w:szCs w:val="21"/>
          <w:lang w:eastAsia="zh-CN"/>
        </w:rPr>
      </w:pPr>
      <w:r>
        <w:rPr>
          <w:rFonts w:hint="eastAsia"/>
          <w:szCs w:val="21"/>
          <w:lang w:eastAsia="zh-CN"/>
        </w:rPr>
        <w:t>在上述12个月的期限内，如合同设备经过考核达到或视为达到技术性能考核指标，则买卖双方应按照第6.4.1项的约定签署合同设备验收证书。</w:t>
      </w:r>
    </w:p>
    <w:p>
      <w:pPr>
        <w:adjustRightInd w:val="0"/>
        <w:snapToGrid w:val="0"/>
        <w:spacing w:line="440" w:lineRule="exact"/>
        <w:ind w:firstLine="440" w:firstLineChars="200"/>
        <w:rPr>
          <w:szCs w:val="21"/>
          <w:lang w:eastAsia="zh-CN"/>
        </w:rPr>
      </w:pPr>
      <w:r>
        <w:rPr>
          <w:rFonts w:hint="eastAsia"/>
          <w:szCs w:val="21"/>
          <w:lang w:eastAsia="zh-CN"/>
        </w:rPr>
        <w:t>6.4.3除专用合同条款另有约定外，如由于买方原因在最后一批合同设备交货后6个月内未能开始考核，则买卖双方应在上述期限届满后7日内或专用合同条款另行约定的时间内签署验收款支付函。</w:t>
      </w:r>
    </w:p>
    <w:p>
      <w:pPr>
        <w:adjustRightInd w:val="0"/>
        <w:snapToGrid w:val="0"/>
        <w:spacing w:line="440" w:lineRule="exact"/>
        <w:ind w:firstLine="440" w:firstLineChars="200"/>
        <w:rPr>
          <w:szCs w:val="21"/>
          <w:lang w:eastAsia="zh-CN"/>
        </w:rPr>
      </w:pPr>
      <w:r>
        <w:rPr>
          <w:rFonts w:hint="eastAsia"/>
          <w:szCs w:val="21"/>
          <w:lang w:eastAsia="zh-CN"/>
        </w:rPr>
        <w:t>除专用合同条款另有约定外，卖方有义务在验收款支付函签署后6个月内应买方要求提供不超出合同范围的技术服务，协助买方采取一切必要措施使合同设备达到技术性能考核指标，且买方无需因此向卖方支付费用。</w:t>
      </w:r>
    </w:p>
    <w:p>
      <w:pPr>
        <w:adjustRightInd w:val="0"/>
        <w:snapToGrid w:val="0"/>
        <w:spacing w:line="440" w:lineRule="exact"/>
        <w:ind w:firstLine="440" w:firstLineChars="200"/>
        <w:rPr>
          <w:szCs w:val="21"/>
          <w:lang w:eastAsia="zh-CN"/>
        </w:rPr>
      </w:pPr>
      <w:r>
        <w:rPr>
          <w:rFonts w:hint="eastAsia"/>
          <w:szCs w:val="21"/>
          <w:lang w:eastAsia="zh-CN"/>
        </w:rPr>
        <w:t>在上述6个月的期限内，如合同设备经过考核达到或视为达到技术性能考核指标，则买卖双方应按照第6.4.1项的约定签署合同设备验收证书。</w:t>
      </w:r>
    </w:p>
    <w:p>
      <w:pPr>
        <w:adjustRightInd w:val="0"/>
        <w:snapToGrid w:val="0"/>
        <w:spacing w:line="440" w:lineRule="exact"/>
        <w:ind w:firstLine="440" w:firstLineChars="200"/>
        <w:rPr>
          <w:szCs w:val="21"/>
          <w:lang w:eastAsia="zh-CN"/>
        </w:rPr>
      </w:pPr>
      <w:r>
        <w:rPr>
          <w:rFonts w:hint="eastAsia"/>
          <w:szCs w:val="21"/>
          <w:lang w:eastAsia="zh-CN"/>
        </w:rPr>
        <w:t>6.4.4在第6.4.2项和第6.4.3项情形下，卖方也可单方签署验收款支付函提交买方，如果买方在收到卖方签署的验收款支付函后14日内未向卖方提出书面异议，则验收款支付函自签署之日起生效。</w:t>
      </w:r>
    </w:p>
    <w:p>
      <w:pPr>
        <w:adjustRightInd w:val="0"/>
        <w:snapToGrid w:val="0"/>
        <w:spacing w:line="440" w:lineRule="exact"/>
        <w:ind w:firstLine="440" w:firstLineChars="200"/>
        <w:rPr>
          <w:szCs w:val="21"/>
          <w:lang w:eastAsia="zh-CN"/>
        </w:rPr>
      </w:pPr>
      <w:r>
        <w:rPr>
          <w:rFonts w:hint="eastAsia"/>
          <w:szCs w:val="21"/>
          <w:lang w:eastAsia="zh-CN"/>
        </w:rPr>
        <w:t>6.4.5合同设备验收证书的签署不能免除卖方在质量保证期内对合同设备应承担的保证责任。</w:t>
      </w:r>
    </w:p>
    <w:p>
      <w:pPr>
        <w:pStyle w:val="173"/>
        <w:keepNext/>
        <w:keepLines/>
        <w:adjustRightInd w:val="0"/>
        <w:snapToGrid w:val="0"/>
        <w:spacing w:before="0" w:after="0" w:line="440" w:lineRule="exact"/>
        <w:outlineLvl w:val="2"/>
        <w:rPr>
          <w:sz w:val="21"/>
          <w:szCs w:val="21"/>
        </w:rPr>
      </w:pPr>
      <w:bookmarkStart w:id="104" w:name="_Toc22185"/>
      <w:bookmarkStart w:id="105" w:name="_Toc22032764"/>
      <w:bookmarkStart w:id="106" w:name="_Toc102983275"/>
      <w:bookmarkStart w:id="107" w:name="_Toc113559476"/>
      <w:bookmarkStart w:id="108" w:name="_Toc5364"/>
      <w:bookmarkStart w:id="109" w:name="_Toc4319"/>
      <w:bookmarkStart w:id="110" w:name="_Toc28592"/>
      <w:r>
        <w:rPr>
          <w:rFonts w:hint="eastAsia"/>
          <w:sz w:val="21"/>
          <w:szCs w:val="21"/>
        </w:rPr>
        <w:t>7.技术服务</w:t>
      </w:r>
      <w:bookmarkEnd w:id="104"/>
      <w:bookmarkEnd w:id="105"/>
      <w:bookmarkEnd w:id="106"/>
      <w:bookmarkEnd w:id="107"/>
      <w:bookmarkEnd w:id="108"/>
      <w:bookmarkEnd w:id="109"/>
      <w:bookmarkEnd w:id="110"/>
    </w:p>
    <w:p>
      <w:pPr>
        <w:adjustRightInd w:val="0"/>
        <w:snapToGrid w:val="0"/>
        <w:spacing w:line="440" w:lineRule="exact"/>
        <w:ind w:firstLine="440" w:firstLineChars="200"/>
        <w:rPr>
          <w:szCs w:val="21"/>
          <w:lang w:eastAsia="zh-CN"/>
        </w:rPr>
      </w:pPr>
      <w:r>
        <w:rPr>
          <w:rFonts w:hint="eastAsia"/>
          <w:szCs w:val="21"/>
          <w:lang w:eastAsia="zh-CN"/>
        </w:rPr>
        <w:t>7.1卖方应派遣技术熟练、称职的技术人员到施工场地为买方提供技术服务。卖方的技术服务应符合合同的约定。</w:t>
      </w:r>
    </w:p>
    <w:p>
      <w:pPr>
        <w:adjustRightInd w:val="0"/>
        <w:snapToGrid w:val="0"/>
        <w:spacing w:line="440" w:lineRule="exact"/>
        <w:ind w:firstLine="440" w:firstLineChars="200"/>
        <w:rPr>
          <w:szCs w:val="21"/>
          <w:lang w:eastAsia="zh-CN"/>
        </w:rPr>
      </w:pPr>
      <w:r>
        <w:rPr>
          <w:rFonts w:hint="eastAsia"/>
          <w:szCs w:val="21"/>
          <w:lang w:eastAsia="zh-CN"/>
        </w:rPr>
        <w:t>7.2买方应免费为卖方技术人员提供工作条件及便利，包括但不限于必要的办公场所、技术资料及出入许可等。除专用合同条款另有约定外，卖方技术人员的交通、食宿费用由卖方承担。</w:t>
      </w:r>
    </w:p>
    <w:p>
      <w:pPr>
        <w:adjustRightInd w:val="0"/>
        <w:snapToGrid w:val="0"/>
        <w:spacing w:line="440" w:lineRule="exact"/>
        <w:ind w:firstLine="440" w:firstLineChars="200"/>
        <w:rPr>
          <w:szCs w:val="21"/>
          <w:lang w:eastAsia="zh-CN"/>
        </w:rPr>
      </w:pPr>
      <w:r>
        <w:rPr>
          <w:rFonts w:hint="eastAsia"/>
          <w:szCs w:val="21"/>
          <w:lang w:eastAsia="zh-CN"/>
        </w:rPr>
        <w:t>7.3卖方技术人员应遵守买方施工现场的各项规章制度和安全操作规程，并服从买方的现场管理。</w:t>
      </w:r>
    </w:p>
    <w:p>
      <w:pPr>
        <w:adjustRightInd w:val="0"/>
        <w:snapToGrid w:val="0"/>
        <w:spacing w:line="440" w:lineRule="exact"/>
        <w:ind w:firstLine="440" w:firstLineChars="200"/>
        <w:rPr>
          <w:szCs w:val="21"/>
          <w:lang w:eastAsia="zh-CN"/>
        </w:rPr>
      </w:pPr>
      <w:r>
        <w:rPr>
          <w:rFonts w:hint="eastAsia"/>
          <w:szCs w:val="21"/>
          <w:lang w:eastAsia="zh-CN"/>
        </w:rPr>
        <w:t>7.4如果任何技术人员不合格，买方有权要求卖方撤换，因撤换而产生的费用应由卖方承担。在不影响技术服务并且征得买方同意的条件下，卖方也可自负费用更换其技术人员。</w:t>
      </w:r>
    </w:p>
    <w:p>
      <w:pPr>
        <w:pStyle w:val="173"/>
        <w:keepNext/>
        <w:keepLines/>
        <w:adjustRightInd w:val="0"/>
        <w:snapToGrid w:val="0"/>
        <w:spacing w:before="0" w:after="0" w:line="440" w:lineRule="exact"/>
        <w:outlineLvl w:val="2"/>
        <w:rPr>
          <w:sz w:val="21"/>
          <w:szCs w:val="21"/>
        </w:rPr>
      </w:pPr>
      <w:bookmarkStart w:id="111" w:name="_Toc28610"/>
      <w:bookmarkStart w:id="112" w:name="_Toc22032765"/>
      <w:bookmarkStart w:id="113" w:name="_Toc113559477"/>
      <w:bookmarkStart w:id="114" w:name="_Toc27736"/>
      <w:bookmarkStart w:id="115" w:name="_Toc102983276"/>
      <w:bookmarkStart w:id="116" w:name="_Toc19727"/>
      <w:bookmarkStart w:id="117" w:name="_Toc23213"/>
      <w:r>
        <w:rPr>
          <w:rFonts w:hint="eastAsia"/>
          <w:sz w:val="21"/>
          <w:szCs w:val="21"/>
        </w:rPr>
        <w:t>8.质量保证期</w:t>
      </w:r>
      <w:bookmarkEnd w:id="111"/>
      <w:bookmarkEnd w:id="112"/>
      <w:bookmarkEnd w:id="113"/>
      <w:bookmarkEnd w:id="114"/>
      <w:bookmarkEnd w:id="115"/>
      <w:bookmarkEnd w:id="116"/>
      <w:bookmarkEnd w:id="117"/>
    </w:p>
    <w:p>
      <w:pPr>
        <w:adjustRightInd w:val="0"/>
        <w:snapToGrid w:val="0"/>
        <w:spacing w:line="440" w:lineRule="exact"/>
        <w:ind w:firstLine="440" w:firstLineChars="200"/>
        <w:rPr>
          <w:szCs w:val="21"/>
          <w:lang w:eastAsia="zh-CN"/>
        </w:rPr>
      </w:pPr>
      <w:r>
        <w:rPr>
          <w:rFonts w:hint="eastAsia"/>
          <w:szCs w:val="21"/>
          <w:lang w:eastAsia="zh-CN"/>
        </w:rPr>
        <w:t>8.1除专用合同条款和（或）供货要求等合同文件另有约定外，合同设备整体质量保证期为验收之日起12个月。如对合同设备中关键部件的质量保证期有特殊要求的，买卖双方可在专用合同条款中约定。在合同第6.4.2项情形下，无论合同设备何时验收，其质量保证期最长为签署验收款支付函后12个月。在合同第6.4.3项情形下，无论合同设备何时验收，其质量保证期最长为签署验收款支付函后6个月。</w:t>
      </w:r>
    </w:p>
    <w:p>
      <w:pPr>
        <w:adjustRightInd w:val="0"/>
        <w:snapToGrid w:val="0"/>
        <w:spacing w:line="440" w:lineRule="exact"/>
        <w:ind w:firstLine="440" w:firstLineChars="200"/>
        <w:rPr>
          <w:szCs w:val="21"/>
          <w:lang w:eastAsia="zh-CN"/>
        </w:rPr>
      </w:pPr>
      <w:r>
        <w:rPr>
          <w:rFonts w:hint="eastAsia"/>
          <w:szCs w:val="21"/>
          <w:lang w:eastAsia="zh-CN"/>
        </w:rPr>
        <w:t>8.2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pPr>
        <w:adjustRightInd w:val="0"/>
        <w:snapToGrid w:val="0"/>
        <w:spacing w:line="440" w:lineRule="exact"/>
        <w:ind w:firstLine="440" w:firstLineChars="200"/>
        <w:rPr>
          <w:szCs w:val="21"/>
          <w:lang w:eastAsia="zh-CN"/>
        </w:rPr>
      </w:pPr>
      <w:r>
        <w:rPr>
          <w:rFonts w:hint="eastAsia"/>
          <w:szCs w:val="21"/>
          <w:lang w:eastAsia="zh-CN"/>
        </w:rPr>
        <w:t>8.3质量保证期届满后，买方应在7日内或专用合同条款另行约定的时间内向卖方出具合同设备的质量保证期届满证书。</w:t>
      </w:r>
    </w:p>
    <w:p>
      <w:pPr>
        <w:adjustRightInd w:val="0"/>
        <w:snapToGrid w:val="0"/>
        <w:spacing w:line="440" w:lineRule="exact"/>
        <w:ind w:firstLine="440" w:firstLineChars="200"/>
        <w:rPr>
          <w:szCs w:val="21"/>
          <w:lang w:eastAsia="zh-CN"/>
        </w:rPr>
      </w:pPr>
      <w:r>
        <w:rPr>
          <w:rFonts w:hint="eastAsia"/>
          <w:szCs w:val="21"/>
          <w:lang w:eastAsia="zh-CN"/>
        </w:rPr>
        <w:t>8.4在合同第6.4.2项情形下，如在验收款支付函签署后12个月内由于买方原因合同设备仍未能达到技术性能考核指标，则买卖双方应在该12个月届满后7日内或专用合同条款另行约定的时间内签署结清款支付函。</w:t>
      </w:r>
    </w:p>
    <w:p>
      <w:pPr>
        <w:adjustRightInd w:val="0"/>
        <w:snapToGrid w:val="0"/>
        <w:spacing w:line="440" w:lineRule="exact"/>
        <w:ind w:firstLine="440" w:firstLineChars="200"/>
        <w:rPr>
          <w:szCs w:val="21"/>
          <w:lang w:eastAsia="zh-CN"/>
        </w:rPr>
      </w:pPr>
      <w:r>
        <w:rPr>
          <w:rFonts w:hint="eastAsia"/>
          <w:szCs w:val="21"/>
          <w:lang w:eastAsia="zh-CN"/>
        </w:rPr>
        <w:t>8.5在合同第6.4.3项情形下，如在验收款支付函签署后6个月内由于买方原因合同设备仍未进行考核或仍未达到技术性能考核指标，则买卖双方应在该6个月届满后7日内或专用合同条款另行约定的时间内签署结清款支付函。</w:t>
      </w:r>
    </w:p>
    <w:p>
      <w:pPr>
        <w:adjustRightInd w:val="0"/>
        <w:snapToGrid w:val="0"/>
        <w:spacing w:line="440" w:lineRule="exact"/>
        <w:ind w:firstLine="440" w:firstLineChars="200"/>
        <w:rPr>
          <w:szCs w:val="21"/>
          <w:lang w:eastAsia="zh-CN"/>
        </w:rPr>
      </w:pPr>
      <w:r>
        <w:rPr>
          <w:rFonts w:hint="eastAsia"/>
          <w:szCs w:val="21"/>
          <w:lang w:eastAsia="zh-CN"/>
        </w:rPr>
        <w:t>8.6在第8.4款和第8.5款情形下，卖方也可单方签署结清款支付函提交买方，如果买方在收到卖方签署的结清款支付函后14日内未向卖方提出书面异议，则结清款支付函自签署之日起生效。</w:t>
      </w:r>
    </w:p>
    <w:p>
      <w:pPr>
        <w:pStyle w:val="173"/>
        <w:keepNext/>
        <w:keepLines/>
        <w:adjustRightInd w:val="0"/>
        <w:snapToGrid w:val="0"/>
        <w:spacing w:before="0" w:after="0" w:line="440" w:lineRule="exact"/>
        <w:outlineLvl w:val="2"/>
        <w:rPr>
          <w:sz w:val="21"/>
          <w:szCs w:val="21"/>
        </w:rPr>
      </w:pPr>
      <w:bookmarkStart w:id="118" w:name="_Toc17554"/>
      <w:bookmarkStart w:id="119" w:name="_Toc20645"/>
      <w:bookmarkStart w:id="120" w:name="_Toc102983277"/>
      <w:bookmarkStart w:id="121" w:name="_Toc25082"/>
      <w:bookmarkStart w:id="122" w:name="_Toc113559478"/>
      <w:bookmarkStart w:id="123" w:name="_Toc31158"/>
      <w:bookmarkStart w:id="124" w:name="_Toc22032766"/>
      <w:r>
        <w:rPr>
          <w:rFonts w:hint="eastAsia"/>
          <w:sz w:val="21"/>
          <w:szCs w:val="21"/>
        </w:rPr>
        <w:t>9.质保期服务</w:t>
      </w:r>
      <w:bookmarkEnd w:id="118"/>
      <w:bookmarkEnd w:id="119"/>
      <w:bookmarkEnd w:id="120"/>
      <w:bookmarkEnd w:id="121"/>
      <w:bookmarkEnd w:id="122"/>
      <w:bookmarkEnd w:id="123"/>
      <w:bookmarkEnd w:id="124"/>
    </w:p>
    <w:p>
      <w:pPr>
        <w:adjustRightInd w:val="0"/>
        <w:snapToGrid w:val="0"/>
        <w:spacing w:line="440" w:lineRule="exact"/>
        <w:ind w:firstLine="440" w:firstLineChars="200"/>
        <w:rPr>
          <w:szCs w:val="21"/>
          <w:lang w:eastAsia="zh-CN"/>
        </w:rPr>
      </w:pPr>
      <w:r>
        <w:rPr>
          <w:rFonts w:hint="eastAsia"/>
          <w:szCs w:val="21"/>
          <w:lang w:eastAsia="zh-CN"/>
        </w:rPr>
        <w:t>9.1卖方应为质保期服务配备充足的技术人员、工具和备件并保证提供的联系方式畅通。除专用合同条款和（或）供货要求等合同文件另有约定外，卖方应在收到买方通知后24小时内做出响应，如需卖方到合同设备现场，卖方应在收到买方通知后48小时内到达，并在到达后7日内解决合同设备的故障（重大故障除外）。如果卖方未在上述时间内作出响应，则买方有权自行或委托他人解决相关问题或查找和解决合同设备的故障，卖方应承担由此发生的全部费用。</w:t>
      </w:r>
    </w:p>
    <w:p>
      <w:pPr>
        <w:adjustRightInd w:val="0"/>
        <w:snapToGrid w:val="0"/>
        <w:spacing w:line="440" w:lineRule="exact"/>
        <w:ind w:firstLine="440" w:firstLineChars="200"/>
        <w:rPr>
          <w:szCs w:val="21"/>
          <w:lang w:eastAsia="zh-CN"/>
        </w:rPr>
      </w:pPr>
      <w:r>
        <w:rPr>
          <w:rFonts w:hint="eastAsia"/>
          <w:szCs w:val="21"/>
          <w:lang w:eastAsia="zh-CN"/>
        </w:rPr>
        <w:t>9.2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adjustRightInd w:val="0"/>
        <w:snapToGrid w:val="0"/>
        <w:spacing w:line="440" w:lineRule="exact"/>
        <w:ind w:firstLine="440" w:firstLineChars="200"/>
        <w:rPr>
          <w:szCs w:val="21"/>
          <w:lang w:eastAsia="zh-CN"/>
        </w:rPr>
      </w:pPr>
      <w:r>
        <w:rPr>
          <w:rFonts w:hint="eastAsia"/>
          <w:szCs w:val="21"/>
          <w:lang w:eastAsia="zh-CN"/>
        </w:rPr>
        <w:t>9.3如果任何技术人员不合格，买方有权要求卖方撤换，因撤换而产生的费用应由卖方承担。在不影响质保期服务并且征得买方同意的条件下，卖方也可自负费用更换其技术人员。</w:t>
      </w:r>
    </w:p>
    <w:p>
      <w:pPr>
        <w:adjustRightInd w:val="0"/>
        <w:snapToGrid w:val="0"/>
        <w:spacing w:line="440" w:lineRule="exact"/>
        <w:ind w:firstLine="440" w:firstLineChars="200"/>
        <w:rPr>
          <w:szCs w:val="21"/>
          <w:lang w:eastAsia="zh-CN"/>
        </w:rPr>
      </w:pPr>
      <w:r>
        <w:rPr>
          <w:rFonts w:hint="eastAsia"/>
          <w:szCs w:val="21"/>
          <w:lang w:eastAsia="zh-CN"/>
        </w:rPr>
        <w:t>9.4除专用合同条款另有约定外，卖方应就在施工现场进行质保期服务的情况进行记录，记载合同设备故障发生的时间、原因及解决情况等，由买方签名确认，并在质量保证期结束后提交给买方。</w:t>
      </w:r>
    </w:p>
    <w:p>
      <w:pPr>
        <w:pStyle w:val="173"/>
        <w:keepNext/>
        <w:keepLines/>
        <w:adjustRightInd w:val="0"/>
        <w:snapToGrid w:val="0"/>
        <w:spacing w:before="0" w:after="0" w:line="440" w:lineRule="exact"/>
        <w:outlineLvl w:val="2"/>
        <w:rPr>
          <w:sz w:val="21"/>
          <w:szCs w:val="21"/>
        </w:rPr>
      </w:pPr>
      <w:bookmarkStart w:id="125" w:name="_Toc32647"/>
      <w:bookmarkStart w:id="126" w:name="_Toc21398"/>
      <w:bookmarkStart w:id="127" w:name="_Toc12309"/>
      <w:bookmarkStart w:id="128" w:name="_Toc113559479"/>
      <w:bookmarkStart w:id="129" w:name="_Toc102983278"/>
      <w:bookmarkStart w:id="130" w:name="_Toc22032767"/>
      <w:bookmarkStart w:id="131" w:name="_Toc1803"/>
      <w:r>
        <w:rPr>
          <w:rFonts w:hint="eastAsia"/>
          <w:sz w:val="21"/>
          <w:szCs w:val="21"/>
        </w:rPr>
        <w:t>10.履约保证金</w:t>
      </w:r>
      <w:bookmarkEnd w:id="125"/>
      <w:bookmarkEnd w:id="126"/>
      <w:bookmarkEnd w:id="127"/>
      <w:bookmarkEnd w:id="128"/>
      <w:bookmarkEnd w:id="129"/>
      <w:bookmarkEnd w:id="130"/>
      <w:bookmarkEnd w:id="131"/>
    </w:p>
    <w:p>
      <w:pPr>
        <w:adjustRightInd w:val="0"/>
        <w:snapToGrid w:val="0"/>
        <w:spacing w:line="440" w:lineRule="exact"/>
        <w:ind w:firstLine="440" w:firstLineChars="200"/>
        <w:rPr>
          <w:szCs w:val="21"/>
          <w:lang w:eastAsia="zh-CN"/>
        </w:rPr>
      </w:pPr>
      <w:r>
        <w:rPr>
          <w:rFonts w:hint="eastAsia"/>
          <w:szCs w:val="21"/>
          <w:lang w:eastAsia="zh-CN"/>
        </w:rPr>
        <w:t>除专用合同条款另有约定外，履约保证金自合同生效之日起生效，在合同设备验收证书或验收款支付函签署之日起28日后失效。如果卖方不履行合同约定的义务或其履行不符合合同的约定，买方有权扣划相应金额的履约保证金。</w:t>
      </w:r>
    </w:p>
    <w:p>
      <w:pPr>
        <w:pStyle w:val="173"/>
        <w:keepNext/>
        <w:keepLines/>
        <w:adjustRightInd w:val="0"/>
        <w:snapToGrid w:val="0"/>
        <w:spacing w:before="0" w:after="0" w:line="440" w:lineRule="exact"/>
        <w:outlineLvl w:val="2"/>
        <w:rPr>
          <w:sz w:val="21"/>
          <w:szCs w:val="21"/>
        </w:rPr>
      </w:pPr>
      <w:bookmarkStart w:id="132" w:name="_Toc102983279"/>
      <w:bookmarkStart w:id="133" w:name="_Toc22032768"/>
      <w:bookmarkStart w:id="134" w:name="_Toc15955"/>
      <w:bookmarkStart w:id="135" w:name="_Toc113559480"/>
      <w:bookmarkStart w:id="136" w:name="_Toc16491"/>
      <w:bookmarkStart w:id="137" w:name="_Toc32668"/>
      <w:bookmarkStart w:id="138" w:name="_Toc24498"/>
      <w:r>
        <w:rPr>
          <w:rFonts w:hint="eastAsia"/>
          <w:sz w:val="21"/>
          <w:szCs w:val="21"/>
        </w:rPr>
        <w:t>11.保证</w:t>
      </w:r>
      <w:bookmarkEnd w:id="132"/>
      <w:bookmarkEnd w:id="133"/>
      <w:bookmarkEnd w:id="134"/>
      <w:bookmarkEnd w:id="135"/>
      <w:bookmarkEnd w:id="136"/>
      <w:bookmarkEnd w:id="137"/>
      <w:bookmarkEnd w:id="138"/>
    </w:p>
    <w:p>
      <w:pPr>
        <w:adjustRightInd w:val="0"/>
        <w:snapToGrid w:val="0"/>
        <w:spacing w:line="440" w:lineRule="exact"/>
        <w:ind w:firstLine="440" w:firstLineChars="200"/>
        <w:outlineLvl w:val="3"/>
        <w:rPr>
          <w:szCs w:val="21"/>
          <w:lang w:eastAsia="zh-CN"/>
        </w:rPr>
      </w:pPr>
      <w:r>
        <w:rPr>
          <w:rFonts w:hint="eastAsia"/>
          <w:szCs w:val="21"/>
          <w:lang w:eastAsia="zh-CN"/>
        </w:rPr>
        <w:t>11.1卖方保证其具有完全的能力履行本合同项下的全部义务。</w:t>
      </w:r>
    </w:p>
    <w:p>
      <w:pPr>
        <w:adjustRightInd w:val="0"/>
        <w:snapToGrid w:val="0"/>
        <w:spacing w:line="440" w:lineRule="exact"/>
        <w:ind w:firstLine="440" w:firstLineChars="200"/>
        <w:rPr>
          <w:szCs w:val="21"/>
          <w:lang w:eastAsia="zh-CN"/>
        </w:rPr>
      </w:pPr>
      <w:r>
        <w:rPr>
          <w:rFonts w:hint="eastAsia"/>
          <w:szCs w:val="21"/>
          <w:lang w:eastAsia="zh-CN"/>
        </w:rPr>
        <w:t>11.2卖方保证其所提供的合同设备及对合同的履行符合所有应适用的法律、行政法规、地方性法规、自治条例和单行条例、规章及其他规范性文件的强制性规定。</w:t>
      </w:r>
    </w:p>
    <w:p>
      <w:pPr>
        <w:adjustRightInd w:val="0"/>
        <w:snapToGrid w:val="0"/>
        <w:spacing w:line="440" w:lineRule="exact"/>
        <w:ind w:firstLine="440" w:firstLineChars="200"/>
        <w:rPr>
          <w:szCs w:val="21"/>
          <w:lang w:eastAsia="zh-CN"/>
        </w:rPr>
      </w:pPr>
      <w:r>
        <w:rPr>
          <w:rFonts w:hint="eastAsia"/>
          <w:szCs w:val="21"/>
          <w:lang w:eastAsia="zh-CN"/>
        </w:rPr>
        <w:t>11.3卖方保证其对合同设备的销售不损害任何第三方的合法权益和社会公众利益。任何第三方不会因卖方原因而基于所有权、抵押权、留置权或其他任何权利或事由对合同设备主张权利。</w:t>
      </w:r>
    </w:p>
    <w:p>
      <w:pPr>
        <w:adjustRightInd w:val="0"/>
        <w:snapToGrid w:val="0"/>
        <w:spacing w:line="440" w:lineRule="exact"/>
        <w:ind w:firstLine="440" w:firstLineChars="200"/>
        <w:rPr>
          <w:szCs w:val="21"/>
          <w:lang w:eastAsia="zh-CN"/>
        </w:rPr>
      </w:pPr>
      <w:r>
        <w:rPr>
          <w:rFonts w:hint="eastAsia"/>
          <w:szCs w:val="21"/>
          <w:lang w:eastAsia="zh-CN"/>
        </w:rPr>
        <w:t>11.4卖方保证合同设备符合合同约定的规格、标准、技术性能考核指标等，能够安全和稳定地运行，且合同设备（包括全部部件）全新、完整、未使用过，除非专用合同条款和（或）供货要求等合同文件另有约定。</w:t>
      </w:r>
    </w:p>
    <w:p>
      <w:pPr>
        <w:adjustRightInd w:val="0"/>
        <w:snapToGrid w:val="0"/>
        <w:spacing w:line="440" w:lineRule="exact"/>
        <w:ind w:firstLine="440" w:firstLineChars="200"/>
        <w:rPr>
          <w:szCs w:val="21"/>
          <w:lang w:eastAsia="zh-CN"/>
        </w:rPr>
      </w:pPr>
      <w:r>
        <w:rPr>
          <w:rFonts w:hint="eastAsia"/>
          <w:szCs w:val="21"/>
          <w:lang w:eastAsia="zh-CN"/>
        </w:rPr>
        <w:t>11.5卖方保证，卖方所提供的技术资料完整、清晰、准确，符合合同约定并且能够满足合同设备的安装、调试、考核、操作以及维修和保养的需要。</w:t>
      </w:r>
    </w:p>
    <w:p>
      <w:pPr>
        <w:adjustRightInd w:val="0"/>
        <w:snapToGrid w:val="0"/>
        <w:spacing w:line="440" w:lineRule="exact"/>
        <w:ind w:firstLine="440" w:firstLineChars="200"/>
        <w:rPr>
          <w:szCs w:val="21"/>
          <w:lang w:eastAsia="zh-CN"/>
        </w:rPr>
      </w:pPr>
      <w:r>
        <w:rPr>
          <w:rFonts w:hint="eastAsia"/>
          <w:szCs w:val="21"/>
          <w:lang w:eastAsia="zh-CN"/>
        </w:rPr>
        <w:t>11.6卖方保证合同范围内提供的备品备件能够满足合同设备在质量保证期结束前正常运行及维修的需要，如在质量保证期结束前因卖方原因出现备品备件短缺影响合同设备正常运行的，卖方应免费提供。</w:t>
      </w:r>
    </w:p>
    <w:p>
      <w:pPr>
        <w:adjustRightInd w:val="0"/>
        <w:snapToGrid w:val="0"/>
        <w:spacing w:line="440" w:lineRule="exact"/>
        <w:ind w:firstLine="440" w:firstLineChars="200"/>
        <w:rPr>
          <w:szCs w:val="21"/>
          <w:lang w:eastAsia="zh-CN"/>
        </w:rPr>
      </w:pPr>
      <w:r>
        <w:rPr>
          <w:rFonts w:hint="eastAsia"/>
          <w:szCs w:val="21"/>
          <w:lang w:eastAsia="zh-CN"/>
        </w:rPr>
        <w:t>11.7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以不高于同期市场价格或其向任何第三方销售同类产品的价格提供合同设备正常运行所需的全部备品备件。或</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pPr>
        <w:adjustRightInd w:val="0"/>
        <w:snapToGrid w:val="0"/>
        <w:spacing w:line="440" w:lineRule="exact"/>
        <w:ind w:firstLine="440" w:firstLineChars="200"/>
        <w:rPr>
          <w:szCs w:val="21"/>
          <w:lang w:eastAsia="zh-CN"/>
        </w:rPr>
      </w:pPr>
      <w:r>
        <w:rPr>
          <w:rFonts w:hint="eastAsia"/>
          <w:szCs w:val="21"/>
          <w:lang w:eastAsia="zh-CN"/>
        </w:rPr>
        <w:t>11.8卖方保证，在合同设备设计使用寿命期内，如果卖方发现合同设备由于设计、制造、标识等原因存在足以危及人身、财产安全的缺陷，卖方将及时通知买方并及时采取修正或者补充标识、修理、更换等措施消除缺陷。</w:t>
      </w:r>
    </w:p>
    <w:p>
      <w:pPr>
        <w:pStyle w:val="173"/>
        <w:keepNext/>
        <w:keepLines/>
        <w:adjustRightInd w:val="0"/>
        <w:snapToGrid w:val="0"/>
        <w:spacing w:before="0" w:after="0" w:line="440" w:lineRule="exact"/>
        <w:outlineLvl w:val="2"/>
        <w:rPr>
          <w:sz w:val="21"/>
          <w:szCs w:val="21"/>
        </w:rPr>
      </w:pPr>
      <w:bookmarkStart w:id="139" w:name="_Toc102983280"/>
      <w:bookmarkStart w:id="140" w:name="_Toc19999"/>
      <w:bookmarkStart w:id="141" w:name="_Toc22032769"/>
      <w:bookmarkStart w:id="142" w:name="_Toc5225"/>
      <w:bookmarkStart w:id="143" w:name="_Toc113559481"/>
      <w:bookmarkStart w:id="144" w:name="_Toc559"/>
      <w:bookmarkStart w:id="145" w:name="_Toc26927"/>
      <w:r>
        <w:rPr>
          <w:rFonts w:hint="eastAsia"/>
          <w:sz w:val="21"/>
          <w:szCs w:val="21"/>
        </w:rPr>
        <w:t>12.知识产权</w:t>
      </w:r>
      <w:bookmarkEnd w:id="139"/>
      <w:bookmarkEnd w:id="140"/>
      <w:bookmarkEnd w:id="141"/>
      <w:bookmarkEnd w:id="142"/>
      <w:bookmarkEnd w:id="143"/>
      <w:bookmarkEnd w:id="144"/>
      <w:bookmarkEnd w:id="145"/>
    </w:p>
    <w:p>
      <w:pPr>
        <w:adjustRightInd w:val="0"/>
        <w:snapToGrid w:val="0"/>
        <w:spacing w:line="440" w:lineRule="exact"/>
        <w:ind w:firstLine="440" w:firstLineChars="200"/>
        <w:rPr>
          <w:szCs w:val="21"/>
          <w:lang w:eastAsia="zh-CN"/>
        </w:rPr>
      </w:pPr>
      <w:r>
        <w:rPr>
          <w:rFonts w:hint="eastAsia"/>
          <w:szCs w:val="21"/>
          <w:lang w:eastAsia="zh-CN"/>
        </w:rPr>
        <w:t>12.1买方在履行合同过程中提供给卖方的全部图纸、文件和其他含有数据和信息的资料，其知识产权属于买方。</w:t>
      </w:r>
    </w:p>
    <w:p>
      <w:pPr>
        <w:adjustRightInd w:val="0"/>
        <w:snapToGrid w:val="0"/>
        <w:spacing w:line="440" w:lineRule="exact"/>
        <w:ind w:firstLine="440" w:firstLineChars="200"/>
        <w:rPr>
          <w:szCs w:val="21"/>
          <w:lang w:eastAsia="zh-CN"/>
        </w:rPr>
      </w:pPr>
      <w:r>
        <w:rPr>
          <w:rFonts w:hint="eastAsia"/>
          <w:szCs w:val="21"/>
          <w:lang w:eastAsia="zh-CN"/>
        </w:rPr>
        <w:t>12.2除专用合同条款另有约定外，买方不因签署和履行合同而享有卖方在履行合同过程中提供给买方的图纸、文件、配套软件、电子辅助程序和其他含有数据和信息的资料的知识产权。</w:t>
      </w:r>
    </w:p>
    <w:p>
      <w:pPr>
        <w:adjustRightInd w:val="0"/>
        <w:snapToGrid w:val="0"/>
        <w:spacing w:line="440" w:lineRule="exact"/>
        <w:ind w:firstLine="440" w:firstLineChars="200"/>
        <w:rPr>
          <w:szCs w:val="21"/>
          <w:lang w:eastAsia="zh-CN"/>
        </w:rPr>
      </w:pPr>
      <w:r>
        <w:rPr>
          <w:rFonts w:hint="eastAsia"/>
          <w:szCs w:val="21"/>
          <w:lang w:eastAsia="zh-CN"/>
        </w:rPr>
        <w:t>12.3如合同设备涉及知识产权，则卖方保证买方在使用合同设备过程中免于受到第三方提出的有关知识产权侵权的主张、索赔或诉讼的伤害。</w:t>
      </w:r>
    </w:p>
    <w:p>
      <w:pPr>
        <w:adjustRightInd w:val="0"/>
        <w:snapToGrid w:val="0"/>
        <w:spacing w:line="440" w:lineRule="exact"/>
        <w:ind w:firstLine="440" w:firstLineChars="200"/>
        <w:rPr>
          <w:szCs w:val="21"/>
          <w:lang w:eastAsia="zh-CN"/>
        </w:rPr>
      </w:pPr>
      <w:r>
        <w:rPr>
          <w:rFonts w:hint="eastAsia"/>
          <w:szCs w:val="21"/>
          <w:lang w:eastAsia="zh-CN"/>
        </w:rPr>
        <w:t>12.4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pPr>
        <w:pStyle w:val="173"/>
        <w:keepNext/>
        <w:keepLines/>
        <w:adjustRightInd w:val="0"/>
        <w:snapToGrid w:val="0"/>
        <w:spacing w:before="0" w:after="0" w:line="440" w:lineRule="exact"/>
        <w:outlineLvl w:val="2"/>
        <w:rPr>
          <w:sz w:val="21"/>
          <w:szCs w:val="21"/>
        </w:rPr>
      </w:pPr>
      <w:bookmarkStart w:id="146" w:name="_Toc7608"/>
      <w:bookmarkStart w:id="147" w:name="_Toc102983281"/>
      <w:bookmarkStart w:id="148" w:name="_Toc2799"/>
      <w:bookmarkStart w:id="149" w:name="_Toc20500"/>
      <w:bookmarkStart w:id="150" w:name="_Toc113559482"/>
      <w:bookmarkStart w:id="151" w:name="_Toc25489"/>
      <w:bookmarkStart w:id="152" w:name="_Toc22032770"/>
      <w:r>
        <w:rPr>
          <w:rFonts w:hint="eastAsia"/>
          <w:sz w:val="21"/>
          <w:szCs w:val="21"/>
        </w:rPr>
        <w:t>13.保密</w:t>
      </w:r>
      <w:bookmarkEnd w:id="146"/>
      <w:bookmarkEnd w:id="147"/>
      <w:bookmarkEnd w:id="148"/>
      <w:bookmarkEnd w:id="149"/>
      <w:bookmarkEnd w:id="150"/>
      <w:bookmarkEnd w:id="151"/>
      <w:bookmarkEnd w:id="152"/>
    </w:p>
    <w:p>
      <w:pPr>
        <w:adjustRightInd w:val="0"/>
        <w:snapToGrid w:val="0"/>
        <w:spacing w:line="440" w:lineRule="exact"/>
        <w:ind w:firstLine="440" w:firstLineChars="200"/>
        <w:rPr>
          <w:szCs w:val="21"/>
          <w:lang w:eastAsia="zh-CN"/>
        </w:rPr>
      </w:pPr>
      <w:r>
        <w:rPr>
          <w:rFonts w:hint="eastAsia"/>
          <w:szCs w:val="21"/>
          <w:lang w:eastAsia="zh-CN"/>
        </w:rPr>
        <w:t>合同双方应对因履行合同而取得的另一方当事人的信息、资料等予以保密。未经另一方当事人书面同意，任何一方均不得为与履行合同无关的目的使用或向第三方披露另一方当事人提供的信息、资料。</w:t>
      </w:r>
    </w:p>
    <w:p>
      <w:pPr>
        <w:adjustRightInd w:val="0"/>
        <w:snapToGrid w:val="0"/>
        <w:spacing w:line="440" w:lineRule="exact"/>
        <w:ind w:firstLine="440" w:firstLineChars="200"/>
        <w:rPr>
          <w:szCs w:val="21"/>
          <w:lang w:eastAsia="zh-CN"/>
        </w:rPr>
      </w:pPr>
      <w:r>
        <w:rPr>
          <w:rFonts w:hint="eastAsia"/>
          <w:szCs w:val="21"/>
          <w:lang w:eastAsia="zh-CN"/>
        </w:rPr>
        <w:t>合同当事人的保密义务不适用于下列信息：</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非因接受信息一方的过失现在或以后进入公共领域的信息；</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接受信息一方当事人合法地从第三方获得并且据其善意了解第三方也不对此承担保密义务的信息；</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法律或法律的执行要求披露的信息。</w:t>
      </w:r>
    </w:p>
    <w:p>
      <w:pPr>
        <w:pStyle w:val="173"/>
        <w:keepNext/>
        <w:keepLines/>
        <w:adjustRightInd w:val="0"/>
        <w:snapToGrid w:val="0"/>
        <w:spacing w:before="0" w:after="0" w:line="440" w:lineRule="exact"/>
        <w:outlineLvl w:val="2"/>
        <w:rPr>
          <w:sz w:val="21"/>
          <w:szCs w:val="21"/>
        </w:rPr>
      </w:pPr>
      <w:bookmarkStart w:id="153" w:name="_Toc4672"/>
      <w:bookmarkStart w:id="154" w:name="_Toc10985"/>
      <w:bookmarkStart w:id="155" w:name="_Toc21368"/>
      <w:bookmarkStart w:id="156" w:name="_Toc113559483"/>
      <w:bookmarkStart w:id="157" w:name="_Toc10084"/>
      <w:bookmarkStart w:id="158" w:name="_Toc102983282"/>
      <w:bookmarkStart w:id="159" w:name="_Toc22032771"/>
      <w:r>
        <w:rPr>
          <w:rFonts w:hint="eastAsia"/>
          <w:sz w:val="21"/>
          <w:szCs w:val="21"/>
        </w:rPr>
        <w:t>14.违约责任</w:t>
      </w:r>
      <w:bookmarkEnd w:id="153"/>
      <w:bookmarkEnd w:id="154"/>
      <w:bookmarkEnd w:id="155"/>
      <w:bookmarkEnd w:id="156"/>
      <w:bookmarkEnd w:id="157"/>
      <w:bookmarkEnd w:id="158"/>
      <w:bookmarkEnd w:id="159"/>
    </w:p>
    <w:p>
      <w:pPr>
        <w:adjustRightInd w:val="0"/>
        <w:snapToGrid w:val="0"/>
        <w:spacing w:line="440" w:lineRule="exact"/>
        <w:ind w:firstLine="440" w:firstLineChars="200"/>
        <w:rPr>
          <w:szCs w:val="21"/>
          <w:lang w:eastAsia="zh-CN"/>
        </w:rPr>
      </w:pPr>
      <w:r>
        <w:rPr>
          <w:rFonts w:hint="eastAsia"/>
          <w:szCs w:val="21"/>
          <w:lang w:eastAsia="zh-CN"/>
        </w:rPr>
        <w:t>14.1合同一方不履行合同义务、履行合同义务不符合约定或者违反合同项下所作保证的，应向对方承担继续履行、采取修理、更换、退货等补救措施或者赔偿损失等违约责任。</w:t>
      </w:r>
    </w:p>
    <w:p>
      <w:pPr>
        <w:adjustRightInd w:val="0"/>
        <w:snapToGrid w:val="0"/>
        <w:spacing w:line="440" w:lineRule="exact"/>
        <w:ind w:firstLine="440" w:firstLineChars="200"/>
        <w:rPr>
          <w:szCs w:val="21"/>
          <w:lang w:eastAsia="zh-CN"/>
        </w:rPr>
      </w:pPr>
      <w:r>
        <w:rPr>
          <w:rFonts w:hint="eastAsia"/>
          <w:szCs w:val="21"/>
          <w:lang w:eastAsia="zh-CN"/>
        </w:rPr>
        <w:t>14.2卖方未能按时交付合同设备（包括仅迟延交付技术资料但足以导致合同设备安装、调试、考核、验收工作推迟的）的，应向买方支付迟延交付违约金。除专用合同条款另有约定外，迟延交付违约金的计算方法如下：</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从迟交的第一周到第四周，每周迟延交付违约金为迟交合同设备价格的0.5%;</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从迟交的第五周到第八周，每周迟延交付违约金为迟交合同设备价格的1%;</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从迟交第九周起，每周迟延交付违约金为迟交合同设备价格的1.5%。</w:t>
      </w:r>
    </w:p>
    <w:p>
      <w:pPr>
        <w:adjustRightInd w:val="0"/>
        <w:snapToGrid w:val="0"/>
        <w:spacing w:line="440" w:lineRule="exact"/>
        <w:ind w:firstLine="440" w:firstLineChars="200"/>
        <w:rPr>
          <w:szCs w:val="21"/>
          <w:lang w:eastAsia="zh-CN"/>
        </w:rPr>
      </w:pPr>
      <w:r>
        <w:rPr>
          <w:rFonts w:hint="eastAsia"/>
          <w:szCs w:val="21"/>
          <w:lang w:eastAsia="zh-CN"/>
        </w:rPr>
        <w:t>在计算迟延交付违约金时，迟交不足一周的按一周计算。迟延交付违约金的总额不得超过合同价格的10%。</w:t>
      </w:r>
    </w:p>
    <w:p>
      <w:pPr>
        <w:adjustRightInd w:val="0"/>
        <w:snapToGrid w:val="0"/>
        <w:spacing w:line="440" w:lineRule="exact"/>
        <w:ind w:firstLine="440" w:firstLineChars="200"/>
        <w:rPr>
          <w:szCs w:val="21"/>
          <w:lang w:eastAsia="zh-CN"/>
        </w:rPr>
      </w:pPr>
      <w:r>
        <w:rPr>
          <w:rFonts w:hint="eastAsia"/>
          <w:szCs w:val="21"/>
          <w:lang w:eastAsia="zh-CN"/>
        </w:rPr>
        <w:t>迟延交付违约金的支付不能免除卖方继续交付相关合同设备的义务，但如迟延交付必然导致合同设备安装、调试、考核、验收工作推迟的，相关工作应相应顺延。</w:t>
      </w:r>
    </w:p>
    <w:p>
      <w:pPr>
        <w:adjustRightInd w:val="0"/>
        <w:snapToGrid w:val="0"/>
        <w:spacing w:line="440" w:lineRule="exact"/>
        <w:ind w:firstLine="440" w:firstLineChars="200"/>
        <w:rPr>
          <w:szCs w:val="21"/>
          <w:lang w:eastAsia="zh-CN"/>
        </w:rPr>
      </w:pPr>
      <w:r>
        <w:rPr>
          <w:rFonts w:hint="eastAsia"/>
          <w:szCs w:val="21"/>
          <w:lang w:eastAsia="zh-CN"/>
        </w:rPr>
        <w:t>14.3买方未能按合同约定支付合同价款的，应向卖方支付延迟付款违约金。除专用合同条款另有约定外，迟延付款违约金的计算方法如下：</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从迟付的第一周到第四周，每周迟延付款违约金为迟延付款金额的0.5%;</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从迟付的第五周到第八周，每周迟延付款违约金为迟延付款金额的1%;</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从迟付第九周起，每周迟延付款违约金为迟延付款金额的1.5%。</w:t>
      </w:r>
    </w:p>
    <w:p>
      <w:pPr>
        <w:adjustRightInd w:val="0"/>
        <w:snapToGrid w:val="0"/>
        <w:spacing w:line="440" w:lineRule="exact"/>
        <w:ind w:firstLine="440" w:firstLineChars="200"/>
        <w:rPr>
          <w:szCs w:val="21"/>
          <w:lang w:eastAsia="zh-CN"/>
        </w:rPr>
      </w:pPr>
      <w:r>
        <w:rPr>
          <w:rFonts w:hint="eastAsia"/>
          <w:szCs w:val="21"/>
          <w:lang w:eastAsia="zh-CN"/>
        </w:rPr>
        <w:t>在计算迟延付款违约金时，迟付不足一周的按一周计算。迟延付款违约金的总额不得超过合同价格的10%。</w:t>
      </w:r>
    </w:p>
    <w:p>
      <w:pPr>
        <w:pStyle w:val="173"/>
        <w:keepNext/>
        <w:keepLines/>
        <w:adjustRightInd w:val="0"/>
        <w:snapToGrid w:val="0"/>
        <w:spacing w:before="0" w:after="0" w:line="440" w:lineRule="exact"/>
        <w:outlineLvl w:val="2"/>
        <w:rPr>
          <w:sz w:val="21"/>
          <w:szCs w:val="21"/>
        </w:rPr>
      </w:pPr>
      <w:bookmarkStart w:id="160" w:name="_Toc21744"/>
      <w:bookmarkStart w:id="161" w:name="_Toc102983283"/>
      <w:bookmarkStart w:id="162" w:name="_Toc7291"/>
      <w:bookmarkStart w:id="163" w:name="_Toc113559484"/>
      <w:bookmarkStart w:id="164" w:name="_Toc23049"/>
      <w:bookmarkStart w:id="165" w:name="_Toc22032772"/>
      <w:bookmarkStart w:id="166" w:name="_Toc25184"/>
      <w:r>
        <w:rPr>
          <w:rFonts w:hint="eastAsia"/>
          <w:sz w:val="21"/>
          <w:szCs w:val="21"/>
        </w:rPr>
        <w:t>15.合同的解除</w:t>
      </w:r>
      <w:bookmarkEnd w:id="160"/>
      <w:bookmarkEnd w:id="161"/>
      <w:bookmarkEnd w:id="162"/>
      <w:bookmarkEnd w:id="163"/>
      <w:bookmarkEnd w:id="164"/>
      <w:bookmarkEnd w:id="165"/>
      <w:bookmarkEnd w:id="166"/>
    </w:p>
    <w:p>
      <w:pPr>
        <w:adjustRightInd w:val="0"/>
        <w:snapToGrid w:val="0"/>
        <w:spacing w:line="440" w:lineRule="exact"/>
        <w:ind w:firstLine="440" w:firstLineChars="200"/>
        <w:rPr>
          <w:szCs w:val="21"/>
          <w:lang w:eastAsia="zh-CN"/>
        </w:rPr>
      </w:pPr>
      <w:r>
        <w:rPr>
          <w:rFonts w:hint="eastAsia"/>
          <w:szCs w:val="21"/>
          <w:lang w:eastAsia="zh-CN"/>
        </w:rPr>
        <w:t>除专用合同条款另有约定外，有下述情形之一，当事人可发出书面通知全部或部分地解除合同，合同自通知到达对方时全部或部分地解除：</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卖方迟延交付合同设备超过3个月；</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adjustRightInd w:val="0"/>
        <w:snapToGrid w:val="0"/>
        <w:spacing w:line="440" w:lineRule="exact"/>
        <w:ind w:firstLine="440" w:firstLineChars="200"/>
        <w:rPr>
          <w:szCs w:val="21"/>
          <w:lang w:eastAsia="zh-CN"/>
        </w:rPr>
      </w:pPr>
      <w:r>
        <w:rPr>
          <w:rFonts w:hint="eastAsia"/>
          <w:szCs w:val="21"/>
          <w:lang w:eastAsia="zh-CN"/>
        </w:rPr>
        <w:t>(3)</w:t>
      </w:r>
      <w:r>
        <w:rPr>
          <w:rFonts w:hint="eastAsia"/>
          <w:szCs w:val="21"/>
          <w:lang w:eastAsia="zh-CN"/>
        </w:rPr>
        <w:tab/>
      </w:r>
      <w:r>
        <w:rPr>
          <w:rFonts w:hint="eastAsia"/>
          <w:szCs w:val="21"/>
          <w:lang w:eastAsia="zh-CN"/>
        </w:rPr>
        <w:t>买方迟延付款超过3个月；</w:t>
      </w:r>
    </w:p>
    <w:p>
      <w:pPr>
        <w:adjustRightInd w:val="0"/>
        <w:snapToGrid w:val="0"/>
        <w:spacing w:line="440" w:lineRule="exact"/>
        <w:ind w:firstLine="440" w:firstLineChars="200"/>
        <w:rPr>
          <w:szCs w:val="21"/>
          <w:lang w:eastAsia="zh-CN"/>
        </w:rPr>
      </w:pPr>
      <w:r>
        <w:rPr>
          <w:rFonts w:hint="eastAsia"/>
          <w:szCs w:val="21"/>
          <w:lang w:eastAsia="zh-CN"/>
        </w:rPr>
        <w:t>(4)</w:t>
      </w:r>
      <w:r>
        <w:rPr>
          <w:rFonts w:hint="eastAsia"/>
          <w:szCs w:val="21"/>
          <w:lang w:eastAsia="zh-CN"/>
        </w:rPr>
        <w:tab/>
      </w:r>
      <w:r>
        <w:rPr>
          <w:rFonts w:hint="eastAsia"/>
          <w:szCs w:val="21"/>
          <w:lang w:eastAsia="zh-CN"/>
        </w:rPr>
        <w:t>合同一方当事人未能履行合同项下任何其它义务（细微义务除外），或在未事先征得另一方当事人同意的情况下，从事任何可能在实质上不利影响其履行合同能力的活动，经另一方当事人书面通知后14日内或在专用合同条款约定的其他期限内未能对其行为作出补救；</w:t>
      </w:r>
    </w:p>
    <w:p>
      <w:pPr>
        <w:adjustRightInd w:val="0"/>
        <w:snapToGrid w:val="0"/>
        <w:spacing w:line="440" w:lineRule="exact"/>
        <w:ind w:firstLine="440" w:firstLineChars="200"/>
        <w:rPr>
          <w:szCs w:val="21"/>
          <w:lang w:eastAsia="zh-CN"/>
        </w:rPr>
      </w:pPr>
      <w:r>
        <w:rPr>
          <w:rFonts w:hint="eastAsia"/>
          <w:szCs w:val="21"/>
          <w:lang w:eastAsia="zh-CN"/>
        </w:rPr>
        <w:t>(5)</w:t>
      </w:r>
      <w:r>
        <w:rPr>
          <w:rFonts w:hint="eastAsia"/>
          <w:szCs w:val="21"/>
          <w:lang w:eastAsia="zh-CN"/>
        </w:rPr>
        <w:tab/>
      </w:r>
      <w:r>
        <w:rPr>
          <w:rFonts w:hint="eastAsia"/>
          <w:szCs w:val="21"/>
          <w:lang w:eastAsia="zh-CN"/>
        </w:rPr>
        <w:t>合同一方当事人出现破产、清算、资不抵债、成为失信被执行人等可能丧失履约能力的情形，且未能提供令对方满意的履约保证金。</w:t>
      </w:r>
    </w:p>
    <w:p>
      <w:pPr>
        <w:pStyle w:val="173"/>
        <w:keepNext/>
        <w:keepLines/>
        <w:adjustRightInd w:val="0"/>
        <w:snapToGrid w:val="0"/>
        <w:spacing w:before="0" w:after="0" w:line="440" w:lineRule="exact"/>
        <w:outlineLvl w:val="2"/>
        <w:rPr>
          <w:sz w:val="21"/>
          <w:szCs w:val="21"/>
        </w:rPr>
      </w:pPr>
      <w:bookmarkStart w:id="167" w:name="_Toc22032773"/>
      <w:bookmarkStart w:id="168" w:name="_Toc15922"/>
      <w:bookmarkStart w:id="169" w:name="_Toc8646"/>
      <w:bookmarkStart w:id="170" w:name="_Toc29954"/>
      <w:bookmarkStart w:id="171" w:name="_Toc102983284"/>
      <w:bookmarkStart w:id="172" w:name="_Toc113559485"/>
      <w:bookmarkStart w:id="173" w:name="_Toc829"/>
      <w:r>
        <w:rPr>
          <w:rFonts w:hint="eastAsia"/>
          <w:sz w:val="21"/>
          <w:szCs w:val="21"/>
        </w:rPr>
        <w:t>16.不可抗力</w:t>
      </w:r>
      <w:bookmarkEnd w:id="167"/>
      <w:bookmarkEnd w:id="168"/>
      <w:bookmarkEnd w:id="169"/>
      <w:bookmarkEnd w:id="170"/>
      <w:bookmarkEnd w:id="171"/>
      <w:bookmarkEnd w:id="172"/>
      <w:bookmarkEnd w:id="173"/>
    </w:p>
    <w:p>
      <w:pPr>
        <w:adjustRightInd w:val="0"/>
        <w:snapToGrid w:val="0"/>
        <w:spacing w:line="440" w:lineRule="exact"/>
        <w:ind w:firstLine="440" w:firstLineChars="200"/>
        <w:rPr>
          <w:szCs w:val="21"/>
          <w:lang w:eastAsia="zh-CN"/>
        </w:rPr>
      </w:pPr>
      <w:r>
        <w:rPr>
          <w:rFonts w:hint="eastAsia"/>
          <w:szCs w:val="21"/>
          <w:lang w:eastAsia="zh-CN"/>
        </w:rPr>
        <w:t>16.1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pPr>
        <w:adjustRightInd w:val="0"/>
        <w:snapToGrid w:val="0"/>
        <w:spacing w:line="440" w:lineRule="exact"/>
        <w:ind w:firstLine="440" w:firstLineChars="200"/>
        <w:rPr>
          <w:szCs w:val="21"/>
          <w:lang w:eastAsia="zh-CN"/>
        </w:rPr>
      </w:pPr>
      <w:r>
        <w:rPr>
          <w:rFonts w:hint="eastAsia"/>
          <w:szCs w:val="21"/>
          <w:lang w:eastAsia="zh-CN"/>
        </w:rPr>
        <w:t>16.2受不可抗力事件影响的一方当事人对于不可抗力事件导致的任何合同义务的迟延履行或不能履行不承担违约责任。但该方当事人应尽快将不可抗力事件结束或消除的情况通知另一方当事人。</w:t>
      </w:r>
    </w:p>
    <w:p>
      <w:pPr>
        <w:adjustRightInd w:val="0"/>
        <w:snapToGrid w:val="0"/>
        <w:spacing w:line="440" w:lineRule="exact"/>
        <w:ind w:firstLine="440" w:firstLineChars="200"/>
        <w:rPr>
          <w:szCs w:val="21"/>
          <w:lang w:eastAsia="zh-CN"/>
        </w:rPr>
      </w:pPr>
      <w:r>
        <w:rPr>
          <w:rFonts w:hint="eastAsia"/>
          <w:szCs w:val="21"/>
          <w:lang w:eastAsia="zh-CN"/>
        </w:rPr>
        <w:t>16.3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pPr>
        <w:pStyle w:val="173"/>
        <w:keepNext/>
        <w:keepLines/>
        <w:adjustRightInd w:val="0"/>
        <w:snapToGrid w:val="0"/>
        <w:spacing w:before="0" w:after="0" w:line="440" w:lineRule="exact"/>
        <w:outlineLvl w:val="2"/>
        <w:rPr>
          <w:sz w:val="21"/>
          <w:szCs w:val="21"/>
        </w:rPr>
      </w:pPr>
      <w:bookmarkStart w:id="174" w:name="_Toc102983285"/>
      <w:bookmarkStart w:id="175" w:name="_Toc19973"/>
      <w:bookmarkStart w:id="176" w:name="_Toc27001"/>
      <w:bookmarkStart w:id="177" w:name="_Toc17303"/>
      <w:bookmarkStart w:id="178" w:name="_Toc113559486"/>
      <w:bookmarkStart w:id="179" w:name="_Toc17996"/>
      <w:bookmarkStart w:id="180" w:name="_Toc22032774"/>
      <w:r>
        <w:rPr>
          <w:rFonts w:hint="eastAsia"/>
          <w:sz w:val="21"/>
          <w:szCs w:val="21"/>
        </w:rPr>
        <w:t>17.争议的解决</w:t>
      </w:r>
      <w:bookmarkEnd w:id="174"/>
      <w:bookmarkEnd w:id="175"/>
      <w:bookmarkEnd w:id="176"/>
      <w:bookmarkEnd w:id="177"/>
      <w:bookmarkEnd w:id="178"/>
      <w:bookmarkEnd w:id="179"/>
      <w:bookmarkEnd w:id="180"/>
    </w:p>
    <w:p>
      <w:pPr>
        <w:adjustRightInd w:val="0"/>
        <w:snapToGrid w:val="0"/>
        <w:spacing w:line="440" w:lineRule="exact"/>
        <w:ind w:firstLine="440" w:firstLineChars="200"/>
        <w:rPr>
          <w:szCs w:val="21"/>
          <w:lang w:eastAsia="zh-CN"/>
        </w:rPr>
      </w:pPr>
      <w:r>
        <w:rPr>
          <w:rFonts w:hint="eastAsia"/>
          <w:szCs w:val="21"/>
          <w:lang w:eastAsia="zh-CN"/>
        </w:rPr>
        <w:t>因本合同引起的或与本合同有关的任何争议，双方可通过友好协商解决。友好协商解决不成的，可在专用合同条款中约定下列一种方式解决：</w:t>
      </w:r>
    </w:p>
    <w:p>
      <w:pPr>
        <w:adjustRightInd w:val="0"/>
        <w:snapToGrid w:val="0"/>
        <w:spacing w:line="440" w:lineRule="exact"/>
        <w:ind w:firstLine="440" w:firstLineChars="200"/>
        <w:rPr>
          <w:szCs w:val="21"/>
          <w:lang w:eastAsia="zh-CN"/>
        </w:rPr>
      </w:pPr>
      <w:r>
        <w:rPr>
          <w:rFonts w:hint="eastAsia"/>
          <w:szCs w:val="21"/>
          <w:lang w:eastAsia="zh-CN"/>
        </w:rPr>
        <w:t>(1)</w:t>
      </w:r>
      <w:r>
        <w:rPr>
          <w:rFonts w:hint="eastAsia"/>
          <w:szCs w:val="21"/>
          <w:lang w:eastAsia="zh-CN"/>
        </w:rPr>
        <w:tab/>
      </w:r>
      <w:r>
        <w:rPr>
          <w:rFonts w:hint="eastAsia"/>
          <w:szCs w:val="21"/>
          <w:lang w:eastAsia="zh-CN"/>
        </w:rPr>
        <w:t>向约定的仲裁委员会申请仲裁；</w:t>
      </w:r>
    </w:p>
    <w:p>
      <w:pPr>
        <w:adjustRightInd w:val="0"/>
        <w:snapToGrid w:val="0"/>
        <w:spacing w:line="440" w:lineRule="exact"/>
        <w:ind w:firstLine="440" w:firstLineChars="200"/>
        <w:rPr>
          <w:szCs w:val="21"/>
          <w:lang w:eastAsia="zh-CN"/>
        </w:rPr>
      </w:pPr>
      <w:r>
        <w:rPr>
          <w:rFonts w:hint="eastAsia"/>
          <w:szCs w:val="21"/>
          <w:lang w:eastAsia="zh-CN"/>
        </w:rPr>
        <w:t>(2)</w:t>
      </w:r>
      <w:r>
        <w:rPr>
          <w:rFonts w:hint="eastAsia"/>
          <w:szCs w:val="21"/>
          <w:lang w:eastAsia="zh-CN"/>
        </w:rPr>
        <w:tab/>
      </w:r>
      <w:r>
        <w:rPr>
          <w:rFonts w:hint="eastAsia"/>
          <w:szCs w:val="21"/>
          <w:lang w:eastAsia="zh-CN"/>
        </w:rPr>
        <w:t>向有管辖权的人民法院提起诉讼。</w:t>
      </w: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p>
    <w:p>
      <w:pPr>
        <w:pStyle w:val="173"/>
        <w:keepNext/>
        <w:keepLines/>
        <w:shd w:val="clear" w:color="auto" w:fill="auto"/>
        <w:spacing w:before="0" w:after="582" w:line="320" w:lineRule="exact"/>
        <w:ind w:right="40"/>
        <w:jc w:val="center"/>
      </w:pPr>
      <w:bookmarkStart w:id="181" w:name="_Toc8478"/>
      <w:bookmarkStart w:id="182" w:name="_Toc6101"/>
      <w:bookmarkStart w:id="183" w:name="_Toc28573"/>
      <w:bookmarkStart w:id="184" w:name="_Toc288"/>
      <w:r>
        <w:rPr>
          <w:rFonts w:hint="eastAsia"/>
        </w:rPr>
        <w:t>第二节</w:t>
      </w:r>
      <w:r>
        <w:t>专用合同条款</w:t>
      </w:r>
      <w:bookmarkEnd w:id="181"/>
      <w:bookmarkEnd w:id="182"/>
      <w:bookmarkEnd w:id="183"/>
      <w:bookmarkEnd w:id="184"/>
    </w:p>
    <w:p>
      <w:pPr>
        <w:spacing w:line="360" w:lineRule="auto"/>
        <w:ind w:firstLine="440" w:firstLineChars="200"/>
        <w:rPr>
          <w:szCs w:val="21"/>
          <w:lang w:eastAsia="zh-CN"/>
        </w:rPr>
      </w:pPr>
      <w:r>
        <w:rPr>
          <w:rFonts w:hint="eastAsia"/>
          <w:szCs w:val="21"/>
          <w:lang w:eastAsia="zh-CN"/>
        </w:rPr>
        <w:t>专用合同条款是对合同通用条款的补充、完善或具体化。应对照通用合同条款中同一条款一起阅读和理解。</w:t>
      </w:r>
    </w:p>
    <w:p>
      <w:pPr>
        <w:spacing w:line="360" w:lineRule="auto"/>
        <w:ind w:firstLine="440" w:firstLineChars="200"/>
        <w:rPr>
          <w:szCs w:val="21"/>
          <w:lang w:eastAsia="zh-CN"/>
        </w:rPr>
      </w:pPr>
      <w:r>
        <w:rPr>
          <w:rFonts w:hint="eastAsia"/>
          <w:szCs w:val="21"/>
          <w:lang w:eastAsia="zh-CN"/>
        </w:rPr>
        <w:t>如果通用合同条款与专用合同条款之间有不一致之处，以专用合同条款为准。</w:t>
      </w:r>
    </w:p>
    <w:p>
      <w:pPr>
        <w:keepNext/>
        <w:keepLines/>
        <w:shd w:val="clear" w:color="auto" w:fill="FFFFFF"/>
        <w:adjustRightInd w:val="0"/>
        <w:snapToGrid w:val="0"/>
        <w:spacing w:line="360" w:lineRule="auto"/>
        <w:outlineLvl w:val="2"/>
        <w:rPr>
          <w:szCs w:val="21"/>
          <w:lang w:eastAsia="zh-CN"/>
        </w:rPr>
      </w:pPr>
      <w:bookmarkStart w:id="185" w:name="_Toc15104"/>
      <w:bookmarkStart w:id="186" w:name="_Toc3578"/>
      <w:bookmarkStart w:id="187" w:name="_Toc22571383"/>
      <w:bookmarkStart w:id="188" w:name="_Toc11419"/>
      <w:bookmarkStart w:id="189" w:name="_Toc377"/>
      <w:bookmarkStart w:id="190" w:name="_Toc29980"/>
      <w:bookmarkStart w:id="191" w:name="_Toc113559488"/>
      <w:bookmarkStart w:id="192" w:name="_Toc1533"/>
      <w:bookmarkStart w:id="193" w:name="_Toc100946801"/>
      <w:bookmarkStart w:id="194" w:name="_Toc101259170"/>
      <w:bookmarkStart w:id="195" w:name="_Toc21515"/>
      <w:bookmarkStart w:id="196" w:name="_Toc12993"/>
      <w:r>
        <w:rPr>
          <w:rFonts w:hint="eastAsia"/>
          <w:szCs w:val="21"/>
          <w:lang w:eastAsia="zh-CN"/>
        </w:rPr>
        <w:t>1.一般约定</w:t>
      </w:r>
      <w:bookmarkEnd w:id="185"/>
      <w:bookmarkEnd w:id="186"/>
      <w:bookmarkEnd w:id="187"/>
      <w:bookmarkEnd w:id="188"/>
      <w:bookmarkEnd w:id="189"/>
      <w:bookmarkEnd w:id="190"/>
      <w:bookmarkEnd w:id="191"/>
      <w:bookmarkEnd w:id="192"/>
      <w:bookmarkEnd w:id="193"/>
      <w:bookmarkEnd w:id="194"/>
      <w:bookmarkEnd w:id="195"/>
      <w:bookmarkEnd w:id="196"/>
    </w:p>
    <w:p>
      <w:pPr>
        <w:adjustRightInd w:val="0"/>
        <w:snapToGrid w:val="0"/>
        <w:spacing w:line="360" w:lineRule="auto"/>
        <w:outlineLvl w:val="3"/>
        <w:rPr>
          <w:szCs w:val="21"/>
          <w:lang w:eastAsia="zh-CN"/>
        </w:rPr>
      </w:pPr>
      <w:r>
        <w:rPr>
          <w:rFonts w:hint="eastAsia"/>
          <w:szCs w:val="21"/>
          <w:lang w:eastAsia="zh-CN"/>
        </w:rPr>
        <w:t>1.1词语定义</w:t>
      </w:r>
    </w:p>
    <w:p>
      <w:pPr>
        <w:spacing w:line="360" w:lineRule="auto"/>
        <w:ind w:firstLine="440" w:firstLineChars="200"/>
        <w:rPr>
          <w:szCs w:val="21"/>
          <w:lang w:eastAsia="zh-CN"/>
        </w:rPr>
      </w:pPr>
      <w:r>
        <w:rPr>
          <w:rFonts w:hint="eastAsia"/>
          <w:szCs w:val="21"/>
          <w:lang w:eastAsia="zh-CN"/>
        </w:rPr>
        <w:t>本合同中以下词语应具有本条所赋予的涵义。</w:t>
      </w:r>
    </w:p>
    <w:p>
      <w:pPr>
        <w:adjustRightInd w:val="0"/>
        <w:snapToGrid w:val="0"/>
        <w:spacing w:line="360" w:lineRule="auto"/>
        <w:ind w:firstLine="440" w:firstLineChars="200"/>
        <w:rPr>
          <w:szCs w:val="21"/>
          <w:lang w:eastAsia="zh-CN"/>
        </w:rPr>
      </w:pPr>
      <w:r>
        <w:rPr>
          <w:rFonts w:hint="eastAsia"/>
          <w:szCs w:val="21"/>
          <w:lang w:eastAsia="zh-CN"/>
        </w:rPr>
        <w:t>1.1.2合同当事人</w:t>
      </w:r>
    </w:p>
    <w:p>
      <w:pPr>
        <w:adjustRightInd w:val="0"/>
        <w:snapToGrid w:val="0"/>
        <w:spacing w:line="360" w:lineRule="auto"/>
        <w:ind w:firstLine="440" w:firstLineChars="200"/>
        <w:rPr>
          <w:szCs w:val="21"/>
          <w:lang w:eastAsia="zh-CN"/>
        </w:rPr>
      </w:pPr>
      <w:r>
        <w:rPr>
          <w:rFonts w:hint="eastAsia"/>
          <w:szCs w:val="21"/>
          <w:lang w:eastAsia="zh-CN"/>
        </w:rPr>
        <w:t>1.1.2.2发包人：即买方。</w:t>
      </w:r>
    </w:p>
    <w:p>
      <w:pPr>
        <w:adjustRightInd w:val="0"/>
        <w:snapToGrid w:val="0"/>
        <w:spacing w:line="360" w:lineRule="auto"/>
        <w:ind w:firstLine="440" w:firstLineChars="200"/>
        <w:rPr>
          <w:szCs w:val="21"/>
          <w:lang w:eastAsia="zh-CN"/>
        </w:rPr>
      </w:pPr>
      <w:r>
        <w:rPr>
          <w:rFonts w:hint="eastAsia"/>
          <w:szCs w:val="21"/>
          <w:lang w:eastAsia="zh-CN"/>
        </w:rPr>
        <w:t>1.1.2.3承包人：即卖方。</w:t>
      </w:r>
    </w:p>
    <w:p>
      <w:pPr>
        <w:adjustRightInd w:val="0"/>
        <w:snapToGrid w:val="0"/>
        <w:spacing w:line="360" w:lineRule="auto"/>
        <w:ind w:firstLine="440" w:firstLineChars="200"/>
        <w:rPr>
          <w:szCs w:val="21"/>
          <w:lang w:eastAsia="zh-CN"/>
        </w:rPr>
      </w:pPr>
      <w:r>
        <w:rPr>
          <w:rFonts w:hint="eastAsia"/>
          <w:szCs w:val="21"/>
          <w:lang w:eastAsia="zh-CN"/>
        </w:rPr>
        <w:t>1.1.13.1工程：涪江干流梯级渠化双江航电枢纽工程。</w:t>
      </w:r>
    </w:p>
    <w:p>
      <w:pPr>
        <w:adjustRightInd w:val="0"/>
        <w:snapToGrid w:val="0"/>
        <w:spacing w:line="360" w:lineRule="auto"/>
        <w:ind w:firstLine="440" w:firstLineChars="200"/>
        <w:rPr>
          <w:szCs w:val="21"/>
          <w:lang w:eastAsia="zh-CN"/>
        </w:rPr>
      </w:pPr>
      <w:r>
        <w:rPr>
          <w:rFonts w:hint="eastAsia"/>
          <w:szCs w:val="21"/>
          <w:lang w:eastAsia="zh-CN"/>
        </w:rPr>
        <w:t>1.1.13.2施工场地（或称工地、施工现场）：双江航电枢纽工程工地现场买方指定的存放地点。</w:t>
      </w:r>
    </w:p>
    <w:p>
      <w:pPr>
        <w:adjustRightInd w:val="0"/>
        <w:snapToGrid w:val="0"/>
        <w:spacing w:line="360" w:lineRule="auto"/>
        <w:ind w:firstLine="440" w:firstLineChars="200"/>
        <w:rPr>
          <w:szCs w:val="21"/>
          <w:lang w:eastAsia="zh-CN"/>
        </w:rPr>
      </w:pPr>
      <w:bookmarkStart w:id="197" w:name="_Toc138218238"/>
      <w:bookmarkStart w:id="198" w:name="_Toc140303281"/>
      <w:bookmarkStart w:id="199" w:name="_Toc149722250"/>
      <w:bookmarkStart w:id="200" w:name="_Toc138143805"/>
      <w:bookmarkStart w:id="201" w:name="_Toc138217102"/>
      <w:r>
        <w:rPr>
          <w:rFonts w:hint="eastAsia"/>
          <w:szCs w:val="21"/>
          <w:lang w:eastAsia="zh-CN"/>
        </w:rPr>
        <w:t>增加以下条款：</w:t>
      </w:r>
    </w:p>
    <w:p>
      <w:pPr>
        <w:adjustRightInd w:val="0"/>
        <w:snapToGrid w:val="0"/>
        <w:spacing w:line="360" w:lineRule="auto"/>
        <w:ind w:firstLine="440" w:firstLineChars="200"/>
        <w:rPr>
          <w:szCs w:val="21"/>
          <w:lang w:eastAsia="zh-CN"/>
        </w:rPr>
      </w:pPr>
      <w:r>
        <w:rPr>
          <w:rFonts w:hint="eastAsia"/>
          <w:szCs w:val="21"/>
          <w:lang w:eastAsia="zh-CN"/>
        </w:rPr>
        <w:t xml:space="preserve">1.1.17 </w:t>
      </w:r>
      <w:r>
        <w:rPr>
          <w:szCs w:val="21"/>
          <w:lang w:eastAsia="zh-CN"/>
        </w:rPr>
        <w:t>设计单位：受买方委托负责</w:t>
      </w:r>
      <w:r>
        <w:rPr>
          <w:rFonts w:hint="eastAsia"/>
          <w:szCs w:val="21"/>
          <w:lang w:eastAsia="zh-CN"/>
        </w:rPr>
        <w:t>本合同所属</w:t>
      </w:r>
      <w:r>
        <w:rPr>
          <w:szCs w:val="21"/>
          <w:lang w:eastAsia="zh-CN"/>
        </w:rPr>
        <w:t>工程设计的单位。</w:t>
      </w:r>
      <w:bookmarkEnd w:id="197"/>
      <w:bookmarkEnd w:id="198"/>
      <w:bookmarkEnd w:id="199"/>
      <w:bookmarkEnd w:id="200"/>
      <w:bookmarkEnd w:id="201"/>
    </w:p>
    <w:p>
      <w:pPr>
        <w:adjustRightInd w:val="0"/>
        <w:snapToGrid w:val="0"/>
        <w:spacing w:line="360" w:lineRule="auto"/>
        <w:ind w:firstLine="440" w:firstLineChars="200"/>
        <w:rPr>
          <w:szCs w:val="21"/>
          <w:lang w:eastAsia="zh-CN"/>
        </w:rPr>
      </w:pPr>
      <w:bookmarkStart w:id="202" w:name="_Toc138218240"/>
      <w:bookmarkStart w:id="203" w:name="_Toc149722252"/>
      <w:bookmarkStart w:id="204" w:name="_Toc138217104"/>
      <w:bookmarkStart w:id="205" w:name="_Toc140303283"/>
      <w:bookmarkStart w:id="206" w:name="_Toc138143807"/>
      <w:r>
        <w:rPr>
          <w:rFonts w:hint="eastAsia"/>
          <w:szCs w:val="21"/>
          <w:lang w:eastAsia="zh-CN"/>
        </w:rPr>
        <w:t>1.1.18</w:t>
      </w:r>
      <w:r>
        <w:rPr>
          <w:szCs w:val="21"/>
          <w:lang w:eastAsia="zh-CN"/>
        </w:rPr>
        <w:t>驻工地代表：卖方派驻</w:t>
      </w:r>
      <w:r>
        <w:rPr>
          <w:rFonts w:hint="eastAsia"/>
          <w:szCs w:val="21"/>
          <w:lang w:eastAsia="zh-CN"/>
        </w:rPr>
        <w:t>本合同所属</w:t>
      </w:r>
      <w:r>
        <w:rPr>
          <w:szCs w:val="21"/>
          <w:lang w:eastAsia="zh-CN"/>
        </w:rPr>
        <w:t>工程工地现场服务的代表。</w:t>
      </w:r>
      <w:bookmarkEnd w:id="202"/>
      <w:bookmarkEnd w:id="203"/>
      <w:bookmarkEnd w:id="204"/>
      <w:bookmarkEnd w:id="205"/>
      <w:bookmarkEnd w:id="206"/>
    </w:p>
    <w:p>
      <w:pPr>
        <w:adjustRightInd w:val="0"/>
        <w:snapToGrid w:val="0"/>
        <w:spacing w:line="360" w:lineRule="auto"/>
        <w:ind w:firstLine="440" w:firstLineChars="200"/>
        <w:rPr>
          <w:szCs w:val="21"/>
          <w:lang w:eastAsia="zh-CN"/>
        </w:rPr>
      </w:pPr>
      <w:bookmarkStart w:id="207" w:name="_Toc149722257"/>
      <w:bookmarkStart w:id="208" w:name="_Toc53730610"/>
      <w:bookmarkStart w:id="209" w:name="_Toc138143812"/>
      <w:bookmarkStart w:id="210" w:name="_Toc53730337"/>
      <w:bookmarkStart w:id="211" w:name="_Toc138218245"/>
      <w:bookmarkStart w:id="212" w:name="_Toc138217109"/>
      <w:bookmarkStart w:id="213" w:name="_Toc140303288"/>
      <w:r>
        <w:rPr>
          <w:rFonts w:hint="eastAsia"/>
          <w:szCs w:val="21"/>
          <w:lang w:eastAsia="zh-CN"/>
        </w:rPr>
        <w:t>1.1.19安装承包人</w:t>
      </w:r>
      <w:r>
        <w:rPr>
          <w:szCs w:val="21"/>
          <w:lang w:eastAsia="zh-CN"/>
        </w:rPr>
        <w:t>：受买方委托负责在工地现场对合同设备进行安装的单位。</w:t>
      </w:r>
      <w:bookmarkEnd w:id="207"/>
      <w:bookmarkEnd w:id="208"/>
      <w:bookmarkEnd w:id="209"/>
      <w:bookmarkEnd w:id="210"/>
      <w:bookmarkEnd w:id="211"/>
      <w:bookmarkEnd w:id="212"/>
      <w:bookmarkEnd w:id="213"/>
    </w:p>
    <w:p>
      <w:pPr>
        <w:adjustRightInd w:val="0"/>
        <w:snapToGrid w:val="0"/>
        <w:spacing w:line="360" w:lineRule="auto"/>
        <w:ind w:firstLine="440" w:firstLineChars="200"/>
        <w:rPr>
          <w:szCs w:val="21"/>
          <w:lang w:eastAsia="zh-CN"/>
        </w:rPr>
      </w:pPr>
      <w:bookmarkStart w:id="214" w:name="_Toc138218263"/>
      <w:bookmarkStart w:id="215" w:name="_Toc138217127"/>
      <w:bookmarkStart w:id="216" w:name="_Toc138143830"/>
      <w:bookmarkStart w:id="217" w:name="_Toc140303306"/>
      <w:bookmarkStart w:id="218" w:name="_Toc149722275"/>
      <w:r>
        <w:rPr>
          <w:rFonts w:hint="eastAsia"/>
          <w:szCs w:val="21"/>
          <w:lang w:eastAsia="zh-CN"/>
        </w:rPr>
        <w:t>1.1.20</w:t>
      </w:r>
      <w:r>
        <w:rPr>
          <w:szCs w:val="21"/>
          <w:lang w:eastAsia="zh-CN"/>
        </w:rPr>
        <w:t>初步验收：</w:t>
      </w:r>
      <w:bookmarkEnd w:id="214"/>
      <w:bookmarkEnd w:id="215"/>
      <w:bookmarkEnd w:id="216"/>
      <w:bookmarkEnd w:id="217"/>
      <w:bookmarkEnd w:id="218"/>
      <w:r>
        <w:rPr>
          <w:szCs w:val="21"/>
          <w:lang w:eastAsia="zh-CN"/>
        </w:rPr>
        <w:t>在合同设备</w:t>
      </w:r>
      <w:r>
        <w:rPr>
          <w:rFonts w:hint="eastAsia" w:hAnsi="宋体"/>
          <w:szCs w:val="21"/>
          <w:lang w:val="en-US" w:eastAsia="zh-CN"/>
        </w:rPr>
        <w:t>及</w:t>
      </w:r>
      <w:r>
        <w:rPr>
          <w:rFonts w:hint="default" w:ascii="Times New Roman" w:hAnsi="宋体" w:cs="Times New Roman"/>
          <w:szCs w:val="21"/>
          <w:lang w:val="en-US" w:eastAsia="zh-CN"/>
        </w:rPr>
        <w:t>水轮发电机组</w:t>
      </w:r>
      <w:r>
        <w:rPr>
          <w:rFonts w:hint="eastAsia" w:hAnsi="宋体" w:cs="Times New Roman"/>
          <w:szCs w:val="21"/>
          <w:lang w:val="en-US" w:eastAsia="zh-CN"/>
        </w:rPr>
        <w:t>全部</w:t>
      </w:r>
      <w:r>
        <w:rPr>
          <w:rFonts w:hint="default" w:ascii="Times New Roman" w:hAnsi="宋体" w:cs="Times New Roman"/>
          <w:szCs w:val="21"/>
          <w:lang w:val="en-US" w:eastAsia="zh-CN"/>
        </w:rPr>
        <w:t>投入商业运行</w:t>
      </w:r>
      <w:r>
        <w:rPr>
          <w:rFonts w:hint="eastAsia" w:hAnsi="宋体" w:cs="Times New Roman"/>
          <w:szCs w:val="21"/>
          <w:lang w:val="en-US" w:eastAsia="zh-CN"/>
        </w:rPr>
        <w:t>后</w:t>
      </w:r>
      <w:r>
        <w:rPr>
          <w:szCs w:val="21"/>
          <w:lang w:eastAsia="zh-CN"/>
        </w:rPr>
        <w:t>，</w:t>
      </w:r>
      <w:r>
        <w:rPr>
          <w:rFonts w:hint="eastAsia"/>
          <w:szCs w:val="21"/>
          <w:lang w:eastAsia="zh-CN"/>
        </w:rPr>
        <w:t>取得相关政府部门颁发的检验证书、使用证书等（若有），</w:t>
      </w:r>
      <w:r>
        <w:rPr>
          <w:szCs w:val="21"/>
          <w:lang w:eastAsia="zh-CN"/>
        </w:rPr>
        <w:t>买方对</w:t>
      </w:r>
      <w:r>
        <w:rPr>
          <w:rFonts w:hint="eastAsia"/>
          <w:szCs w:val="21"/>
          <w:lang w:eastAsia="zh-CN"/>
        </w:rPr>
        <w:t>合同</w:t>
      </w:r>
      <w:r>
        <w:rPr>
          <w:szCs w:val="21"/>
          <w:lang w:eastAsia="zh-CN"/>
        </w:rPr>
        <w:t>设备组织的验收。</w:t>
      </w:r>
    </w:p>
    <w:p>
      <w:pPr>
        <w:adjustRightInd w:val="0"/>
        <w:snapToGrid w:val="0"/>
        <w:spacing w:line="360" w:lineRule="auto"/>
        <w:ind w:firstLine="440" w:firstLineChars="200"/>
        <w:rPr>
          <w:szCs w:val="21"/>
          <w:lang w:eastAsia="zh-CN"/>
        </w:rPr>
      </w:pPr>
      <w:bookmarkStart w:id="219" w:name="_Toc138217128"/>
      <w:bookmarkStart w:id="220" w:name="_Toc138143831"/>
      <w:bookmarkStart w:id="221" w:name="_Toc149722276"/>
      <w:bookmarkStart w:id="222" w:name="_Toc140303307"/>
      <w:bookmarkStart w:id="223" w:name="_Toc138218264"/>
      <w:r>
        <w:rPr>
          <w:rFonts w:hint="eastAsia"/>
          <w:szCs w:val="21"/>
          <w:lang w:eastAsia="zh-CN"/>
        </w:rPr>
        <w:t>1.1.21</w:t>
      </w:r>
      <w:r>
        <w:rPr>
          <w:szCs w:val="21"/>
          <w:lang w:eastAsia="zh-CN"/>
        </w:rPr>
        <w:t>最终验收：</w:t>
      </w:r>
      <w:bookmarkEnd w:id="219"/>
      <w:bookmarkEnd w:id="220"/>
      <w:bookmarkEnd w:id="221"/>
      <w:bookmarkEnd w:id="222"/>
      <w:bookmarkEnd w:id="223"/>
      <w:r>
        <w:rPr>
          <w:szCs w:val="21"/>
          <w:lang w:eastAsia="zh-CN"/>
        </w:rPr>
        <w:t>在合同设备质量保证期届满，买方对</w:t>
      </w:r>
      <w:r>
        <w:rPr>
          <w:rFonts w:hint="eastAsia"/>
          <w:szCs w:val="21"/>
          <w:lang w:eastAsia="zh-CN"/>
        </w:rPr>
        <w:t>合同</w:t>
      </w:r>
      <w:r>
        <w:rPr>
          <w:szCs w:val="21"/>
          <w:lang w:eastAsia="zh-CN"/>
        </w:rPr>
        <w:t>设备组织的验收。</w:t>
      </w:r>
    </w:p>
    <w:p>
      <w:pPr>
        <w:adjustRightInd w:val="0"/>
        <w:snapToGrid w:val="0"/>
        <w:spacing w:line="360" w:lineRule="auto"/>
        <w:ind w:firstLine="440" w:firstLineChars="200"/>
        <w:rPr>
          <w:szCs w:val="21"/>
          <w:lang w:eastAsia="zh-CN"/>
        </w:rPr>
      </w:pPr>
      <w:bookmarkStart w:id="224" w:name="_Toc138217129"/>
      <w:bookmarkStart w:id="225" w:name="_Toc149722277"/>
      <w:bookmarkStart w:id="226" w:name="_Toc138143832"/>
      <w:bookmarkStart w:id="227" w:name="_Toc140303308"/>
      <w:bookmarkStart w:id="228" w:name="_Toc138218265"/>
      <w:r>
        <w:rPr>
          <w:rFonts w:hint="eastAsia"/>
          <w:szCs w:val="21"/>
          <w:lang w:eastAsia="zh-CN"/>
        </w:rPr>
        <w:t>1.1.22</w:t>
      </w:r>
      <w:r>
        <w:rPr>
          <w:szCs w:val="21"/>
          <w:lang w:eastAsia="zh-CN"/>
        </w:rPr>
        <w:t>缺陷：卖方提供的设备、服务、工艺或材料</w:t>
      </w:r>
      <w:r>
        <w:rPr>
          <w:rFonts w:hint="eastAsia"/>
          <w:szCs w:val="21"/>
          <w:lang w:eastAsia="zh-CN"/>
        </w:rPr>
        <w:t>、安装</w:t>
      </w:r>
      <w:r>
        <w:rPr>
          <w:szCs w:val="21"/>
          <w:lang w:eastAsia="zh-CN"/>
        </w:rPr>
        <w:t>等，不符合国家规程规范标准的规定</w:t>
      </w:r>
      <w:r>
        <w:rPr>
          <w:rFonts w:hint="eastAsia"/>
          <w:szCs w:val="21"/>
          <w:lang w:eastAsia="zh-CN"/>
        </w:rPr>
        <w:t>或</w:t>
      </w:r>
      <w:r>
        <w:rPr>
          <w:szCs w:val="21"/>
          <w:lang w:eastAsia="zh-CN"/>
        </w:rPr>
        <w:t>合同的要求。</w:t>
      </w:r>
    </w:p>
    <w:p>
      <w:pPr>
        <w:adjustRightInd w:val="0"/>
        <w:snapToGrid w:val="0"/>
        <w:spacing w:line="360" w:lineRule="auto"/>
        <w:ind w:firstLine="440" w:firstLineChars="200"/>
        <w:rPr>
          <w:szCs w:val="21"/>
          <w:lang w:eastAsia="zh-CN"/>
        </w:rPr>
      </w:pPr>
      <w:r>
        <w:rPr>
          <w:rFonts w:hint="eastAsia"/>
          <w:szCs w:val="21"/>
          <w:lang w:eastAsia="zh-CN"/>
        </w:rPr>
        <w:t>1.1.23</w:t>
      </w:r>
      <w:r>
        <w:rPr>
          <w:szCs w:val="21"/>
          <w:lang w:eastAsia="zh-CN"/>
        </w:rPr>
        <w:t>潜在缺陷：在试验、初步验收和最终验收时未能发现的缺陷。</w:t>
      </w:r>
      <w:bookmarkEnd w:id="224"/>
      <w:bookmarkEnd w:id="225"/>
      <w:bookmarkEnd w:id="226"/>
      <w:bookmarkEnd w:id="227"/>
      <w:bookmarkEnd w:id="228"/>
    </w:p>
    <w:p>
      <w:pPr>
        <w:adjustRightInd w:val="0"/>
        <w:snapToGrid w:val="0"/>
        <w:spacing w:line="360" w:lineRule="auto"/>
        <w:ind w:firstLine="440" w:firstLineChars="200"/>
        <w:rPr>
          <w:szCs w:val="21"/>
          <w:lang w:eastAsia="zh-CN"/>
        </w:rPr>
      </w:pPr>
      <w:r>
        <w:rPr>
          <w:rFonts w:hint="eastAsia"/>
          <w:szCs w:val="21"/>
          <w:lang w:eastAsia="zh-CN"/>
        </w:rPr>
        <w:t>1.1.24合同变更</w:t>
      </w:r>
      <w:r>
        <w:rPr>
          <w:szCs w:val="21"/>
          <w:lang w:eastAsia="zh-CN"/>
        </w:rPr>
        <w:t>：</w:t>
      </w:r>
      <w:r>
        <w:rPr>
          <w:rFonts w:hint="eastAsia"/>
          <w:szCs w:val="21"/>
          <w:lang w:eastAsia="zh-CN"/>
        </w:rPr>
        <w:t>买方根据设计修改或工程的实际需要对原合同工作内容进行的部分修改或委托卖方完成的合同约定以外的事项</w:t>
      </w:r>
      <w:r>
        <w:rPr>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1.1.25结算价格</w:t>
      </w:r>
      <w:r>
        <w:rPr>
          <w:szCs w:val="21"/>
          <w:lang w:eastAsia="zh-CN"/>
        </w:rPr>
        <w:t>：卖方</w:t>
      </w:r>
      <w:r>
        <w:rPr>
          <w:rFonts w:hint="eastAsia"/>
          <w:szCs w:val="21"/>
          <w:lang w:eastAsia="zh-CN"/>
        </w:rPr>
        <w:t>在完成合同约定及变更事项等所有工作内容后，卖方申请且经买方审核的合同价格。</w:t>
      </w:r>
    </w:p>
    <w:p>
      <w:pPr>
        <w:adjustRightInd w:val="0"/>
        <w:snapToGrid w:val="0"/>
        <w:spacing w:line="360" w:lineRule="auto"/>
        <w:outlineLvl w:val="3"/>
        <w:rPr>
          <w:szCs w:val="21"/>
          <w:lang w:eastAsia="zh-CN"/>
        </w:rPr>
      </w:pPr>
      <w:r>
        <w:rPr>
          <w:szCs w:val="21"/>
          <w:lang w:eastAsia="zh-CN"/>
        </w:rPr>
        <w:t>1.4合同的生效及变更</w:t>
      </w:r>
    </w:p>
    <w:p>
      <w:pPr>
        <w:adjustRightInd w:val="0"/>
        <w:snapToGrid w:val="0"/>
        <w:spacing w:line="360" w:lineRule="auto"/>
        <w:ind w:firstLine="440" w:firstLineChars="200"/>
        <w:outlineLvl w:val="4"/>
        <w:rPr>
          <w:szCs w:val="21"/>
          <w:lang w:eastAsia="zh-CN"/>
        </w:rPr>
      </w:pPr>
      <w:r>
        <w:rPr>
          <w:szCs w:val="21"/>
          <w:lang w:eastAsia="zh-CN"/>
        </w:rPr>
        <w:t>1.4.1合同生效</w:t>
      </w:r>
    </w:p>
    <w:p>
      <w:pPr>
        <w:adjustRightInd w:val="0"/>
        <w:snapToGrid w:val="0"/>
        <w:spacing w:line="360" w:lineRule="auto"/>
        <w:ind w:firstLine="440" w:firstLineChars="200"/>
        <w:rPr>
          <w:szCs w:val="21"/>
          <w:lang w:eastAsia="zh-CN"/>
        </w:rPr>
      </w:pPr>
      <w:r>
        <w:rPr>
          <w:rFonts w:hint="eastAsia"/>
          <w:szCs w:val="21"/>
          <w:lang w:eastAsia="zh-CN"/>
        </w:rPr>
        <w:t>买方和卖方的法定代表人或其授权代表在合同协议书上签名，加盖本单位公章或合同专用章，卖方向买方提交履约担保后，合同生效。</w:t>
      </w:r>
    </w:p>
    <w:p>
      <w:pPr>
        <w:adjustRightInd w:val="0"/>
        <w:snapToGrid w:val="0"/>
        <w:spacing w:line="360" w:lineRule="auto"/>
        <w:ind w:firstLine="440" w:firstLineChars="200"/>
        <w:outlineLvl w:val="4"/>
        <w:rPr>
          <w:szCs w:val="21"/>
          <w:lang w:eastAsia="zh-CN"/>
        </w:rPr>
      </w:pPr>
      <w:r>
        <w:rPr>
          <w:szCs w:val="21"/>
          <w:lang w:eastAsia="zh-CN"/>
        </w:rPr>
        <w:t xml:space="preserve">1.4.2 </w:t>
      </w:r>
      <w:r>
        <w:rPr>
          <w:rFonts w:hint="eastAsia"/>
          <w:szCs w:val="21"/>
          <w:lang w:eastAsia="zh-CN"/>
        </w:rPr>
        <w:t>合同变更</w:t>
      </w:r>
    </w:p>
    <w:p>
      <w:pPr>
        <w:adjustRightInd w:val="0"/>
        <w:snapToGrid w:val="0"/>
        <w:spacing w:line="360" w:lineRule="auto"/>
        <w:ind w:firstLine="440" w:firstLineChars="200"/>
        <w:rPr>
          <w:szCs w:val="21"/>
          <w:lang w:eastAsia="zh-CN"/>
        </w:rPr>
      </w:pPr>
      <w:r>
        <w:rPr>
          <w:rFonts w:hint="eastAsia"/>
          <w:szCs w:val="21"/>
          <w:lang w:eastAsia="zh-CN"/>
        </w:rPr>
        <w:t>（1）变更范围</w:t>
      </w:r>
    </w:p>
    <w:p>
      <w:pPr>
        <w:pStyle w:val="43"/>
        <w:ind w:left="0" w:leftChars="0"/>
      </w:pPr>
      <w:r>
        <w:rPr>
          <w:rFonts w:hint="eastAsia"/>
        </w:rPr>
        <w:t>1）追加合同额外的工作或取消合同中任何工作；</w:t>
      </w:r>
    </w:p>
    <w:p>
      <w:pPr>
        <w:pStyle w:val="43"/>
        <w:ind w:left="0" w:leftChars="0"/>
      </w:pPr>
      <w:r>
        <w:rPr>
          <w:rFonts w:hint="eastAsia"/>
        </w:rPr>
        <w:t>2）经发包人批准的设计变更；</w:t>
      </w:r>
    </w:p>
    <w:p>
      <w:pPr>
        <w:pStyle w:val="43"/>
        <w:ind w:left="0" w:leftChars="0"/>
        <w:rPr>
          <w:rFonts w:ascii="宋体" w:hAnsi="宋体" w:cs="宋体"/>
          <w:szCs w:val="21"/>
        </w:rPr>
      </w:pPr>
      <w:r>
        <w:rPr>
          <w:rFonts w:hint="eastAsia"/>
        </w:rPr>
        <w:t>3）</w:t>
      </w:r>
      <w:r>
        <w:rPr>
          <w:rFonts w:hint="eastAsia" w:ascii="宋体" w:hAnsi="宋体" w:cs="宋体"/>
          <w:szCs w:val="21"/>
        </w:rPr>
        <w:t>买方可根据设计修改或工程的实际需要书面通知卖方对合同进行变更。</w:t>
      </w:r>
    </w:p>
    <w:p>
      <w:pPr>
        <w:adjustRightInd w:val="0"/>
        <w:snapToGrid w:val="0"/>
        <w:spacing w:line="360" w:lineRule="auto"/>
        <w:ind w:firstLine="440" w:firstLineChars="200"/>
        <w:rPr>
          <w:szCs w:val="21"/>
          <w:lang w:eastAsia="zh-CN"/>
        </w:rPr>
      </w:pPr>
      <w:r>
        <w:rPr>
          <w:rFonts w:hint="eastAsia"/>
          <w:szCs w:val="21"/>
          <w:lang w:eastAsia="zh-CN"/>
        </w:rPr>
        <w:t>如果由于上述变更引起卖方合同费用或所需时间增减，卖方应在接到买方的变更通知后</w:t>
      </w:r>
      <w:r>
        <w:rPr>
          <w:szCs w:val="21"/>
          <w:lang w:eastAsia="zh-CN"/>
        </w:rPr>
        <w:t>30天内按买方的变更程序办理变更申请手续</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买方在接到卖方提交的变更申请资料后应及时审核。</w:t>
      </w:r>
    </w:p>
    <w:p>
      <w:pPr>
        <w:adjustRightInd w:val="0"/>
        <w:snapToGrid w:val="0"/>
        <w:spacing w:line="360" w:lineRule="auto"/>
        <w:ind w:firstLine="440" w:firstLineChars="200"/>
        <w:rPr>
          <w:szCs w:val="21"/>
          <w:lang w:eastAsia="zh-CN"/>
        </w:rPr>
      </w:pPr>
      <w:r>
        <w:rPr>
          <w:rFonts w:hint="eastAsia"/>
          <w:szCs w:val="21"/>
          <w:lang w:eastAsia="zh-CN"/>
        </w:rPr>
        <w:t>（2）变更单价：</w:t>
      </w:r>
    </w:p>
    <w:p>
      <w:pPr>
        <w:adjustRightInd w:val="0"/>
        <w:snapToGrid w:val="0"/>
        <w:spacing w:line="360" w:lineRule="auto"/>
        <w:ind w:firstLine="440" w:firstLineChars="200"/>
        <w:rPr>
          <w:szCs w:val="21"/>
          <w:lang w:eastAsia="zh-CN"/>
        </w:rPr>
      </w:pPr>
      <w:r>
        <w:rPr>
          <w:rFonts w:hint="eastAsia"/>
          <w:szCs w:val="21"/>
          <w:lang w:eastAsia="zh-CN"/>
        </w:rPr>
        <w:t>变更单价按以下原则确定：</w:t>
      </w:r>
    </w:p>
    <w:p>
      <w:pPr>
        <w:numPr>
          <w:ilvl w:val="0"/>
          <w:numId w:val="1"/>
        </w:numPr>
        <w:adjustRightInd w:val="0"/>
        <w:snapToGrid w:val="0"/>
        <w:spacing w:line="360" w:lineRule="auto"/>
        <w:ind w:firstLine="440" w:firstLineChars="200"/>
        <w:rPr>
          <w:szCs w:val="21"/>
          <w:lang w:eastAsia="zh-CN"/>
        </w:rPr>
      </w:pPr>
      <w:r>
        <w:rPr>
          <w:rFonts w:hint="eastAsia"/>
          <w:szCs w:val="21"/>
          <w:lang w:eastAsia="zh-CN"/>
        </w:rPr>
        <w:t>在合同内有单价的按合同单价执行；</w:t>
      </w:r>
    </w:p>
    <w:p>
      <w:pPr>
        <w:numPr>
          <w:ilvl w:val="0"/>
          <w:numId w:val="1"/>
        </w:numPr>
        <w:adjustRightInd w:val="0"/>
        <w:snapToGrid w:val="0"/>
        <w:spacing w:line="360" w:lineRule="auto"/>
        <w:ind w:firstLine="440" w:firstLineChars="200"/>
        <w:rPr>
          <w:szCs w:val="21"/>
          <w:lang w:eastAsia="zh-CN"/>
        </w:rPr>
      </w:pPr>
      <w:r>
        <w:rPr>
          <w:rFonts w:hint="eastAsia"/>
          <w:szCs w:val="21"/>
          <w:lang w:eastAsia="zh-CN"/>
        </w:rPr>
        <w:t>合同无单价但有类似单价的按合同类似单价执行；</w:t>
      </w:r>
    </w:p>
    <w:p>
      <w:pPr>
        <w:adjustRightInd w:val="0"/>
        <w:snapToGrid w:val="0"/>
        <w:spacing w:line="360" w:lineRule="auto"/>
        <w:ind w:firstLine="440" w:firstLineChars="200"/>
        <w:rPr>
          <w:szCs w:val="21"/>
          <w:lang w:eastAsia="zh-CN"/>
        </w:rPr>
      </w:pPr>
      <w:r>
        <w:rPr>
          <w:szCs w:val="21"/>
          <w:lang w:eastAsia="zh-CN"/>
        </w:rPr>
        <w:t>3）合同无单价亦无类似单价的，参考市场价格双方协商确定，并执行买方新增单价审批程序。</w:t>
      </w:r>
    </w:p>
    <w:p>
      <w:pPr>
        <w:adjustRightInd w:val="0"/>
        <w:snapToGrid w:val="0"/>
        <w:spacing w:line="360" w:lineRule="auto"/>
        <w:ind w:firstLine="440" w:firstLineChars="200"/>
        <w:rPr>
          <w:szCs w:val="21"/>
          <w:lang w:eastAsia="zh-CN"/>
        </w:rPr>
      </w:pPr>
      <w:r>
        <w:rPr>
          <w:rFonts w:hint="eastAsia"/>
          <w:szCs w:val="21"/>
          <w:lang w:eastAsia="zh-CN"/>
        </w:rPr>
        <w:t>审核后卖方即可按合同支付条款约定的时间和比例向买方申请合同变更款的支付。</w:t>
      </w:r>
    </w:p>
    <w:p>
      <w:pPr>
        <w:adjustRightInd w:val="0"/>
        <w:snapToGrid w:val="0"/>
        <w:spacing w:line="360" w:lineRule="auto"/>
        <w:ind w:firstLine="440" w:firstLineChars="200"/>
        <w:rPr>
          <w:szCs w:val="21"/>
          <w:lang w:eastAsia="zh-CN"/>
        </w:rPr>
      </w:pPr>
      <w:r>
        <w:rPr>
          <w:rFonts w:hint="eastAsia"/>
          <w:szCs w:val="21"/>
          <w:lang w:eastAsia="zh-CN"/>
        </w:rPr>
        <w:t>卖方在完成合同约定及变更事项等所有工作内容后，可向买方申请办理合同结算（若无变更可不办理合同结算），买方应及时审核合同结算。</w:t>
      </w:r>
    </w:p>
    <w:p>
      <w:pPr>
        <w:adjustRightInd w:val="0"/>
        <w:snapToGrid w:val="0"/>
        <w:spacing w:line="360" w:lineRule="auto"/>
        <w:ind w:firstLine="440" w:firstLineChars="200"/>
        <w:rPr>
          <w:szCs w:val="21"/>
          <w:u w:val="single"/>
          <w:lang w:eastAsia="zh-CN"/>
        </w:rPr>
      </w:pPr>
      <w:r>
        <w:rPr>
          <w:rFonts w:hint="eastAsia"/>
          <w:szCs w:val="21"/>
          <w:lang w:eastAsia="zh-CN"/>
        </w:rPr>
        <w:t>如果卖方没有按上述要求及时提交详细的、完整的资料，并保证资料的真实性，买方有权拒绝卖方的合同变更及结算要求，所产生的后果由卖方承担，且卖方仍应按买方的要求完成合同变更事项。</w:t>
      </w:r>
      <w:r>
        <w:rPr>
          <w:szCs w:val="21"/>
          <w:lang w:eastAsia="zh-CN"/>
        </w:rPr>
        <w:t xml:space="preserve">  </w:t>
      </w:r>
    </w:p>
    <w:p>
      <w:pPr>
        <w:adjustRightInd w:val="0"/>
        <w:snapToGrid w:val="0"/>
        <w:spacing w:line="360" w:lineRule="auto"/>
        <w:outlineLvl w:val="3"/>
        <w:rPr>
          <w:szCs w:val="21"/>
          <w:lang w:eastAsia="zh-CN"/>
        </w:rPr>
      </w:pPr>
      <w:r>
        <w:rPr>
          <w:szCs w:val="21"/>
          <w:lang w:eastAsia="zh-CN"/>
        </w:rPr>
        <w:t>1.5联络</w:t>
      </w:r>
    </w:p>
    <w:p>
      <w:pPr>
        <w:adjustRightInd w:val="0"/>
        <w:snapToGrid w:val="0"/>
        <w:spacing w:line="360" w:lineRule="auto"/>
        <w:ind w:firstLine="440" w:firstLineChars="200"/>
        <w:outlineLvl w:val="4"/>
        <w:rPr>
          <w:szCs w:val="21"/>
          <w:lang w:eastAsia="zh-CN"/>
        </w:rPr>
      </w:pPr>
      <w:r>
        <w:rPr>
          <w:szCs w:val="21"/>
          <w:lang w:eastAsia="zh-CN"/>
        </w:rPr>
        <w:t>1.5.1买卖双方联系人和联系方式</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1）买方联系人：</w:t>
      </w:r>
      <w:r>
        <w:rPr>
          <w:szCs w:val="21"/>
          <w:u w:val="single"/>
          <w:lang w:eastAsia="zh-CN"/>
        </w:rPr>
        <w:t xml:space="preserve">           </w:t>
      </w:r>
      <w:r>
        <w:rPr>
          <w:rFonts w:hint="eastAsia"/>
          <w:szCs w:val="21"/>
          <w:lang w:eastAsia="zh-CN"/>
        </w:rPr>
        <w:t>，联系电话：</w:t>
      </w:r>
      <w:r>
        <w:rPr>
          <w:szCs w:val="21"/>
          <w:u w:val="single"/>
          <w:lang w:eastAsia="zh-CN"/>
        </w:rPr>
        <w:t xml:space="preserve">             </w:t>
      </w:r>
      <w:r>
        <w:rPr>
          <w:rFonts w:hint="eastAsia"/>
          <w:szCs w:val="21"/>
          <w:lang w:eastAsia="zh-CN"/>
        </w:rPr>
        <w:t>；传真：</w:t>
      </w:r>
      <w:r>
        <w:rPr>
          <w:szCs w:val="21"/>
          <w:u w:val="single"/>
          <w:lang w:eastAsia="zh-CN"/>
        </w:rPr>
        <w:t xml:space="preserve">             </w:t>
      </w:r>
    </w:p>
    <w:p>
      <w:pPr>
        <w:adjustRightInd w:val="0"/>
        <w:snapToGrid w:val="0"/>
        <w:spacing w:line="360" w:lineRule="auto"/>
        <w:ind w:firstLine="440" w:firstLineChars="200"/>
        <w:rPr>
          <w:szCs w:val="21"/>
          <w:u w:val="single"/>
          <w:lang w:eastAsia="zh-CN"/>
        </w:rPr>
      </w:pPr>
      <w:r>
        <w:rPr>
          <w:rFonts w:hint="eastAsia"/>
          <w:szCs w:val="21"/>
          <w:lang w:eastAsia="zh-CN"/>
        </w:rPr>
        <w:t>联系地址：</w:t>
      </w:r>
      <w:r>
        <w:rPr>
          <w:szCs w:val="21"/>
          <w:u w:val="single"/>
          <w:lang w:eastAsia="zh-CN"/>
        </w:rPr>
        <w:t xml:space="preserve">                           </w:t>
      </w:r>
      <w:r>
        <w:rPr>
          <w:rFonts w:hint="eastAsia"/>
          <w:szCs w:val="21"/>
          <w:u w:val="single"/>
          <w:lang w:eastAsia="zh-CN"/>
        </w:rPr>
        <w:t>。</w:t>
      </w:r>
    </w:p>
    <w:p>
      <w:pPr>
        <w:adjustRightInd w:val="0"/>
        <w:snapToGrid w:val="0"/>
        <w:spacing w:line="360" w:lineRule="auto"/>
        <w:ind w:firstLine="440" w:firstLineChars="200"/>
        <w:rPr>
          <w:szCs w:val="21"/>
          <w:u w:val="single"/>
          <w:lang w:eastAsia="zh-CN"/>
        </w:rPr>
      </w:pPr>
      <w:r>
        <w:rPr>
          <w:rFonts w:hint="eastAsia"/>
          <w:szCs w:val="21"/>
          <w:lang w:eastAsia="zh-CN"/>
        </w:rPr>
        <w:t>（</w:t>
      </w:r>
      <w:r>
        <w:rPr>
          <w:szCs w:val="21"/>
          <w:lang w:eastAsia="zh-CN"/>
        </w:rPr>
        <w:t>2）卖方联系人：</w:t>
      </w:r>
      <w:r>
        <w:rPr>
          <w:szCs w:val="21"/>
          <w:u w:val="single"/>
          <w:lang w:eastAsia="zh-CN"/>
        </w:rPr>
        <w:t xml:space="preserve">           </w:t>
      </w:r>
      <w:r>
        <w:rPr>
          <w:rFonts w:hint="eastAsia"/>
          <w:szCs w:val="21"/>
          <w:lang w:eastAsia="zh-CN"/>
        </w:rPr>
        <w:t>，联系电话：</w:t>
      </w:r>
      <w:r>
        <w:rPr>
          <w:szCs w:val="21"/>
          <w:u w:val="single"/>
          <w:lang w:eastAsia="zh-CN"/>
        </w:rPr>
        <w:t xml:space="preserve">             ；</w:t>
      </w:r>
      <w:r>
        <w:rPr>
          <w:szCs w:val="21"/>
          <w:lang w:eastAsia="zh-CN"/>
        </w:rPr>
        <w:t>传真：</w:t>
      </w:r>
      <w:r>
        <w:rPr>
          <w:szCs w:val="21"/>
          <w:u w:val="single"/>
          <w:lang w:eastAsia="zh-CN"/>
        </w:rPr>
        <w:t xml:space="preserve">             </w:t>
      </w:r>
    </w:p>
    <w:p>
      <w:pPr>
        <w:adjustRightInd w:val="0"/>
        <w:snapToGrid w:val="0"/>
        <w:spacing w:line="360" w:lineRule="auto"/>
        <w:ind w:firstLine="440" w:firstLineChars="200"/>
        <w:rPr>
          <w:szCs w:val="21"/>
          <w:lang w:eastAsia="zh-CN"/>
        </w:rPr>
      </w:pPr>
      <w:r>
        <w:rPr>
          <w:rFonts w:hint="eastAsia"/>
          <w:szCs w:val="21"/>
          <w:lang w:eastAsia="zh-CN"/>
        </w:rPr>
        <w:t>联系地址：</w:t>
      </w:r>
      <w:r>
        <w:rPr>
          <w:szCs w:val="21"/>
          <w:u w:val="single"/>
          <w:lang w:eastAsia="zh-CN"/>
        </w:rPr>
        <w:t xml:space="preserve">                           </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增加以下条款：</w:t>
      </w:r>
    </w:p>
    <w:p>
      <w:pPr>
        <w:adjustRightInd w:val="0"/>
        <w:snapToGrid w:val="0"/>
        <w:spacing w:line="360" w:lineRule="auto"/>
        <w:ind w:firstLine="440" w:firstLineChars="200"/>
        <w:rPr>
          <w:szCs w:val="21"/>
          <w:lang w:eastAsia="zh-CN"/>
        </w:rPr>
      </w:pPr>
      <w:r>
        <w:rPr>
          <w:szCs w:val="21"/>
          <w:lang w:eastAsia="zh-CN"/>
        </w:rPr>
        <w:t>1.5.4卖方应负责合同</w:t>
      </w:r>
      <w:r>
        <w:rPr>
          <w:rFonts w:hint="eastAsia"/>
          <w:lang w:eastAsia="zh-CN"/>
        </w:rPr>
        <w:t>全部</w:t>
      </w:r>
      <w:r>
        <w:rPr>
          <w:rFonts w:hint="eastAsia"/>
          <w:szCs w:val="21"/>
          <w:lang w:eastAsia="zh-CN"/>
        </w:rPr>
        <w:t>设备部件（含配件）在设计、制造；现场调试期间的协调和完善，并承担全部责任。卖方应负责所有合同设备部件的协调工作，确保合同设备部件之间的配合和接口顺利、有效和可靠</w:t>
      </w:r>
      <w:r>
        <w:rPr>
          <w:rFonts w:hint="eastAsia"/>
          <w:lang w:eastAsia="zh-CN"/>
        </w:rPr>
        <w:t>，保证所供应的设备整体性能良好，符合工程要求</w:t>
      </w:r>
      <w:r>
        <w:rPr>
          <w:rFonts w:hint="eastAsia"/>
          <w:szCs w:val="21"/>
          <w:lang w:eastAsia="zh-CN"/>
        </w:rPr>
        <w:t>。</w:t>
      </w:r>
    </w:p>
    <w:p>
      <w:pPr>
        <w:adjustRightInd w:val="0"/>
        <w:snapToGrid w:val="0"/>
        <w:spacing w:line="360" w:lineRule="auto"/>
        <w:ind w:firstLine="440" w:firstLineChars="200"/>
        <w:rPr>
          <w:lang w:eastAsia="zh-CN"/>
        </w:rPr>
      </w:pPr>
      <w:r>
        <w:rPr>
          <w:szCs w:val="21"/>
          <w:lang w:eastAsia="zh-CN"/>
        </w:rPr>
        <w:t>1.5.5卖方</w:t>
      </w:r>
      <w:r>
        <w:rPr>
          <w:rFonts w:hint="eastAsia"/>
          <w:lang w:eastAsia="zh-CN"/>
        </w:rPr>
        <w:t>应与其它设备的卖方就其提供的合同设备的结构、型式、性能、参数及必要的资料进行协调，以保证正确地完成所有与本合同设备相连的设备或部件的设计、制造、吊运、现场调试与验收等工作。</w:t>
      </w:r>
    </w:p>
    <w:p>
      <w:pPr>
        <w:adjustRightInd w:val="0"/>
        <w:snapToGrid w:val="0"/>
        <w:spacing w:line="360" w:lineRule="auto"/>
        <w:ind w:firstLine="440" w:firstLineChars="200"/>
        <w:outlineLvl w:val="4"/>
        <w:rPr>
          <w:szCs w:val="21"/>
          <w:lang w:eastAsia="zh-CN"/>
        </w:rPr>
      </w:pPr>
      <w:r>
        <w:rPr>
          <w:szCs w:val="21"/>
          <w:lang w:eastAsia="zh-CN"/>
        </w:rPr>
        <w:t xml:space="preserve">1.5.6 </w:t>
      </w:r>
      <w:r>
        <w:rPr>
          <w:rFonts w:hint="eastAsia"/>
          <w:szCs w:val="21"/>
          <w:lang w:eastAsia="zh-CN"/>
        </w:rPr>
        <w:t>设计联络会</w:t>
      </w:r>
    </w:p>
    <w:p>
      <w:pPr>
        <w:adjustRightInd w:val="0"/>
        <w:snapToGrid w:val="0"/>
        <w:spacing w:line="360" w:lineRule="auto"/>
        <w:ind w:firstLine="440" w:firstLineChars="200"/>
        <w:rPr>
          <w:szCs w:val="21"/>
          <w:lang w:eastAsia="zh-CN"/>
        </w:rPr>
      </w:pPr>
      <w:r>
        <w:rPr>
          <w:rFonts w:hint="eastAsia"/>
          <w:szCs w:val="21"/>
          <w:lang w:eastAsia="zh-CN"/>
        </w:rPr>
        <w:t>为保证合同有效及顺利的实施，买方将主持召开设计联络会。会议计划安排及内容由双方协商确定，会议接待准备及组织由卖方负责。买方人员（含设计单位）赴卖方工厂或其它会议地点参加设计联络会，所发生的一切费用（包括往返交通、会议食宿、资料等）均由卖方承担，且已包含在合同总价中。往返交通按最快捷的交通方式考虑，如飞机或高铁等。</w:t>
      </w:r>
    </w:p>
    <w:p>
      <w:pPr>
        <w:adjustRightInd w:val="0"/>
        <w:snapToGrid w:val="0"/>
        <w:spacing w:line="360" w:lineRule="auto"/>
        <w:ind w:firstLine="440" w:firstLineChars="200"/>
        <w:rPr>
          <w:szCs w:val="21"/>
          <w:lang w:eastAsia="zh-CN"/>
        </w:rPr>
      </w:pPr>
      <w:r>
        <w:rPr>
          <w:rFonts w:hint="eastAsia"/>
          <w:szCs w:val="21"/>
          <w:lang w:eastAsia="zh-CN"/>
        </w:rPr>
        <w:t>卖方应准备会议文件资料、图纸</w:t>
      </w:r>
      <w:r>
        <w:rPr>
          <w:szCs w:val="21"/>
          <w:lang w:eastAsia="zh-CN"/>
        </w:rPr>
        <w:t>10份，在召开会议前10天提交买方。</w:t>
      </w:r>
    </w:p>
    <w:p>
      <w:pPr>
        <w:adjustRightInd w:val="0"/>
        <w:snapToGrid w:val="0"/>
        <w:spacing w:line="360" w:lineRule="auto"/>
        <w:ind w:firstLine="440" w:firstLineChars="200"/>
        <w:rPr>
          <w:szCs w:val="21"/>
          <w:lang w:eastAsia="zh-CN"/>
        </w:rPr>
      </w:pPr>
      <w:r>
        <w:rPr>
          <w:rFonts w:hint="eastAsia"/>
          <w:szCs w:val="21"/>
          <w:lang w:eastAsia="zh-CN"/>
        </w:rPr>
        <w:t>双方与会人员应就会议协商达成的一致意见签署会议纪要，经双方签名的会议纪要为合同的组成部分。在会议中如对合同内容做重大修改时，须经双方法人代表或授权代表签名方能生效。</w:t>
      </w:r>
    </w:p>
    <w:p>
      <w:pPr>
        <w:adjustRightInd w:val="0"/>
        <w:snapToGrid w:val="0"/>
        <w:spacing w:line="360" w:lineRule="auto"/>
        <w:ind w:firstLine="440" w:firstLineChars="200"/>
        <w:rPr>
          <w:szCs w:val="21"/>
          <w:lang w:eastAsia="zh-CN"/>
        </w:rPr>
      </w:pPr>
      <w:r>
        <w:rPr>
          <w:rFonts w:hint="eastAsia"/>
          <w:szCs w:val="21"/>
          <w:lang w:eastAsia="zh-CN"/>
        </w:rPr>
        <w:t>设计联络会对图纸资料的审查不免除或减轻卖方的合同责任。</w:t>
      </w:r>
    </w:p>
    <w:p>
      <w:pPr>
        <w:adjustRightInd w:val="0"/>
        <w:snapToGrid w:val="0"/>
        <w:spacing w:line="360" w:lineRule="auto"/>
        <w:ind w:firstLine="440" w:firstLineChars="200"/>
        <w:rPr>
          <w:szCs w:val="21"/>
          <w:lang w:eastAsia="zh-CN"/>
        </w:rPr>
      </w:pPr>
      <w:r>
        <w:rPr>
          <w:rFonts w:hint="eastAsia"/>
          <w:szCs w:val="21"/>
          <w:lang w:eastAsia="zh-CN"/>
        </w:rPr>
        <w:t>买方相关人员（含设计单位相关专业人员、买方单位工程管理相关人员）赴卖方参加设计联络会1次。</w:t>
      </w:r>
    </w:p>
    <w:p>
      <w:pPr>
        <w:adjustRightInd w:val="0"/>
        <w:snapToGrid w:val="0"/>
        <w:spacing w:line="360" w:lineRule="auto"/>
        <w:ind w:firstLine="440" w:firstLineChars="200"/>
        <w:rPr>
          <w:szCs w:val="21"/>
          <w:lang w:eastAsia="zh-CN"/>
        </w:rPr>
      </w:pPr>
      <w:r>
        <w:rPr>
          <w:rFonts w:hint="eastAsia"/>
          <w:szCs w:val="21"/>
          <w:lang w:eastAsia="zh-CN"/>
        </w:rPr>
        <w:t>增加以下条款：</w:t>
      </w:r>
    </w:p>
    <w:p>
      <w:pPr>
        <w:adjustRightInd w:val="0"/>
        <w:snapToGrid w:val="0"/>
        <w:spacing w:line="360" w:lineRule="auto"/>
        <w:outlineLvl w:val="3"/>
        <w:rPr>
          <w:szCs w:val="21"/>
          <w:lang w:eastAsia="zh-CN"/>
        </w:rPr>
      </w:pPr>
      <w:r>
        <w:rPr>
          <w:szCs w:val="21"/>
          <w:lang w:eastAsia="zh-CN"/>
        </w:rPr>
        <w:t xml:space="preserve">1.8 </w:t>
      </w:r>
      <w:r>
        <w:rPr>
          <w:rFonts w:hint="eastAsia"/>
          <w:szCs w:val="21"/>
          <w:lang w:eastAsia="zh-CN"/>
        </w:rPr>
        <w:t>其它</w:t>
      </w:r>
    </w:p>
    <w:p>
      <w:pPr>
        <w:adjustRightInd w:val="0"/>
        <w:snapToGrid w:val="0"/>
        <w:spacing w:line="360" w:lineRule="auto"/>
        <w:ind w:firstLine="440" w:firstLineChars="200"/>
        <w:rPr>
          <w:szCs w:val="21"/>
          <w:lang w:eastAsia="zh-CN"/>
        </w:rPr>
      </w:pPr>
      <w:r>
        <w:rPr>
          <w:szCs w:val="21"/>
          <w:lang w:eastAsia="zh-CN"/>
        </w:rPr>
        <w:t xml:space="preserve">1.8.1 </w:t>
      </w:r>
      <w:r>
        <w:rPr>
          <w:rFonts w:hint="eastAsia"/>
          <w:szCs w:val="21"/>
          <w:lang w:eastAsia="zh-CN"/>
        </w:rPr>
        <w:t>适用于本合同的法律、法规和规章是中华人民共和国法律、行政法规以及国务院有关部门的规章和工程所在地重庆市的地方法规和规章。</w:t>
      </w:r>
    </w:p>
    <w:p>
      <w:pPr>
        <w:adjustRightInd w:val="0"/>
        <w:snapToGrid w:val="0"/>
        <w:spacing w:line="360" w:lineRule="auto"/>
        <w:ind w:firstLine="440" w:firstLineChars="200"/>
        <w:rPr>
          <w:szCs w:val="21"/>
          <w:lang w:eastAsia="zh-CN"/>
        </w:rPr>
      </w:pPr>
      <w:r>
        <w:rPr>
          <w:szCs w:val="21"/>
          <w:lang w:eastAsia="zh-CN"/>
        </w:rPr>
        <w:t xml:space="preserve">1.8.2 </w:t>
      </w:r>
      <w:r>
        <w:rPr>
          <w:rFonts w:hint="eastAsia"/>
          <w:szCs w:val="21"/>
          <w:lang w:eastAsia="zh-CN"/>
        </w:rPr>
        <w:t>除技术规范中另有规定外，所有计量单位均采用国际单位制</w:t>
      </w:r>
      <w:r>
        <w:rPr>
          <w:szCs w:val="21"/>
          <w:lang w:eastAsia="zh-CN"/>
        </w:rPr>
        <w:t>SI公制单位。</w:t>
      </w:r>
    </w:p>
    <w:p>
      <w:pPr>
        <w:adjustRightInd w:val="0"/>
        <w:snapToGrid w:val="0"/>
        <w:spacing w:line="360" w:lineRule="auto"/>
        <w:ind w:firstLine="440" w:firstLineChars="200"/>
        <w:outlineLvl w:val="4"/>
        <w:rPr>
          <w:szCs w:val="21"/>
          <w:lang w:eastAsia="zh-CN"/>
        </w:rPr>
      </w:pPr>
      <w:r>
        <w:rPr>
          <w:szCs w:val="21"/>
          <w:lang w:eastAsia="zh-CN"/>
        </w:rPr>
        <w:t xml:space="preserve">1.8.3 </w:t>
      </w:r>
      <w:r>
        <w:rPr>
          <w:rFonts w:hint="eastAsia"/>
          <w:szCs w:val="21"/>
          <w:lang w:eastAsia="zh-CN"/>
        </w:rPr>
        <w:t>本合同使用货币为人民币。</w:t>
      </w:r>
    </w:p>
    <w:p>
      <w:pPr>
        <w:keepNext/>
        <w:keepLines/>
        <w:shd w:val="clear" w:color="auto" w:fill="FFFFFF"/>
        <w:adjustRightInd w:val="0"/>
        <w:snapToGrid w:val="0"/>
        <w:spacing w:line="360" w:lineRule="auto"/>
        <w:outlineLvl w:val="2"/>
        <w:rPr>
          <w:szCs w:val="21"/>
          <w:lang w:val="zh-CN" w:eastAsia="zh-CN"/>
        </w:rPr>
      </w:pPr>
      <w:bookmarkStart w:id="229" w:name="_Toc12851"/>
      <w:bookmarkStart w:id="230" w:name="_Toc92225926"/>
      <w:bookmarkStart w:id="231" w:name="_Toc81896083"/>
      <w:bookmarkStart w:id="232" w:name="_Toc4713"/>
      <w:bookmarkStart w:id="233" w:name="_Toc12936"/>
      <w:bookmarkStart w:id="234" w:name="_Toc11732"/>
      <w:bookmarkStart w:id="235" w:name="_Toc15091"/>
      <w:bookmarkStart w:id="236" w:name="_Toc22217"/>
      <w:bookmarkStart w:id="237" w:name="_Toc113559489"/>
      <w:bookmarkStart w:id="238" w:name="_Toc29286"/>
      <w:bookmarkStart w:id="239" w:name="_Toc100946802"/>
      <w:bookmarkStart w:id="240" w:name="_Toc27397"/>
      <w:bookmarkStart w:id="241" w:name="_Toc58"/>
      <w:bookmarkStart w:id="242" w:name="_Toc24960"/>
      <w:bookmarkStart w:id="243" w:name="_Toc26766"/>
      <w:bookmarkStart w:id="244" w:name="_Toc23253"/>
      <w:bookmarkStart w:id="245" w:name="_Toc75198999"/>
      <w:bookmarkStart w:id="246" w:name="_Toc14818"/>
      <w:bookmarkStart w:id="247" w:name="_Toc27804"/>
      <w:bookmarkStart w:id="248" w:name="_Toc27305"/>
      <w:bookmarkStart w:id="249" w:name="_Toc7970"/>
      <w:bookmarkStart w:id="250" w:name="_Toc101259171"/>
      <w:bookmarkStart w:id="251" w:name="_Toc27123"/>
      <w:bookmarkStart w:id="252" w:name="_Toc23152"/>
      <w:bookmarkStart w:id="253" w:name="_Toc9575"/>
      <w:bookmarkStart w:id="254" w:name="_Toc40447180"/>
      <w:r>
        <w:rPr>
          <w:szCs w:val="21"/>
          <w:lang w:val="zh-CN" w:eastAsia="zh-CN"/>
        </w:rPr>
        <w:t>2.合同范围</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adjustRightInd w:val="0"/>
        <w:snapToGrid w:val="0"/>
        <w:spacing w:line="360" w:lineRule="auto"/>
        <w:outlineLvl w:val="3"/>
        <w:rPr>
          <w:szCs w:val="21"/>
          <w:lang w:eastAsia="zh-CN"/>
        </w:rPr>
      </w:pPr>
      <w:r>
        <w:rPr>
          <w:szCs w:val="21"/>
          <w:lang w:eastAsia="zh-CN"/>
        </w:rPr>
        <w:t>2.1合同内容</w:t>
      </w:r>
    </w:p>
    <w:p>
      <w:pPr>
        <w:adjustRightInd w:val="0"/>
        <w:snapToGrid w:val="0"/>
        <w:spacing w:line="360" w:lineRule="auto"/>
        <w:ind w:firstLine="440" w:firstLineChars="200"/>
        <w:rPr>
          <w:szCs w:val="21"/>
          <w:lang w:eastAsia="zh-CN"/>
        </w:rPr>
      </w:pPr>
      <w:r>
        <w:rPr>
          <w:rFonts w:hint="eastAsia"/>
          <w:szCs w:val="21"/>
          <w:lang w:eastAsia="zh-CN"/>
        </w:rPr>
        <w:t>详见招标范围及技术条款。</w:t>
      </w:r>
    </w:p>
    <w:p>
      <w:pPr>
        <w:adjustRightInd w:val="0"/>
        <w:snapToGrid w:val="0"/>
        <w:spacing w:line="360" w:lineRule="auto"/>
        <w:outlineLvl w:val="3"/>
        <w:rPr>
          <w:szCs w:val="21"/>
          <w:lang w:eastAsia="zh-CN"/>
        </w:rPr>
      </w:pPr>
      <w:r>
        <w:rPr>
          <w:szCs w:val="21"/>
          <w:lang w:eastAsia="zh-CN"/>
        </w:rPr>
        <w:t>2.2供货界面</w:t>
      </w:r>
    </w:p>
    <w:p>
      <w:pPr>
        <w:snapToGrid w:val="0"/>
        <w:spacing w:line="360" w:lineRule="auto"/>
        <w:jc w:val="center"/>
        <w:rPr>
          <w:lang w:eastAsia="zh-CN"/>
        </w:rPr>
      </w:pPr>
      <w:r>
        <w:rPr>
          <w:rFonts w:hint="eastAsia"/>
          <w:szCs w:val="21"/>
          <w:lang w:eastAsia="zh-CN"/>
        </w:rPr>
        <w:t>详见</w:t>
      </w:r>
      <w:r>
        <w:rPr>
          <w:rFonts w:hint="eastAsia"/>
          <w:lang w:eastAsia="zh-CN"/>
        </w:rPr>
        <w:t>《涪江干流梯级渠化双江航电枢纽工程船闸液压启闭机及附属设备采购技术文件》</w:t>
      </w:r>
      <w:r>
        <w:rPr>
          <w:rFonts w:hint="eastAsia"/>
          <w:szCs w:val="21"/>
          <w:lang w:eastAsia="zh-CN"/>
        </w:rPr>
        <w:t>。</w:t>
      </w:r>
    </w:p>
    <w:p>
      <w:pPr>
        <w:adjustRightInd w:val="0"/>
        <w:snapToGrid w:val="0"/>
        <w:spacing w:line="360" w:lineRule="auto"/>
        <w:ind w:firstLine="440" w:firstLineChars="200"/>
        <w:rPr>
          <w:lang w:eastAsia="zh-CN"/>
        </w:rPr>
      </w:pPr>
      <w:r>
        <w:rPr>
          <w:rFonts w:hint="eastAsia"/>
          <w:lang w:eastAsia="zh-CN"/>
        </w:rPr>
        <w:t>在清单中没有专门提及的、但对一套完整的性能优良的合同设备必不可少的或对改善合同设备运行品质所必需的设备及元器件亦应包含在合同设备供货范围内，卖方仍应全部、完整的提供。</w:t>
      </w:r>
    </w:p>
    <w:p>
      <w:pPr>
        <w:keepNext/>
        <w:keepLines/>
        <w:shd w:val="clear" w:color="auto" w:fill="FFFFFF"/>
        <w:adjustRightInd w:val="0"/>
        <w:snapToGrid w:val="0"/>
        <w:spacing w:line="360" w:lineRule="auto"/>
        <w:outlineLvl w:val="2"/>
        <w:rPr>
          <w:szCs w:val="21"/>
        </w:rPr>
      </w:pPr>
      <w:bookmarkStart w:id="255" w:name="_Toc12615"/>
      <w:bookmarkStart w:id="256" w:name="_Toc75199000"/>
      <w:bookmarkStart w:id="257" w:name="_Toc6180"/>
      <w:bookmarkStart w:id="258" w:name="_Toc536"/>
      <w:bookmarkStart w:id="259" w:name="_Toc11555"/>
      <w:bookmarkStart w:id="260" w:name="_Toc11240"/>
      <w:bookmarkStart w:id="261" w:name="_Toc20657"/>
      <w:bookmarkStart w:id="262" w:name="_Toc100946803"/>
      <w:bookmarkStart w:id="263" w:name="_Toc25019"/>
      <w:bookmarkStart w:id="264" w:name="_Toc4766"/>
      <w:bookmarkStart w:id="265" w:name="_Toc1286"/>
      <w:bookmarkStart w:id="266" w:name="_Toc31613"/>
      <w:bookmarkStart w:id="267" w:name="_Toc15871"/>
      <w:bookmarkStart w:id="268" w:name="_Toc26431"/>
      <w:bookmarkStart w:id="269" w:name="_Toc23168"/>
      <w:bookmarkStart w:id="270" w:name="_Toc81896084"/>
      <w:bookmarkStart w:id="271" w:name="_Toc12837"/>
      <w:bookmarkStart w:id="272" w:name="_Toc19745"/>
      <w:bookmarkStart w:id="273" w:name="_Toc113559490"/>
      <w:bookmarkStart w:id="274" w:name="_Toc92225927"/>
      <w:bookmarkStart w:id="275" w:name="_Toc9567"/>
      <w:bookmarkStart w:id="276" w:name="_Toc40447181"/>
      <w:bookmarkStart w:id="277" w:name="_Toc24382"/>
      <w:bookmarkStart w:id="278" w:name="_Toc11402"/>
      <w:bookmarkStart w:id="279" w:name="_Toc1681"/>
      <w:bookmarkStart w:id="280" w:name="_Toc101259172"/>
      <w:r>
        <w:rPr>
          <w:szCs w:val="21"/>
        </w:rPr>
        <w:t>3.</w:t>
      </w:r>
      <w:r>
        <w:rPr>
          <w:rFonts w:hint="eastAsia"/>
          <w:szCs w:val="21"/>
          <w:lang w:val="zh-CN"/>
        </w:rPr>
        <w:t>合同价格与支付</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adjustRightInd w:val="0"/>
        <w:snapToGrid w:val="0"/>
        <w:spacing w:line="360" w:lineRule="auto"/>
        <w:outlineLvl w:val="3"/>
        <w:rPr>
          <w:szCs w:val="21"/>
        </w:rPr>
      </w:pPr>
      <w:r>
        <w:rPr>
          <w:szCs w:val="21"/>
        </w:rPr>
        <w:t>3.1合同价格</w:t>
      </w:r>
    </w:p>
    <w:p>
      <w:pPr>
        <w:adjustRightInd w:val="0"/>
        <w:snapToGrid w:val="0"/>
        <w:spacing w:line="360" w:lineRule="auto"/>
        <w:ind w:firstLine="440" w:firstLineChars="200"/>
        <w:outlineLvl w:val="4"/>
        <w:rPr>
          <w:lang w:eastAsia="zh-CN"/>
        </w:rPr>
      </w:pPr>
      <w:r>
        <w:rPr>
          <w:lang w:eastAsia="zh-CN"/>
        </w:rPr>
        <w:t>3.1.2本合同为固定总价合同。</w:t>
      </w:r>
    </w:p>
    <w:p>
      <w:pPr>
        <w:adjustRightInd w:val="0"/>
        <w:snapToGrid w:val="0"/>
        <w:spacing w:line="360" w:lineRule="auto"/>
        <w:ind w:firstLine="440" w:firstLineChars="200"/>
        <w:rPr>
          <w:rFonts w:hint="default"/>
          <w:lang w:val="en-US" w:eastAsia="zh-CN"/>
        </w:rPr>
      </w:pPr>
      <w:r>
        <w:rPr>
          <w:rFonts w:hint="eastAsia"/>
          <w:lang w:eastAsia="zh-CN"/>
        </w:rPr>
        <w:t>除根据本专用合同条款</w:t>
      </w:r>
      <w:r>
        <w:rPr>
          <w:lang w:eastAsia="zh-CN"/>
        </w:rPr>
        <w:t>1.4.2</w:t>
      </w:r>
      <w:r>
        <w:rPr>
          <w:rFonts w:hint="eastAsia"/>
          <w:lang w:eastAsia="zh-CN"/>
        </w:rPr>
        <w:t>条外，卖方所报单价和总价在合同有效期内固定不变，即合同单价和总价不因国家和地方政策调整、物价变动等因数的影响而调整，</w:t>
      </w:r>
      <w:r>
        <w:rPr>
          <w:rFonts w:hint="eastAsia"/>
          <w:lang w:val="en-US" w:eastAsia="zh-CN"/>
        </w:rPr>
        <w:t>总价包干。</w:t>
      </w:r>
    </w:p>
    <w:p>
      <w:pPr>
        <w:adjustRightInd w:val="0"/>
        <w:snapToGrid w:val="0"/>
        <w:spacing w:line="360" w:lineRule="auto"/>
        <w:outlineLvl w:val="3"/>
        <w:rPr>
          <w:szCs w:val="21"/>
          <w:lang w:eastAsia="zh-CN"/>
        </w:rPr>
      </w:pPr>
      <w:r>
        <w:rPr>
          <w:szCs w:val="21"/>
          <w:lang w:eastAsia="zh-CN"/>
        </w:rPr>
        <w:t>3.2合同价款的支付</w:t>
      </w:r>
    </w:p>
    <w:p>
      <w:pPr>
        <w:adjustRightInd w:val="0"/>
        <w:snapToGrid w:val="0"/>
        <w:spacing w:line="360" w:lineRule="auto"/>
        <w:ind w:firstLine="440" w:firstLineChars="200"/>
        <w:rPr>
          <w:lang w:eastAsia="zh-CN"/>
        </w:rPr>
      </w:pPr>
      <w:r>
        <w:rPr>
          <w:rFonts w:hint="eastAsia"/>
          <w:lang w:eastAsia="zh-CN"/>
        </w:rPr>
        <w:t>买方将按以下方式和比例向卖方支付合同价款。</w:t>
      </w:r>
    </w:p>
    <w:p>
      <w:pPr>
        <w:adjustRightInd w:val="0"/>
        <w:snapToGrid w:val="0"/>
        <w:spacing w:line="360" w:lineRule="auto"/>
        <w:ind w:firstLine="440" w:firstLineChars="200"/>
        <w:rPr>
          <w:lang w:eastAsia="zh-CN"/>
        </w:rPr>
      </w:pPr>
      <w:r>
        <w:rPr>
          <w:lang w:eastAsia="zh-CN"/>
        </w:rPr>
        <w:t xml:space="preserve">3.2.1 </w:t>
      </w:r>
      <w:r>
        <w:rPr>
          <w:rFonts w:hint="eastAsia"/>
          <w:lang w:eastAsia="zh-CN"/>
        </w:rPr>
        <w:t>买方采用银行承兑汇票或银行转账方式支付。</w:t>
      </w:r>
    </w:p>
    <w:p>
      <w:pPr>
        <w:adjustRightInd w:val="0"/>
        <w:snapToGrid w:val="0"/>
        <w:spacing w:line="360" w:lineRule="auto"/>
        <w:ind w:firstLine="440" w:firstLineChars="200"/>
        <w:rPr>
          <w:lang w:eastAsia="zh-CN"/>
        </w:rPr>
      </w:pPr>
      <w:r>
        <w:rPr>
          <w:lang w:eastAsia="zh-CN"/>
        </w:rPr>
        <w:t xml:space="preserve">3.2.2 </w:t>
      </w:r>
      <w:r>
        <w:rPr>
          <w:rFonts w:hint="eastAsia"/>
          <w:lang w:eastAsia="zh-CN"/>
        </w:rPr>
        <w:t>支付申请：</w:t>
      </w:r>
    </w:p>
    <w:p>
      <w:pPr>
        <w:adjustRightInd w:val="0"/>
        <w:snapToGrid w:val="0"/>
        <w:spacing w:line="360" w:lineRule="auto"/>
        <w:ind w:firstLine="440" w:firstLineChars="200"/>
        <w:rPr>
          <w:highlight w:val="none"/>
          <w:lang w:eastAsia="zh-CN"/>
        </w:rPr>
      </w:pPr>
      <w:r>
        <w:rPr>
          <w:rFonts w:hint="eastAsia"/>
          <w:highlight w:val="none"/>
          <w:lang w:eastAsia="zh-CN"/>
        </w:rPr>
        <w:t>在达到以下支付申请的条件后，卖方可办理相应比例的支付申请。</w:t>
      </w:r>
    </w:p>
    <w:p>
      <w:pPr>
        <w:adjustRightInd w:val="0"/>
        <w:snapToGrid w:val="0"/>
        <w:spacing w:line="360" w:lineRule="auto"/>
        <w:ind w:firstLine="440" w:firstLineChars="200"/>
        <w:rPr>
          <w:szCs w:val="21"/>
          <w:highlight w:val="none"/>
          <w:lang w:eastAsia="zh-CN"/>
        </w:rPr>
      </w:pPr>
      <w:r>
        <w:rPr>
          <w:rFonts w:hint="eastAsia"/>
          <w:szCs w:val="21"/>
          <w:highlight w:val="none"/>
          <w:lang w:eastAsia="zh-CN"/>
        </w:rPr>
        <w:t>（</w:t>
      </w:r>
      <w:r>
        <w:rPr>
          <w:rFonts w:hint="eastAsia"/>
          <w:szCs w:val="21"/>
          <w:highlight w:val="none"/>
          <w:lang w:val="en-US" w:eastAsia="zh-CN"/>
        </w:rPr>
        <w:t>1</w:t>
      </w:r>
      <w:r>
        <w:rPr>
          <w:szCs w:val="21"/>
          <w:highlight w:val="none"/>
          <w:lang w:eastAsia="zh-CN"/>
        </w:rPr>
        <w:t>）</w:t>
      </w:r>
      <w:r>
        <w:rPr>
          <w:rFonts w:hint="eastAsia"/>
          <w:szCs w:val="21"/>
          <w:highlight w:val="none"/>
          <w:lang w:eastAsia="zh-CN"/>
        </w:rPr>
        <w:t>设计联络会召开，支付比例为合同总价的</w:t>
      </w:r>
      <w:r>
        <w:rPr>
          <w:rFonts w:hint="eastAsia"/>
          <w:szCs w:val="21"/>
          <w:highlight w:val="none"/>
          <w:lang w:val="en-US" w:eastAsia="zh-CN"/>
        </w:rPr>
        <w:t>3</w:t>
      </w:r>
      <w:r>
        <w:rPr>
          <w:rFonts w:hint="eastAsia"/>
          <w:szCs w:val="21"/>
          <w:highlight w:val="none"/>
          <w:lang w:eastAsia="zh-CN"/>
        </w:rPr>
        <w:t>0</w:t>
      </w:r>
      <w:r>
        <w:rPr>
          <w:szCs w:val="21"/>
          <w:highlight w:val="none"/>
          <w:lang w:eastAsia="zh-CN"/>
        </w:rPr>
        <w:t>%；</w:t>
      </w:r>
    </w:p>
    <w:p>
      <w:pPr>
        <w:adjustRightInd w:val="0"/>
        <w:snapToGrid w:val="0"/>
        <w:spacing w:line="360" w:lineRule="auto"/>
        <w:ind w:firstLine="440" w:firstLineChars="200"/>
        <w:rPr>
          <w:szCs w:val="21"/>
          <w:highlight w:val="none"/>
          <w:lang w:eastAsia="zh-CN"/>
        </w:rPr>
      </w:pPr>
      <w:r>
        <w:rPr>
          <w:rFonts w:hint="eastAsia"/>
          <w:szCs w:val="21"/>
          <w:highlight w:val="none"/>
          <w:lang w:eastAsia="zh-CN"/>
        </w:rPr>
        <w:t>（</w:t>
      </w:r>
      <w:r>
        <w:rPr>
          <w:rFonts w:hint="eastAsia"/>
          <w:szCs w:val="21"/>
          <w:highlight w:val="none"/>
          <w:lang w:val="en-US" w:eastAsia="zh-CN"/>
        </w:rPr>
        <w:t>2</w:t>
      </w:r>
      <w:r>
        <w:rPr>
          <w:szCs w:val="21"/>
          <w:highlight w:val="none"/>
          <w:lang w:eastAsia="zh-CN"/>
        </w:rPr>
        <w:t>）</w:t>
      </w:r>
      <w:r>
        <w:rPr>
          <w:rFonts w:hint="eastAsia"/>
          <w:szCs w:val="21"/>
          <w:highlight w:val="none"/>
          <w:lang w:eastAsia="zh-CN"/>
        </w:rPr>
        <w:t>全部合同</w:t>
      </w:r>
      <w:r>
        <w:rPr>
          <w:szCs w:val="21"/>
          <w:highlight w:val="none"/>
          <w:lang w:eastAsia="zh-CN"/>
        </w:rPr>
        <w:t>设备运抵现场</w:t>
      </w:r>
      <w:r>
        <w:rPr>
          <w:rFonts w:hint="eastAsia"/>
          <w:szCs w:val="21"/>
          <w:highlight w:val="none"/>
          <w:lang w:eastAsia="zh-CN"/>
        </w:rPr>
        <w:t>，</w:t>
      </w:r>
      <w:r>
        <w:rPr>
          <w:szCs w:val="21"/>
          <w:highlight w:val="none"/>
          <w:lang w:eastAsia="zh-CN"/>
        </w:rPr>
        <w:t>支付比例为</w:t>
      </w:r>
      <w:r>
        <w:rPr>
          <w:rFonts w:hint="eastAsia"/>
          <w:szCs w:val="21"/>
          <w:highlight w:val="none"/>
          <w:lang w:eastAsia="zh-CN"/>
        </w:rPr>
        <w:t>合同总价</w:t>
      </w:r>
      <w:r>
        <w:rPr>
          <w:szCs w:val="21"/>
          <w:highlight w:val="none"/>
          <w:lang w:eastAsia="zh-CN"/>
        </w:rPr>
        <w:t>的</w:t>
      </w:r>
      <w:r>
        <w:rPr>
          <w:rFonts w:hint="eastAsia"/>
          <w:szCs w:val="21"/>
          <w:highlight w:val="none"/>
          <w:lang w:val="en-US" w:eastAsia="zh-CN"/>
        </w:rPr>
        <w:t>4</w:t>
      </w:r>
      <w:r>
        <w:rPr>
          <w:szCs w:val="21"/>
          <w:highlight w:val="none"/>
          <w:lang w:eastAsia="zh-CN"/>
        </w:rPr>
        <w:t>0%；</w:t>
      </w:r>
    </w:p>
    <w:p>
      <w:pPr>
        <w:adjustRightInd w:val="0"/>
        <w:snapToGrid w:val="0"/>
        <w:spacing w:line="360" w:lineRule="auto"/>
        <w:ind w:firstLine="440" w:firstLineChars="200"/>
        <w:rPr>
          <w:highlight w:val="none"/>
          <w:lang w:eastAsia="zh-CN"/>
        </w:rPr>
      </w:pPr>
      <w:r>
        <w:rPr>
          <w:rFonts w:hint="eastAsia"/>
          <w:szCs w:val="21"/>
          <w:highlight w:val="none"/>
          <w:lang w:eastAsia="zh-CN"/>
        </w:rPr>
        <w:t>（</w:t>
      </w:r>
      <w:r>
        <w:rPr>
          <w:rFonts w:hint="eastAsia"/>
          <w:szCs w:val="21"/>
          <w:highlight w:val="none"/>
          <w:lang w:val="en-US" w:eastAsia="zh-CN"/>
        </w:rPr>
        <w:t>3</w:t>
      </w:r>
      <w:r>
        <w:rPr>
          <w:szCs w:val="21"/>
          <w:highlight w:val="none"/>
          <w:lang w:eastAsia="zh-CN"/>
        </w:rPr>
        <w:t>）</w:t>
      </w:r>
      <w:r>
        <w:rPr>
          <w:rFonts w:hint="eastAsia"/>
          <w:szCs w:val="21"/>
          <w:highlight w:val="none"/>
          <w:lang w:eastAsia="zh-CN"/>
        </w:rPr>
        <w:t>安装调试完毕、初步验收合格、缺陷处理完毕、移交买方使用、提交竣工资料，支付至合同结算总价的97%；</w:t>
      </w:r>
    </w:p>
    <w:p>
      <w:pPr>
        <w:adjustRightInd w:val="0"/>
        <w:snapToGrid w:val="0"/>
        <w:spacing w:line="360" w:lineRule="auto"/>
        <w:ind w:firstLine="440" w:firstLineChars="200"/>
        <w:rPr>
          <w:szCs w:val="21"/>
          <w:lang w:eastAsia="zh-CN"/>
        </w:rPr>
      </w:pPr>
      <w:r>
        <w:rPr>
          <w:rFonts w:hint="eastAsia"/>
          <w:szCs w:val="21"/>
          <w:lang w:eastAsia="zh-CN"/>
        </w:rPr>
        <w:t>（</w:t>
      </w:r>
      <w:r>
        <w:rPr>
          <w:rFonts w:hint="eastAsia"/>
          <w:szCs w:val="21"/>
          <w:lang w:val="en-US" w:eastAsia="zh-CN"/>
        </w:rPr>
        <w:t>4</w:t>
      </w:r>
      <w:r>
        <w:rPr>
          <w:szCs w:val="21"/>
          <w:lang w:eastAsia="zh-CN"/>
        </w:rPr>
        <w:t>）全部</w:t>
      </w:r>
      <w:r>
        <w:rPr>
          <w:rFonts w:hint="eastAsia"/>
          <w:szCs w:val="21"/>
          <w:lang w:eastAsia="zh-CN"/>
        </w:rPr>
        <w:t>合同设备</w:t>
      </w:r>
      <w:r>
        <w:rPr>
          <w:szCs w:val="21"/>
          <w:lang w:eastAsia="zh-CN"/>
        </w:rPr>
        <w:t>质量保证期满，最终验收合格，支付比例为合同总价的3%。</w:t>
      </w:r>
    </w:p>
    <w:p>
      <w:pPr>
        <w:adjustRightInd w:val="0"/>
        <w:snapToGrid w:val="0"/>
        <w:spacing w:line="360" w:lineRule="auto"/>
        <w:ind w:firstLine="440" w:firstLineChars="200"/>
        <w:rPr>
          <w:szCs w:val="21"/>
          <w:lang w:eastAsia="zh-CN"/>
        </w:rPr>
      </w:pPr>
      <w:r>
        <w:rPr>
          <w:rFonts w:hint="eastAsia"/>
          <w:szCs w:val="21"/>
          <w:lang w:eastAsia="zh-CN"/>
        </w:rPr>
        <w:t>若上次设计联络会或出厂验收取消时，该次支付比例纳入下次同时申请支付。</w:t>
      </w:r>
    </w:p>
    <w:p>
      <w:pPr>
        <w:adjustRightInd w:val="0"/>
        <w:snapToGrid w:val="0"/>
        <w:spacing w:line="360" w:lineRule="auto"/>
        <w:ind w:firstLine="440" w:firstLineChars="200"/>
        <w:rPr>
          <w:szCs w:val="21"/>
          <w:lang w:eastAsia="zh-CN"/>
        </w:rPr>
      </w:pPr>
      <w:r>
        <w:rPr>
          <w:szCs w:val="21"/>
          <w:lang w:eastAsia="zh-CN"/>
        </w:rPr>
        <w:t xml:space="preserve">3.2.3 </w:t>
      </w:r>
      <w:r>
        <w:rPr>
          <w:rFonts w:hint="eastAsia"/>
          <w:szCs w:val="21"/>
          <w:lang w:eastAsia="zh-CN"/>
        </w:rPr>
        <w:t>卖方申请支付时，应提交书面支付申请表、达到合同支付条件的证明材料及符合国家税法规定的相应的增值税专用发票。</w:t>
      </w:r>
    </w:p>
    <w:p>
      <w:pPr>
        <w:adjustRightInd w:val="0"/>
        <w:snapToGrid w:val="0"/>
        <w:spacing w:line="360" w:lineRule="auto"/>
        <w:ind w:firstLine="440" w:firstLineChars="200"/>
        <w:rPr>
          <w:szCs w:val="21"/>
          <w:lang w:eastAsia="zh-CN"/>
        </w:rPr>
      </w:pPr>
      <w:r>
        <w:rPr>
          <w:szCs w:val="21"/>
          <w:lang w:eastAsia="zh-CN"/>
        </w:rPr>
        <w:t xml:space="preserve">3.2.4 </w:t>
      </w:r>
      <w:r>
        <w:rPr>
          <w:rFonts w:hint="eastAsia"/>
          <w:szCs w:val="21"/>
          <w:lang w:eastAsia="zh-CN"/>
        </w:rPr>
        <w:t>买方在收到卖方提交的支付申请及相关资料后</w:t>
      </w:r>
      <w:r>
        <w:rPr>
          <w:szCs w:val="21"/>
          <w:lang w:eastAsia="zh-CN"/>
        </w:rPr>
        <w:t>10</w:t>
      </w:r>
      <w:r>
        <w:rPr>
          <w:rFonts w:hint="eastAsia"/>
          <w:szCs w:val="21"/>
          <w:lang w:eastAsia="zh-CN"/>
        </w:rPr>
        <w:t>个工作日</w:t>
      </w:r>
      <w:r>
        <w:rPr>
          <w:szCs w:val="21"/>
          <w:lang w:eastAsia="zh-CN"/>
        </w:rPr>
        <w:t>内审核完毕，若资料不合格，卖方应及时补充资料，并重新计算买方审核时间，直至买方审核合格，买方在审核合格后30天内付款。</w:t>
      </w:r>
    </w:p>
    <w:p>
      <w:pPr>
        <w:keepNext/>
        <w:keepLines/>
        <w:shd w:val="clear" w:color="auto" w:fill="FFFFFF"/>
        <w:adjustRightInd w:val="0"/>
        <w:snapToGrid w:val="0"/>
        <w:spacing w:line="360" w:lineRule="auto"/>
        <w:outlineLvl w:val="2"/>
        <w:rPr>
          <w:szCs w:val="21"/>
          <w:lang w:val="zh-CN" w:eastAsia="zh-CN"/>
        </w:rPr>
      </w:pPr>
      <w:bookmarkStart w:id="281" w:name="_Toc81896085"/>
      <w:bookmarkStart w:id="282" w:name="_Toc16636"/>
      <w:bookmarkStart w:id="283" w:name="_Toc3093"/>
      <w:bookmarkStart w:id="284" w:name="_Toc4017"/>
      <w:bookmarkStart w:id="285" w:name="_Toc23743"/>
      <w:bookmarkStart w:id="286" w:name="_Toc1216"/>
      <w:bookmarkStart w:id="287" w:name="_Toc13370"/>
      <w:bookmarkStart w:id="288" w:name="_Toc9128"/>
      <w:bookmarkStart w:id="289" w:name="_Toc75199001"/>
      <w:bookmarkStart w:id="290" w:name="_Toc5173"/>
      <w:bookmarkStart w:id="291" w:name="_Toc92225928"/>
      <w:bookmarkStart w:id="292" w:name="_Toc10630"/>
      <w:bookmarkStart w:id="293" w:name="_Toc21550"/>
      <w:bookmarkStart w:id="294" w:name="_Toc23672"/>
      <w:bookmarkStart w:id="295" w:name="_Toc14631"/>
      <w:bookmarkStart w:id="296" w:name="_Toc27285"/>
      <w:bookmarkStart w:id="297" w:name="_Toc40447182"/>
      <w:bookmarkStart w:id="298" w:name="_Toc27533"/>
      <w:bookmarkStart w:id="299" w:name="_Toc113559491"/>
      <w:bookmarkStart w:id="300" w:name="_Toc29731"/>
      <w:bookmarkStart w:id="301" w:name="_Toc23744"/>
      <w:bookmarkStart w:id="302" w:name="_Toc26337"/>
      <w:bookmarkStart w:id="303" w:name="_Toc100946804"/>
      <w:bookmarkStart w:id="304" w:name="_Toc101259173"/>
      <w:bookmarkStart w:id="305" w:name="_Toc22678"/>
      <w:bookmarkStart w:id="306" w:name="_Toc28733"/>
      <w:r>
        <w:rPr>
          <w:szCs w:val="21"/>
          <w:lang w:val="zh-CN" w:eastAsia="zh-CN"/>
        </w:rPr>
        <w:t>4.监造</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adjustRightInd w:val="0"/>
        <w:snapToGrid w:val="0"/>
        <w:spacing w:line="360" w:lineRule="auto"/>
        <w:outlineLvl w:val="3"/>
        <w:rPr>
          <w:szCs w:val="21"/>
          <w:lang w:eastAsia="zh-CN"/>
        </w:rPr>
      </w:pPr>
      <w:r>
        <w:rPr>
          <w:szCs w:val="21"/>
          <w:lang w:eastAsia="zh-CN"/>
        </w:rPr>
        <w:t>4.1监造</w:t>
      </w:r>
    </w:p>
    <w:p>
      <w:pPr>
        <w:adjustRightInd w:val="0"/>
        <w:snapToGrid w:val="0"/>
        <w:spacing w:line="360" w:lineRule="auto"/>
        <w:ind w:firstLine="440" w:firstLineChars="200"/>
        <w:rPr>
          <w:szCs w:val="21"/>
          <w:lang w:eastAsia="zh-CN"/>
        </w:rPr>
      </w:pPr>
      <w:r>
        <w:rPr>
          <w:rFonts w:hint="eastAsia"/>
          <w:szCs w:val="21"/>
          <w:lang w:eastAsia="zh-CN"/>
        </w:rPr>
        <w:t>本项目不设监造。</w:t>
      </w:r>
    </w:p>
    <w:p>
      <w:pPr>
        <w:keepNext/>
        <w:keepLines/>
        <w:shd w:val="clear" w:color="auto" w:fill="FFFFFF"/>
        <w:adjustRightInd w:val="0"/>
        <w:snapToGrid w:val="0"/>
        <w:spacing w:line="360" w:lineRule="auto"/>
        <w:outlineLvl w:val="2"/>
        <w:rPr>
          <w:szCs w:val="21"/>
          <w:lang w:val="zh-CN" w:eastAsia="zh-CN"/>
        </w:rPr>
      </w:pPr>
      <w:bookmarkStart w:id="307" w:name="_Toc9000"/>
      <w:bookmarkStart w:id="308" w:name="_Toc17982"/>
      <w:bookmarkStart w:id="309" w:name="_Toc40447183"/>
      <w:bookmarkStart w:id="310" w:name="_Toc149"/>
      <w:bookmarkStart w:id="311" w:name="_Toc7671"/>
      <w:bookmarkStart w:id="312" w:name="_Toc31399"/>
      <w:bookmarkStart w:id="313" w:name="_Toc92225929"/>
      <w:bookmarkStart w:id="314" w:name="_Toc4857"/>
      <w:bookmarkStart w:id="315" w:name="_Toc113559492"/>
      <w:bookmarkStart w:id="316" w:name="_Toc17768"/>
      <w:bookmarkStart w:id="317" w:name="_Toc26347"/>
      <w:bookmarkStart w:id="318" w:name="_Toc16912"/>
      <w:bookmarkStart w:id="319" w:name="_Toc25437"/>
      <w:bookmarkStart w:id="320" w:name="_Toc10791"/>
      <w:bookmarkStart w:id="321" w:name="_Toc15237"/>
      <w:bookmarkStart w:id="322" w:name="_Toc16193"/>
      <w:bookmarkStart w:id="323" w:name="_Toc4603"/>
      <w:bookmarkStart w:id="324" w:name="_Toc5711"/>
      <w:bookmarkStart w:id="325" w:name="_Toc75199002"/>
      <w:bookmarkStart w:id="326" w:name="_Toc7425"/>
      <w:bookmarkStart w:id="327" w:name="_Toc20279"/>
      <w:bookmarkStart w:id="328" w:name="_Toc101259174"/>
      <w:bookmarkStart w:id="329" w:name="_Toc81896086"/>
      <w:bookmarkStart w:id="330" w:name="_Toc532"/>
      <w:bookmarkStart w:id="331" w:name="_Toc9048"/>
      <w:bookmarkStart w:id="332" w:name="_Toc100946805"/>
      <w:r>
        <w:rPr>
          <w:szCs w:val="21"/>
          <w:lang w:val="zh-CN" w:eastAsia="zh-CN"/>
        </w:rPr>
        <w:t>5.包装、标记、运输和交付</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adjustRightInd w:val="0"/>
        <w:snapToGrid w:val="0"/>
        <w:spacing w:line="360" w:lineRule="auto"/>
        <w:outlineLvl w:val="3"/>
        <w:rPr>
          <w:szCs w:val="21"/>
          <w:lang w:eastAsia="zh-CN"/>
        </w:rPr>
      </w:pPr>
      <w:r>
        <w:rPr>
          <w:szCs w:val="21"/>
          <w:lang w:eastAsia="zh-CN"/>
        </w:rPr>
        <w:t>5.1包装</w:t>
      </w:r>
    </w:p>
    <w:p>
      <w:pPr>
        <w:adjustRightInd w:val="0"/>
        <w:snapToGrid w:val="0"/>
        <w:spacing w:line="360" w:lineRule="auto"/>
        <w:rPr>
          <w:szCs w:val="21"/>
          <w:lang w:eastAsia="zh-CN"/>
        </w:rPr>
      </w:pPr>
      <w:r>
        <w:rPr>
          <w:rFonts w:hint="eastAsia"/>
          <w:szCs w:val="21"/>
          <w:lang w:eastAsia="zh-CN"/>
        </w:rPr>
        <w:t>增加以下条款：</w:t>
      </w:r>
    </w:p>
    <w:p>
      <w:pPr>
        <w:adjustRightInd w:val="0"/>
        <w:snapToGrid w:val="0"/>
        <w:spacing w:line="360" w:lineRule="auto"/>
        <w:ind w:firstLine="440" w:firstLineChars="200"/>
        <w:rPr>
          <w:szCs w:val="21"/>
          <w:lang w:eastAsia="zh-CN"/>
        </w:rPr>
      </w:pPr>
      <w:r>
        <w:rPr>
          <w:szCs w:val="21"/>
          <w:lang w:eastAsia="zh-CN"/>
        </w:rPr>
        <w:t>5.1.4备品备件应与设备分开独立包装，包装箱上应清楚注明“备品备件”字样。</w:t>
      </w:r>
    </w:p>
    <w:p>
      <w:pPr>
        <w:adjustRightInd w:val="0"/>
        <w:snapToGrid w:val="0"/>
        <w:spacing w:line="360" w:lineRule="auto"/>
        <w:ind w:firstLine="440" w:firstLineChars="200"/>
        <w:outlineLvl w:val="4"/>
        <w:rPr>
          <w:szCs w:val="21"/>
          <w:lang w:eastAsia="zh-CN"/>
        </w:rPr>
      </w:pPr>
      <w:r>
        <w:rPr>
          <w:lang w:eastAsia="zh-CN"/>
        </w:rPr>
        <w:t>5.1.5运输应符合</w:t>
      </w:r>
      <w:r>
        <w:rPr>
          <w:rFonts w:hint="eastAsia"/>
          <w:szCs w:val="21"/>
          <w:lang w:eastAsia="zh-CN"/>
        </w:rPr>
        <w:t>产品包装运输管理</w:t>
      </w:r>
      <w:r>
        <w:rPr>
          <w:rFonts w:hint="eastAsia"/>
          <w:lang w:eastAsia="zh-CN"/>
        </w:rPr>
        <w:t>的相关规定。</w:t>
      </w:r>
    </w:p>
    <w:p>
      <w:pPr>
        <w:adjustRightInd w:val="0"/>
        <w:snapToGrid w:val="0"/>
        <w:spacing w:line="360" w:lineRule="auto"/>
        <w:ind w:firstLine="440" w:firstLineChars="200"/>
        <w:rPr>
          <w:szCs w:val="21"/>
          <w:lang w:eastAsia="zh-CN"/>
        </w:rPr>
      </w:pPr>
      <w:r>
        <w:rPr>
          <w:szCs w:val="21"/>
          <w:lang w:eastAsia="zh-CN"/>
        </w:rPr>
        <w:t>5.1.6对设备加工面应采取适用的防锈措施和用木材或其它软材料加以防护。对电气绝缘部件应采用防潮和防尘包装。对仪器仪表设备应密封包装，并有妥善的防震措施。对于刚度较小的焊件应加焊支撑以防变形。</w:t>
      </w:r>
    </w:p>
    <w:p>
      <w:pPr>
        <w:adjustRightInd w:val="0"/>
        <w:snapToGrid w:val="0"/>
        <w:spacing w:line="360" w:lineRule="auto"/>
        <w:ind w:firstLine="440" w:firstLineChars="200"/>
        <w:rPr>
          <w:szCs w:val="21"/>
          <w:lang w:eastAsia="zh-CN"/>
        </w:rPr>
      </w:pPr>
      <w:r>
        <w:rPr>
          <w:szCs w:val="21"/>
          <w:lang w:eastAsia="zh-CN"/>
        </w:rPr>
        <w:t xml:space="preserve">5.1.7 </w:t>
      </w:r>
      <w:r>
        <w:rPr>
          <w:rFonts w:hint="eastAsia"/>
          <w:szCs w:val="21"/>
          <w:lang w:eastAsia="zh-CN"/>
        </w:rPr>
        <w:t>包装箱外部标志及起吊位置应符合</w:t>
      </w:r>
      <w:r>
        <w:rPr>
          <w:szCs w:val="21"/>
          <w:lang w:eastAsia="zh-CN"/>
        </w:rPr>
        <w:t>GB/T13384《机电产品包装通用技术条件》及《包装储运图示标志》（GB/T 191-2008）的规定。</w:t>
      </w:r>
    </w:p>
    <w:p>
      <w:pPr>
        <w:adjustRightInd w:val="0"/>
        <w:snapToGrid w:val="0"/>
        <w:spacing w:line="360" w:lineRule="auto"/>
        <w:ind w:firstLine="440" w:firstLineChars="200"/>
        <w:rPr>
          <w:szCs w:val="21"/>
          <w:lang w:eastAsia="zh-CN"/>
        </w:rPr>
      </w:pPr>
      <w:r>
        <w:rPr>
          <w:rFonts w:hint="eastAsia"/>
          <w:szCs w:val="21"/>
          <w:lang w:eastAsia="zh-CN"/>
        </w:rPr>
        <w:t>包装箱外壁应标明收发货单位名称和地址、合同号、产品净重、毛重、重心线及吊索位置，箱子外形尺寸，共××箱第××箱等。</w:t>
      </w:r>
    </w:p>
    <w:p>
      <w:pPr>
        <w:adjustRightInd w:val="0"/>
        <w:snapToGrid w:val="0"/>
        <w:spacing w:line="360" w:lineRule="auto"/>
        <w:ind w:firstLine="440" w:firstLineChars="200"/>
        <w:rPr>
          <w:szCs w:val="21"/>
          <w:lang w:eastAsia="zh-CN"/>
        </w:rPr>
      </w:pPr>
      <w:r>
        <w:rPr>
          <w:szCs w:val="21"/>
          <w:lang w:eastAsia="zh-CN"/>
        </w:rPr>
        <w:t xml:space="preserve">5.1.8包装箱内应有装箱单、明细表、产品出厂证明书、合格证。这些文件、清单、资料均应装在置于包装箱内的专用防潮防雨铁盒内。随机技术文件及图纸由卖方负责交付买方。 </w:t>
      </w:r>
    </w:p>
    <w:p>
      <w:pPr>
        <w:adjustRightInd w:val="0"/>
        <w:snapToGrid w:val="0"/>
        <w:spacing w:line="360" w:lineRule="auto"/>
        <w:outlineLvl w:val="3"/>
        <w:rPr>
          <w:szCs w:val="21"/>
          <w:lang w:eastAsia="zh-CN"/>
        </w:rPr>
      </w:pPr>
      <w:r>
        <w:rPr>
          <w:szCs w:val="21"/>
          <w:lang w:eastAsia="zh-CN"/>
        </w:rPr>
        <w:t>5.2标记</w:t>
      </w:r>
    </w:p>
    <w:p>
      <w:pPr>
        <w:adjustRightInd w:val="0"/>
        <w:snapToGrid w:val="0"/>
        <w:spacing w:line="360" w:lineRule="auto"/>
        <w:rPr>
          <w:szCs w:val="21"/>
          <w:lang w:eastAsia="zh-CN"/>
        </w:rPr>
      </w:pPr>
      <w:r>
        <w:rPr>
          <w:rFonts w:hint="eastAsia"/>
          <w:szCs w:val="21"/>
          <w:lang w:eastAsia="zh-CN"/>
        </w:rPr>
        <w:t>增加以下条款：</w:t>
      </w:r>
    </w:p>
    <w:p>
      <w:pPr>
        <w:adjustRightInd w:val="0"/>
        <w:snapToGrid w:val="0"/>
        <w:spacing w:line="360" w:lineRule="auto"/>
        <w:ind w:firstLine="440" w:firstLineChars="200"/>
        <w:rPr>
          <w:szCs w:val="21"/>
          <w:lang w:eastAsia="zh-CN"/>
        </w:rPr>
      </w:pPr>
      <w:r>
        <w:rPr>
          <w:szCs w:val="21"/>
          <w:lang w:eastAsia="zh-CN"/>
        </w:rPr>
        <w:t>5.2.3卖方应对因包装不善而引起的合同设备的锈蚀、变形、短缺、损坏和丢失负责修理、更换，并承担可能的延迟交货的风险及责任。</w:t>
      </w:r>
    </w:p>
    <w:p>
      <w:pPr>
        <w:adjustRightInd w:val="0"/>
        <w:snapToGrid w:val="0"/>
        <w:spacing w:line="360" w:lineRule="auto"/>
        <w:outlineLvl w:val="3"/>
        <w:rPr>
          <w:szCs w:val="21"/>
          <w:lang w:eastAsia="zh-CN"/>
        </w:rPr>
      </w:pPr>
      <w:r>
        <w:rPr>
          <w:szCs w:val="21"/>
          <w:lang w:eastAsia="zh-CN"/>
        </w:rPr>
        <w:t>5.3运输</w:t>
      </w:r>
    </w:p>
    <w:p>
      <w:pPr>
        <w:adjustRightInd w:val="0"/>
        <w:snapToGrid w:val="0"/>
        <w:spacing w:line="360" w:lineRule="auto"/>
        <w:rPr>
          <w:szCs w:val="21"/>
          <w:lang w:eastAsia="zh-CN"/>
        </w:rPr>
      </w:pPr>
      <w:r>
        <w:rPr>
          <w:rFonts w:hint="eastAsia"/>
          <w:szCs w:val="21"/>
          <w:lang w:eastAsia="zh-CN"/>
        </w:rPr>
        <w:t>增加以下条款：</w:t>
      </w:r>
    </w:p>
    <w:p>
      <w:pPr>
        <w:adjustRightInd w:val="0"/>
        <w:snapToGrid w:val="0"/>
        <w:spacing w:line="360" w:lineRule="auto"/>
        <w:ind w:firstLine="440" w:firstLineChars="200"/>
        <w:outlineLvl w:val="4"/>
        <w:rPr>
          <w:szCs w:val="21"/>
          <w:lang w:eastAsia="zh-CN"/>
        </w:rPr>
      </w:pPr>
      <w:r>
        <w:rPr>
          <w:szCs w:val="21"/>
          <w:lang w:eastAsia="zh-CN"/>
        </w:rPr>
        <w:t>5.3.5合同设备的运输单位应有相应的运输专项资质。</w:t>
      </w:r>
    </w:p>
    <w:p>
      <w:pPr>
        <w:adjustRightInd w:val="0"/>
        <w:snapToGrid w:val="0"/>
        <w:spacing w:line="360" w:lineRule="auto"/>
        <w:ind w:firstLine="440" w:firstLineChars="200"/>
        <w:rPr>
          <w:szCs w:val="21"/>
          <w:lang w:eastAsia="zh-CN"/>
        </w:rPr>
      </w:pPr>
      <w:r>
        <w:rPr>
          <w:szCs w:val="21"/>
          <w:lang w:eastAsia="zh-CN"/>
        </w:rPr>
        <w:t>5.3.6卖方自行调查铁路、公路、水路的运输能力，编制切实可行的、确保安全的运输方案。对于超大、超重件的运输，卖方应向道路交通管理部门办理合法的运输手续，并征得他们的同意与支持。车辆进入施工区需遵守和执行相关管理制度。</w:t>
      </w:r>
    </w:p>
    <w:p>
      <w:pPr>
        <w:adjustRightInd w:val="0"/>
        <w:snapToGrid w:val="0"/>
        <w:spacing w:line="360" w:lineRule="auto"/>
        <w:ind w:firstLine="440" w:firstLineChars="200"/>
        <w:rPr>
          <w:szCs w:val="21"/>
          <w:lang w:eastAsia="zh-CN"/>
        </w:rPr>
      </w:pPr>
      <w:r>
        <w:rPr>
          <w:szCs w:val="21"/>
          <w:lang w:eastAsia="zh-CN"/>
        </w:rPr>
        <w:t xml:space="preserve">5.3.7 </w:t>
      </w:r>
      <w:r>
        <w:rPr>
          <w:rFonts w:hint="eastAsia"/>
          <w:szCs w:val="21"/>
          <w:lang w:eastAsia="zh-CN"/>
        </w:rPr>
        <w:t>卖方应在设备发运前</w:t>
      </w:r>
      <w:r>
        <w:rPr>
          <w:szCs w:val="21"/>
          <w:lang w:eastAsia="zh-CN"/>
        </w:rPr>
        <w:t>14天，将发货设备清单和运输保险单复印件快件邮寄并传真给买方，并注明大件、主要件的外形尺寸、重量、装运港(或车站)名称，预计到达工地交货地点的日期。</w:t>
      </w:r>
    </w:p>
    <w:p>
      <w:pPr>
        <w:adjustRightInd w:val="0"/>
        <w:snapToGrid w:val="0"/>
        <w:spacing w:line="360" w:lineRule="auto"/>
        <w:ind w:firstLine="440" w:firstLineChars="200"/>
        <w:rPr>
          <w:szCs w:val="21"/>
          <w:lang w:eastAsia="zh-CN"/>
        </w:rPr>
      </w:pPr>
      <w:r>
        <w:rPr>
          <w:szCs w:val="21"/>
          <w:lang w:eastAsia="zh-CN"/>
        </w:rPr>
        <w:t xml:space="preserve">5.3.8 </w:t>
      </w:r>
      <w:r>
        <w:rPr>
          <w:rFonts w:hint="eastAsia"/>
          <w:szCs w:val="21"/>
          <w:lang w:eastAsia="zh-CN"/>
        </w:rPr>
        <w:t>所有与运输相关的费用均由卖方承担，并包含在合同总价中。</w:t>
      </w:r>
    </w:p>
    <w:p>
      <w:pPr>
        <w:adjustRightInd w:val="0"/>
        <w:snapToGrid w:val="0"/>
        <w:spacing w:line="360" w:lineRule="auto"/>
        <w:ind w:firstLine="440" w:firstLineChars="200"/>
        <w:rPr>
          <w:szCs w:val="21"/>
          <w:lang w:eastAsia="zh-CN"/>
        </w:rPr>
      </w:pPr>
      <w:r>
        <w:rPr>
          <w:szCs w:val="21"/>
          <w:lang w:eastAsia="zh-CN"/>
        </w:rPr>
        <w:t xml:space="preserve">5.3.9 </w:t>
      </w:r>
      <w:r>
        <w:rPr>
          <w:rFonts w:hint="eastAsia"/>
          <w:szCs w:val="21"/>
          <w:lang w:eastAsia="zh-CN"/>
        </w:rPr>
        <w:t>运输过程中，若发生合同设备损坏或丢失时，卖方应负责免费更换或补充供货，并承担可能的延迟交货的风险及责任。</w:t>
      </w:r>
    </w:p>
    <w:p>
      <w:pPr>
        <w:adjustRightInd w:val="0"/>
        <w:snapToGrid w:val="0"/>
        <w:spacing w:line="360" w:lineRule="auto"/>
        <w:outlineLvl w:val="3"/>
        <w:rPr>
          <w:szCs w:val="21"/>
          <w:lang w:eastAsia="zh-CN"/>
        </w:rPr>
      </w:pPr>
      <w:r>
        <w:rPr>
          <w:szCs w:val="21"/>
          <w:lang w:eastAsia="zh-CN"/>
        </w:rPr>
        <w:t>5.4交付</w:t>
      </w:r>
    </w:p>
    <w:p>
      <w:pPr>
        <w:adjustRightInd w:val="0"/>
        <w:snapToGrid w:val="0"/>
        <w:spacing w:line="360" w:lineRule="auto"/>
        <w:outlineLvl w:val="4"/>
        <w:rPr>
          <w:szCs w:val="21"/>
          <w:lang w:eastAsia="zh-CN"/>
        </w:rPr>
      </w:pPr>
      <w:r>
        <w:rPr>
          <w:szCs w:val="21"/>
          <w:lang w:eastAsia="zh-CN"/>
        </w:rPr>
        <w:t xml:space="preserve">5.4.1 </w:t>
      </w:r>
      <w:r>
        <w:rPr>
          <w:rFonts w:hint="eastAsia"/>
          <w:szCs w:val="21"/>
          <w:lang w:eastAsia="zh-CN"/>
        </w:rPr>
        <w:t>合同工期及交货地点</w:t>
      </w:r>
    </w:p>
    <w:p>
      <w:pPr>
        <w:tabs>
          <w:tab w:val="left" w:pos="3840"/>
          <w:tab w:val="left" w:pos="5300"/>
        </w:tabs>
        <w:autoSpaceDE w:val="0"/>
        <w:autoSpaceDN w:val="0"/>
        <w:adjustRightInd w:val="0"/>
        <w:snapToGrid w:val="0"/>
        <w:spacing w:line="360" w:lineRule="auto"/>
        <w:ind w:firstLine="440" w:firstLineChars="200"/>
        <w:rPr>
          <w:lang w:eastAsia="zh-CN"/>
        </w:rPr>
      </w:pPr>
      <w:r>
        <w:rPr>
          <w:rFonts w:hint="eastAsia"/>
          <w:snapToGrid w:val="0"/>
          <w:szCs w:val="21"/>
          <w:highlight w:val="none"/>
          <w:lang w:eastAsia="zh-CN"/>
        </w:rPr>
        <w:t>计划2024年</w:t>
      </w:r>
      <w:r>
        <w:rPr>
          <w:rFonts w:hint="eastAsia"/>
          <w:snapToGrid w:val="0"/>
          <w:szCs w:val="21"/>
          <w:highlight w:val="none"/>
          <w:lang w:val="en-US" w:eastAsia="zh-CN"/>
        </w:rPr>
        <w:t>1</w:t>
      </w:r>
      <w:r>
        <w:rPr>
          <w:rFonts w:hint="eastAsia"/>
          <w:snapToGrid w:val="0"/>
          <w:szCs w:val="21"/>
          <w:highlight w:val="none"/>
          <w:lang w:eastAsia="zh-CN"/>
        </w:rPr>
        <w:t>月</w:t>
      </w:r>
      <w:r>
        <w:rPr>
          <w:rFonts w:hint="eastAsia"/>
          <w:snapToGrid w:val="0"/>
          <w:szCs w:val="21"/>
          <w:highlight w:val="none"/>
          <w:lang w:val="en-US" w:eastAsia="zh-CN"/>
        </w:rPr>
        <w:t>30</w:t>
      </w:r>
      <w:r>
        <w:rPr>
          <w:rFonts w:hint="eastAsia"/>
          <w:snapToGrid w:val="0"/>
          <w:szCs w:val="21"/>
          <w:highlight w:val="none"/>
          <w:lang w:eastAsia="zh-CN"/>
        </w:rPr>
        <w:t>日前交货，</w:t>
      </w:r>
      <w:r>
        <w:rPr>
          <w:rFonts w:hint="eastAsia"/>
          <w:snapToGrid w:val="0"/>
          <w:szCs w:val="21"/>
          <w:lang w:eastAsia="zh-CN"/>
        </w:rPr>
        <w:t>具体交货时间由招标人书面通知。</w:t>
      </w:r>
    </w:p>
    <w:p>
      <w:pPr>
        <w:tabs>
          <w:tab w:val="left" w:pos="3840"/>
          <w:tab w:val="left" w:pos="5300"/>
        </w:tabs>
        <w:autoSpaceDE w:val="0"/>
        <w:autoSpaceDN w:val="0"/>
        <w:adjustRightInd w:val="0"/>
        <w:snapToGrid w:val="0"/>
        <w:spacing w:line="360" w:lineRule="auto"/>
        <w:ind w:firstLine="440" w:firstLineChars="200"/>
        <w:rPr>
          <w:lang w:eastAsia="zh-CN"/>
        </w:rPr>
      </w:pPr>
      <w:r>
        <w:rPr>
          <w:lang w:eastAsia="zh-CN"/>
        </w:rPr>
        <w:t>根据合同设备的安装进度要求，买方有权提前通知卖方更改交货进度。</w:t>
      </w:r>
      <w:r>
        <w:rPr>
          <w:rFonts w:hint="eastAsia"/>
          <w:snapToGrid w:val="0"/>
          <w:szCs w:val="21"/>
          <w:u w:val="single"/>
          <w:lang w:eastAsia="zh-CN"/>
        </w:rPr>
        <w:t>因买方原因要求卖方推迟合同设备交货在6个月以内时，或要求提前交货3个月以内时，卖方应无条件接受且不应提出合同价格调整的要求。</w:t>
      </w:r>
    </w:p>
    <w:p>
      <w:pPr>
        <w:adjustRightInd w:val="0"/>
        <w:snapToGrid w:val="0"/>
        <w:spacing w:line="360" w:lineRule="auto"/>
        <w:ind w:firstLine="440" w:firstLineChars="200"/>
        <w:rPr>
          <w:szCs w:val="21"/>
          <w:lang w:eastAsia="zh-CN"/>
        </w:rPr>
      </w:pPr>
      <w:r>
        <w:rPr>
          <w:rFonts w:hint="eastAsia"/>
          <w:szCs w:val="21"/>
          <w:lang w:eastAsia="zh-CN"/>
        </w:rPr>
        <w:t>因买方原因造成交货</w:t>
      </w:r>
      <w:r>
        <w:rPr>
          <w:szCs w:val="21"/>
          <w:lang w:eastAsia="zh-CN"/>
        </w:rPr>
        <w:t>时间延迟超过6个月的，双方另行协商。</w:t>
      </w:r>
    </w:p>
    <w:p>
      <w:pPr>
        <w:adjustRightInd w:val="0"/>
        <w:snapToGrid w:val="0"/>
        <w:spacing w:line="360" w:lineRule="auto"/>
        <w:ind w:firstLine="440" w:firstLineChars="200"/>
        <w:rPr>
          <w:szCs w:val="21"/>
          <w:lang w:eastAsia="zh-CN"/>
        </w:rPr>
      </w:pPr>
      <w:r>
        <w:rPr>
          <w:rFonts w:hint="eastAsia"/>
          <w:szCs w:val="21"/>
          <w:lang w:eastAsia="zh-CN"/>
        </w:rPr>
        <w:t>交货及安装地点：重庆市潼南区双江航电枢纽工程工地现场买方指定位置，有特殊装/卸车要求的专用工具应由卖方供给。</w:t>
      </w:r>
    </w:p>
    <w:p>
      <w:pPr>
        <w:adjustRightInd w:val="0"/>
        <w:snapToGrid w:val="0"/>
        <w:spacing w:line="360" w:lineRule="auto"/>
        <w:rPr>
          <w:szCs w:val="21"/>
          <w:lang w:eastAsia="zh-CN"/>
        </w:rPr>
      </w:pPr>
      <w:r>
        <w:rPr>
          <w:rFonts w:hint="eastAsia"/>
          <w:szCs w:val="21"/>
          <w:lang w:eastAsia="zh-CN"/>
        </w:rPr>
        <w:t>增加以下条款：</w:t>
      </w:r>
    </w:p>
    <w:p>
      <w:pPr>
        <w:adjustRightInd w:val="0"/>
        <w:snapToGrid w:val="0"/>
        <w:spacing w:line="360" w:lineRule="auto"/>
        <w:outlineLvl w:val="4"/>
        <w:rPr>
          <w:szCs w:val="21"/>
          <w:lang w:eastAsia="zh-CN"/>
        </w:rPr>
      </w:pPr>
      <w:r>
        <w:rPr>
          <w:szCs w:val="21"/>
          <w:lang w:eastAsia="zh-CN"/>
        </w:rPr>
        <w:t xml:space="preserve">5.4.4 </w:t>
      </w:r>
      <w:r>
        <w:rPr>
          <w:rFonts w:hint="eastAsia"/>
          <w:szCs w:val="21"/>
          <w:lang w:eastAsia="zh-CN"/>
        </w:rPr>
        <w:t>设备交接验收及</w:t>
      </w:r>
      <w:r>
        <w:rPr>
          <w:szCs w:val="21"/>
          <w:lang w:eastAsia="zh-CN"/>
        </w:rPr>
        <w:t>卸货</w:t>
      </w:r>
    </w:p>
    <w:p>
      <w:pPr>
        <w:adjustRightInd w:val="0"/>
        <w:snapToGrid w:val="0"/>
        <w:spacing w:line="360" w:lineRule="auto"/>
        <w:ind w:firstLine="440" w:firstLineChars="200"/>
        <w:rPr>
          <w:szCs w:val="21"/>
          <w:lang w:eastAsia="zh-CN"/>
        </w:rPr>
      </w:pPr>
      <w:r>
        <w:rPr>
          <w:rFonts w:hint="eastAsia"/>
          <w:szCs w:val="21"/>
          <w:lang w:eastAsia="zh-CN"/>
        </w:rPr>
        <w:t>合同设备到达工地现场后，由买方根据卖方的装箱清单组织卖方、监理、安装单位对设备的装运数量及外观进行检查，检查情况应详细记入交接验收单。交接验收单由各方代表签字，一式四份，各执一份。</w:t>
      </w:r>
    </w:p>
    <w:p>
      <w:pPr>
        <w:adjustRightInd w:val="0"/>
        <w:snapToGrid w:val="0"/>
        <w:spacing w:line="360" w:lineRule="auto"/>
        <w:ind w:firstLine="440" w:firstLineChars="200"/>
        <w:rPr>
          <w:szCs w:val="21"/>
          <w:lang w:eastAsia="zh-CN"/>
        </w:rPr>
      </w:pPr>
      <w:r>
        <w:rPr>
          <w:rFonts w:hint="eastAsia"/>
          <w:szCs w:val="21"/>
          <w:lang w:eastAsia="zh-CN"/>
        </w:rPr>
        <w:t>合同设备到达合同规定的现场交货地点后，由买方委托安装单位负责在24小时内卸货并承担卸货费用。</w:t>
      </w:r>
    </w:p>
    <w:p>
      <w:pPr>
        <w:adjustRightInd w:val="0"/>
        <w:snapToGrid w:val="0"/>
        <w:spacing w:line="360" w:lineRule="auto"/>
        <w:ind w:firstLine="440" w:firstLineChars="200"/>
        <w:rPr>
          <w:szCs w:val="21"/>
          <w:lang w:eastAsia="zh-CN"/>
        </w:rPr>
      </w:pPr>
      <w:bookmarkStart w:id="333" w:name="_Hlt36311120"/>
      <w:bookmarkEnd w:id="333"/>
      <w:r>
        <w:rPr>
          <w:rFonts w:hint="eastAsia"/>
          <w:szCs w:val="21"/>
          <w:lang w:eastAsia="zh-CN"/>
        </w:rPr>
        <w:t>卖方应对安装承包人进行的设备卸货提供及时、正确的技术指导，并提供转运、卸货所需的专用工具。</w:t>
      </w:r>
    </w:p>
    <w:p>
      <w:pPr>
        <w:adjustRightInd w:val="0"/>
        <w:snapToGrid w:val="0"/>
        <w:spacing w:line="360" w:lineRule="auto"/>
        <w:outlineLvl w:val="4"/>
        <w:rPr>
          <w:szCs w:val="21"/>
          <w:lang w:eastAsia="zh-CN"/>
        </w:rPr>
      </w:pPr>
      <w:r>
        <w:rPr>
          <w:szCs w:val="21"/>
          <w:lang w:eastAsia="zh-CN"/>
        </w:rPr>
        <w:t>5.4.5技术文件交付</w:t>
      </w:r>
    </w:p>
    <w:p>
      <w:pPr>
        <w:adjustRightInd w:val="0"/>
        <w:snapToGrid w:val="0"/>
        <w:spacing w:line="360" w:lineRule="auto"/>
        <w:ind w:firstLine="440" w:firstLineChars="200"/>
        <w:rPr>
          <w:szCs w:val="21"/>
          <w:lang w:eastAsia="zh-CN"/>
        </w:rPr>
      </w:pPr>
      <w:r>
        <w:rPr>
          <w:rFonts w:hint="eastAsia"/>
          <w:szCs w:val="21"/>
          <w:lang w:eastAsia="zh-CN"/>
        </w:rPr>
        <w:t>卖方提交的技术文件不仅要满足合同设备本身的制造、检验（试验）、运输、仓储、现场调试、运行和维护等的需要，还须满足工程设计单位的设计需要（详见招标文件的技术条款）。</w:t>
      </w:r>
    </w:p>
    <w:p>
      <w:pPr>
        <w:adjustRightInd w:val="0"/>
        <w:snapToGrid w:val="0"/>
        <w:spacing w:line="360" w:lineRule="auto"/>
        <w:ind w:firstLine="440" w:firstLineChars="200"/>
        <w:rPr>
          <w:szCs w:val="21"/>
          <w:lang w:eastAsia="zh-CN"/>
        </w:rPr>
      </w:pPr>
      <w:r>
        <w:rPr>
          <w:rFonts w:hint="eastAsia"/>
          <w:szCs w:val="21"/>
          <w:lang w:eastAsia="zh-CN"/>
        </w:rPr>
        <w:t>卖方应在合同设备运抵现场时向买方提交随机资料一式六份。随机资料应包含以下内容（但不限于）：</w:t>
      </w:r>
    </w:p>
    <w:p>
      <w:pPr>
        <w:numPr>
          <w:ilvl w:val="0"/>
          <w:numId w:val="2"/>
        </w:numPr>
        <w:adjustRightInd w:val="0"/>
        <w:snapToGrid w:val="0"/>
        <w:spacing w:line="360" w:lineRule="auto"/>
        <w:ind w:firstLine="440" w:firstLineChars="200"/>
        <w:rPr>
          <w:szCs w:val="21"/>
          <w:lang w:eastAsia="zh-CN"/>
        </w:rPr>
      </w:pPr>
      <w:r>
        <w:rPr>
          <w:rFonts w:hint="eastAsia"/>
          <w:szCs w:val="21"/>
          <w:lang w:eastAsia="zh-CN"/>
        </w:rPr>
        <w:t>卖方应重新提供整套符合现场情况、最终定型的永久性图纸和用户要求提供的用于维修和部件更换的图纸、运行维护用的资料及说明书等文件资料。所有卖方图纸应有标明图纸编号和内容的目录</w:t>
      </w:r>
      <w:r>
        <w:rPr>
          <w:szCs w:val="21"/>
          <w:lang w:eastAsia="zh-CN"/>
        </w:rPr>
        <w:t xml:space="preserve">,并满足中华人民共和国相关档案管理的要求。 </w:t>
      </w:r>
    </w:p>
    <w:p>
      <w:pPr>
        <w:adjustRightInd w:val="0"/>
        <w:snapToGrid w:val="0"/>
        <w:spacing w:line="360" w:lineRule="auto"/>
        <w:rPr>
          <w:szCs w:val="21"/>
          <w:lang w:eastAsia="zh-CN"/>
        </w:rPr>
      </w:pPr>
      <w:r>
        <w:rPr>
          <w:szCs w:val="21"/>
          <w:lang w:eastAsia="zh-CN"/>
        </w:rPr>
        <w:t xml:space="preserve">    2）设备产品清单</w:t>
      </w:r>
      <w:r>
        <w:rPr>
          <w:rFonts w:hint="eastAsia"/>
          <w:szCs w:val="21"/>
          <w:lang w:eastAsia="zh-CN"/>
        </w:rPr>
        <w:t>（含备品备件）</w:t>
      </w:r>
      <w:r>
        <w:rPr>
          <w:szCs w:val="21"/>
          <w:lang w:eastAsia="zh-CN"/>
        </w:rPr>
        <w:t>、装箱清单；</w:t>
      </w:r>
    </w:p>
    <w:p>
      <w:pPr>
        <w:adjustRightInd w:val="0"/>
        <w:snapToGrid w:val="0"/>
        <w:spacing w:line="360" w:lineRule="auto"/>
        <w:ind w:firstLine="440" w:firstLineChars="200"/>
        <w:rPr>
          <w:szCs w:val="21"/>
          <w:lang w:eastAsia="zh-CN"/>
        </w:rPr>
      </w:pPr>
      <w:r>
        <w:rPr>
          <w:szCs w:val="21"/>
          <w:lang w:eastAsia="zh-CN"/>
        </w:rPr>
        <w:t>3）设备（部件）出厂合格证（含外购件的出厂合格证）；</w:t>
      </w:r>
    </w:p>
    <w:p>
      <w:pPr>
        <w:adjustRightInd w:val="0"/>
        <w:snapToGrid w:val="0"/>
        <w:spacing w:line="360" w:lineRule="auto"/>
        <w:ind w:firstLine="440" w:firstLineChars="200"/>
        <w:rPr>
          <w:szCs w:val="21"/>
          <w:lang w:eastAsia="zh-CN"/>
        </w:rPr>
      </w:pPr>
      <w:r>
        <w:rPr>
          <w:szCs w:val="21"/>
          <w:lang w:eastAsia="zh-CN"/>
        </w:rPr>
        <w:t>4）设备</w:t>
      </w:r>
      <w:r>
        <w:rPr>
          <w:rFonts w:hint="eastAsia"/>
          <w:szCs w:val="21"/>
          <w:lang w:eastAsia="zh-CN"/>
        </w:rPr>
        <w:t>储存</w:t>
      </w:r>
      <w:r>
        <w:rPr>
          <w:szCs w:val="21"/>
          <w:lang w:eastAsia="zh-CN"/>
        </w:rPr>
        <w:t>保管、安装指导手册、</w:t>
      </w:r>
      <w:r>
        <w:rPr>
          <w:rFonts w:hint="eastAsia"/>
          <w:szCs w:val="21"/>
          <w:lang w:eastAsia="zh-CN"/>
        </w:rPr>
        <w:t>工地现场试验大纲</w:t>
      </w:r>
      <w:r>
        <w:rPr>
          <w:szCs w:val="21"/>
          <w:lang w:eastAsia="zh-CN"/>
        </w:rPr>
        <w:t>；</w:t>
      </w:r>
    </w:p>
    <w:p>
      <w:pPr>
        <w:adjustRightInd w:val="0"/>
        <w:snapToGrid w:val="0"/>
        <w:spacing w:line="360" w:lineRule="auto"/>
        <w:ind w:firstLine="440" w:firstLineChars="200"/>
        <w:rPr>
          <w:szCs w:val="21"/>
          <w:lang w:eastAsia="zh-CN"/>
        </w:rPr>
      </w:pPr>
      <w:r>
        <w:rPr>
          <w:szCs w:val="21"/>
          <w:lang w:eastAsia="zh-CN"/>
        </w:rPr>
        <w:t>5）安装调试用的资料、图纸；</w:t>
      </w:r>
    </w:p>
    <w:p>
      <w:pPr>
        <w:adjustRightInd w:val="0"/>
        <w:snapToGrid w:val="0"/>
        <w:spacing w:line="360" w:lineRule="auto"/>
        <w:ind w:firstLine="440" w:firstLineChars="200"/>
        <w:rPr>
          <w:szCs w:val="21"/>
          <w:lang w:eastAsia="zh-CN"/>
        </w:rPr>
      </w:pPr>
      <w:r>
        <w:rPr>
          <w:szCs w:val="21"/>
          <w:lang w:eastAsia="zh-CN"/>
        </w:rPr>
        <w:t>6）运行维护操作手册；</w:t>
      </w:r>
    </w:p>
    <w:p>
      <w:pPr>
        <w:spacing w:line="360" w:lineRule="auto"/>
        <w:ind w:firstLine="420"/>
        <w:rPr>
          <w:szCs w:val="21"/>
          <w:lang w:eastAsia="zh-CN"/>
        </w:rPr>
      </w:pPr>
      <w:r>
        <w:rPr>
          <w:rFonts w:hint="eastAsia"/>
          <w:szCs w:val="21"/>
          <w:lang w:eastAsia="zh-CN"/>
        </w:rPr>
        <w:t>卖方提供的竣工资料均应按买方的档案管理要求整理成册，料纸质版一式4套，电子版2份（使用硬盘分别提供），需满足买方档案管理相关要求，并经买方审核通过。包括（但不限于）：</w:t>
      </w:r>
    </w:p>
    <w:p>
      <w:pPr>
        <w:spacing w:line="360" w:lineRule="auto"/>
        <w:ind w:firstLine="420"/>
        <w:rPr>
          <w:szCs w:val="21"/>
          <w:lang w:eastAsia="zh-CN"/>
        </w:rPr>
      </w:pPr>
      <w:r>
        <w:rPr>
          <w:rFonts w:hint="eastAsia"/>
          <w:szCs w:val="21"/>
          <w:lang w:eastAsia="zh-CN"/>
        </w:rPr>
        <w:t>1）合同概况：合同协议书、工程概况、供货范围、设备主要性能参数、主要外购件配置清单等。</w:t>
      </w:r>
    </w:p>
    <w:p>
      <w:pPr>
        <w:spacing w:line="360" w:lineRule="auto"/>
        <w:ind w:firstLine="420"/>
        <w:rPr>
          <w:szCs w:val="21"/>
          <w:lang w:eastAsia="zh-CN"/>
        </w:rPr>
      </w:pPr>
      <w:r>
        <w:rPr>
          <w:rFonts w:hint="eastAsia"/>
          <w:szCs w:val="21"/>
          <w:lang w:eastAsia="zh-CN"/>
        </w:rPr>
        <w:t>2）设备制造大事记：设备开工、材料进场、组装、自检、探伤检测、出厂验收、运抵现场、现场试验、现场初步验收（移交）、消缺处理及验收等主要节点时间及佐证资料图片等。</w:t>
      </w:r>
    </w:p>
    <w:p>
      <w:pPr>
        <w:spacing w:line="360" w:lineRule="auto"/>
        <w:ind w:firstLine="420"/>
        <w:rPr>
          <w:szCs w:val="21"/>
          <w:lang w:eastAsia="zh-CN"/>
        </w:rPr>
      </w:pPr>
      <w:r>
        <w:rPr>
          <w:rFonts w:hint="eastAsia"/>
          <w:szCs w:val="21"/>
          <w:lang w:eastAsia="zh-CN"/>
        </w:rPr>
        <w:t>3）制造过程资料：材料的材质证明文件、复检试验报告；焊缝质量检查记录和报告；铸、锻件探伤检查记录和报告；主要零件的热处理试验报告；防腐记录及其质量检验报告；自检、探伤检测、监造见证记录（如有）；制造过程和组装状态的检查、测定记录、调试试验记录、试运行报告等资料及图片。</w:t>
      </w:r>
    </w:p>
    <w:p>
      <w:pPr>
        <w:spacing w:line="360" w:lineRule="auto"/>
        <w:ind w:firstLine="420"/>
        <w:rPr>
          <w:szCs w:val="21"/>
          <w:lang w:eastAsia="zh-CN"/>
        </w:rPr>
      </w:pPr>
      <w:r>
        <w:rPr>
          <w:rFonts w:hint="eastAsia"/>
          <w:szCs w:val="21"/>
          <w:lang w:eastAsia="zh-CN"/>
        </w:rPr>
        <w:t>4）缺陷处理：缺陷通知单，缺陷处理的（专家）分析会会议纪要，缺陷处理记录，缺陷处理后检测验收记录等资料及图片。</w:t>
      </w:r>
    </w:p>
    <w:p>
      <w:pPr>
        <w:spacing w:line="360" w:lineRule="auto"/>
        <w:ind w:firstLine="420"/>
        <w:rPr>
          <w:szCs w:val="21"/>
          <w:lang w:eastAsia="zh-CN"/>
        </w:rPr>
      </w:pPr>
      <w:r>
        <w:rPr>
          <w:rFonts w:hint="eastAsia"/>
          <w:szCs w:val="21"/>
          <w:lang w:eastAsia="zh-CN"/>
        </w:rPr>
        <w:t>5）出厂验收：出厂验收申请、会议安排、验收记录、会议纪要等资料及图片。</w:t>
      </w:r>
    </w:p>
    <w:p>
      <w:pPr>
        <w:spacing w:line="360" w:lineRule="auto"/>
        <w:ind w:firstLine="420"/>
        <w:rPr>
          <w:szCs w:val="21"/>
          <w:lang w:eastAsia="zh-CN"/>
        </w:rPr>
      </w:pPr>
      <w:r>
        <w:rPr>
          <w:rFonts w:hint="eastAsia"/>
          <w:szCs w:val="21"/>
          <w:lang w:eastAsia="zh-CN"/>
        </w:rPr>
        <w:t>6）运输交接：发运通知、装箱清单、现场交接验收单等。</w:t>
      </w:r>
    </w:p>
    <w:p>
      <w:pPr>
        <w:spacing w:line="360" w:lineRule="auto"/>
        <w:ind w:firstLine="420"/>
        <w:rPr>
          <w:szCs w:val="21"/>
          <w:lang w:eastAsia="zh-CN"/>
        </w:rPr>
      </w:pPr>
      <w:r>
        <w:rPr>
          <w:rFonts w:hint="eastAsia"/>
          <w:szCs w:val="21"/>
          <w:lang w:eastAsia="zh-CN"/>
        </w:rPr>
        <w:t>7）竣工图纸：设计修改通知单、设计工作联系单、制造竣工图等。</w:t>
      </w:r>
    </w:p>
    <w:p>
      <w:pPr>
        <w:spacing w:line="360" w:lineRule="auto"/>
        <w:ind w:firstLine="420"/>
        <w:rPr>
          <w:color w:val="000000"/>
          <w:sz w:val="24"/>
          <w:lang w:eastAsia="zh-CN"/>
        </w:rPr>
      </w:pPr>
      <w:r>
        <w:rPr>
          <w:rFonts w:hint="eastAsia"/>
          <w:szCs w:val="21"/>
          <w:lang w:eastAsia="zh-CN"/>
        </w:rPr>
        <w:t>卖方应严格按合同的要求及规定的时间提交正确、完整、清晰的技术文件。竣工资料的实际交付时间为符合合同要求的技术文件送达发包人签收的时间。</w:t>
      </w:r>
    </w:p>
    <w:p>
      <w:pPr>
        <w:adjustRightInd w:val="0"/>
        <w:snapToGrid w:val="0"/>
        <w:spacing w:line="360" w:lineRule="auto"/>
        <w:ind w:firstLine="440" w:firstLineChars="200"/>
        <w:rPr>
          <w:szCs w:val="21"/>
          <w:lang w:eastAsia="zh-CN"/>
        </w:rPr>
      </w:pPr>
      <w:r>
        <w:rPr>
          <w:rFonts w:hint="eastAsia"/>
          <w:szCs w:val="21"/>
          <w:lang w:eastAsia="zh-CN"/>
        </w:rPr>
        <w:t>若卖方提交的技术文件不符合合同要求，卖方应在收到买方通知后的</w:t>
      </w:r>
      <w:r>
        <w:rPr>
          <w:szCs w:val="21"/>
          <w:lang w:eastAsia="zh-CN"/>
        </w:rPr>
        <w:t>14天内进行必要的修正，并且向买方免费重新提交符合要求的技术文件。不符合要求的技术文件买方不退还。</w:t>
      </w:r>
    </w:p>
    <w:p>
      <w:pPr>
        <w:adjustRightInd w:val="0"/>
        <w:snapToGrid w:val="0"/>
        <w:spacing w:line="360" w:lineRule="auto"/>
        <w:ind w:firstLine="440" w:firstLineChars="200"/>
        <w:rPr>
          <w:szCs w:val="21"/>
          <w:lang w:eastAsia="zh-CN"/>
        </w:rPr>
      </w:pPr>
      <w:r>
        <w:rPr>
          <w:rFonts w:hint="eastAsia"/>
          <w:szCs w:val="21"/>
          <w:lang w:eastAsia="zh-CN"/>
        </w:rPr>
        <w:t>如果卖方提交的技术文件有遗漏和错误，卖方应向买方补偿买方由此而引起的增加的直接相关的工程费用和施工等费用。</w:t>
      </w:r>
    </w:p>
    <w:p>
      <w:pPr>
        <w:adjustRightInd w:val="0"/>
        <w:snapToGrid w:val="0"/>
        <w:spacing w:line="360" w:lineRule="auto"/>
        <w:ind w:firstLine="440" w:firstLineChars="200"/>
        <w:rPr>
          <w:szCs w:val="21"/>
          <w:lang w:eastAsia="zh-CN"/>
        </w:rPr>
      </w:pPr>
      <w:r>
        <w:rPr>
          <w:rFonts w:hint="eastAsia"/>
          <w:szCs w:val="21"/>
          <w:lang w:eastAsia="zh-CN"/>
        </w:rPr>
        <w:t>技术文件的费用由卖方承担，且已包括在合同总价中。</w:t>
      </w:r>
    </w:p>
    <w:p>
      <w:pPr>
        <w:keepNext/>
        <w:keepLines/>
        <w:shd w:val="clear" w:color="auto" w:fill="FFFFFF"/>
        <w:adjustRightInd w:val="0"/>
        <w:snapToGrid w:val="0"/>
        <w:spacing w:line="360" w:lineRule="auto"/>
        <w:outlineLvl w:val="2"/>
        <w:rPr>
          <w:szCs w:val="21"/>
          <w:lang w:val="zh-CN" w:eastAsia="zh-CN"/>
        </w:rPr>
      </w:pPr>
      <w:bookmarkStart w:id="334" w:name="_Toc12492"/>
      <w:bookmarkStart w:id="335" w:name="_Toc20281"/>
      <w:bookmarkStart w:id="336" w:name="_Toc18449"/>
      <w:bookmarkStart w:id="337" w:name="_Toc100946806"/>
      <w:bookmarkStart w:id="338" w:name="_Toc4699"/>
      <w:bookmarkStart w:id="339" w:name="_Toc18343"/>
      <w:bookmarkStart w:id="340" w:name="_Toc20231"/>
      <w:bookmarkStart w:id="341" w:name="_Toc19928"/>
      <w:bookmarkStart w:id="342" w:name="_Toc9251"/>
      <w:bookmarkStart w:id="343" w:name="_Toc30360"/>
      <w:bookmarkStart w:id="344" w:name="_Toc1872"/>
      <w:bookmarkStart w:id="345" w:name="_Toc10467"/>
      <w:bookmarkStart w:id="346" w:name="_Toc75199003"/>
      <w:bookmarkStart w:id="347" w:name="_Toc21393"/>
      <w:bookmarkStart w:id="348" w:name="_Toc22167"/>
      <w:bookmarkStart w:id="349" w:name="_Toc92225930"/>
      <w:bookmarkStart w:id="350" w:name="_Toc101259175"/>
      <w:bookmarkStart w:id="351" w:name="_Toc29247"/>
      <w:bookmarkStart w:id="352" w:name="_Toc8932"/>
      <w:bookmarkStart w:id="353" w:name="_Toc40447184"/>
      <w:bookmarkStart w:id="354" w:name="_Toc81896087"/>
      <w:bookmarkStart w:id="355" w:name="_Toc24825"/>
      <w:bookmarkStart w:id="356" w:name="_Toc23078"/>
      <w:bookmarkStart w:id="357" w:name="_Toc113559493"/>
      <w:bookmarkStart w:id="358" w:name="_Toc24394"/>
      <w:bookmarkStart w:id="359" w:name="_Toc9461"/>
      <w:r>
        <w:rPr>
          <w:szCs w:val="21"/>
          <w:lang w:val="zh-CN" w:eastAsia="zh-CN"/>
        </w:rPr>
        <w:t>6.考核、验收</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adjustRightInd w:val="0"/>
        <w:snapToGrid w:val="0"/>
        <w:spacing w:line="360" w:lineRule="auto"/>
        <w:outlineLvl w:val="3"/>
        <w:rPr>
          <w:szCs w:val="21"/>
          <w:lang w:eastAsia="zh-CN"/>
        </w:rPr>
      </w:pPr>
      <w:r>
        <w:rPr>
          <w:szCs w:val="21"/>
          <w:lang w:eastAsia="zh-CN"/>
        </w:rPr>
        <w:t>6.</w:t>
      </w:r>
      <w:r>
        <w:rPr>
          <w:rFonts w:hint="eastAsia"/>
          <w:szCs w:val="21"/>
          <w:lang w:eastAsia="zh-CN"/>
        </w:rPr>
        <w:t>1</w:t>
      </w:r>
      <w:r>
        <w:rPr>
          <w:szCs w:val="21"/>
          <w:lang w:eastAsia="zh-CN"/>
        </w:rPr>
        <w:t>考核</w:t>
      </w:r>
    </w:p>
    <w:p>
      <w:pPr>
        <w:adjustRightInd w:val="0"/>
        <w:snapToGrid w:val="0"/>
        <w:spacing w:line="360" w:lineRule="auto"/>
        <w:ind w:firstLine="440" w:firstLineChars="200"/>
        <w:rPr>
          <w:szCs w:val="21"/>
          <w:lang w:eastAsia="zh-CN"/>
        </w:rPr>
      </w:pPr>
      <w:r>
        <w:rPr>
          <w:szCs w:val="21"/>
          <w:lang w:eastAsia="zh-CN"/>
        </w:rPr>
        <w:t>6.</w:t>
      </w:r>
      <w:r>
        <w:rPr>
          <w:rFonts w:hint="eastAsia"/>
          <w:szCs w:val="21"/>
          <w:lang w:eastAsia="zh-CN"/>
        </w:rPr>
        <w:t>1</w:t>
      </w:r>
      <w:r>
        <w:rPr>
          <w:szCs w:val="21"/>
          <w:lang w:eastAsia="zh-CN"/>
        </w:rPr>
        <w:t>.1安装、调试完成后，双方应对合同设备进行考核，以确定合同设备是否达到合同约定的技术性能考核指标。</w:t>
      </w:r>
    </w:p>
    <w:p>
      <w:pPr>
        <w:adjustRightInd w:val="0"/>
        <w:snapToGrid w:val="0"/>
        <w:spacing w:line="360" w:lineRule="auto"/>
        <w:ind w:firstLine="440" w:firstLineChars="200"/>
        <w:rPr>
          <w:szCs w:val="21"/>
          <w:lang w:eastAsia="zh-CN"/>
        </w:rPr>
      </w:pPr>
      <w:r>
        <w:rPr>
          <w:szCs w:val="21"/>
          <w:lang w:eastAsia="zh-CN"/>
        </w:rPr>
        <w:t>6.</w:t>
      </w:r>
      <w:r>
        <w:rPr>
          <w:rFonts w:hint="eastAsia"/>
          <w:szCs w:val="21"/>
          <w:lang w:eastAsia="zh-CN"/>
        </w:rPr>
        <w:t>1</w:t>
      </w:r>
      <w:r>
        <w:rPr>
          <w:szCs w:val="21"/>
          <w:lang w:eastAsia="zh-CN"/>
        </w:rPr>
        <w:t>.3由于卖方原因未能达到技术性能考核指标时，为卖方进行考核的机会不超过三次</w:t>
      </w:r>
      <w:r>
        <w:rPr>
          <w:rFonts w:hint="eastAsia"/>
          <w:szCs w:val="21"/>
          <w:lang w:eastAsia="zh-CN"/>
        </w:rPr>
        <w:t>，三次考核不合格参照合同解除条例执行</w:t>
      </w:r>
      <w:r>
        <w:rPr>
          <w:szCs w:val="21"/>
          <w:lang w:eastAsia="zh-CN"/>
        </w:rPr>
        <w:t>。</w:t>
      </w:r>
    </w:p>
    <w:p>
      <w:pPr>
        <w:adjustRightInd w:val="0"/>
        <w:snapToGrid w:val="0"/>
        <w:spacing w:line="360" w:lineRule="auto"/>
        <w:outlineLvl w:val="3"/>
        <w:rPr>
          <w:szCs w:val="21"/>
          <w:lang w:eastAsia="zh-CN"/>
        </w:rPr>
      </w:pPr>
      <w:r>
        <w:rPr>
          <w:szCs w:val="21"/>
          <w:lang w:eastAsia="zh-CN"/>
        </w:rPr>
        <w:t>6.</w:t>
      </w:r>
      <w:r>
        <w:rPr>
          <w:rFonts w:hint="eastAsia"/>
          <w:szCs w:val="21"/>
          <w:lang w:eastAsia="zh-CN"/>
        </w:rPr>
        <w:t>2</w:t>
      </w:r>
      <w:r>
        <w:rPr>
          <w:szCs w:val="21"/>
          <w:lang w:eastAsia="zh-CN"/>
        </w:rPr>
        <w:t>验收</w:t>
      </w:r>
    </w:p>
    <w:p>
      <w:pPr>
        <w:adjustRightInd w:val="0"/>
        <w:snapToGrid w:val="0"/>
        <w:spacing w:line="360" w:lineRule="auto"/>
        <w:rPr>
          <w:szCs w:val="21"/>
          <w:lang w:eastAsia="zh-CN"/>
        </w:rPr>
      </w:pPr>
      <w:r>
        <w:rPr>
          <w:rFonts w:hint="eastAsia"/>
          <w:szCs w:val="21"/>
          <w:lang w:eastAsia="zh-CN"/>
        </w:rPr>
        <w:t>按以下条款执行：</w:t>
      </w:r>
    </w:p>
    <w:p>
      <w:pPr>
        <w:adjustRightInd w:val="0"/>
        <w:snapToGrid w:val="0"/>
        <w:spacing w:line="360" w:lineRule="auto"/>
        <w:ind w:firstLine="440" w:firstLineChars="200"/>
        <w:outlineLvl w:val="4"/>
        <w:rPr>
          <w:szCs w:val="21"/>
          <w:lang w:eastAsia="zh-CN"/>
        </w:rPr>
      </w:pPr>
      <w:r>
        <w:rPr>
          <w:szCs w:val="21"/>
          <w:lang w:eastAsia="zh-CN"/>
        </w:rPr>
        <w:t>6.</w:t>
      </w:r>
      <w:r>
        <w:rPr>
          <w:rFonts w:hint="eastAsia"/>
          <w:szCs w:val="21"/>
          <w:lang w:eastAsia="zh-CN"/>
        </w:rPr>
        <w:t>2</w:t>
      </w:r>
      <w:r>
        <w:rPr>
          <w:szCs w:val="21"/>
          <w:lang w:eastAsia="zh-CN"/>
        </w:rPr>
        <w:t>.1初步验收</w:t>
      </w:r>
    </w:p>
    <w:p>
      <w:pPr>
        <w:adjustRightInd w:val="0"/>
        <w:snapToGrid w:val="0"/>
        <w:spacing w:line="360" w:lineRule="auto"/>
        <w:ind w:firstLine="440" w:firstLineChars="200"/>
        <w:rPr>
          <w:szCs w:val="21"/>
          <w:lang w:eastAsia="zh-CN"/>
        </w:rPr>
      </w:pPr>
      <w:r>
        <w:rPr>
          <w:rFonts w:hint="eastAsia"/>
          <w:szCs w:val="21"/>
          <w:lang w:eastAsia="zh-CN"/>
        </w:rPr>
        <w:t>在合同设备</w:t>
      </w:r>
      <w:r>
        <w:rPr>
          <w:rFonts w:hint="eastAsia" w:ascii="宋体" w:hAnsi="宋体" w:cs="宋体"/>
          <w:szCs w:val="21"/>
          <w:lang w:val="en-US" w:eastAsia="zh-CN"/>
        </w:rPr>
        <w:t>及水轮发电机组全部投入商业运行后</w:t>
      </w:r>
      <w:r>
        <w:rPr>
          <w:rFonts w:hint="eastAsia"/>
          <w:szCs w:val="21"/>
          <w:lang w:eastAsia="zh-CN"/>
        </w:rPr>
        <w:t>，取得相关政府部门颁发的检验证书、使用证书等（若有），买方将组织对该设备进行初步验收。</w:t>
      </w:r>
    </w:p>
    <w:p>
      <w:pPr>
        <w:adjustRightInd w:val="0"/>
        <w:snapToGrid w:val="0"/>
        <w:spacing w:line="360" w:lineRule="auto"/>
        <w:ind w:firstLine="440" w:firstLineChars="200"/>
        <w:rPr>
          <w:szCs w:val="21"/>
          <w:lang w:eastAsia="zh-CN"/>
        </w:rPr>
      </w:pPr>
      <w:r>
        <w:rPr>
          <w:rFonts w:hint="eastAsia"/>
          <w:szCs w:val="21"/>
          <w:lang w:eastAsia="zh-CN"/>
        </w:rPr>
        <w:t>对于在试运行和考核运行期中发现合同设备存在质量问题，卖方应在买方要求的时间内完成设备的修复或更换。</w:t>
      </w:r>
    </w:p>
    <w:p>
      <w:pPr>
        <w:adjustRightInd w:val="0"/>
        <w:snapToGrid w:val="0"/>
        <w:spacing w:line="360" w:lineRule="auto"/>
        <w:ind w:firstLine="440" w:firstLineChars="200"/>
        <w:rPr>
          <w:szCs w:val="21"/>
          <w:lang w:eastAsia="zh-CN"/>
        </w:rPr>
      </w:pPr>
      <w:r>
        <w:rPr>
          <w:rFonts w:hint="eastAsia"/>
          <w:szCs w:val="21"/>
          <w:lang w:eastAsia="zh-CN"/>
        </w:rPr>
        <w:t>当下列条件全部满足时，初步验收试验即被认为是成功的：</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1）合同设备（含</w:t>
      </w:r>
      <w:r>
        <w:rPr>
          <w:rFonts w:hint="eastAsia"/>
          <w:szCs w:val="21"/>
          <w:lang w:eastAsia="zh-CN"/>
        </w:rPr>
        <w:t>随机</w:t>
      </w:r>
      <w:r>
        <w:rPr>
          <w:szCs w:val="21"/>
          <w:lang w:eastAsia="zh-CN"/>
        </w:rPr>
        <w:t>备品备件</w:t>
      </w:r>
      <w:r>
        <w:rPr>
          <w:rFonts w:hint="eastAsia"/>
          <w:szCs w:val="21"/>
          <w:lang w:eastAsia="zh-CN"/>
        </w:rPr>
        <w:t>、专用工具、三维设计模型</w:t>
      </w:r>
      <w:r>
        <w:rPr>
          <w:szCs w:val="21"/>
          <w:lang w:eastAsia="zh-CN"/>
        </w:rPr>
        <w:t>）全部交货至工地现场。</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2）所有现场试验全部完成，且试验结果满足国家规程规范及本合同关于设备技术性能及保证值的规定；</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3）合同设备按照相关要求连续试运行合格，对发现的问题进行了消缺处理，设备运行正常；</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4）卖方向买方提交了合格的合同设备</w:t>
      </w:r>
      <w:r>
        <w:rPr>
          <w:rFonts w:hint="eastAsia"/>
          <w:szCs w:val="21"/>
          <w:lang w:eastAsia="zh-CN"/>
        </w:rPr>
        <w:t>技术</w:t>
      </w:r>
      <w:r>
        <w:rPr>
          <w:szCs w:val="21"/>
          <w:lang w:eastAsia="zh-CN"/>
        </w:rPr>
        <w:t>资料</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5</w:t>
      </w:r>
      <w:r>
        <w:rPr>
          <w:rFonts w:hint="eastAsia"/>
          <w:szCs w:val="21"/>
          <w:lang w:eastAsia="zh-CN"/>
        </w:rPr>
        <w:t>）取得相关政府部门颁发的检验证书、使用证书等（若有）；</w:t>
      </w:r>
    </w:p>
    <w:p>
      <w:pPr>
        <w:pStyle w:val="2"/>
        <w:rPr>
          <w:lang w:eastAsia="zh-CN"/>
        </w:rPr>
      </w:pPr>
      <w:r>
        <w:rPr>
          <w:rFonts w:hint="eastAsia"/>
          <w:lang w:eastAsia="zh-CN"/>
        </w:rPr>
        <w:t xml:space="preserve"> </w:t>
      </w:r>
      <w:r>
        <w:rPr>
          <w:lang w:eastAsia="zh-CN"/>
        </w:rPr>
        <w:t xml:space="preserve">   </w:t>
      </w:r>
      <w:r>
        <w:rPr>
          <w:sz w:val="22"/>
          <w:lang w:eastAsia="zh-CN"/>
        </w:rPr>
        <w:t xml:space="preserve"> </w:t>
      </w:r>
      <w:r>
        <w:rPr>
          <w:rFonts w:hint="eastAsia"/>
          <w:sz w:val="22"/>
          <w:lang w:eastAsia="zh-CN"/>
        </w:rPr>
        <w:t>（6）水轮发电机组投入商业运行。</w:t>
      </w:r>
    </w:p>
    <w:p>
      <w:pPr>
        <w:adjustRightInd w:val="0"/>
        <w:snapToGrid w:val="0"/>
        <w:spacing w:line="360" w:lineRule="auto"/>
        <w:ind w:firstLine="440" w:firstLineChars="200"/>
        <w:rPr>
          <w:szCs w:val="21"/>
          <w:lang w:eastAsia="zh-CN"/>
        </w:rPr>
      </w:pPr>
      <w:r>
        <w:rPr>
          <w:rFonts w:hint="eastAsia"/>
          <w:szCs w:val="21"/>
          <w:lang w:eastAsia="zh-CN"/>
        </w:rPr>
        <w:t>如果初步验收是成功的，买方应及时签署初步验收证书或会议纪要，合同设备正式移交买方使用。</w:t>
      </w:r>
    </w:p>
    <w:p>
      <w:pPr>
        <w:adjustRightInd w:val="0"/>
        <w:snapToGrid w:val="0"/>
        <w:spacing w:line="360" w:lineRule="auto"/>
        <w:ind w:firstLine="440" w:firstLineChars="200"/>
        <w:rPr>
          <w:szCs w:val="21"/>
          <w:lang w:eastAsia="zh-CN"/>
        </w:rPr>
      </w:pPr>
      <w:r>
        <w:rPr>
          <w:rFonts w:hint="eastAsia"/>
          <w:szCs w:val="21"/>
          <w:lang w:eastAsia="zh-CN"/>
        </w:rPr>
        <w:t>如果初步验收由于卖方提供的合同设备故障而中断，则卖方应在买方要求的时间内消除故障并重新组织初步验收，所有费用由卖方承担。</w:t>
      </w:r>
    </w:p>
    <w:p>
      <w:pPr>
        <w:adjustRightInd w:val="0"/>
        <w:snapToGrid w:val="0"/>
        <w:spacing w:line="360" w:lineRule="auto"/>
        <w:ind w:firstLine="440" w:firstLineChars="200"/>
        <w:rPr>
          <w:szCs w:val="21"/>
          <w:lang w:eastAsia="zh-CN"/>
        </w:rPr>
      </w:pPr>
      <w:r>
        <w:rPr>
          <w:rFonts w:hint="eastAsia"/>
          <w:szCs w:val="21"/>
          <w:lang w:eastAsia="zh-CN"/>
        </w:rPr>
        <w:t>如果初步验收时合同设备的一项或多项技术性能或保证值不能满足合同要求，卖方应采取有效措施在买方要求的时间内使设备技术性能和保证值达到合同的要求，并承担全部费用（包括再次试验、验收费用）。若再次试验及验收时合同设备的一项或多项技术性能或保证值仍不能满足合同要求，则买方有权按合同约定向卖方收取违约金、赔偿金及索赔。</w:t>
      </w:r>
    </w:p>
    <w:p>
      <w:pPr>
        <w:adjustRightInd w:val="0"/>
        <w:snapToGrid w:val="0"/>
        <w:spacing w:line="360" w:lineRule="auto"/>
        <w:ind w:firstLine="440" w:firstLineChars="200"/>
        <w:outlineLvl w:val="4"/>
        <w:rPr>
          <w:szCs w:val="21"/>
          <w:lang w:eastAsia="zh-CN"/>
        </w:rPr>
      </w:pPr>
      <w:r>
        <w:rPr>
          <w:szCs w:val="21"/>
          <w:lang w:eastAsia="zh-CN"/>
        </w:rPr>
        <w:t>6.</w:t>
      </w:r>
      <w:r>
        <w:rPr>
          <w:rFonts w:hint="eastAsia"/>
          <w:szCs w:val="21"/>
          <w:lang w:eastAsia="zh-CN"/>
        </w:rPr>
        <w:t>2</w:t>
      </w:r>
      <w:r>
        <w:rPr>
          <w:szCs w:val="21"/>
          <w:lang w:eastAsia="zh-CN"/>
        </w:rPr>
        <w:t xml:space="preserve">.2 </w:t>
      </w:r>
      <w:r>
        <w:rPr>
          <w:rFonts w:hint="eastAsia"/>
          <w:szCs w:val="21"/>
          <w:lang w:eastAsia="zh-CN"/>
        </w:rPr>
        <w:t>最终验收</w:t>
      </w:r>
    </w:p>
    <w:p>
      <w:pPr>
        <w:adjustRightInd w:val="0"/>
        <w:snapToGrid w:val="0"/>
        <w:spacing w:line="360" w:lineRule="auto"/>
        <w:ind w:firstLine="440" w:firstLineChars="200"/>
        <w:rPr>
          <w:szCs w:val="21"/>
          <w:lang w:eastAsia="zh-CN"/>
        </w:rPr>
      </w:pPr>
      <w:r>
        <w:rPr>
          <w:rFonts w:hint="eastAsia"/>
          <w:szCs w:val="21"/>
          <w:lang w:eastAsia="zh-CN"/>
        </w:rPr>
        <w:t>从签发初步验收证书或会议纪要之日起开始计算合同设备的质量保证期。</w:t>
      </w:r>
    </w:p>
    <w:p>
      <w:pPr>
        <w:adjustRightInd w:val="0"/>
        <w:snapToGrid w:val="0"/>
        <w:spacing w:line="360" w:lineRule="auto"/>
        <w:ind w:firstLine="440" w:firstLineChars="200"/>
        <w:rPr>
          <w:szCs w:val="21"/>
          <w:lang w:eastAsia="zh-CN"/>
        </w:rPr>
      </w:pPr>
      <w:r>
        <w:rPr>
          <w:rFonts w:hint="eastAsia"/>
          <w:szCs w:val="21"/>
          <w:lang w:eastAsia="zh-CN"/>
        </w:rPr>
        <w:t>在合同规定的设备质量保证期满后，双方将对合同设备作一次全面检查、验收。验收合格后，买方应及时对该设备签发最终验收证书或会议纪要。</w:t>
      </w:r>
    </w:p>
    <w:p>
      <w:pPr>
        <w:adjustRightInd w:val="0"/>
        <w:snapToGrid w:val="0"/>
        <w:spacing w:line="360" w:lineRule="auto"/>
        <w:ind w:firstLine="440" w:firstLineChars="200"/>
        <w:rPr>
          <w:szCs w:val="21"/>
          <w:lang w:eastAsia="zh-CN"/>
        </w:rPr>
      </w:pPr>
      <w:r>
        <w:rPr>
          <w:rFonts w:hint="eastAsia"/>
          <w:szCs w:val="21"/>
          <w:lang w:eastAsia="zh-CN"/>
        </w:rPr>
        <w:t>最终验收证书或会议纪要不能解除卖方在合同设备中存在的可能引起系统故障的潜在缺陷应负的任何责任。</w:t>
      </w:r>
    </w:p>
    <w:p>
      <w:pPr>
        <w:adjustRightInd w:val="0"/>
        <w:snapToGrid w:val="0"/>
        <w:spacing w:line="360" w:lineRule="auto"/>
        <w:ind w:firstLine="440" w:firstLineChars="200"/>
        <w:rPr>
          <w:szCs w:val="21"/>
          <w:lang w:eastAsia="zh-CN"/>
        </w:rPr>
      </w:pPr>
      <w:r>
        <w:rPr>
          <w:szCs w:val="21"/>
          <w:lang w:eastAsia="zh-CN"/>
        </w:rPr>
        <w:t>6.</w:t>
      </w:r>
      <w:r>
        <w:rPr>
          <w:rFonts w:hint="eastAsia"/>
          <w:szCs w:val="21"/>
          <w:lang w:eastAsia="zh-CN"/>
        </w:rPr>
        <w:t>2</w:t>
      </w:r>
      <w:r>
        <w:rPr>
          <w:szCs w:val="21"/>
          <w:lang w:eastAsia="zh-CN"/>
        </w:rPr>
        <w:t>.3合同设备验收证书的签署不能免除卖方在质量保证期内对合同设备应承担的保证责任。</w:t>
      </w:r>
    </w:p>
    <w:p>
      <w:pPr>
        <w:adjustRightInd w:val="0"/>
        <w:snapToGrid w:val="0"/>
        <w:spacing w:line="360" w:lineRule="auto"/>
        <w:ind w:firstLine="440" w:firstLineChars="200"/>
        <w:rPr>
          <w:szCs w:val="21"/>
          <w:lang w:eastAsia="zh-CN"/>
        </w:rPr>
      </w:pPr>
    </w:p>
    <w:p>
      <w:pPr>
        <w:keepNext/>
        <w:keepLines/>
        <w:shd w:val="clear" w:color="auto" w:fill="FFFFFF"/>
        <w:adjustRightInd w:val="0"/>
        <w:snapToGrid w:val="0"/>
        <w:spacing w:line="360" w:lineRule="auto"/>
        <w:outlineLvl w:val="2"/>
        <w:rPr>
          <w:szCs w:val="21"/>
          <w:lang w:val="zh-CN" w:eastAsia="zh-CN"/>
        </w:rPr>
      </w:pPr>
      <w:bookmarkStart w:id="360" w:name="_Toc81896088"/>
      <w:bookmarkStart w:id="361" w:name="_Toc16418"/>
      <w:bookmarkStart w:id="362" w:name="_Toc32702"/>
      <w:bookmarkStart w:id="363" w:name="_Toc101259176"/>
      <w:bookmarkStart w:id="364" w:name="_Toc17828"/>
      <w:bookmarkStart w:id="365" w:name="_Toc32651"/>
      <w:bookmarkStart w:id="366" w:name="_Toc100946807"/>
      <w:bookmarkStart w:id="367" w:name="_Toc11578"/>
      <w:bookmarkStart w:id="368" w:name="_Toc18890"/>
      <w:bookmarkStart w:id="369" w:name="_Toc9814"/>
      <w:bookmarkStart w:id="370" w:name="_Toc6392"/>
      <w:bookmarkStart w:id="371" w:name="_Toc3393"/>
      <w:bookmarkStart w:id="372" w:name="_Toc11379"/>
      <w:bookmarkStart w:id="373" w:name="_Toc113559494"/>
      <w:bookmarkStart w:id="374" w:name="_Toc28858"/>
      <w:bookmarkStart w:id="375" w:name="_Toc30167"/>
      <w:bookmarkStart w:id="376" w:name="_Toc40447185"/>
      <w:bookmarkStart w:id="377" w:name="_Toc22675"/>
      <w:bookmarkStart w:id="378" w:name="_Toc92225931"/>
      <w:bookmarkStart w:id="379" w:name="_Toc385"/>
      <w:bookmarkStart w:id="380" w:name="_Toc25611"/>
      <w:bookmarkStart w:id="381" w:name="_Toc12028"/>
      <w:bookmarkStart w:id="382" w:name="_Toc75199004"/>
      <w:bookmarkStart w:id="383" w:name="_Toc24025"/>
      <w:bookmarkStart w:id="384" w:name="_Toc29083"/>
      <w:bookmarkStart w:id="385" w:name="_Toc19427"/>
      <w:r>
        <w:rPr>
          <w:szCs w:val="21"/>
          <w:lang w:val="zh-CN" w:eastAsia="zh-CN"/>
        </w:rPr>
        <w:t xml:space="preserve">7. </w:t>
      </w:r>
      <w:r>
        <w:rPr>
          <w:rFonts w:hint="eastAsia"/>
          <w:szCs w:val="21"/>
          <w:lang w:val="zh-CN" w:eastAsia="zh-CN"/>
        </w:rPr>
        <w:t>技术服务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pPr>
        <w:adjustRightInd w:val="0"/>
        <w:snapToGrid w:val="0"/>
        <w:spacing w:line="360" w:lineRule="auto"/>
        <w:rPr>
          <w:szCs w:val="21"/>
          <w:lang w:eastAsia="zh-CN"/>
        </w:rPr>
      </w:pPr>
      <w:r>
        <w:rPr>
          <w:rFonts w:hint="eastAsia"/>
          <w:szCs w:val="21"/>
          <w:lang w:eastAsia="zh-CN"/>
        </w:rPr>
        <w:t>按以下条款执行：</w:t>
      </w:r>
    </w:p>
    <w:p>
      <w:pPr>
        <w:adjustRightInd w:val="0"/>
        <w:snapToGrid w:val="0"/>
        <w:spacing w:line="360" w:lineRule="auto"/>
        <w:ind w:firstLine="440" w:firstLineChars="200"/>
        <w:rPr>
          <w:szCs w:val="21"/>
          <w:lang w:eastAsia="zh-CN"/>
        </w:rPr>
      </w:pPr>
      <w:r>
        <w:rPr>
          <w:rFonts w:hint="eastAsia"/>
          <w:szCs w:val="21"/>
          <w:lang w:eastAsia="zh-CN"/>
        </w:rPr>
        <w:t>卖方应按合同规定派遣电气相关专业的技术人员到工地现场，以满足合同设备现场调试、试验、系统调试及初步验收、完工验收的需求，并对买方技术人员进行现场技术培训，</w:t>
      </w:r>
      <w:r>
        <w:rPr>
          <w:szCs w:val="21"/>
          <w:lang w:eastAsia="zh-CN"/>
        </w:rPr>
        <w:t>负责合同设备的技术服务工作</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卖方技术服务人员应在工地就合同设备的现场试验、运行操作和维护保养等对买方技术人员进行技术交底和现场培训。</w:t>
      </w:r>
    </w:p>
    <w:p>
      <w:pPr>
        <w:adjustRightInd w:val="0"/>
        <w:snapToGrid w:val="0"/>
        <w:spacing w:line="360" w:lineRule="auto"/>
        <w:ind w:firstLine="440" w:firstLineChars="200"/>
        <w:rPr>
          <w:szCs w:val="21"/>
          <w:lang w:eastAsia="zh-CN"/>
        </w:rPr>
      </w:pPr>
      <w:r>
        <w:rPr>
          <w:rFonts w:hint="eastAsia"/>
          <w:szCs w:val="21"/>
          <w:lang w:eastAsia="zh-CN"/>
        </w:rPr>
        <w:t>卖方现场技术人员应参加现场考核及验收。</w:t>
      </w:r>
    </w:p>
    <w:p>
      <w:pPr>
        <w:adjustRightInd w:val="0"/>
        <w:snapToGrid w:val="0"/>
        <w:spacing w:line="360" w:lineRule="auto"/>
        <w:ind w:firstLine="440" w:firstLineChars="200"/>
        <w:rPr>
          <w:szCs w:val="21"/>
          <w:lang w:eastAsia="zh-CN"/>
        </w:rPr>
      </w:pPr>
      <w:r>
        <w:rPr>
          <w:rFonts w:hint="eastAsia"/>
          <w:szCs w:val="21"/>
          <w:lang w:eastAsia="zh-CN"/>
        </w:rPr>
        <w:t>卖方现场技术人员应负责协调处理合同设备出现的质量缺陷，并在买方要求的时间内解决问题，一切费用由卖方承担。</w:t>
      </w:r>
    </w:p>
    <w:p>
      <w:pPr>
        <w:adjustRightInd w:val="0"/>
        <w:snapToGrid w:val="0"/>
        <w:spacing w:line="360" w:lineRule="auto"/>
        <w:ind w:firstLine="440" w:firstLineChars="200"/>
        <w:rPr>
          <w:szCs w:val="21"/>
          <w:lang w:eastAsia="zh-CN"/>
        </w:rPr>
      </w:pPr>
      <w:r>
        <w:rPr>
          <w:rFonts w:hint="eastAsia"/>
          <w:szCs w:val="21"/>
          <w:lang w:eastAsia="zh-CN"/>
        </w:rPr>
        <w:t>卖方现场技术人员应提供发货清单、到货清单，</w:t>
      </w:r>
      <w:r>
        <w:rPr>
          <w:szCs w:val="21"/>
          <w:lang w:eastAsia="zh-CN"/>
        </w:rPr>
        <w:t>进行正确的校正调整、清理、现场试验及投入运行。</w:t>
      </w:r>
    </w:p>
    <w:p>
      <w:pPr>
        <w:adjustRightInd w:val="0"/>
        <w:snapToGrid w:val="0"/>
        <w:spacing w:line="360" w:lineRule="auto"/>
        <w:ind w:firstLine="440" w:firstLineChars="200"/>
        <w:rPr>
          <w:szCs w:val="21"/>
          <w:lang w:eastAsia="zh-CN"/>
        </w:rPr>
      </w:pPr>
      <w:r>
        <w:rPr>
          <w:rFonts w:hint="eastAsia"/>
          <w:szCs w:val="21"/>
          <w:lang w:eastAsia="zh-CN"/>
        </w:rPr>
        <w:t>若因卖方人员的疏忽或错误而致使合同设备损坏，卖方应负责免费修复或更换，并承担由此所造成的违约责任和经济损失。</w:t>
      </w:r>
    </w:p>
    <w:p>
      <w:pPr>
        <w:adjustRightInd w:val="0"/>
        <w:snapToGrid w:val="0"/>
        <w:spacing w:line="360" w:lineRule="auto"/>
        <w:ind w:firstLine="440" w:firstLineChars="200"/>
        <w:rPr>
          <w:szCs w:val="21"/>
          <w:lang w:eastAsia="zh-CN"/>
        </w:rPr>
      </w:pPr>
      <w:r>
        <w:rPr>
          <w:rFonts w:hint="eastAsia"/>
          <w:szCs w:val="21"/>
          <w:lang w:eastAsia="zh-CN"/>
        </w:rPr>
        <w:t>卖方现场技术服务人员应遵循现场的安全管理制度，对其因不遵守安全管理制度而造成的安全事故承担全部责任。</w:t>
      </w:r>
    </w:p>
    <w:p>
      <w:pPr>
        <w:adjustRightInd w:val="0"/>
        <w:snapToGrid w:val="0"/>
        <w:spacing w:line="360" w:lineRule="auto"/>
        <w:ind w:firstLine="440" w:firstLineChars="200"/>
        <w:rPr>
          <w:szCs w:val="21"/>
          <w:lang w:eastAsia="zh-CN"/>
        </w:rPr>
      </w:pPr>
      <w:r>
        <w:rPr>
          <w:rFonts w:hint="eastAsia"/>
          <w:szCs w:val="21"/>
          <w:lang w:eastAsia="zh-CN"/>
        </w:rPr>
        <w:t>卖方现场技术服务（含维修、更换及所有技术服务等）的所有费用均包括在合同总价中，费用包干使用。</w:t>
      </w:r>
    </w:p>
    <w:p>
      <w:pPr>
        <w:keepNext/>
        <w:keepLines/>
        <w:shd w:val="clear" w:color="auto" w:fill="FFFFFF"/>
        <w:adjustRightInd w:val="0"/>
        <w:snapToGrid w:val="0"/>
        <w:spacing w:line="360" w:lineRule="auto"/>
        <w:outlineLvl w:val="2"/>
        <w:rPr>
          <w:szCs w:val="21"/>
          <w:lang w:val="zh-CN" w:eastAsia="zh-CN"/>
        </w:rPr>
      </w:pPr>
      <w:bookmarkStart w:id="386" w:name="_Toc21764"/>
      <w:bookmarkStart w:id="387" w:name="_Toc3544"/>
      <w:bookmarkStart w:id="388" w:name="_Toc31500"/>
      <w:bookmarkStart w:id="389" w:name="_Toc101259177"/>
      <w:bookmarkStart w:id="390" w:name="_Toc30802"/>
      <w:bookmarkStart w:id="391" w:name="_Toc16800"/>
      <w:bookmarkStart w:id="392" w:name="_Toc17878"/>
      <w:bookmarkStart w:id="393" w:name="_Toc81896089"/>
      <w:bookmarkStart w:id="394" w:name="_Toc75199005"/>
      <w:bookmarkStart w:id="395" w:name="_Toc11013"/>
      <w:bookmarkStart w:id="396" w:name="_Toc32360"/>
      <w:bookmarkStart w:id="397" w:name="_Toc1423"/>
      <w:bookmarkStart w:id="398" w:name="_Toc27927"/>
      <w:bookmarkStart w:id="399" w:name="_Toc2297"/>
      <w:bookmarkStart w:id="400" w:name="_Toc113559495"/>
      <w:bookmarkStart w:id="401" w:name="_Toc92225932"/>
      <w:bookmarkStart w:id="402" w:name="_Toc32451"/>
      <w:bookmarkStart w:id="403" w:name="_Toc709"/>
      <w:bookmarkStart w:id="404" w:name="_Toc20867"/>
      <w:bookmarkStart w:id="405" w:name="_Toc6422"/>
      <w:bookmarkStart w:id="406" w:name="_Toc100946808"/>
      <w:bookmarkStart w:id="407" w:name="_Toc4708"/>
      <w:bookmarkStart w:id="408" w:name="_Toc9160"/>
      <w:bookmarkStart w:id="409" w:name="_Toc40447186"/>
      <w:bookmarkStart w:id="410" w:name="_Toc28070"/>
      <w:r>
        <w:rPr>
          <w:szCs w:val="21"/>
          <w:lang w:val="zh-CN" w:eastAsia="zh-CN"/>
        </w:rPr>
        <w:t>8.质量保证期</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adjustRightInd w:val="0"/>
        <w:snapToGrid w:val="0"/>
        <w:spacing w:line="360" w:lineRule="auto"/>
        <w:ind w:firstLine="440" w:firstLineChars="200"/>
        <w:rPr>
          <w:szCs w:val="21"/>
          <w:lang w:eastAsia="zh-CN"/>
        </w:rPr>
      </w:pPr>
      <w:r>
        <w:rPr>
          <w:szCs w:val="21"/>
          <w:lang w:eastAsia="zh-CN"/>
        </w:rPr>
        <w:t>8.1合同设备整体质量保证期为：</w:t>
      </w:r>
      <w:r>
        <w:rPr>
          <w:rFonts w:hint="eastAsia"/>
          <w:szCs w:val="21"/>
          <w:lang w:eastAsia="zh-CN"/>
        </w:rPr>
        <w:t>机组全部投入商业运行</w:t>
      </w:r>
      <w:r>
        <w:rPr>
          <w:szCs w:val="21"/>
          <w:lang w:eastAsia="zh-CN"/>
        </w:rPr>
        <w:t>之日起</w:t>
      </w:r>
      <w:r>
        <w:rPr>
          <w:szCs w:val="21"/>
          <w:u w:val="single"/>
          <w:lang w:eastAsia="zh-CN"/>
        </w:rPr>
        <w:t xml:space="preserve">  </w:t>
      </w:r>
      <w:r>
        <w:rPr>
          <w:rFonts w:hint="eastAsia"/>
          <w:szCs w:val="21"/>
          <w:u w:val="single"/>
          <w:lang w:eastAsia="zh-CN"/>
        </w:rPr>
        <w:t>24</w:t>
      </w:r>
      <w:r>
        <w:rPr>
          <w:szCs w:val="21"/>
          <w:u w:val="single"/>
          <w:lang w:eastAsia="zh-CN"/>
        </w:rPr>
        <w:t xml:space="preserve">  </w:t>
      </w:r>
      <w:r>
        <w:rPr>
          <w:szCs w:val="21"/>
          <w:lang w:eastAsia="zh-CN"/>
        </w:rPr>
        <w:t>个月</w:t>
      </w:r>
      <w:r>
        <w:rPr>
          <w:rFonts w:hint="eastAsia"/>
          <w:szCs w:val="21"/>
          <w:lang w:eastAsia="zh-CN"/>
        </w:rPr>
        <w:t>。若出现重大质量问题，</w:t>
      </w:r>
      <w:r>
        <w:rPr>
          <w:szCs w:val="21"/>
          <w:lang w:eastAsia="zh-CN"/>
        </w:rPr>
        <w:t>质量保证期重新计算。</w:t>
      </w:r>
    </w:p>
    <w:p>
      <w:pPr>
        <w:keepNext/>
        <w:keepLines/>
        <w:shd w:val="clear" w:color="auto" w:fill="FFFFFF"/>
        <w:adjustRightInd w:val="0"/>
        <w:snapToGrid w:val="0"/>
        <w:spacing w:line="360" w:lineRule="auto"/>
        <w:outlineLvl w:val="2"/>
        <w:rPr>
          <w:szCs w:val="21"/>
          <w:lang w:val="zh-CN" w:eastAsia="zh-CN"/>
        </w:rPr>
      </w:pPr>
      <w:bookmarkStart w:id="411" w:name="_Toc92225933"/>
      <w:bookmarkStart w:id="412" w:name="_Toc40447187"/>
      <w:bookmarkStart w:id="413" w:name="_Toc101259178"/>
      <w:bookmarkStart w:id="414" w:name="_Toc26258"/>
      <w:bookmarkStart w:id="415" w:name="_Toc32611"/>
      <w:bookmarkStart w:id="416" w:name="_Toc7072"/>
      <w:bookmarkStart w:id="417" w:name="_Toc15209"/>
      <w:bookmarkStart w:id="418" w:name="_Toc27575"/>
      <w:bookmarkStart w:id="419" w:name="_Toc6052"/>
      <w:bookmarkStart w:id="420" w:name="_Toc17698"/>
      <w:bookmarkStart w:id="421" w:name="_Toc3951"/>
      <w:bookmarkStart w:id="422" w:name="_Toc10888"/>
      <w:bookmarkStart w:id="423" w:name="_Toc5726"/>
      <w:bookmarkStart w:id="424" w:name="_Toc100946809"/>
      <w:bookmarkStart w:id="425" w:name="_Toc14553"/>
      <w:bookmarkStart w:id="426" w:name="_Toc2261"/>
      <w:bookmarkStart w:id="427" w:name="_Toc24095"/>
      <w:bookmarkStart w:id="428" w:name="_Toc20849"/>
      <w:bookmarkStart w:id="429" w:name="_Toc113559496"/>
      <w:bookmarkStart w:id="430" w:name="_Toc7561"/>
      <w:bookmarkStart w:id="431" w:name="_Toc81896090"/>
      <w:bookmarkStart w:id="432" w:name="_Toc16899"/>
      <w:bookmarkStart w:id="433" w:name="_Toc13798"/>
      <w:bookmarkStart w:id="434" w:name="_Toc75199006"/>
      <w:bookmarkStart w:id="435" w:name="_Toc3756"/>
      <w:bookmarkStart w:id="436" w:name="_Toc22784"/>
      <w:r>
        <w:rPr>
          <w:szCs w:val="21"/>
          <w:lang w:val="zh-CN" w:eastAsia="zh-CN"/>
        </w:rPr>
        <w:t xml:space="preserve">9. </w:t>
      </w:r>
      <w:r>
        <w:rPr>
          <w:rFonts w:hint="eastAsia"/>
          <w:szCs w:val="21"/>
          <w:lang w:val="zh-CN" w:eastAsia="zh-CN"/>
        </w:rPr>
        <w:t>质保期服务</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adjustRightInd w:val="0"/>
        <w:snapToGrid w:val="0"/>
        <w:spacing w:line="360" w:lineRule="auto"/>
        <w:rPr>
          <w:szCs w:val="21"/>
          <w:lang w:eastAsia="zh-CN"/>
        </w:rPr>
      </w:pPr>
      <w:r>
        <w:rPr>
          <w:rFonts w:hint="eastAsia"/>
          <w:szCs w:val="21"/>
          <w:lang w:eastAsia="zh-CN"/>
        </w:rPr>
        <w:t>增加以下条款：</w:t>
      </w:r>
    </w:p>
    <w:p>
      <w:pPr>
        <w:adjustRightInd w:val="0"/>
        <w:snapToGrid w:val="0"/>
        <w:spacing w:line="360" w:lineRule="auto"/>
        <w:ind w:firstLine="440" w:firstLineChars="200"/>
        <w:rPr>
          <w:szCs w:val="21"/>
          <w:lang w:eastAsia="zh-CN"/>
        </w:rPr>
      </w:pPr>
      <w:r>
        <w:rPr>
          <w:szCs w:val="21"/>
          <w:lang w:eastAsia="zh-CN"/>
        </w:rPr>
        <w:t xml:space="preserve">9.5 </w:t>
      </w:r>
      <w:r>
        <w:rPr>
          <w:rFonts w:hint="eastAsia"/>
          <w:szCs w:val="21"/>
          <w:lang w:eastAsia="zh-CN"/>
        </w:rPr>
        <w:t>合同设备如在质量保证期内出现质量问题，卖方应在收到买方通知后</w:t>
      </w:r>
      <w:r>
        <w:rPr>
          <w:rFonts w:hint="eastAsia"/>
          <w:szCs w:val="21"/>
          <w:u w:val="single"/>
          <w:lang w:eastAsia="zh-CN"/>
        </w:rPr>
        <w:t xml:space="preserve"> 12 </w:t>
      </w:r>
      <w:r>
        <w:rPr>
          <w:rFonts w:hint="eastAsia"/>
          <w:szCs w:val="21"/>
          <w:lang w:eastAsia="zh-CN"/>
        </w:rPr>
        <w:t>小时</w:t>
      </w:r>
      <w:r>
        <w:rPr>
          <w:szCs w:val="21"/>
          <w:lang w:eastAsia="zh-CN"/>
        </w:rPr>
        <w:t>内派员到达工地现场，并在买方要求的时间内解决问题，一切费用由卖方承担。</w:t>
      </w:r>
    </w:p>
    <w:p>
      <w:pPr>
        <w:keepNext/>
        <w:keepLines/>
        <w:shd w:val="clear" w:color="auto" w:fill="FFFFFF"/>
        <w:adjustRightInd w:val="0"/>
        <w:snapToGrid w:val="0"/>
        <w:spacing w:line="360" w:lineRule="auto"/>
        <w:outlineLvl w:val="2"/>
        <w:rPr>
          <w:szCs w:val="21"/>
          <w:lang w:val="zh-CN" w:eastAsia="zh-CN"/>
        </w:rPr>
      </w:pPr>
      <w:bookmarkStart w:id="437" w:name="_Toc32031"/>
      <w:bookmarkStart w:id="438" w:name="_Toc14946"/>
      <w:bookmarkStart w:id="439" w:name="_Toc10688"/>
      <w:bookmarkStart w:id="440" w:name="_Toc29571"/>
      <w:bookmarkStart w:id="441" w:name="_Toc20328"/>
      <w:bookmarkStart w:id="442" w:name="_Toc100946810"/>
      <w:bookmarkStart w:id="443" w:name="_Toc7053"/>
      <w:bookmarkStart w:id="444" w:name="_Toc12702"/>
      <w:bookmarkStart w:id="445" w:name="_Toc19074"/>
      <w:bookmarkStart w:id="446" w:name="_Toc13349"/>
      <w:bookmarkStart w:id="447" w:name="_Toc26410"/>
      <w:bookmarkStart w:id="448" w:name="_Toc3918"/>
      <w:bookmarkStart w:id="449" w:name="_Toc32556"/>
      <w:bookmarkStart w:id="450" w:name="_Toc40447188"/>
      <w:bookmarkStart w:id="451" w:name="_Toc13293"/>
      <w:bookmarkStart w:id="452" w:name="_Toc9563"/>
      <w:bookmarkStart w:id="453" w:name="_Toc101259179"/>
      <w:bookmarkStart w:id="454" w:name="_Toc29649"/>
      <w:bookmarkStart w:id="455" w:name="_Toc22231"/>
      <w:bookmarkStart w:id="456" w:name="_Toc23214"/>
      <w:bookmarkStart w:id="457" w:name="_Toc92225934"/>
      <w:bookmarkStart w:id="458" w:name="_Toc25158"/>
      <w:bookmarkStart w:id="459" w:name="_Toc81896091"/>
      <w:bookmarkStart w:id="460" w:name="_Toc113559497"/>
      <w:bookmarkStart w:id="461" w:name="_Toc75199007"/>
      <w:bookmarkStart w:id="462" w:name="_Toc27773"/>
      <w:r>
        <w:rPr>
          <w:szCs w:val="21"/>
          <w:lang w:val="zh-CN" w:eastAsia="zh-CN"/>
        </w:rPr>
        <w:t xml:space="preserve">10. </w:t>
      </w:r>
      <w:r>
        <w:rPr>
          <w:rFonts w:hint="eastAsia"/>
          <w:szCs w:val="21"/>
          <w:lang w:val="zh-CN" w:eastAsia="zh-CN"/>
        </w:rPr>
        <w:t>履约保证金</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pPr>
        <w:snapToGrid w:val="0"/>
        <w:spacing w:line="400" w:lineRule="exact"/>
        <w:ind w:firstLine="440" w:firstLineChars="200"/>
        <w:rPr>
          <w:szCs w:val="21"/>
          <w:lang w:eastAsia="zh-CN"/>
        </w:rPr>
      </w:pPr>
      <w:r>
        <w:rPr>
          <w:rFonts w:hint="eastAsia"/>
          <w:szCs w:val="21"/>
          <w:lang w:eastAsia="zh-CN"/>
        </w:rPr>
        <w:t>1</w:t>
      </w:r>
      <w:r>
        <w:rPr>
          <w:szCs w:val="21"/>
          <w:lang w:eastAsia="zh-CN"/>
        </w:rPr>
        <w:t>0</w:t>
      </w:r>
      <w:r>
        <w:rPr>
          <w:rFonts w:hint="eastAsia"/>
          <w:szCs w:val="21"/>
          <w:lang w:eastAsia="zh-CN"/>
        </w:rPr>
        <w:t>.</w:t>
      </w:r>
      <w:r>
        <w:rPr>
          <w:szCs w:val="21"/>
          <w:lang w:eastAsia="zh-CN"/>
        </w:rPr>
        <w:t>1</w:t>
      </w:r>
      <w:r>
        <w:rPr>
          <w:rFonts w:hint="eastAsia"/>
          <w:szCs w:val="21"/>
          <w:lang w:eastAsia="zh-CN"/>
        </w:rPr>
        <w:t>履约担保的形式：现金或履约保函或现金+履约保函的组合，履约保函包括银行保函、保证保险和担保保函，其示范文本详见第四章合同条款及格式附件。中标人提交的履约保函应严格执行其示范文本，不得对示范文本中的实质性内容进行修改。</w:t>
      </w:r>
    </w:p>
    <w:p>
      <w:pPr>
        <w:snapToGrid w:val="0"/>
        <w:spacing w:line="400" w:lineRule="exact"/>
        <w:ind w:firstLine="440" w:firstLineChars="200"/>
        <w:rPr>
          <w:szCs w:val="21"/>
          <w:lang w:eastAsia="zh-CN"/>
        </w:rPr>
      </w:pPr>
      <w:r>
        <w:rPr>
          <w:rFonts w:hint="eastAsia"/>
          <w:szCs w:val="21"/>
          <w:lang w:eastAsia="zh-CN"/>
        </w:rPr>
        <w:t>1</w:t>
      </w:r>
      <w:r>
        <w:rPr>
          <w:szCs w:val="21"/>
          <w:lang w:eastAsia="zh-CN"/>
        </w:rPr>
        <w:t>0</w:t>
      </w:r>
      <w:r>
        <w:rPr>
          <w:rFonts w:hint="eastAsia"/>
          <w:szCs w:val="21"/>
          <w:lang w:eastAsia="zh-CN"/>
        </w:rPr>
        <w:t>.</w:t>
      </w:r>
      <w:r>
        <w:rPr>
          <w:szCs w:val="21"/>
          <w:lang w:eastAsia="zh-CN"/>
        </w:rPr>
        <w:t>2</w:t>
      </w:r>
      <w:r>
        <w:rPr>
          <w:rFonts w:hint="eastAsia"/>
          <w:szCs w:val="21"/>
          <w:lang w:eastAsia="zh-CN"/>
        </w:rPr>
        <w:t>具体要求：履约保函的开立人应当是具有相应资格的银行、保险机构、融资担保公司，其信用资质、履约能力、担保能力、赔付流程、安全保密等应符合履约保函业务条件。履约保函应合法合规，符合招报价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adjustRightInd w:val="0"/>
        <w:snapToGrid w:val="0"/>
        <w:spacing w:line="440" w:lineRule="exact"/>
        <w:ind w:firstLine="440" w:firstLineChars="200"/>
        <w:rPr>
          <w:szCs w:val="21"/>
          <w:lang w:eastAsia="zh-CN"/>
        </w:rPr>
      </w:pPr>
      <w:r>
        <w:rPr>
          <w:szCs w:val="21"/>
          <w:lang w:eastAsia="zh-CN"/>
        </w:rPr>
        <w:t>10</w:t>
      </w:r>
      <w:r>
        <w:rPr>
          <w:rFonts w:hint="eastAsia"/>
          <w:szCs w:val="21"/>
          <w:lang w:eastAsia="zh-CN"/>
        </w:rPr>
        <w:t>.</w:t>
      </w:r>
      <w:r>
        <w:rPr>
          <w:szCs w:val="21"/>
          <w:lang w:eastAsia="zh-CN"/>
        </w:rPr>
        <w:t>3</w:t>
      </w:r>
      <w:r>
        <w:rPr>
          <w:rFonts w:hint="eastAsia"/>
          <w:szCs w:val="21"/>
          <w:lang w:eastAsia="zh-CN"/>
        </w:rPr>
        <w:t>履约保证金额：</w:t>
      </w:r>
      <w:r>
        <w:rPr>
          <w:rFonts w:hint="eastAsia"/>
          <w:szCs w:val="21"/>
          <w:u w:val="single"/>
          <w:lang w:eastAsia="zh-CN"/>
        </w:rPr>
        <w:t>为签约合同价的 10 %</w:t>
      </w:r>
      <w:r>
        <w:rPr>
          <w:rFonts w:hint="eastAsia"/>
          <w:szCs w:val="21"/>
          <w:lang w:eastAsia="zh-CN"/>
        </w:rPr>
        <w:t>。</w:t>
      </w:r>
    </w:p>
    <w:p>
      <w:pPr>
        <w:adjustRightInd w:val="0"/>
        <w:snapToGrid w:val="0"/>
        <w:spacing w:line="440" w:lineRule="exact"/>
        <w:ind w:firstLine="440" w:firstLineChars="200"/>
        <w:rPr>
          <w:szCs w:val="21"/>
          <w:lang w:eastAsia="zh-CN"/>
        </w:rPr>
      </w:pPr>
      <w:r>
        <w:rPr>
          <w:rFonts w:hint="eastAsia"/>
          <w:szCs w:val="21"/>
          <w:lang w:eastAsia="zh-CN"/>
        </w:rPr>
        <w:t>1</w:t>
      </w:r>
      <w:r>
        <w:rPr>
          <w:szCs w:val="21"/>
          <w:lang w:eastAsia="zh-CN"/>
        </w:rPr>
        <w:t>0</w:t>
      </w:r>
      <w:r>
        <w:rPr>
          <w:rFonts w:hint="eastAsia"/>
          <w:szCs w:val="21"/>
          <w:lang w:eastAsia="zh-CN"/>
        </w:rPr>
        <w:t>.</w:t>
      </w:r>
      <w:r>
        <w:rPr>
          <w:szCs w:val="21"/>
          <w:lang w:eastAsia="zh-CN"/>
        </w:rPr>
        <w:t>4</w:t>
      </w:r>
      <w:r>
        <w:rPr>
          <w:rFonts w:hint="eastAsia"/>
          <w:szCs w:val="21"/>
          <w:lang w:eastAsia="zh-CN"/>
        </w:rPr>
        <w:t>履约保证金的递交时间：中标通知书送达之日起</w:t>
      </w:r>
      <w:r>
        <w:rPr>
          <w:szCs w:val="21"/>
          <w:lang w:eastAsia="zh-CN"/>
        </w:rPr>
        <w:t>10</w:t>
      </w:r>
      <w:r>
        <w:rPr>
          <w:rFonts w:hint="eastAsia"/>
          <w:szCs w:val="21"/>
          <w:lang w:eastAsia="zh-CN"/>
        </w:rPr>
        <w:t>工作日。</w:t>
      </w:r>
    </w:p>
    <w:p>
      <w:pPr>
        <w:adjustRightInd w:val="0"/>
        <w:snapToGrid w:val="0"/>
        <w:spacing w:line="440" w:lineRule="exact"/>
        <w:ind w:firstLine="440" w:firstLineChars="200"/>
        <w:rPr>
          <w:szCs w:val="21"/>
          <w:lang w:eastAsia="zh-CN"/>
        </w:rPr>
      </w:pPr>
      <w:r>
        <w:rPr>
          <w:szCs w:val="21"/>
          <w:lang w:eastAsia="zh-CN"/>
        </w:rPr>
        <w:t>10</w:t>
      </w:r>
      <w:r>
        <w:rPr>
          <w:rFonts w:hint="eastAsia"/>
          <w:szCs w:val="21"/>
          <w:lang w:eastAsia="zh-CN"/>
        </w:rPr>
        <w:t>.</w:t>
      </w:r>
      <w:r>
        <w:rPr>
          <w:szCs w:val="21"/>
          <w:lang w:eastAsia="zh-CN"/>
        </w:rPr>
        <w:t>5</w:t>
      </w:r>
      <w:r>
        <w:rPr>
          <w:rFonts w:hint="eastAsia"/>
          <w:szCs w:val="21"/>
          <w:lang w:eastAsia="zh-CN"/>
        </w:rPr>
        <w:t>履约保证金的期限：自提交履约担保之日起至签发</w:t>
      </w:r>
      <w:r>
        <w:rPr>
          <w:szCs w:val="21"/>
          <w:lang w:eastAsia="zh-CN"/>
        </w:rPr>
        <w:t>初步验收</w:t>
      </w:r>
      <w:r>
        <w:rPr>
          <w:rFonts w:hint="eastAsia"/>
          <w:szCs w:val="21"/>
          <w:lang w:eastAsia="zh-CN"/>
        </w:rPr>
        <w:t>证书之日止。</w:t>
      </w:r>
    </w:p>
    <w:p>
      <w:pPr>
        <w:adjustRightInd w:val="0"/>
        <w:snapToGrid w:val="0"/>
        <w:spacing w:line="440" w:lineRule="exact"/>
        <w:ind w:firstLine="440" w:firstLineChars="200"/>
        <w:rPr>
          <w:szCs w:val="21"/>
          <w:lang w:eastAsia="zh-CN"/>
        </w:rPr>
      </w:pPr>
      <w:r>
        <w:rPr>
          <w:szCs w:val="21"/>
          <w:lang w:eastAsia="zh-CN"/>
        </w:rPr>
        <w:t>10</w:t>
      </w:r>
      <w:r>
        <w:rPr>
          <w:rFonts w:hint="eastAsia"/>
          <w:szCs w:val="21"/>
          <w:lang w:eastAsia="zh-CN"/>
        </w:rPr>
        <w:t>.</w:t>
      </w:r>
      <w:r>
        <w:rPr>
          <w:szCs w:val="21"/>
          <w:lang w:eastAsia="zh-CN"/>
        </w:rPr>
        <w:t>6</w:t>
      </w:r>
      <w:r>
        <w:rPr>
          <w:rFonts w:hint="eastAsia"/>
          <w:szCs w:val="21"/>
          <w:lang w:eastAsia="zh-CN"/>
        </w:rPr>
        <w:t>履约保证金的退还时间：采用现金担保的，合同履行期间卖方无违约，</w:t>
      </w:r>
      <w:r>
        <w:rPr>
          <w:szCs w:val="21"/>
          <w:lang w:eastAsia="zh-CN"/>
        </w:rPr>
        <w:t>在</w:t>
      </w:r>
      <w:r>
        <w:rPr>
          <w:rFonts w:hint="eastAsia"/>
          <w:szCs w:val="21"/>
          <w:lang w:eastAsia="zh-CN"/>
        </w:rPr>
        <w:t>合同设备全部签发</w:t>
      </w:r>
      <w:r>
        <w:rPr>
          <w:szCs w:val="21"/>
          <w:lang w:eastAsia="zh-CN"/>
        </w:rPr>
        <w:t>初步验收</w:t>
      </w:r>
      <w:r>
        <w:rPr>
          <w:rFonts w:hint="eastAsia"/>
          <w:szCs w:val="21"/>
          <w:lang w:eastAsia="zh-CN"/>
        </w:rPr>
        <w:t>证书</w:t>
      </w:r>
      <w:r>
        <w:rPr>
          <w:szCs w:val="21"/>
          <w:lang w:eastAsia="zh-CN"/>
        </w:rPr>
        <w:t>后30天</w:t>
      </w:r>
      <w:r>
        <w:rPr>
          <w:rFonts w:hint="eastAsia"/>
          <w:szCs w:val="21"/>
          <w:lang w:eastAsia="zh-CN"/>
        </w:rPr>
        <w:t>内</w:t>
      </w:r>
      <w:r>
        <w:rPr>
          <w:szCs w:val="21"/>
          <w:lang w:eastAsia="zh-CN"/>
        </w:rPr>
        <w:t>无息退还给卖方</w:t>
      </w:r>
      <w:r>
        <w:rPr>
          <w:rFonts w:hint="eastAsia"/>
          <w:szCs w:val="21"/>
          <w:lang w:eastAsia="zh-CN"/>
        </w:rPr>
        <w:t>；采用银行保函担保的，合同履行期间卖方无违约，</w:t>
      </w:r>
      <w:r>
        <w:rPr>
          <w:szCs w:val="21"/>
          <w:lang w:eastAsia="zh-CN"/>
        </w:rPr>
        <w:t>在</w:t>
      </w:r>
      <w:r>
        <w:rPr>
          <w:rFonts w:hint="eastAsia"/>
          <w:szCs w:val="21"/>
          <w:lang w:eastAsia="zh-CN"/>
        </w:rPr>
        <w:t>合同设备全部签发</w:t>
      </w:r>
      <w:r>
        <w:rPr>
          <w:szCs w:val="21"/>
          <w:lang w:eastAsia="zh-CN"/>
        </w:rPr>
        <w:t>初步验收</w:t>
      </w:r>
      <w:r>
        <w:rPr>
          <w:rFonts w:hint="eastAsia"/>
          <w:szCs w:val="21"/>
          <w:lang w:eastAsia="zh-CN"/>
        </w:rPr>
        <w:t>证书</w:t>
      </w:r>
      <w:r>
        <w:rPr>
          <w:szCs w:val="21"/>
          <w:lang w:eastAsia="zh-CN"/>
        </w:rPr>
        <w:t>后30天</w:t>
      </w:r>
      <w:r>
        <w:rPr>
          <w:rFonts w:hint="eastAsia"/>
          <w:szCs w:val="21"/>
          <w:lang w:eastAsia="zh-CN"/>
        </w:rPr>
        <w:t>内</w:t>
      </w:r>
      <w:r>
        <w:rPr>
          <w:szCs w:val="21"/>
          <w:lang w:eastAsia="zh-CN"/>
        </w:rPr>
        <w:t>无息退还给卖方</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买方有权从履约担保中追索卖方应支付给买方而未支付的相应款项及</w:t>
      </w:r>
      <w:r>
        <w:rPr>
          <w:szCs w:val="21"/>
          <w:lang w:eastAsia="zh-CN"/>
        </w:rPr>
        <w:t>违约赔偿金。</w:t>
      </w:r>
    </w:p>
    <w:p>
      <w:pPr>
        <w:keepNext/>
        <w:keepLines/>
        <w:shd w:val="clear" w:color="auto" w:fill="FFFFFF"/>
        <w:adjustRightInd w:val="0"/>
        <w:snapToGrid w:val="0"/>
        <w:spacing w:line="360" w:lineRule="auto"/>
        <w:outlineLvl w:val="2"/>
        <w:rPr>
          <w:szCs w:val="21"/>
          <w:lang w:val="zh-CN" w:eastAsia="zh-CN"/>
        </w:rPr>
      </w:pPr>
      <w:bookmarkStart w:id="463" w:name="_Toc40447189"/>
      <w:bookmarkStart w:id="464" w:name="_Toc7169"/>
      <w:bookmarkStart w:id="465" w:name="_Toc30511"/>
      <w:bookmarkStart w:id="466" w:name="_Toc3322"/>
      <w:bookmarkStart w:id="467" w:name="_Toc4042"/>
      <w:bookmarkStart w:id="468" w:name="_Toc29706"/>
      <w:bookmarkStart w:id="469" w:name="_Toc7298"/>
      <w:bookmarkStart w:id="470" w:name="_Toc81896092"/>
      <w:bookmarkStart w:id="471" w:name="_Toc32002"/>
      <w:bookmarkStart w:id="472" w:name="_Toc12889"/>
      <w:bookmarkStart w:id="473" w:name="_Toc100946811"/>
      <w:bookmarkStart w:id="474" w:name="_Toc14633"/>
      <w:bookmarkStart w:id="475" w:name="_Toc18979"/>
      <w:bookmarkStart w:id="476" w:name="_Toc8374"/>
      <w:bookmarkStart w:id="477" w:name="_Toc75199008"/>
      <w:bookmarkStart w:id="478" w:name="_Toc27017"/>
      <w:bookmarkStart w:id="479" w:name="_Toc101259180"/>
      <w:bookmarkStart w:id="480" w:name="_Toc113559498"/>
      <w:bookmarkStart w:id="481" w:name="_Toc121"/>
      <w:bookmarkStart w:id="482" w:name="_Toc170"/>
      <w:bookmarkStart w:id="483" w:name="_Toc150"/>
      <w:bookmarkStart w:id="484" w:name="_Toc92225935"/>
      <w:bookmarkStart w:id="485" w:name="_Toc29880"/>
      <w:bookmarkStart w:id="486" w:name="_Toc29008"/>
      <w:bookmarkStart w:id="487" w:name="_Toc12255"/>
      <w:bookmarkStart w:id="488" w:name="_Toc31974"/>
      <w:r>
        <w:rPr>
          <w:szCs w:val="21"/>
          <w:lang w:val="zh-CN" w:eastAsia="zh-CN"/>
        </w:rPr>
        <w:t>11.保证</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adjustRightInd w:val="0"/>
        <w:snapToGrid w:val="0"/>
        <w:spacing w:line="360" w:lineRule="auto"/>
        <w:ind w:firstLine="440" w:firstLineChars="200"/>
        <w:rPr>
          <w:szCs w:val="21"/>
          <w:lang w:eastAsia="zh-CN"/>
        </w:rPr>
      </w:pPr>
      <w:r>
        <w:rPr>
          <w:rFonts w:hint="eastAsia"/>
          <w:szCs w:val="21"/>
          <w:lang w:eastAsia="zh-CN"/>
        </w:rPr>
        <w:t>增加以下条款：</w:t>
      </w:r>
    </w:p>
    <w:p>
      <w:pPr>
        <w:adjustRightInd w:val="0"/>
        <w:snapToGrid w:val="0"/>
        <w:spacing w:line="360" w:lineRule="auto"/>
        <w:ind w:firstLine="440" w:firstLineChars="200"/>
        <w:rPr>
          <w:szCs w:val="21"/>
          <w:lang w:eastAsia="zh-CN"/>
        </w:rPr>
      </w:pPr>
      <w:r>
        <w:rPr>
          <w:szCs w:val="21"/>
          <w:lang w:eastAsia="zh-CN"/>
        </w:rPr>
        <w:t>11.9卖方保证未经买方书面同意不对合同约定的设备、材料或工艺进行变更或替代。</w:t>
      </w:r>
    </w:p>
    <w:p>
      <w:pPr>
        <w:adjustRightInd w:val="0"/>
        <w:snapToGrid w:val="0"/>
        <w:spacing w:line="360" w:lineRule="auto"/>
        <w:ind w:firstLine="440" w:firstLineChars="200"/>
        <w:rPr>
          <w:szCs w:val="21"/>
          <w:lang w:eastAsia="zh-CN"/>
        </w:rPr>
      </w:pPr>
      <w:r>
        <w:rPr>
          <w:szCs w:val="21"/>
          <w:lang w:eastAsia="zh-CN"/>
        </w:rPr>
        <w:t xml:space="preserve">11.10 </w:t>
      </w:r>
      <w:r>
        <w:rPr>
          <w:rFonts w:hint="eastAsia"/>
          <w:szCs w:val="21"/>
          <w:lang w:eastAsia="zh-CN"/>
        </w:rPr>
        <w:t>材料或设备部件出现停产时，卖方应按下述规定提出变更或替代的申请：</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1）提交变更或替代的与合同约定的材料、设备或工艺之间的详细比较资料，证明所推荐的变更或替代方案完全符合合同文件的相关要求；</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2）提交变更或替代的材料、设备或工艺的工程应用实例及使用效果证明材料；</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3）由于变更或替代所引起的其它任何变化（包括费用变化）。</w:t>
      </w:r>
    </w:p>
    <w:p>
      <w:pPr>
        <w:adjustRightInd w:val="0"/>
        <w:snapToGrid w:val="0"/>
        <w:spacing w:line="360" w:lineRule="auto"/>
        <w:ind w:firstLine="440" w:firstLineChars="200"/>
        <w:rPr>
          <w:szCs w:val="21"/>
          <w:lang w:eastAsia="zh-CN"/>
        </w:rPr>
      </w:pPr>
      <w:r>
        <w:rPr>
          <w:szCs w:val="21"/>
          <w:lang w:eastAsia="zh-CN"/>
        </w:rPr>
        <w:t>11.11卖方保证承担因卖方原因引起的变更或替代所引起的其它任何变化的责任和增加的费用，且买方有权从合同价款中扣减因变更或替代降低的费用。</w:t>
      </w:r>
    </w:p>
    <w:p>
      <w:pPr>
        <w:adjustRightInd w:val="0"/>
        <w:snapToGrid w:val="0"/>
        <w:spacing w:line="360" w:lineRule="auto"/>
        <w:ind w:firstLine="440" w:firstLineChars="200"/>
        <w:rPr>
          <w:szCs w:val="21"/>
          <w:lang w:eastAsia="zh-CN"/>
        </w:rPr>
      </w:pPr>
      <w:r>
        <w:rPr>
          <w:szCs w:val="21"/>
          <w:lang w:eastAsia="zh-CN"/>
        </w:rPr>
        <w:t>11.12卖方保证因非卖方原因引起的变更或替代时卖方仅收取成本费用。</w:t>
      </w:r>
    </w:p>
    <w:p>
      <w:pPr>
        <w:adjustRightInd w:val="0"/>
        <w:snapToGrid w:val="0"/>
        <w:spacing w:line="360" w:lineRule="auto"/>
        <w:ind w:firstLine="440" w:firstLineChars="200"/>
        <w:rPr>
          <w:szCs w:val="21"/>
          <w:lang w:eastAsia="zh-CN"/>
        </w:rPr>
      </w:pPr>
      <w:r>
        <w:rPr>
          <w:szCs w:val="21"/>
          <w:lang w:eastAsia="zh-CN"/>
        </w:rPr>
        <w:t xml:space="preserve">11.13 </w:t>
      </w:r>
      <w:r>
        <w:rPr>
          <w:rFonts w:hint="eastAsia"/>
          <w:szCs w:val="21"/>
          <w:lang w:eastAsia="zh-CN"/>
        </w:rPr>
        <w:t>即使经买方书面同意进行了变更或替代，亦不免除或减轻卖方的合同责任。</w:t>
      </w:r>
    </w:p>
    <w:p>
      <w:pPr>
        <w:adjustRightInd w:val="0"/>
        <w:snapToGrid w:val="0"/>
        <w:spacing w:line="360" w:lineRule="auto"/>
        <w:ind w:firstLine="440" w:firstLineChars="200"/>
        <w:rPr>
          <w:szCs w:val="21"/>
          <w:lang w:eastAsia="zh-CN"/>
        </w:rPr>
      </w:pPr>
    </w:p>
    <w:p>
      <w:pPr>
        <w:keepNext/>
        <w:keepLines/>
        <w:shd w:val="clear" w:color="auto" w:fill="FFFFFF"/>
        <w:adjustRightInd w:val="0"/>
        <w:snapToGrid w:val="0"/>
        <w:spacing w:line="360" w:lineRule="auto"/>
        <w:outlineLvl w:val="2"/>
        <w:rPr>
          <w:szCs w:val="21"/>
          <w:lang w:val="zh-CN" w:eastAsia="zh-CN"/>
        </w:rPr>
      </w:pPr>
      <w:bookmarkStart w:id="489" w:name="_Toc6051"/>
      <w:bookmarkStart w:id="490" w:name="_Toc14387"/>
      <w:bookmarkStart w:id="491" w:name="_Toc26767"/>
      <w:bookmarkStart w:id="492" w:name="_Toc100946812"/>
      <w:bookmarkStart w:id="493" w:name="_Toc101259181"/>
      <w:bookmarkStart w:id="494" w:name="_Toc3233"/>
      <w:bookmarkStart w:id="495" w:name="_Toc15546"/>
      <w:bookmarkStart w:id="496" w:name="_Toc92225936"/>
      <w:bookmarkStart w:id="497" w:name="_Toc8327"/>
      <w:bookmarkStart w:id="498" w:name="_Toc24371"/>
      <w:bookmarkStart w:id="499" w:name="_Toc15140"/>
      <w:bookmarkStart w:id="500" w:name="_Toc8466"/>
      <w:bookmarkStart w:id="501" w:name="_Toc144"/>
      <w:bookmarkStart w:id="502" w:name="_Toc4707"/>
      <w:bookmarkStart w:id="503" w:name="_Toc3701"/>
      <w:bookmarkStart w:id="504" w:name="_Toc32258"/>
      <w:bookmarkStart w:id="505" w:name="_Toc113559499"/>
      <w:bookmarkStart w:id="506" w:name="_Toc9278"/>
      <w:bookmarkStart w:id="507" w:name="_Toc81896093"/>
      <w:bookmarkStart w:id="508" w:name="_Toc10202"/>
      <w:bookmarkStart w:id="509" w:name="_Toc40447190"/>
      <w:bookmarkStart w:id="510" w:name="_Toc11009"/>
      <w:bookmarkStart w:id="511" w:name="_Toc22907"/>
      <w:bookmarkStart w:id="512" w:name="_Toc75199009"/>
      <w:bookmarkStart w:id="513" w:name="_Toc26233"/>
      <w:bookmarkStart w:id="514" w:name="_Toc31662"/>
      <w:r>
        <w:rPr>
          <w:szCs w:val="21"/>
          <w:lang w:val="zh-CN" w:eastAsia="zh-CN"/>
        </w:rPr>
        <w:t>14.违约责任</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keepNext/>
        <w:keepLines/>
        <w:adjustRightInd w:val="0"/>
        <w:snapToGrid w:val="0"/>
        <w:spacing w:line="360" w:lineRule="auto"/>
        <w:outlineLvl w:val="3"/>
        <w:rPr>
          <w:bCs/>
          <w:szCs w:val="21"/>
          <w:lang w:val="zh-CN" w:eastAsia="zh-CN"/>
        </w:rPr>
      </w:pPr>
      <w:bookmarkStart w:id="515" w:name="_Toc20627"/>
      <w:bookmarkStart w:id="516" w:name="_Toc28053"/>
      <w:bookmarkStart w:id="517" w:name="_Toc75199010"/>
      <w:bookmarkStart w:id="518" w:name="_Toc6413"/>
      <w:bookmarkStart w:id="519" w:name="_Toc21002"/>
      <w:bookmarkStart w:id="520" w:name="_Toc32658"/>
      <w:bookmarkStart w:id="521" w:name="_Toc101259182"/>
      <w:bookmarkStart w:id="522" w:name="_Toc100946813"/>
      <w:bookmarkStart w:id="523" w:name="_Toc13708"/>
      <w:r>
        <w:rPr>
          <w:bCs/>
          <w:szCs w:val="21"/>
          <w:lang w:val="zh-CN" w:eastAsia="zh-CN"/>
        </w:rPr>
        <w:t xml:space="preserve">14.2 </w:t>
      </w:r>
      <w:r>
        <w:rPr>
          <w:rFonts w:hint="eastAsia"/>
          <w:bCs/>
          <w:szCs w:val="21"/>
          <w:lang w:val="zh-CN" w:eastAsia="zh-CN"/>
        </w:rPr>
        <w:t>卖方延迟履约</w:t>
      </w:r>
      <w:bookmarkEnd w:id="515"/>
      <w:bookmarkEnd w:id="516"/>
      <w:bookmarkEnd w:id="517"/>
      <w:bookmarkEnd w:id="518"/>
      <w:bookmarkEnd w:id="519"/>
      <w:bookmarkEnd w:id="520"/>
      <w:bookmarkEnd w:id="521"/>
      <w:bookmarkEnd w:id="522"/>
      <w:bookmarkEnd w:id="523"/>
    </w:p>
    <w:p>
      <w:pPr>
        <w:adjustRightInd w:val="0"/>
        <w:snapToGrid w:val="0"/>
        <w:spacing w:line="360" w:lineRule="auto"/>
        <w:ind w:firstLine="440" w:firstLineChars="200"/>
        <w:rPr>
          <w:szCs w:val="21"/>
          <w:lang w:eastAsia="zh-CN"/>
        </w:rPr>
      </w:pPr>
      <w:r>
        <w:rPr>
          <w:rFonts w:hint="eastAsia"/>
          <w:szCs w:val="21"/>
          <w:lang w:eastAsia="zh-CN"/>
        </w:rPr>
        <w:t>卖方未能在合同规定日期或合同双方所协商同意的延期期限内，将各批设备在合同指定的地点全部交货，卖方构成违约，卖方应按下列比例向买方支付违约金（不满</w:t>
      </w:r>
      <w:r>
        <w:rPr>
          <w:szCs w:val="21"/>
          <w:lang w:eastAsia="zh-CN"/>
        </w:rPr>
        <w:t>1周按1周计算）：</w:t>
      </w:r>
    </w:p>
    <w:p>
      <w:pPr>
        <w:adjustRightInd w:val="0"/>
        <w:snapToGrid w:val="0"/>
        <w:spacing w:line="360" w:lineRule="auto"/>
        <w:ind w:firstLine="440" w:firstLineChars="200"/>
        <w:rPr>
          <w:szCs w:val="21"/>
          <w:lang w:eastAsia="zh-CN"/>
        </w:rPr>
      </w:pPr>
      <w:r>
        <w:rPr>
          <w:rFonts w:hint="eastAsia"/>
          <w:szCs w:val="21"/>
          <w:lang w:eastAsia="zh-CN"/>
        </w:rPr>
        <w:t>（1）迟交1至4周，每周迟延交付违约金为合同价格的</w:t>
      </w:r>
      <w:r>
        <w:rPr>
          <w:rFonts w:hint="eastAsia"/>
          <w:szCs w:val="21"/>
          <w:lang w:val="en-US" w:eastAsia="zh-CN"/>
        </w:rPr>
        <w:t>5</w:t>
      </w:r>
      <w:r>
        <w:rPr>
          <w:szCs w:val="21"/>
          <w:lang w:eastAsia="zh-CN"/>
        </w:rPr>
        <w:t>‰</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（2）迟交5至8周，每周迟延交付违约金为合同价格的</w:t>
      </w:r>
      <w:r>
        <w:rPr>
          <w:rFonts w:hint="eastAsia"/>
          <w:szCs w:val="21"/>
          <w:lang w:val="en-US" w:eastAsia="zh-CN"/>
        </w:rPr>
        <w:t>10</w:t>
      </w:r>
      <w:r>
        <w:rPr>
          <w:szCs w:val="21"/>
          <w:lang w:eastAsia="zh-CN"/>
        </w:rPr>
        <w:t>‰</w:t>
      </w:r>
      <w:r>
        <w:rPr>
          <w:rFonts w:hint="eastAsia"/>
          <w:szCs w:val="21"/>
          <w:lang w:eastAsia="zh-CN"/>
        </w:rPr>
        <w:t>；</w:t>
      </w:r>
    </w:p>
    <w:p>
      <w:pPr>
        <w:adjustRightInd w:val="0"/>
        <w:snapToGrid w:val="0"/>
        <w:spacing w:line="360" w:lineRule="auto"/>
        <w:ind w:firstLine="440" w:firstLineChars="200"/>
        <w:rPr>
          <w:szCs w:val="21"/>
          <w:lang w:eastAsia="zh-CN"/>
        </w:rPr>
      </w:pPr>
      <w:r>
        <w:rPr>
          <w:rFonts w:hint="eastAsia"/>
          <w:szCs w:val="21"/>
          <w:lang w:eastAsia="zh-CN"/>
        </w:rPr>
        <w:t>（3）迟交8周以上，每周迟延交付违约金为合同价格的</w:t>
      </w:r>
      <w:r>
        <w:rPr>
          <w:rFonts w:hint="eastAsia"/>
          <w:szCs w:val="21"/>
          <w:lang w:val="en-US" w:eastAsia="zh-CN"/>
        </w:rPr>
        <w:t>20</w:t>
      </w:r>
      <w:r>
        <w:rPr>
          <w:szCs w:val="21"/>
          <w:lang w:eastAsia="zh-CN"/>
        </w:rPr>
        <w:t>‰</w:t>
      </w:r>
      <w:r>
        <w:rPr>
          <w:rFonts w:hint="eastAsia"/>
          <w:szCs w:val="21"/>
          <w:lang w:eastAsia="zh-CN"/>
        </w:rPr>
        <w:t>。</w:t>
      </w:r>
    </w:p>
    <w:p>
      <w:pPr>
        <w:adjustRightInd w:val="0"/>
        <w:snapToGrid w:val="0"/>
        <w:spacing w:line="360" w:lineRule="auto"/>
        <w:ind w:firstLine="440" w:firstLineChars="200"/>
        <w:rPr>
          <w:bCs/>
          <w:szCs w:val="21"/>
          <w:lang w:eastAsia="zh-CN"/>
        </w:rPr>
      </w:pPr>
      <w:r>
        <w:rPr>
          <w:rFonts w:hint="eastAsia"/>
          <w:bCs/>
          <w:szCs w:val="21"/>
          <w:lang w:eastAsia="zh-CN"/>
        </w:rPr>
        <w:t>合同设备应成套交货，每批次设备的实际交货时间以本批次最后一件货物的交货时间计算。</w:t>
      </w:r>
    </w:p>
    <w:p>
      <w:pPr>
        <w:adjustRightInd w:val="0"/>
        <w:snapToGrid w:val="0"/>
        <w:spacing w:line="360" w:lineRule="auto"/>
        <w:ind w:firstLine="442" w:firstLineChars="200"/>
        <w:rPr>
          <w:b/>
          <w:szCs w:val="21"/>
          <w:lang w:eastAsia="zh-CN"/>
        </w:rPr>
      </w:pPr>
      <w:r>
        <w:rPr>
          <w:rFonts w:hint="eastAsia"/>
          <w:b/>
          <w:szCs w:val="21"/>
          <w:lang w:eastAsia="zh-CN"/>
        </w:rPr>
        <w:t>卖方出现延期交货的迹象时，买方有权安排代表前往卖方工厂开展交货协调、催货等事宜。买方代表赴卖方工厂所发生的一切费用（包括往返交通、食宿、会务等）均由卖方承担。往返交通按最快捷的交通方式考虑，如飞机或高铁等。</w:t>
      </w:r>
    </w:p>
    <w:p>
      <w:pPr>
        <w:adjustRightInd w:val="0"/>
        <w:snapToGrid w:val="0"/>
        <w:spacing w:line="360" w:lineRule="auto"/>
        <w:ind w:firstLine="440" w:firstLineChars="200"/>
        <w:rPr>
          <w:szCs w:val="21"/>
          <w:lang w:eastAsia="zh-CN"/>
        </w:rPr>
      </w:pPr>
      <w:r>
        <w:rPr>
          <w:rFonts w:hint="eastAsia"/>
          <w:szCs w:val="21"/>
          <w:lang w:eastAsia="zh-CN"/>
        </w:rPr>
        <w:t>由于卖方原因未能按合同规定的时间向买方提交技术文件，卖方构成违约，卖方应按每张图纸或每份资料每天5</w:t>
      </w:r>
      <w:r>
        <w:rPr>
          <w:szCs w:val="21"/>
          <w:lang w:eastAsia="zh-CN"/>
        </w:rPr>
        <w:t>00元向买方支付违约金，一直到提供技术文件为止。提供的技术文件应达到相应阶段设计深度的要求，并不得随意修改。</w:t>
      </w:r>
    </w:p>
    <w:p>
      <w:pPr>
        <w:adjustRightInd w:val="0"/>
        <w:snapToGrid w:val="0"/>
        <w:spacing w:line="360" w:lineRule="auto"/>
        <w:ind w:firstLine="440" w:firstLineChars="200"/>
        <w:rPr>
          <w:szCs w:val="21"/>
          <w:lang w:eastAsia="zh-CN"/>
        </w:rPr>
      </w:pPr>
      <w:r>
        <w:rPr>
          <w:rFonts w:hint="eastAsia"/>
          <w:szCs w:val="21"/>
          <w:lang w:eastAsia="zh-CN"/>
        </w:rPr>
        <w:t>在设备调试及试验期间，以及质量保证期内，卖方未能按合同约定提供现场服务时，卖方构成违约，卖方应按每人每天</w:t>
      </w:r>
      <w:r>
        <w:rPr>
          <w:rFonts w:hint="eastAsia"/>
          <w:szCs w:val="21"/>
          <w:lang w:val="en-US" w:eastAsia="zh-CN"/>
        </w:rPr>
        <w:t>5</w:t>
      </w:r>
      <w:r>
        <w:rPr>
          <w:rFonts w:hint="eastAsia"/>
          <w:szCs w:val="21"/>
          <w:lang w:eastAsia="zh-CN"/>
        </w:rPr>
        <w:t>0</w:t>
      </w:r>
      <w:r>
        <w:rPr>
          <w:szCs w:val="21"/>
          <w:lang w:eastAsia="zh-CN"/>
        </w:rPr>
        <w:t>00元向买方支付违约金，直至提供现场服务时为止。</w:t>
      </w:r>
    </w:p>
    <w:p>
      <w:pPr>
        <w:adjustRightInd w:val="0"/>
        <w:snapToGrid w:val="0"/>
        <w:spacing w:line="360" w:lineRule="auto"/>
        <w:ind w:firstLine="440" w:firstLineChars="200"/>
        <w:rPr>
          <w:lang w:eastAsia="zh-CN"/>
        </w:rPr>
      </w:pPr>
      <w:r>
        <w:rPr>
          <w:szCs w:val="21"/>
          <w:lang w:eastAsia="zh-CN"/>
        </w:rPr>
        <w:t>出现紧急情况时，接买方通知后，</w:t>
      </w:r>
      <w:r>
        <w:rPr>
          <w:rFonts w:hint="eastAsia"/>
          <w:lang w:eastAsia="zh-CN"/>
        </w:rPr>
        <w:t>卖方未按应急响应承诺时间</w:t>
      </w:r>
      <w:r>
        <w:rPr>
          <w:rFonts w:hint="eastAsia"/>
          <w:szCs w:val="21"/>
          <w:lang w:eastAsia="zh-CN"/>
        </w:rPr>
        <w:t>内派员并</w:t>
      </w:r>
      <w:r>
        <w:rPr>
          <w:rFonts w:hint="eastAsia"/>
          <w:lang w:eastAsia="zh-CN"/>
        </w:rPr>
        <w:t>到达现场解决问题的，卖方构成违约，卖方应按每次2</w:t>
      </w:r>
      <w:r>
        <w:rPr>
          <w:lang w:eastAsia="zh-CN"/>
        </w:rPr>
        <w:t>万元向买方支付违约金；累计出现3次，买方有权解除合同，卖方承担全部责任及费用。</w:t>
      </w:r>
    </w:p>
    <w:p>
      <w:pPr>
        <w:adjustRightInd w:val="0"/>
        <w:snapToGrid w:val="0"/>
        <w:spacing w:line="360" w:lineRule="auto"/>
        <w:ind w:firstLine="440" w:firstLineChars="200"/>
        <w:rPr>
          <w:szCs w:val="21"/>
          <w:lang w:eastAsia="zh-CN"/>
        </w:rPr>
      </w:pPr>
      <w:r>
        <w:rPr>
          <w:rFonts w:hint="eastAsia"/>
          <w:szCs w:val="21"/>
          <w:lang w:eastAsia="zh-CN"/>
        </w:rPr>
        <w:t>卖方支付违约金并不解除其继续向买方交付合同设备、提交技术文件及提供现场服务的义务。</w:t>
      </w:r>
    </w:p>
    <w:p>
      <w:pPr>
        <w:keepNext/>
        <w:keepLines/>
        <w:adjustRightInd w:val="0"/>
        <w:snapToGrid w:val="0"/>
        <w:spacing w:line="360" w:lineRule="auto"/>
        <w:outlineLvl w:val="3"/>
        <w:rPr>
          <w:bCs/>
          <w:szCs w:val="21"/>
          <w:lang w:val="zh-CN" w:eastAsia="zh-CN"/>
        </w:rPr>
      </w:pPr>
      <w:bookmarkStart w:id="524" w:name="_Toc31069"/>
      <w:bookmarkStart w:id="525" w:name="_Toc100946814"/>
      <w:bookmarkStart w:id="526" w:name="_Toc75199011"/>
      <w:bookmarkStart w:id="527" w:name="_Toc18619"/>
      <w:bookmarkStart w:id="528" w:name="_Toc19696"/>
      <w:bookmarkStart w:id="529" w:name="_Toc101259183"/>
      <w:bookmarkStart w:id="530" w:name="_Toc2230"/>
      <w:bookmarkStart w:id="531" w:name="_Toc30410"/>
      <w:bookmarkStart w:id="532" w:name="_Toc6528"/>
      <w:r>
        <w:rPr>
          <w:bCs/>
          <w:szCs w:val="21"/>
          <w:lang w:val="zh-CN" w:eastAsia="zh-CN"/>
        </w:rPr>
        <w:t xml:space="preserve">14.3 </w:t>
      </w:r>
      <w:r>
        <w:rPr>
          <w:rFonts w:hint="eastAsia"/>
          <w:bCs/>
          <w:szCs w:val="21"/>
          <w:lang w:val="zh-CN" w:eastAsia="zh-CN"/>
        </w:rPr>
        <w:t>买方延迟付款</w:t>
      </w:r>
      <w:bookmarkEnd w:id="524"/>
      <w:bookmarkEnd w:id="525"/>
      <w:bookmarkEnd w:id="526"/>
      <w:bookmarkEnd w:id="527"/>
      <w:bookmarkEnd w:id="528"/>
      <w:bookmarkEnd w:id="529"/>
      <w:bookmarkEnd w:id="530"/>
      <w:bookmarkEnd w:id="531"/>
      <w:bookmarkEnd w:id="532"/>
    </w:p>
    <w:p>
      <w:pPr>
        <w:adjustRightInd w:val="0"/>
        <w:snapToGrid w:val="0"/>
        <w:spacing w:line="360" w:lineRule="auto"/>
        <w:ind w:firstLine="440" w:firstLineChars="200"/>
        <w:rPr>
          <w:szCs w:val="21"/>
          <w:lang w:eastAsia="zh-CN"/>
        </w:rPr>
      </w:pPr>
      <w:r>
        <w:rPr>
          <w:rFonts w:hint="eastAsia"/>
          <w:szCs w:val="21"/>
          <w:lang w:eastAsia="zh-CN"/>
        </w:rPr>
        <w:t>如果买方未按合同规定时间向卖方支付合同款，买方构成违约，买方应对延迟支付的合同款按同期银行贷款利率支付违约金。</w:t>
      </w:r>
    </w:p>
    <w:p>
      <w:pPr>
        <w:adjustRightInd w:val="0"/>
        <w:snapToGrid w:val="0"/>
        <w:spacing w:line="360" w:lineRule="auto"/>
        <w:ind w:firstLine="440" w:firstLineChars="200"/>
        <w:rPr>
          <w:szCs w:val="21"/>
          <w:lang w:eastAsia="zh-CN"/>
        </w:rPr>
      </w:pPr>
    </w:p>
    <w:p>
      <w:pPr>
        <w:adjustRightInd w:val="0"/>
        <w:snapToGrid w:val="0"/>
        <w:spacing w:line="360" w:lineRule="auto"/>
        <w:rPr>
          <w:szCs w:val="21"/>
          <w:lang w:eastAsia="zh-CN"/>
        </w:rPr>
      </w:pPr>
      <w:r>
        <w:rPr>
          <w:rFonts w:hint="eastAsia"/>
          <w:szCs w:val="21"/>
          <w:lang w:eastAsia="zh-CN"/>
        </w:rPr>
        <w:t>增加以下条款：</w:t>
      </w:r>
    </w:p>
    <w:p>
      <w:pPr>
        <w:keepNext/>
        <w:keepLines/>
        <w:adjustRightInd w:val="0"/>
        <w:snapToGrid w:val="0"/>
        <w:spacing w:line="360" w:lineRule="auto"/>
        <w:outlineLvl w:val="3"/>
        <w:rPr>
          <w:bCs/>
          <w:szCs w:val="21"/>
          <w:lang w:val="zh-CN" w:eastAsia="zh-CN"/>
        </w:rPr>
      </w:pPr>
      <w:bookmarkStart w:id="533" w:name="_Toc75199012"/>
      <w:bookmarkStart w:id="534" w:name="_Toc2878"/>
      <w:bookmarkStart w:id="535" w:name="_Toc100946815"/>
      <w:bookmarkStart w:id="536" w:name="_Toc27739"/>
      <w:bookmarkStart w:id="537" w:name="_Toc101259184"/>
      <w:bookmarkStart w:id="538" w:name="_Toc22162"/>
      <w:bookmarkStart w:id="539" w:name="_Toc29222"/>
      <w:bookmarkStart w:id="540" w:name="_Toc17208"/>
      <w:bookmarkStart w:id="541" w:name="_Toc28118"/>
      <w:r>
        <w:rPr>
          <w:bCs/>
          <w:szCs w:val="21"/>
          <w:lang w:val="zh-CN" w:eastAsia="zh-CN"/>
        </w:rPr>
        <w:t xml:space="preserve">14.4 </w:t>
      </w:r>
      <w:r>
        <w:rPr>
          <w:rFonts w:hint="eastAsia"/>
          <w:bCs/>
          <w:szCs w:val="21"/>
          <w:lang w:val="zh-CN" w:eastAsia="zh-CN"/>
        </w:rPr>
        <w:t>卖方设备缺陷</w:t>
      </w:r>
      <w:bookmarkEnd w:id="533"/>
      <w:bookmarkEnd w:id="534"/>
      <w:bookmarkEnd w:id="535"/>
      <w:bookmarkEnd w:id="536"/>
      <w:bookmarkEnd w:id="537"/>
      <w:bookmarkEnd w:id="538"/>
      <w:bookmarkEnd w:id="539"/>
      <w:bookmarkEnd w:id="540"/>
      <w:bookmarkEnd w:id="541"/>
    </w:p>
    <w:p>
      <w:pPr>
        <w:adjustRightInd w:val="0"/>
        <w:snapToGrid w:val="0"/>
        <w:spacing w:line="360" w:lineRule="auto"/>
        <w:ind w:firstLine="440" w:firstLineChars="200"/>
        <w:rPr>
          <w:szCs w:val="21"/>
          <w:lang w:eastAsia="zh-CN"/>
        </w:rPr>
      </w:pPr>
      <w:r>
        <w:rPr>
          <w:rFonts w:hint="eastAsia"/>
          <w:szCs w:val="21"/>
          <w:lang w:eastAsia="zh-CN"/>
        </w:rPr>
        <w:t>由于合同设备缺陷，且卖方未在买方要求的日期前消除缺陷，导致现场调试或交付使用日期延误时，卖方构成违约，卖方虽已承担了修复和</w:t>
      </w:r>
      <w:r>
        <w:rPr>
          <w:szCs w:val="21"/>
          <w:lang w:eastAsia="zh-CN"/>
        </w:rPr>
        <w:t>/或更换设备等的义务，还应按每台套设备每天5000元向买方支付违约金，时间计算从买方要求的日期开始至缺陷消除日期止。</w:t>
      </w:r>
    </w:p>
    <w:p>
      <w:pPr>
        <w:keepNext/>
        <w:keepLines/>
        <w:adjustRightInd w:val="0"/>
        <w:snapToGrid w:val="0"/>
        <w:spacing w:line="360" w:lineRule="auto"/>
        <w:outlineLvl w:val="3"/>
        <w:rPr>
          <w:lang w:val="zh-CN" w:eastAsia="zh-CN"/>
        </w:rPr>
      </w:pPr>
      <w:bookmarkStart w:id="542" w:name="_Toc101259185"/>
      <w:bookmarkStart w:id="543" w:name="_Toc24086"/>
      <w:bookmarkStart w:id="544" w:name="_Toc32649"/>
      <w:bookmarkStart w:id="545" w:name="_Toc12143"/>
      <w:bookmarkStart w:id="546" w:name="_Toc30920"/>
      <w:bookmarkStart w:id="547" w:name="_Toc20809"/>
      <w:bookmarkStart w:id="548" w:name="_Toc100946816"/>
      <w:bookmarkStart w:id="549" w:name="_Toc75199013"/>
      <w:bookmarkStart w:id="550" w:name="_Toc9634"/>
      <w:r>
        <w:rPr>
          <w:lang w:val="zh-CN" w:eastAsia="zh-CN"/>
        </w:rPr>
        <w:t xml:space="preserve">14.5 </w:t>
      </w:r>
      <w:r>
        <w:rPr>
          <w:rFonts w:hint="eastAsia"/>
          <w:lang w:val="zh-CN" w:eastAsia="zh-CN"/>
        </w:rPr>
        <w:t>卖方设备性能不满足合同保证值</w:t>
      </w:r>
      <w:bookmarkEnd w:id="542"/>
      <w:bookmarkEnd w:id="543"/>
      <w:bookmarkEnd w:id="544"/>
      <w:bookmarkEnd w:id="545"/>
      <w:bookmarkEnd w:id="546"/>
      <w:bookmarkEnd w:id="547"/>
      <w:bookmarkEnd w:id="548"/>
      <w:bookmarkEnd w:id="549"/>
      <w:bookmarkEnd w:id="550"/>
    </w:p>
    <w:p>
      <w:pPr>
        <w:adjustRightInd w:val="0"/>
        <w:snapToGrid w:val="0"/>
        <w:spacing w:line="360" w:lineRule="auto"/>
        <w:ind w:firstLine="440" w:firstLineChars="200"/>
        <w:rPr>
          <w:szCs w:val="21"/>
          <w:lang w:eastAsia="zh-CN"/>
        </w:rPr>
      </w:pPr>
      <w:r>
        <w:rPr>
          <w:rFonts w:hint="eastAsia"/>
          <w:szCs w:val="21"/>
          <w:lang w:eastAsia="zh-CN"/>
        </w:rPr>
        <w:t>若合同设备性能未达到合同规定，但买方决定接受时，卖方仍须承担违约责任并向买方支付违约金。且卖方仍有责任继续协助买方采取措施提高设备性能。</w:t>
      </w:r>
    </w:p>
    <w:p>
      <w:pPr>
        <w:adjustRightInd w:val="0"/>
        <w:snapToGrid w:val="0"/>
        <w:spacing w:line="360" w:lineRule="auto"/>
        <w:ind w:firstLine="440" w:firstLineChars="200"/>
        <w:rPr>
          <w:szCs w:val="21"/>
          <w:lang w:eastAsia="zh-CN"/>
        </w:rPr>
      </w:pPr>
      <w:r>
        <w:rPr>
          <w:rFonts w:hint="eastAsia"/>
          <w:szCs w:val="21"/>
          <w:lang w:eastAsia="zh-CN"/>
        </w:rPr>
        <w:t>违约金由买方综合考虑合同设备性能对工程后期运行维护成本费用增加、工程运行收益减少等的影响程度后决定。</w:t>
      </w:r>
    </w:p>
    <w:p>
      <w:pPr>
        <w:adjustRightInd w:val="0"/>
        <w:snapToGrid w:val="0"/>
        <w:spacing w:line="360" w:lineRule="auto"/>
        <w:ind w:firstLine="440" w:firstLineChars="200"/>
        <w:rPr>
          <w:szCs w:val="21"/>
          <w:lang w:eastAsia="zh-CN"/>
        </w:rPr>
      </w:pPr>
      <w:r>
        <w:rPr>
          <w:rFonts w:hint="eastAsia"/>
          <w:szCs w:val="21"/>
          <w:lang w:eastAsia="zh-CN"/>
        </w:rPr>
        <w:t>设备性能优于保证值时，卖方不得要求买方支付额外的款项。</w:t>
      </w:r>
    </w:p>
    <w:p>
      <w:pPr>
        <w:keepNext/>
        <w:keepLines/>
        <w:adjustRightInd w:val="0"/>
        <w:snapToGrid w:val="0"/>
        <w:spacing w:line="360" w:lineRule="auto"/>
        <w:outlineLvl w:val="3"/>
        <w:rPr>
          <w:bCs/>
          <w:szCs w:val="21"/>
          <w:lang w:val="zh-CN" w:eastAsia="zh-CN"/>
        </w:rPr>
      </w:pPr>
      <w:bookmarkStart w:id="551" w:name="_Toc75199014"/>
      <w:bookmarkStart w:id="552" w:name="_Toc100946817"/>
      <w:bookmarkStart w:id="553" w:name="_Toc101259186"/>
      <w:bookmarkStart w:id="554" w:name="_Toc26226"/>
      <w:bookmarkStart w:id="555" w:name="_Toc21168"/>
      <w:bookmarkStart w:id="556" w:name="_Toc22350"/>
      <w:bookmarkStart w:id="557" w:name="_Toc5351"/>
      <w:bookmarkStart w:id="558" w:name="_Toc19569"/>
      <w:bookmarkStart w:id="559" w:name="_Toc9083"/>
      <w:r>
        <w:rPr>
          <w:bCs/>
          <w:szCs w:val="21"/>
          <w:lang w:val="zh-CN" w:eastAsia="zh-CN"/>
        </w:rPr>
        <w:t>14.</w:t>
      </w:r>
      <w:r>
        <w:rPr>
          <w:rFonts w:hint="eastAsia"/>
          <w:bCs/>
          <w:szCs w:val="21"/>
          <w:lang w:eastAsia="zh-CN"/>
        </w:rPr>
        <w:t>6</w:t>
      </w:r>
      <w:r>
        <w:rPr>
          <w:bCs/>
          <w:szCs w:val="21"/>
          <w:lang w:val="zh-CN" w:eastAsia="zh-CN"/>
        </w:rPr>
        <w:t>违约金支付及限额</w:t>
      </w:r>
      <w:bookmarkEnd w:id="551"/>
      <w:bookmarkEnd w:id="552"/>
      <w:bookmarkEnd w:id="553"/>
      <w:bookmarkEnd w:id="554"/>
      <w:bookmarkEnd w:id="555"/>
      <w:bookmarkEnd w:id="556"/>
      <w:bookmarkEnd w:id="557"/>
      <w:bookmarkEnd w:id="558"/>
      <w:bookmarkEnd w:id="559"/>
    </w:p>
    <w:p>
      <w:pPr>
        <w:adjustRightInd w:val="0"/>
        <w:snapToGrid w:val="0"/>
        <w:spacing w:line="360" w:lineRule="auto"/>
        <w:ind w:firstLine="440" w:firstLineChars="200"/>
        <w:rPr>
          <w:szCs w:val="21"/>
          <w:lang w:eastAsia="zh-CN"/>
        </w:rPr>
      </w:pPr>
      <w:r>
        <w:rPr>
          <w:rFonts w:hint="eastAsia"/>
          <w:szCs w:val="21"/>
          <w:lang w:eastAsia="zh-CN"/>
        </w:rPr>
        <w:t>卖方违约且卖方未向买方直接支付违约金的情况下，买方可在通知卖方后，直接从应支付给卖方的合同款或卖方提交的履约担保中扣除违约金。</w:t>
      </w:r>
    </w:p>
    <w:p>
      <w:pPr>
        <w:adjustRightInd w:val="0"/>
        <w:snapToGrid w:val="0"/>
        <w:spacing w:line="360" w:lineRule="auto"/>
        <w:ind w:firstLine="440" w:firstLineChars="200"/>
        <w:rPr>
          <w:szCs w:val="21"/>
          <w:lang w:eastAsia="zh-CN"/>
        </w:rPr>
      </w:pPr>
      <w:r>
        <w:rPr>
          <w:rFonts w:hint="eastAsia"/>
          <w:szCs w:val="21"/>
          <w:highlight w:val="none"/>
          <w:lang w:eastAsia="zh-CN"/>
        </w:rPr>
        <w:t>任何一方的违约金的总金额不超过合同总价的</w:t>
      </w:r>
      <w:r>
        <w:rPr>
          <w:szCs w:val="21"/>
          <w:highlight w:val="none"/>
          <w:lang w:eastAsia="zh-CN"/>
        </w:rPr>
        <w:t>10％。</w:t>
      </w:r>
    </w:p>
    <w:p>
      <w:pPr>
        <w:keepNext/>
        <w:keepLines/>
        <w:shd w:val="clear" w:color="auto" w:fill="FFFFFF"/>
        <w:adjustRightInd w:val="0"/>
        <w:snapToGrid w:val="0"/>
        <w:spacing w:line="360" w:lineRule="auto"/>
        <w:outlineLvl w:val="2"/>
        <w:rPr>
          <w:szCs w:val="21"/>
          <w:lang w:val="zh-CN" w:eastAsia="zh-CN"/>
        </w:rPr>
      </w:pPr>
      <w:bookmarkStart w:id="560" w:name="_Toc40447191"/>
      <w:bookmarkStart w:id="561" w:name="_Toc29300"/>
      <w:bookmarkStart w:id="562" w:name="_Toc25163"/>
      <w:bookmarkStart w:id="563" w:name="_Toc2187"/>
      <w:bookmarkStart w:id="564" w:name="_Toc229"/>
      <w:bookmarkStart w:id="565" w:name="_Toc81896094"/>
      <w:bookmarkStart w:id="566" w:name="_Toc101259187"/>
      <w:bookmarkStart w:id="567" w:name="_Toc92225937"/>
      <w:bookmarkStart w:id="568" w:name="_Toc4601"/>
      <w:bookmarkStart w:id="569" w:name="_Toc5454"/>
      <w:bookmarkStart w:id="570" w:name="_Toc17786"/>
      <w:bookmarkStart w:id="571" w:name="_Toc2622"/>
      <w:bookmarkStart w:id="572" w:name="_Toc13544"/>
      <w:bookmarkStart w:id="573" w:name="_Toc1749"/>
      <w:bookmarkStart w:id="574" w:name="_Toc100946818"/>
      <w:bookmarkStart w:id="575" w:name="_Toc25429"/>
      <w:bookmarkStart w:id="576" w:name="_Toc7981"/>
      <w:bookmarkStart w:id="577" w:name="_Toc75199015"/>
      <w:bookmarkStart w:id="578" w:name="_Toc113559500"/>
      <w:bookmarkStart w:id="579" w:name="_Toc15100"/>
      <w:bookmarkStart w:id="580" w:name="_Toc11303"/>
      <w:bookmarkStart w:id="581" w:name="_Toc9954"/>
      <w:bookmarkStart w:id="582" w:name="_Toc8923"/>
      <w:bookmarkStart w:id="583" w:name="_Toc16681"/>
      <w:bookmarkStart w:id="584" w:name="_Toc23575"/>
      <w:bookmarkStart w:id="585" w:name="_Toc26252"/>
      <w:r>
        <w:rPr>
          <w:szCs w:val="21"/>
          <w:lang w:val="zh-CN" w:eastAsia="zh-CN"/>
        </w:rPr>
        <w:t>17.争议的解决</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adjustRightInd w:val="0"/>
        <w:snapToGrid w:val="0"/>
        <w:spacing w:line="360" w:lineRule="auto"/>
        <w:ind w:firstLine="440" w:firstLineChars="200"/>
        <w:rPr>
          <w:szCs w:val="21"/>
          <w:lang w:eastAsia="zh-CN"/>
        </w:rPr>
      </w:pPr>
      <w:r>
        <w:rPr>
          <w:rFonts w:hint="eastAsia"/>
          <w:szCs w:val="21"/>
          <w:lang w:eastAsia="zh-CN"/>
        </w:rPr>
        <w:t>在履行合同的过程中，双方应及时就争议问题进行友好协商，共同努力争取协商解决，并签订书面协议。协商不成时，任何一方均有权向工程所在地人民法院直接提起诉讼。</w:t>
      </w:r>
    </w:p>
    <w:p>
      <w:pPr>
        <w:adjustRightInd w:val="0"/>
        <w:snapToGrid w:val="0"/>
        <w:spacing w:line="360" w:lineRule="auto"/>
        <w:ind w:firstLine="440" w:firstLineChars="200"/>
        <w:rPr>
          <w:szCs w:val="21"/>
          <w:lang w:eastAsia="zh-CN"/>
        </w:rPr>
      </w:pPr>
      <w:r>
        <w:rPr>
          <w:rFonts w:hint="eastAsia"/>
          <w:szCs w:val="21"/>
          <w:lang w:eastAsia="zh-CN"/>
        </w:rPr>
        <w:t>在争议尚未获得解决之前，双方均应继续按合同履行各自的责任和义务。</w:t>
      </w:r>
    </w:p>
    <w:p>
      <w:pPr>
        <w:adjustRightInd w:val="0"/>
        <w:snapToGrid w:val="0"/>
        <w:spacing w:line="360" w:lineRule="auto"/>
        <w:ind w:firstLine="440" w:firstLineChars="200"/>
        <w:rPr>
          <w:szCs w:val="21"/>
          <w:lang w:eastAsia="zh-CN"/>
        </w:rPr>
      </w:pPr>
    </w:p>
    <w:p>
      <w:pPr>
        <w:adjustRightInd w:val="0"/>
        <w:snapToGrid w:val="0"/>
        <w:spacing w:line="360" w:lineRule="auto"/>
        <w:rPr>
          <w:lang w:eastAsia="zh-CN"/>
        </w:rPr>
      </w:pPr>
      <w:r>
        <w:rPr>
          <w:rFonts w:hint="eastAsia"/>
          <w:lang w:eastAsia="zh-CN"/>
        </w:rPr>
        <w:t>增加以下条款：</w:t>
      </w:r>
    </w:p>
    <w:p>
      <w:pPr>
        <w:keepNext/>
        <w:keepLines/>
        <w:shd w:val="clear" w:color="auto" w:fill="FFFFFF"/>
        <w:adjustRightInd w:val="0"/>
        <w:snapToGrid w:val="0"/>
        <w:spacing w:line="360" w:lineRule="auto"/>
        <w:outlineLvl w:val="2"/>
        <w:rPr>
          <w:szCs w:val="21"/>
          <w:lang w:val="zh-CN" w:eastAsia="zh-CN"/>
        </w:rPr>
      </w:pPr>
      <w:bookmarkStart w:id="586" w:name="_Toc21961"/>
      <w:bookmarkStart w:id="587" w:name="_Toc21067"/>
      <w:bookmarkStart w:id="588" w:name="_Toc9004"/>
      <w:bookmarkStart w:id="589" w:name="_Toc40447192"/>
      <w:bookmarkStart w:id="590" w:name="_Toc24471"/>
      <w:bookmarkStart w:id="591" w:name="_Toc26418"/>
      <w:bookmarkStart w:id="592" w:name="_Toc31020"/>
      <w:bookmarkStart w:id="593" w:name="_Toc92225938"/>
      <w:bookmarkStart w:id="594" w:name="_Toc113559501"/>
      <w:bookmarkStart w:id="595" w:name="_Toc100946819"/>
      <w:bookmarkStart w:id="596" w:name="_Toc2849"/>
      <w:bookmarkStart w:id="597" w:name="_Toc12372"/>
      <w:bookmarkStart w:id="598" w:name="_Toc29821"/>
      <w:bookmarkStart w:id="599" w:name="_Toc3447"/>
      <w:bookmarkStart w:id="600" w:name="_Toc10136"/>
      <w:bookmarkStart w:id="601" w:name="_Toc81896095"/>
      <w:bookmarkStart w:id="602" w:name="_Toc11561"/>
      <w:bookmarkStart w:id="603" w:name="_Toc25812"/>
      <w:bookmarkStart w:id="604" w:name="_Toc17794"/>
      <w:bookmarkStart w:id="605" w:name="_Toc31070"/>
      <w:bookmarkStart w:id="606" w:name="_Toc30716"/>
      <w:bookmarkStart w:id="607" w:name="_Toc28775"/>
      <w:bookmarkStart w:id="608" w:name="_Toc12458"/>
      <w:bookmarkStart w:id="609" w:name="_Toc75199016"/>
      <w:bookmarkStart w:id="610" w:name="_Toc101259188"/>
      <w:bookmarkStart w:id="611" w:name="_Toc11148"/>
      <w:r>
        <w:rPr>
          <w:szCs w:val="21"/>
          <w:lang w:val="zh-CN" w:eastAsia="zh-CN"/>
        </w:rPr>
        <w:t>18.索赔</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adjustRightInd w:val="0"/>
        <w:snapToGrid w:val="0"/>
        <w:spacing w:line="360" w:lineRule="auto"/>
        <w:ind w:firstLine="440" w:firstLineChars="200"/>
        <w:rPr>
          <w:szCs w:val="21"/>
          <w:lang w:eastAsia="zh-CN"/>
        </w:rPr>
      </w:pPr>
      <w:r>
        <w:rPr>
          <w:szCs w:val="21"/>
          <w:lang w:eastAsia="zh-CN"/>
        </w:rPr>
        <w:t xml:space="preserve">18.1 </w:t>
      </w:r>
      <w:r>
        <w:rPr>
          <w:rFonts w:hint="eastAsia"/>
          <w:szCs w:val="21"/>
          <w:lang w:eastAsia="zh-CN"/>
        </w:rPr>
        <w:t>若卖方未能在买方再次通知要求的时间（或双方协商的更长时间）之前消除违约行为，或合同设备性能未达到合同规定，且买方决定不接受时，买方有权选择以下方式要求卖方处理：</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1）卖方用符合合同规定的全新的部件和/或设备更换有缺陷的合同设备，该设备的质量保证期重新计算。更换合同设备所需的所有费用均由卖方承担，且不得影响工程的正常运行。</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2）按合同设备的缺陷和/或设备的损坏程度及买方遭受直接损失的金额，由双方协商对合同设备进行降价处理。</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3）卖方退还有缺陷的合同设备的合同款，并承担买方为重新采购、更换合同设备所发生的所有费用。</w:t>
      </w:r>
    </w:p>
    <w:p>
      <w:pPr>
        <w:adjustRightInd w:val="0"/>
        <w:snapToGrid w:val="0"/>
        <w:spacing w:line="360" w:lineRule="auto"/>
        <w:ind w:firstLine="440" w:firstLineChars="200"/>
        <w:rPr>
          <w:szCs w:val="21"/>
          <w:lang w:eastAsia="zh-CN"/>
        </w:rPr>
      </w:pPr>
      <w:r>
        <w:rPr>
          <w:rFonts w:hint="eastAsia"/>
          <w:szCs w:val="21"/>
          <w:lang w:eastAsia="zh-CN"/>
        </w:rPr>
        <w:t>（</w:t>
      </w:r>
      <w:r>
        <w:rPr>
          <w:szCs w:val="21"/>
          <w:lang w:eastAsia="zh-CN"/>
        </w:rPr>
        <w:t>4）其它买方认为方便的处理方式，卖方承担所有费用。</w:t>
      </w:r>
    </w:p>
    <w:p>
      <w:pPr>
        <w:adjustRightInd w:val="0"/>
        <w:snapToGrid w:val="0"/>
        <w:spacing w:line="360" w:lineRule="auto"/>
        <w:ind w:firstLine="440" w:firstLineChars="200"/>
        <w:rPr>
          <w:szCs w:val="21"/>
          <w:lang w:eastAsia="zh-CN"/>
        </w:rPr>
      </w:pPr>
      <w:r>
        <w:rPr>
          <w:rFonts w:hint="eastAsia"/>
          <w:szCs w:val="21"/>
          <w:lang w:eastAsia="zh-CN"/>
        </w:rPr>
        <w:t>在买方选择以上一种或几种处理方式时，卖方仍应赔偿买方的一切损失。</w:t>
      </w:r>
    </w:p>
    <w:p>
      <w:pPr>
        <w:adjustRightInd w:val="0"/>
        <w:snapToGrid w:val="0"/>
        <w:spacing w:line="360" w:lineRule="auto"/>
        <w:ind w:firstLine="440" w:firstLineChars="200"/>
        <w:rPr>
          <w:szCs w:val="21"/>
          <w:lang w:eastAsia="zh-CN"/>
        </w:rPr>
      </w:pPr>
      <w:r>
        <w:rPr>
          <w:szCs w:val="21"/>
          <w:lang w:eastAsia="zh-CN"/>
        </w:rPr>
        <w:t xml:space="preserve">18.2 </w:t>
      </w:r>
      <w:r>
        <w:rPr>
          <w:rFonts w:hint="eastAsia"/>
          <w:szCs w:val="21"/>
          <w:lang w:eastAsia="zh-CN"/>
        </w:rPr>
        <w:t>买方在要求卖方做出上述赔偿前，应书面向卖方提交索赔通知。</w:t>
      </w:r>
    </w:p>
    <w:p>
      <w:pPr>
        <w:adjustRightInd w:val="0"/>
        <w:snapToGrid w:val="0"/>
        <w:spacing w:line="360" w:lineRule="auto"/>
        <w:ind w:firstLine="440" w:firstLineChars="200"/>
        <w:rPr>
          <w:szCs w:val="21"/>
          <w:lang w:eastAsia="zh-CN"/>
        </w:rPr>
      </w:pPr>
      <w:r>
        <w:rPr>
          <w:szCs w:val="21"/>
          <w:lang w:eastAsia="zh-CN"/>
        </w:rPr>
        <w:t xml:space="preserve">18.3 </w:t>
      </w:r>
      <w:r>
        <w:rPr>
          <w:rFonts w:hint="eastAsia"/>
          <w:szCs w:val="21"/>
          <w:lang w:eastAsia="zh-CN"/>
        </w:rPr>
        <w:t>卖方在接到买方的索赔通知</w:t>
      </w:r>
      <w:r>
        <w:rPr>
          <w:szCs w:val="21"/>
          <w:lang w:eastAsia="zh-CN"/>
        </w:rPr>
        <w:t>14天内未作回复，则应理解为卖方已接受该索赔要求。</w:t>
      </w:r>
    </w:p>
    <w:p>
      <w:pPr>
        <w:adjustRightInd w:val="0"/>
        <w:snapToGrid w:val="0"/>
        <w:spacing w:line="360" w:lineRule="auto"/>
        <w:ind w:firstLine="440" w:firstLineChars="200"/>
        <w:rPr>
          <w:lang w:eastAsia="zh-CN"/>
        </w:rPr>
      </w:pPr>
      <w:r>
        <w:rPr>
          <w:szCs w:val="21"/>
          <w:lang w:eastAsia="zh-CN"/>
        </w:rPr>
        <w:t xml:space="preserve">18.4 </w:t>
      </w:r>
      <w:r>
        <w:rPr>
          <w:rFonts w:hint="eastAsia"/>
          <w:szCs w:val="21"/>
          <w:lang w:eastAsia="zh-CN"/>
        </w:rPr>
        <w:t>在接受买方的索赔要求后</w:t>
      </w:r>
      <w:r>
        <w:rPr>
          <w:szCs w:val="21"/>
          <w:lang w:eastAsia="zh-CN"/>
        </w:rPr>
        <w:t>28天（或双方协商的更长时间）内，若卖方未能按照买方要求的方式来处理索赔，则买方可直接从应支付合同款中扣款或卖方提交的履约担保中追索。</w:t>
      </w:r>
    </w:p>
    <w:p>
      <w:pPr>
        <w:adjustRightInd w:val="0"/>
        <w:snapToGrid w:val="0"/>
        <w:spacing w:line="360" w:lineRule="auto"/>
        <w:ind w:firstLine="440" w:firstLineChars="200"/>
        <w:rPr>
          <w:szCs w:val="21"/>
          <w:lang w:eastAsia="zh-CN"/>
        </w:rPr>
      </w:pPr>
    </w:p>
    <w:p>
      <w:pPr>
        <w:keepNext/>
        <w:keepLines/>
        <w:shd w:val="clear" w:color="auto" w:fill="FFFFFF"/>
        <w:adjustRightInd w:val="0"/>
        <w:snapToGrid w:val="0"/>
        <w:spacing w:line="360" w:lineRule="auto"/>
        <w:outlineLvl w:val="2"/>
        <w:rPr>
          <w:szCs w:val="21"/>
          <w:lang w:val="zh-CN" w:eastAsia="zh-CN"/>
        </w:rPr>
      </w:pPr>
      <w:bookmarkStart w:id="612" w:name="_Toc17523"/>
      <w:bookmarkStart w:id="613" w:name="_Toc81896096"/>
      <w:bookmarkStart w:id="614" w:name="_Toc8765"/>
      <w:bookmarkStart w:id="615" w:name="_Toc13234"/>
      <w:bookmarkStart w:id="616" w:name="_Toc113559502"/>
      <w:bookmarkStart w:id="617" w:name="_Toc10771"/>
      <w:bookmarkStart w:id="618" w:name="_Toc20342"/>
      <w:bookmarkStart w:id="619" w:name="_Toc23748"/>
      <w:bookmarkStart w:id="620" w:name="_Toc13615"/>
      <w:bookmarkStart w:id="621" w:name="_Toc13592"/>
      <w:bookmarkStart w:id="622" w:name="_Toc5051"/>
      <w:bookmarkStart w:id="623" w:name="_Toc92225939"/>
      <w:bookmarkStart w:id="624" w:name="_Toc6821"/>
      <w:bookmarkStart w:id="625" w:name="_Toc13086"/>
      <w:bookmarkStart w:id="626" w:name="_Toc100946820"/>
      <w:bookmarkStart w:id="627" w:name="_Toc31542"/>
      <w:bookmarkStart w:id="628" w:name="_Toc20300"/>
      <w:bookmarkStart w:id="629" w:name="_Toc21471"/>
      <w:bookmarkStart w:id="630" w:name="_Toc21164"/>
      <w:bookmarkStart w:id="631" w:name="_Toc40447193"/>
      <w:bookmarkStart w:id="632" w:name="_Toc101259189"/>
      <w:bookmarkStart w:id="633" w:name="_Toc14583"/>
      <w:bookmarkStart w:id="634" w:name="_Toc13554"/>
      <w:bookmarkStart w:id="635" w:name="_Toc75199017"/>
      <w:bookmarkStart w:id="636" w:name="_Toc23929"/>
      <w:bookmarkStart w:id="637" w:name="_Toc5895"/>
      <w:r>
        <w:rPr>
          <w:szCs w:val="21"/>
          <w:lang w:val="zh-CN" w:eastAsia="zh-CN"/>
        </w:rPr>
        <w:t>19.税费</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pPr>
        <w:adjustRightInd w:val="0"/>
        <w:snapToGrid w:val="0"/>
        <w:spacing w:line="360" w:lineRule="auto"/>
        <w:ind w:firstLine="440" w:firstLineChars="200"/>
        <w:rPr>
          <w:szCs w:val="21"/>
          <w:lang w:eastAsia="zh-CN"/>
        </w:rPr>
      </w:pPr>
      <w:r>
        <w:rPr>
          <w:rFonts w:hint="eastAsia"/>
          <w:szCs w:val="21"/>
          <w:lang w:eastAsia="zh-CN"/>
        </w:rPr>
        <w:t>根据国家税收相关法律法规所征收的与执行本合同有关的一切税费均由卖方承担。卖方应按国家有关规定申报和缴纳执行本合同项下的全部税费。</w:t>
      </w:r>
    </w:p>
    <w:p>
      <w:pPr>
        <w:adjustRightInd w:val="0"/>
        <w:snapToGrid w:val="0"/>
        <w:spacing w:line="360" w:lineRule="auto"/>
        <w:ind w:firstLine="440" w:firstLineChars="200"/>
        <w:rPr>
          <w:szCs w:val="21"/>
          <w:lang w:eastAsia="zh-CN"/>
        </w:rPr>
      </w:pPr>
    </w:p>
    <w:p>
      <w:pPr>
        <w:keepNext/>
        <w:keepLines/>
        <w:shd w:val="clear" w:color="auto" w:fill="FFFFFF"/>
        <w:adjustRightInd w:val="0"/>
        <w:snapToGrid w:val="0"/>
        <w:spacing w:line="360" w:lineRule="auto"/>
        <w:outlineLvl w:val="2"/>
        <w:rPr>
          <w:szCs w:val="21"/>
          <w:lang w:val="zh-CN" w:eastAsia="zh-CN"/>
        </w:rPr>
      </w:pPr>
      <w:bookmarkStart w:id="638" w:name="_Toc92225940"/>
      <w:bookmarkStart w:id="639" w:name="_Toc101259190"/>
      <w:bookmarkStart w:id="640" w:name="_Toc32184"/>
      <w:bookmarkStart w:id="641" w:name="_Toc16150"/>
      <w:bookmarkStart w:id="642" w:name="_Toc3617"/>
      <w:bookmarkStart w:id="643" w:name="_Toc29128"/>
      <w:bookmarkStart w:id="644" w:name="_Toc28712"/>
      <w:bookmarkStart w:id="645" w:name="_Toc28417"/>
      <w:bookmarkStart w:id="646" w:name="_Toc11377"/>
      <w:bookmarkStart w:id="647" w:name="_Toc6943"/>
      <w:bookmarkStart w:id="648" w:name="_Toc4901"/>
      <w:bookmarkStart w:id="649" w:name="_Toc12726"/>
      <w:bookmarkStart w:id="650" w:name="_Toc8930"/>
      <w:bookmarkStart w:id="651" w:name="_Toc113559503"/>
      <w:bookmarkStart w:id="652" w:name="_Toc100946821"/>
      <w:bookmarkStart w:id="653" w:name="_Toc7565"/>
      <w:bookmarkStart w:id="654" w:name="_Toc81896097"/>
      <w:bookmarkStart w:id="655" w:name="_Toc29423"/>
      <w:bookmarkStart w:id="656" w:name="_Toc21302"/>
      <w:bookmarkStart w:id="657" w:name="_Toc31882"/>
      <w:bookmarkStart w:id="658" w:name="_Toc31154"/>
      <w:bookmarkStart w:id="659" w:name="_Toc23742"/>
      <w:bookmarkStart w:id="660" w:name="_Toc40447194"/>
      <w:bookmarkStart w:id="661" w:name="_Toc20789"/>
      <w:bookmarkStart w:id="662" w:name="_Toc429"/>
      <w:bookmarkStart w:id="663" w:name="_Toc75199018"/>
      <w:r>
        <w:rPr>
          <w:szCs w:val="21"/>
          <w:lang w:val="zh-CN" w:eastAsia="zh-CN"/>
        </w:rPr>
        <w:t>20.保险</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pPr>
        <w:adjustRightInd w:val="0"/>
        <w:snapToGrid w:val="0"/>
        <w:spacing w:line="360" w:lineRule="auto"/>
        <w:ind w:firstLine="440" w:firstLineChars="200"/>
        <w:rPr>
          <w:szCs w:val="21"/>
          <w:lang w:eastAsia="zh-CN"/>
        </w:rPr>
      </w:pPr>
      <w:r>
        <w:rPr>
          <w:rFonts w:hint="eastAsia"/>
          <w:szCs w:val="21"/>
          <w:lang w:eastAsia="zh-CN"/>
        </w:rPr>
        <w:t>卖方应对合同设备在制造、存放、运输、交货至现场，直至移交买方前的全过程中的丢失或损坏等进行全面保险。保险金额为合同设备价格的</w:t>
      </w:r>
      <w:r>
        <w:rPr>
          <w:szCs w:val="21"/>
          <w:lang w:eastAsia="zh-CN"/>
        </w:rPr>
        <w:t>100%。</w:t>
      </w:r>
    </w:p>
    <w:p>
      <w:pPr>
        <w:spacing w:line="510" w:lineRule="exact"/>
        <w:rPr>
          <w:szCs w:val="21"/>
          <w:lang w:eastAsia="zh-CN"/>
        </w:rPr>
      </w:pPr>
      <w:r>
        <w:rPr>
          <w:rFonts w:hint="eastAsia"/>
          <w:szCs w:val="21"/>
          <w:lang w:eastAsia="zh-CN"/>
        </w:rPr>
        <w:t>卖方必须为其在工地参加合同设备安装、试运行和技术服务的人员按国家相关规定投保人身意外险、雇主责任险等。</w:t>
      </w:r>
    </w:p>
    <w:p>
      <w:pPr>
        <w:pStyle w:val="173"/>
      </w:pPr>
      <w:bookmarkStart w:id="664" w:name="_Toc22032793"/>
      <w:bookmarkStart w:id="665" w:name="_Toc113559504"/>
    </w:p>
    <w:p>
      <w:pPr>
        <w:pStyle w:val="173"/>
      </w:pPr>
    </w:p>
    <w:p>
      <w:pPr>
        <w:pStyle w:val="173"/>
      </w:pPr>
    </w:p>
    <w:p>
      <w:pPr>
        <w:pStyle w:val="173"/>
      </w:pPr>
    </w:p>
    <w:p>
      <w:pPr>
        <w:pStyle w:val="173"/>
      </w:pPr>
    </w:p>
    <w:p>
      <w:pPr>
        <w:pStyle w:val="173"/>
        <w:keepNext/>
        <w:keepLines/>
        <w:shd w:val="clear" w:color="auto" w:fill="auto"/>
        <w:spacing w:before="0" w:after="582" w:line="320" w:lineRule="exact"/>
        <w:ind w:right="40"/>
        <w:jc w:val="center"/>
        <w:rPr>
          <w:rFonts w:ascii="黑体" w:hAnsi="黑体" w:eastAsia="黑体" w:cs="黑体"/>
          <w:sz w:val="30"/>
          <w:szCs w:val="30"/>
        </w:rPr>
      </w:pPr>
      <w:bookmarkStart w:id="666" w:name="_Toc11102"/>
      <w:bookmarkStart w:id="667" w:name="_Toc18406"/>
      <w:bookmarkStart w:id="668" w:name="_Toc13538"/>
      <w:bookmarkStart w:id="669" w:name="_Toc29742"/>
      <w:r>
        <w:rPr>
          <w:rFonts w:hint="eastAsia" w:ascii="黑体" w:hAnsi="黑体" w:eastAsia="黑体" w:cs="黑体"/>
          <w:sz w:val="30"/>
          <w:szCs w:val="30"/>
        </w:rPr>
        <w:t>第三节 合同附件格式</w:t>
      </w:r>
      <w:bookmarkEnd w:id="664"/>
      <w:bookmarkEnd w:id="665"/>
      <w:bookmarkEnd w:id="666"/>
      <w:bookmarkEnd w:id="667"/>
      <w:bookmarkEnd w:id="668"/>
      <w:bookmarkEnd w:id="669"/>
    </w:p>
    <w:p>
      <w:pPr>
        <w:pStyle w:val="2"/>
        <w:rPr>
          <w:lang w:eastAsia="zh-CN"/>
        </w:rPr>
      </w:pPr>
    </w:p>
    <w:p>
      <w:pPr>
        <w:pStyle w:val="173"/>
        <w:keepNext/>
        <w:keepLines/>
        <w:adjustRightInd w:val="0"/>
        <w:snapToGrid w:val="0"/>
        <w:spacing w:before="0" w:after="0" w:line="440" w:lineRule="exact"/>
        <w:outlineLvl w:val="2"/>
      </w:pPr>
      <w:bookmarkStart w:id="670" w:name="_Toc102983310"/>
      <w:bookmarkStart w:id="671" w:name="_Toc17746"/>
      <w:bookmarkStart w:id="672" w:name="_Toc1881"/>
      <w:bookmarkStart w:id="673" w:name="_Toc113559505"/>
      <w:bookmarkStart w:id="674" w:name="_Toc22032794"/>
      <w:bookmarkStart w:id="675" w:name="_Toc11249"/>
      <w:bookmarkStart w:id="676" w:name="_Toc5837"/>
      <w:r>
        <w:rPr>
          <w:sz w:val="21"/>
          <w:szCs w:val="21"/>
        </w:rPr>
        <w:t>附件一：合同协议书</w:t>
      </w:r>
      <w:bookmarkEnd w:id="670"/>
      <w:bookmarkEnd w:id="671"/>
      <w:bookmarkEnd w:id="672"/>
      <w:bookmarkEnd w:id="673"/>
      <w:bookmarkEnd w:id="674"/>
      <w:bookmarkEnd w:id="675"/>
      <w:bookmarkEnd w:id="676"/>
    </w:p>
    <w:p>
      <w:pPr>
        <w:pStyle w:val="187"/>
        <w:keepNext/>
        <w:keepLines/>
        <w:shd w:val="clear" w:color="auto" w:fill="auto"/>
        <w:spacing w:after="0" w:line="260" w:lineRule="exact"/>
        <w:ind w:left="20"/>
      </w:pPr>
      <w:bookmarkStart w:id="677" w:name="_Toc20769"/>
      <w:bookmarkStart w:id="678" w:name="_Toc113559506"/>
      <w:bookmarkStart w:id="679" w:name="_Toc102983311"/>
      <w:bookmarkStart w:id="680" w:name="_Toc25350"/>
      <w:bookmarkStart w:id="681" w:name="_Toc31320"/>
      <w:bookmarkStart w:id="682" w:name="_Toc16928"/>
      <w:r>
        <w:t>合同协议书</w:t>
      </w:r>
      <w:bookmarkEnd w:id="677"/>
      <w:bookmarkEnd w:id="678"/>
      <w:bookmarkEnd w:id="679"/>
      <w:bookmarkEnd w:id="680"/>
      <w:bookmarkEnd w:id="681"/>
      <w:bookmarkEnd w:id="682"/>
    </w:p>
    <w:p>
      <w:pPr>
        <w:tabs>
          <w:tab w:val="left" w:leader="underscore" w:pos="3075"/>
          <w:tab w:val="left" w:leader="underscore" w:pos="8096"/>
        </w:tabs>
        <w:spacing w:line="437" w:lineRule="exact"/>
        <w:ind w:firstLine="440" w:firstLineChars="200"/>
        <w:rPr>
          <w:lang w:eastAsia="zh-CN"/>
        </w:rPr>
      </w:pPr>
      <w:r>
        <w:rPr>
          <w:rFonts w:hint="eastAsia"/>
          <w:u w:val="single"/>
          <w:lang w:eastAsia="zh-CN"/>
        </w:rPr>
        <w:t xml:space="preserve">              </w:t>
      </w:r>
      <w:r>
        <w:rPr>
          <w:lang w:eastAsia="zh-CN"/>
        </w:rPr>
        <w:t>（买方</w:t>
      </w:r>
      <w:r>
        <w:rPr>
          <w:rFonts w:hint="eastAsia"/>
          <w:lang w:eastAsia="zh-CN"/>
        </w:rPr>
        <w:t>)</w:t>
      </w:r>
      <w:r>
        <w:rPr>
          <w:lang w:eastAsia="zh-CN"/>
        </w:rPr>
        <w:t>为获得</w:t>
      </w:r>
      <w:r>
        <w:rPr>
          <w:rFonts w:hint="eastAsia"/>
          <w:u w:val="single"/>
          <w:lang w:eastAsia="zh-CN"/>
        </w:rPr>
        <w:t xml:space="preserve">              </w:t>
      </w:r>
      <w:r>
        <w:rPr>
          <w:lang w:eastAsia="zh-CN"/>
        </w:rPr>
        <w:t>(项目名称</w:t>
      </w:r>
      <w:r>
        <w:rPr>
          <w:lang w:eastAsia="zh-CN" w:bidi="en-US"/>
        </w:rPr>
        <w:t>）合同设备和技术服务和质保期服务</w:t>
      </w:r>
      <w:r>
        <w:rPr>
          <w:lang w:eastAsia="zh-CN"/>
        </w:rPr>
        <w:t>，己接受</w:t>
      </w:r>
      <w:r>
        <w:rPr>
          <w:rFonts w:hint="eastAsia"/>
          <w:u w:val="single"/>
          <w:lang w:eastAsia="zh-CN"/>
        </w:rPr>
        <w:t xml:space="preserve">                      </w:t>
      </w:r>
      <w:r>
        <w:rPr>
          <w:lang w:eastAsia="zh-CN"/>
        </w:rPr>
        <w:t>(卖方</w:t>
      </w:r>
      <w:r>
        <w:rPr>
          <w:lang w:eastAsia="zh-CN" w:bidi="en-US"/>
        </w:rPr>
        <w:t>）为提供上述合同设备和技术服务和质保期服务所作的</w:t>
      </w:r>
      <w:r>
        <w:rPr>
          <w:rFonts w:hint="eastAsia"/>
          <w:lang w:eastAsia="zh-CN" w:bidi="en-US"/>
        </w:rPr>
        <w:t>报价</w:t>
      </w:r>
      <w:r>
        <w:rPr>
          <w:lang w:eastAsia="zh-CN"/>
        </w:rPr>
        <w:t>。买方买方和卖方共同达成如下协议。</w:t>
      </w:r>
    </w:p>
    <w:p>
      <w:pPr>
        <w:tabs>
          <w:tab w:val="left" w:pos="774"/>
        </w:tabs>
        <w:spacing w:line="437" w:lineRule="exact"/>
        <w:ind w:left="440"/>
        <w:outlineLvl w:val="2"/>
        <w:rPr>
          <w:lang w:eastAsia="zh-CN"/>
        </w:rPr>
      </w:pPr>
      <w:bookmarkStart w:id="683" w:name="_Toc1582"/>
      <w:bookmarkStart w:id="684" w:name="_Toc13007"/>
      <w:bookmarkStart w:id="685" w:name="_Toc113559507"/>
      <w:bookmarkStart w:id="686" w:name="_Toc28850"/>
      <w:bookmarkStart w:id="687" w:name="_Toc7405"/>
      <w:r>
        <w:rPr>
          <w:rFonts w:hint="eastAsia"/>
          <w:lang w:eastAsia="zh-CN"/>
        </w:rPr>
        <w:t>1.本协议书与下列文件一起构成合同文件：</w:t>
      </w:r>
      <w:bookmarkEnd w:id="683"/>
      <w:bookmarkEnd w:id="684"/>
      <w:bookmarkEnd w:id="685"/>
      <w:bookmarkEnd w:id="686"/>
      <w:bookmarkEnd w:id="687"/>
    </w:p>
    <w:p>
      <w:pPr>
        <w:tabs>
          <w:tab w:val="left" w:pos="774"/>
        </w:tabs>
        <w:spacing w:line="437" w:lineRule="exact"/>
        <w:ind w:left="440"/>
        <w:rPr>
          <w:lang w:eastAsia="zh-CN"/>
        </w:rPr>
      </w:pPr>
      <w:r>
        <w:rPr>
          <w:rFonts w:hint="eastAsia"/>
          <w:lang w:eastAsia="zh-CN"/>
        </w:rPr>
        <w:t>(1)</w:t>
      </w:r>
      <w:r>
        <w:rPr>
          <w:rFonts w:hint="eastAsia"/>
          <w:lang w:eastAsia="zh-CN"/>
        </w:rPr>
        <w:tab/>
      </w:r>
      <w:r>
        <w:rPr>
          <w:rFonts w:hint="eastAsia"/>
          <w:lang w:eastAsia="zh-CN"/>
        </w:rPr>
        <w:t>中标通知书；</w:t>
      </w:r>
    </w:p>
    <w:p>
      <w:pPr>
        <w:tabs>
          <w:tab w:val="left" w:pos="774"/>
        </w:tabs>
        <w:spacing w:line="437" w:lineRule="exact"/>
        <w:ind w:left="440"/>
        <w:rPr>
          <w:lang w:eastAsia="zh-CN"/>
        </w:rPr>
      </w:pPr>
      <w:r>
        <w:rPr>
          <w:rFonts w:hint="eastAsia"/>
          <w:lang w:eastAsia="zh-CN"/>
        </w:rPr>
        <w:t>(2)</w:t>
      </w:r>
      <w:r>
        <w:rPr>
          <w:rFonts w:hint="eastAsia"/>
          <w:lang w:eastAsia="zh-CN"/>
        </w:rPr>
        <w:tab/>
      </w:r>
      <w:r>
        <w:rPr>
          <w:rFonts w:hint="eastAsia"/>
          <w:lang w:eastAsia="zh-CN"/>
        </w:rPr>
        <w:t>报价函；</w:t>
      </w:r>
    </w:p>
    <w:p>
      <w:pPr>
        <w:tabs>
          <w:tab w:val="left" w:pos="774"/>
        </w:tabs>
        <w:spacing w:line="437" w:lineRule="exact"/>
        <w:ind w:left="440"/>
        <w:rPr>
          <w:lang w:eastAsia="zh-CN"/>
        </w:rPr>
      </w:pPr>
      <w:r>
        <w:rPr>
          <w:rFonts w:hint="eastAsia"/>
          <w:lang w:eastAsia="zh-CN"/>
        </w:rPr>
        <w:t>(3)</w:t>
      </w:r>
      <w:r>
        <w:rPr>
          <w:rFonts w:hint="eastAsia"/>
          <w:lang w:eastAsia="zh-CN"/>
        </w:rPr>
        <w:tab/>
      </w:r>
      <w:r>
        <w:rPr>
          <w:rFonts w:hint="eastAsia"/>
          <w:lang w:eastAsia="zh-CN"/>
        </w:rPr>
        <w:t>专用合同条款；</w:t>
      </w:r>
    </w:p>
    <w:p>
      <w:pPr>
        <w:tabs>
          <w:tab w:val="left" w:pos="774"/>
        </w:tabs>
        <w:spacing w:line="437" w:lineRule="exact"/>
        <w:ind w:left="440"/>
        <w:rPr>
          <w:lang w:eastAsia="zh-CN"/>
        </w:rPr>
      </w:pPr>
      <w:r>
        <w:rPr>
          <w:rFonts w:hint="eastAsia"/>
          <w:lang w:eastAsia="zh-CN"/>
        </w:rPr>
        <w:t>(4)</w:t>
      </w:r>
      <w:r>
        <w:rPr>
          <w:rFonts w:hint="eastAsia"/>
          <w:lang w:eastAsia="zh-CN"/>
        </w:rPr>
        <w:tab/>
      </w:r>
      <w:r>
        <w:rPr>
          <w:rFonts w:hint="eastAsia"/>
          <w:lang w:eastAsia="zh-CN"/>
        </w:rPr>
        <w:t>通用合同条款；</w:t>
      </w:r>
    </w:p>
    <w:p>
      <w:pPr>
        <w:tabs>
          <w:tab w:val="left" w:pos="774"/>
        </w:tabs>
        <w:spacing w:line="437" w:lineRule="exact"/>
        <w:ind w:left="440"/>
        <w:rPr>
          <w:lang w:eastAsia="zh-CN"/>
        </w:rPr>
      </w:pPr>
      <w:r>
        <w:rPr>
          <w:rFonts w:hint="eastAsia"/>
          <w:lang w:eastAsia="zh-CN"/>
        </w:rPr>
        <w:t>(5)</w:t>
      </w:r>
      <w:r>
        <w:rPr>
          <w:rFonts w:hint="eastAsia"/>
          <w:lang w:eastAsia="zh-CN"/>
        </w:rPr>
        <w:tab/>
      </w:r>
      <w:r>
        <w:rPr>
          <w:rFonts w:hint="eastAsia"/>
          <w:lang w:eastAsia="zh-CN"/>
        </w:rPr>
        <w:t>分项报价表；</w:t>
      </w:r>
    </w:p>
    <w:p>
      <w:pPr>
        <w:tabs>
          <w:tab w:val="left" w:pos="774"/>
        </w:tabs>
        <w:spacing w:line="437" w:lineRule="exact"/>
        <w:ind w:left="440"/>
        <w:rPr>
          <w:lang w:eastAsia="zh-CN"/>
        </w:rPr>
      </w:pPr>
      <w:r>
        <w:rPr>
          <w:rFonts w:hint="eastAsia"/>
          <w:lang w:eastAsia="zh-CN"/>
        </w:rPr>
        <w:t>(6)设备性能、参数表。</w:t>
      </w:r>
    </w:p>
    <w:p>
      <w:pPr>
        <w:tabs>
          <w:tab w:val="left" w:pos="774"/>
        </w:tabs>
        <w:spacing w:line="437" w:lineRule="exact"/>
        <w:ind w:left="440"/>
        <w:rPr>
          <w:lang w:eastAsia="zh-CN"/>
        </w:rPr>
      </w:pPr>
      <w:r>
        <w:rPr>
          <w:rFonts w:hint="eastAsia"/>
          <w:lang w:eastAsia="zh-CN"/>
        </w:rPr>
        <w:t>(7)其他合同文件。</w:t>
      </w:r>
    </w:p>
    <w:p>
      <w:pPr>
        <w:tabs>
          <w:tab w:val="left" w:leader="underscore" w:pos="3075"/>
          <w:tab w:val="left" w:leader="underscore" w:pos="8096"/>
        </w:tabs>
        <w:spacing w:line="437" w:lineRule="exact"/>
        <w:ind w:firstLine="440" w:firstLineChars="200"/>
        <w:rPr>
          <w:lang w:eastAsia="zh-CN"/>
        </w:rPr>
      </w:pPr>
      <w:r>
        <w:rPr>
          <w:rFonts w:hint="eastAsia"/>
          <w:lang w:eastAsia="zh-CN"/>
        </w:rPr>
        <w:t>2.上述合同文件互相补充和解释。如果合同文件之间存在矛盾或不一致之处，以上述文件的排列顺序在先者为准。</w:t>
      </w:r>
    </w:p>
    <w:p>
      <w:pPr>
        <w:tabs>
          <w:tab w:val="left" w:leader="underscore" w:pos="3075"/>
          <w:tab w:val="left" w:leader="underscore" w:pos="8096"/>
        </w:tabs>
        <w:spacing w:line="437" w:lineRule="exact"/>
        <w:ind w:firstLine="440" w:firstLineChars="200"/>
        <w:rPr>
          <w:lang w:eastAsia="zh-CN"/>
        </w:rPr>
      </w:pPr>
      <w:r>
        <w:rPr>
          <w:rFonts w:hint="eastAsia"/>
          <w:lang w:eastAsia="zh-CN"/>
        </w:rPr>
        <w:t>3.签约合同价：人民币（大写）</w:t>
      </w:r>
      <w:r>
        <w:rPr>
          <w:rFonts w:hint="eastAsia"/>
          <w:u w:val="single"/>
          <w:lang w:eastAsia="zh-CN"/>
        </w:rPr>
        <w:t xml:space="preserve">                </w:t>
      </w:r>
      <w:r>
        <w:rPr>
          <w:rFonts w:hint="eastAsia"/>
          <w:lang w:eastAsia="zh-CN"/>
        </w:rPr>
        <w:t>(¥</w:t>
      </w:r>
      <w:r>
        <w:rPr>
          <w:rFonts w:hint="eastAsia"/>
          <w:u w:val="single"/>
          <w:lang w:eastAsia="zh-CN"/>
        </w:rPr>
        <w:t xml:space="preserve">            </w:t>
      </w:r>
      <w:r>
        <w:rPr>
          <w:rFonts w:hint="eastAsia"/>
          <w:lang w:eastAsia="zh-CN"/>
        </w:rPr>
        <w:t>)。</w:t>
      </w:r>
    </w:p>
    <w:p>
      <w:pPr>
        <w:tabs>
          <w:tab w:val="left" w:leader="underscore" w:pos="3075"/>
          <w:tab w:val="left" w:leader="underscore" w:pos="8096"/>
        </w:tabs>
        <w:spacing w:line="437" w:lineRule="exact"/>
        <w:ind w:firstLine="440" w:firstLineChars="200"/>
        <w:rPr>
          <w:lang w:eastAsia="zh-CN"/>
        </w:rPr>
      </w:pPr>
      <w:r>
        <w:rPr>
          <w:rFonts w:hint="eastAsia"/>
          <w:lang w:eastAsia="zh-CN"/>
        </w:rPr>
        <w:t>4.卖方承诺保证完全按照合同约定提供合同设备和技术服务和质保期服务并修补缺陷。</w:t>
      </w:r>
    </w:p>
    <w:p>
      <w:pPr>
        <w:tabs>
          <w:tab w:val="left" w:leader="underscore" w:pos="3075"/>
          <w:tab w:val="left" w:leader="underscore" w:pos="8096"/>
        </w:tabs>
        <w:spacing w:line="437" w:lineRule="exact"/>
        <w:ind w:firstLine="440" w:firstLineChars="200"/>
        <w:rPr>
          <w:lang w:eastAsia="zh-CN"/>
        </w:rPr>
      </w:pPr>
      <w:r>
        <w:rPr>
          <w:rFonts w:hint="eastAsia"/>
          <w:lang w:eastAsia="zh-CN"/>
        </w:rPr>
        <w:t>5.买方承诺保证按照合同约定的条件、时间和方式向卖方支付合同价款。</w:t>
      </w:r>
    </w:p>
    <w:p>
      <w:pPr>
        <w:tabs>
          <w:tab w:val="left" w:leader="underscore" w:pos="3075"/>
          <w:tab w:val="left" w:leader="underscore" w:pos="8096"/>
        </w:tabs>
        <w:spacing w:line="437" w:lineRule="exact"/>
        <w:ind w:firstLine="440" w:firstLineChars="200"/>
        <w:rPr>
          <w:lang w:eastAsia="zh-CN"/>
        </w:rPr>
      </w:pPr>
      <w:r>
        <w:rPr>
          <w:lang w:eastAsia="zh-CN"/>
        </w:rPr>
        <w:t>6.</w:t>
      </w:r>
      <w:r>
        <w:rPr>
          <w:rFonts w:hint="eastAsia"/>
          <w:lang w:eastAsia="zh-CN"/>
        </w:rPr>
        <w:t>本合同书正本4份，买方2份，卖方2份；副本6份，买4份，卖方2份。</w:t>
      </w:r>
    </w:p>
    <w:p>
      <w:pPr>
        <w:tabs>
          <w:tab w:val="left" w:leader="underscore" w:pos="3075"/>
          <w:tab w:val="left" w:leader="underscore" w:pos="8096"/>
        </w:tabs>
        <w:spacing w:line="437" w:lineRule="exact"/>
        <w:ind w:firstLine="440" w:firstLineChars="200"/>
        <w:rPr>
          <w:lang w:eastAsia="zh-CN"/>
        </w:rPr>
      </w:pPr>
      <w:r>
        <w:rPr>
          <w:rFonts w:hint="eastAsia"/>
          <w:lang w:eastAsia="zh-CN"/>
        </w:rPr>
        <w:t>7.合同未尽事宜，双方另行签订补充协议，补充协议是合同的组成部分。</w:t>
      </w:r>
    </w:p>
    <w:p>
      <w:pPr>
        <w:tabs>
          <w:tab w:val="left" w:pos="774"/>
        </w:tabs>
        <w:spacing w:line="437" w:lineRule="exact"/>
        <w:ind w:left="462" w:leftChars="210" w:firstLine="1540" w:firstLineChars="700"/>
        <w:rPr>
          <w:lang w:eastAsia="zh-CN"/>
        </w:rPr>
      </w:pPr>
      <w:r>
        <w:rPr>
          <w:rFonts w:hint="eastAsia"/>
          <w:lang w:eastAsia="zh-CN"/>
        </w:rPr>
        <w:t>买方：</w:t>
      </w:r>
      <w:r>
        <w:rPr>
          <w:rFonts w:hint="eastAsia"/>
          <w:u w:val="single"/>
          <w:lang w:eastAsia="zh-CN"/>
        </w:rPr>
        <w:t xml:space="preserve">                                         </w:t>
      </w:r>
      <w:r>
        <w:rPr>
          <w:rFonts w:hint="eastAsia"/>
          <w:lang w:eastAsia="zh-CN"/>
        </w:rPr>
        <w:t>(盖单位章）</w:t>
      </w:r>
    </w:p>
    <w:p>
      <w:pPr>
        <w:tabs>
          <w:tab w:val="left" w:pos="774"/>
        </w:tabs>
        <w:spacing w:line="437" w:lineRule="exact"/>
        <w:ind w:left="462" w:leftChars="210" w:firstLine="1540" w:firstLineChars="700"/>
        <w:rPr>
          <w:lang w:eastAsia="zh-CN"/>
        </w:rPr>
      </w:pPr>
      <w:r>
        <w:rPr>
          <w:rFonts w:hint="eastAsia"/>
          <w:lang w:eastAsia="zh-CN"/>
        </w:rPr>
        <w:t>法定代表人或其委托代理人：</w:t>
      </w:r>
      <w:r>
        <w:rPr>
          <w:rFonts w:hint="eastAsia"/>
          <w:u w:val="single"/>
          <w:lang w:eastAsia="zh-CN"/>
        </w:rPr>
        <w:t xml:space="preserve">                         </w:t>
      </w:r>
      <w:r>
        <w:rPr>
          <w:rFonts w:hint="eastAsia"/>
          <w:lang w:eastAsia="zh-CN"/>
        </w:rPr>
        <w:t>(签名)</w:t>
      </w:r>
    </w:p>
    <w:p>
      <w:pPr>
        <w:tabs>
          <w:tab w:val="left" w:pos="774"/>
        </w:tabs>
        <w:spacing w:line="437" w:lineRule="exact"/>
        <w:ind w:left="462" w:leftChars="210" w:firstLine="4400" w:firstLineChars="2000"/>
        <w:rPr>
          <w:lang w:eastAsia="zh-CN"/>
        </w:rPr>
      </w:pPr>
    </w:p>
    <w:p>
      <w:pPr>
        <w:tabs>
          <w:tab w:val="left" w:pos="774"/>
        </w:tabs>
        <w:spacing w:line="437" w:lineRule="exact"/>
        <w:ind w:left="462" w:leftChars="210" w:firstLine="1540" w:firstLineChars="700"/>
        <w:rPr>
          <w:lang w:eastAsia="zh-CN"/>
        </w:rPr>
      </w:pPr>
      <w:r>
        <w:rPr>
          <w:rFonts w:hint="eastAsia"/>
          <w:lang w:eastAsia="zh-CN"/>
        </w:rPr>
        <w:t>卖方：</w:t>
      </w:r>
      <w:r>
        <w:rPr>
          <w:rFonts w:hint="eastAsia"/>
          <w:u w:val="single"/>
          <w:lang w:eastAsia="zh-CN"/>
        </w:rPr>
        <w:t xml:space="preserve">                                          </w:t>
      </w:r>
      <w:r>
        <w:rPr>
          <w:rFonts w:hint="eastAsia"/>
          <w:lang w:eastAsia="zh-CN"/>
        </w:rPr>
        <w:t>(盖单位章)</w:t>
      </w:r>
    </w:p>
    <w:p>
      <w:pPr>
        <w:tabs>
          <w:tab w:val="left" w:pos="774"/>
        </w:tabs>
        <w:spacing w:line="437" w:lineRule="exact"/>
        <w:ind w:left="462" w:leftChars="210" w:firstLine="1540" w:firstLineChars="700"/>
        <w:rPr>
          <w:lang w:eastAsia="zh-CN"/>
        </w:rPr>
      </w:pPr>
      <w:r>
        <w:rPr>
          <w:rFonts w:hint="eastAsia"/>
          <w:lang w:eastAsia="zh-CN"/>
        </w:rPr>
        <w:t>法定代表人或其委托代理人：</w:t>
      </w:r>
      <w:r>
        <w:rPr>
          <w:rFonts w:hint="eastAsia"/>
          <w:u w:val="single"/>
          <w:lang w:eastAsia="zh-CN"/>
        </w:rPr>
        <w:t xml:space="preserve">                          </w:t>
      </w:r>
      <w:r>
        <w:rPr>
          <w:rFonts w:hint="eastAsia"/>
          <w:lang w:eastAsia="zh-CN"/>
        </w:rPr>
        <w:t>(签名)</w:t>
      </w:r>
    </w:p>
    <w:p>
      <w:pPr>
        <w:tabs>
          <w:tab w:val="left" w:pos="774"/>
        </w:tabs>
        <w:spacing w:line="437" w:lineRule="exact"/>
        <w:ind w:left="462" w:leftChars="210" w:firstLine="4400" w:firstLineChars="2000"/>
        <w:rPr>
          <w:lang w:eastAsia="zh-CN"/>
        </w:rPr>
      </w:pPr>
      <w:r>
        <w:rPr>
          <w:rFonts w:hint="eastAsia"/>
          <w:u w:val="single"/>
          <w:lang w:eastAsia="zh-CN"/>
        </w:rPr>
        <w:t xml:space="preserve">      </w:t>
      </w:r>
      <w:r>
        <w:rPr>
          <w:rFonts w:hint="eastAsia"/>
          <w:lang w:eastAsia="zh-CN"/>
        </w:rPr>
        <w:t>年</w:t>
      </w:r>
      <w:r>
        <w:rPr>
          <w:rFonts w:hint="eastAsia"/>
          <w:u w:val="single"/>
          <w:lang w:eastAsia="zh-CN"/>
        </w:rPr>
        <w:t xml:space="preserve">     </w:t>
      </w:r>
      <w:r>
        <w:rPr>
          <w:rFonts w:hint="eastAsia"/>
          <w:lang w:eastAsia="zh-CN"/>
        </w:rPr>
        <w:t>月</w:t>
      </w:r>
      <w:r>
        <w:rPr>
          <w:rFonts w:hint="eastAsia"/>
          <w:u w:val="single"/>
          <w:lang w:eastAsia="zh-CN"/>
        </w:rPr>
        <w:t xml:space="preserve">    </w:t>
      </w:r>
      <w:r>
        <w:rPr>
          <w:rFonts w:hint="eastAsia"/>
          <w:lang w:eastAsia="zh-CN"/>
        </w:rPr>
        <w:t>日</w:t>
      </w:r>
    </w:p>
    <w:p>
      <w:pPr>
        <w:pStyle w:val="173"/>
        <w:keepNext/>
        <w:keepLines/>
        <w:adjustRightInd w:val="0"/>
        <w:snapToGrid w:val="0"/>
        <w:spacing w:before="0" w:after="0" w:line="440" w:lineRule="exact"/>
        <w:outlineLvl w:val="3"/>
        <w:rPr>
          <w:sz w:val="21"/>
          <w:szCs w:val="21"/>
        </w:rPr>
      </w:pPr>
      <w:r>
        <w:rPr>
          <w:b/>
          <w:bCs/>
          <w:sz w:val="28"/>
          <w:szCs w:val="28"/>
        </w:rPr>
        <w:br w:type="page"/>
      </w:r>
      <w:bookmarkStart w:id="688" w:name="_Toc22032795"/>
      <w:bookmarkStart w:id="689" w:name="_Toc17962"/>
      <w:bookmarkStart w:id="690" w:name="_Toc113559508"/>
      <w:bookmarkStart w:id="691" w:name="_Toc2081"/>
      <w:bookmarkStart w:id="692" w:name="_Toc11615"/>
      <w:bookmarkStart w:id="693" w:name="_Toc102983312"/>
      <w:bookmarkStart w:id="694" w:name="_Toc24867"/>
      <w:r>
        <w:rPr>
          <w:rFonts w:eastAsia="宋体"/>
          <w:kern w:val="0"/>
          <w:sz w:val="22"/>
          <w:szCs w:val="22"/>
        </w:rPr>
        <w:t>附件二：履约保函格式</w:t>
      </w:r>
      <w:bookmarkEnd w:id="688"/>
      <w:bookmarkEnd w:id="689"/>
      <w:bookmarkEnd w:id="690"/>
      <w:bookmarkEnd w:id="691"/>
      <w:bookmarkEnd w:id="692"/>
      <w:bookmarkEnd w:id="693"/>
      <w:bookmarkEnd w:id="694"/>
    </w:p>
    <w:p>
      <w:pPr>
        <w:spacing w:line="360" w:lineRule="auto"/>
        <w:rPr>
          <w:lang w:eastAsia="zh-CN"/>
        </w:rPr>
      </w:pPr>
      <w:r>
        <w:rPr>
          <w:lang w:eastAsia="zh-CN"/>
        </w:rPr>
        <w:t>如采用银行保函，格式如下。</w:t>
      </w:r>
    </w:p>
    <w:p>
      <w:pPr>
        <w:spacing w:line="360" w:lineRule="auto"/>
        <w:jc w:val="center"/>
        <w:rPr>
          <w:szCs w:val="21"/>
          <w:lang w:eastAsia="zh-CN"/>
        </w:rPr>
      </w:pPr>
      <w:bookmarkStart w:id="695" w:name="_Toc113559509"/>
      <w:bookmarkStart w:id="696" w:name="_Toc102983313"/>
      <w:r>
        <w:rPr>
          <w:rFonts w:hint="eastAsia"/>
          <w:szCs w:val="21"/>
          <w:lang w:eastAsia="zh-CN"/>
        </w:rPr>
        <w:t>履约保函示范文本</w:t>
      </w:r>
    </w:p>
    <w:p>
      <w:pPr>
        <w:spacing w:line="360" w:lineRule="auto"/>
        <w:rPr>
          <w:szCs w:val="21"/>
          <w:lang w:eastAsia="zh-CN"/>
        </w:rPr>
      </w:pP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申请人：</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地  址：</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受益人：</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地  址：</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开立人：</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地  址：</w:t>
      </w:r>
    </w:p>
    <w:p>
      <w:pPr>
        <w:spacing w:line="360" w:lineRule="auto"/>
        <w:rPr>
          <w:rFonts w:asciiTheme="minorEastAsia" w:hAnsiTheme="minorEastAsia" w:eastAsiaTheme="minorEastAsia" w:cstheme="minorEastAsia"/>
          <w:szCs w:val="21"/>
          <w:lang w:eastAsia="zh-CN"/>
        </w:rPr>
      </w:pPr>
    </w:p>
    <w:p>
      <w:pPr>
        <w:spacing w:line="360" w:lineRule="auto"/>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（受益人名称）：</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鉴于</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 xml:space="preserve"> （以下简称“受益人”）与</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（以下简称“申请人”）就工程</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以下简称“本工程”）和有关事项协商一致，根据本工程中标通知书、招标文件和报价文件，了解到申请人为本工程项下之卖方、受益人为本工程项下之买方，基于申请人的请求，我方（即“开立人”）同意就申请人履行本工程依据中标通知书、招标文件和报价文件签订的</w:t>
      </w:r>
      <w:r>
        <w:rPr>
          <w:rFonts w:hint="eastAsia" w:asciiTheme="minorEastAsia" w:hAnsiTheme="minorEastAsia" w:eastAsiaTheme="minorEastAsia" w:cstheme="minorEastAsia"/>
          <w:szCs w:val="21"/>
          <w:u w:val="single"/>
          <w:lang w:eastAsia="zh-CN"/>
        </w:rPr>
        <w:t>《        》</w:t>
      </w:r>
      <w:r>
        <w:rPr>
          <w:rFonts w:hint="eastAsia" w:asciiTheme="minorEastAsia" w:hAnsiTheme="minorEastAsia" w:eastAsiaTheme="minorEastAsia" w:cstheme="minorEastAsia"/>
          <w:szCs w:val="21"/>
          <w:lang w:eastAsia="zh-CN"/>
        </w:rPr>
        <w:t>（以下简称“基础合同”）约定的义务，向贵方提供不可撤销、不可转让的见索即付保函（以下简称“本保函”）。</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一、本保函担保范围：卖方未按照基础合同的约定履行义务，应当向贵方承担的违约责任和赔偿因此造成的损失、利息、律师费、诉讼费用等实现债权的费用。</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二、本保函担保金额最高不超过人民币（大写）</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元（¥</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w:t>
      </w:r>
    </w:p>
    <w:p>
      <w:pPr>
        <w:spacing w:line="360" w:lineRule="auto"/>
        <w:ind w:firstLine="440" w:firstLineChars="200"/>
        <w:rPr>
          <w:rFonts w:asciiTheme="minorEastAsia" w:hAnsiTheme="minorEastAsia" w:eastAsiaTheme="minorEastAsia" w:cstheme="minorEastAsia"/>
          <w:spacing w:val="6"/>
          <w:szCs w:val="21"/>
          <w:lang w:eastAsia="zh-CN"/>
        </w:rPr>
      </w:pPr>
      <w:r>
        <w:rPr>
          <w:rFonts w:hint="eastAsia" w:asciiTheme="minorEastAsia" w:hAnsiTheme="minorEastAsia" w:eastAsiaTheme="minorEastAsia" w:cstheme="minorEastAsia"/>
          <w:szCs w:val="21"/>
          <w:lang w:eastAsia="zh-CN"/>
        </w:rPr>
        <w:t>三、</w:t>
      </w:r>
      <w:r>
        <w:rPr>
          <w:rFonts w:hint="eastAsia" w:asciiTheme="minorEastAsia" w:hAnsiTheme="minorEastAsia" w:eastAsiaTheme="minorEastAsia" w:cstheme="minorEastAsia"/>
          <w:spacing w:val="6"/>
          <w:szCs w:val="21"/>
          <w:lang w:eastAsia="zh-CN"/>
        </w:rPr>
        <w:t>本保函有效期自受益人与申请人签订的合同生效之日</w:t>
      </w:r>
      <w:r>
        <w:rPr>
          <w:rFonts w:hint="eastAsia" w:asciiTheme="minorEastAsia" w:hAnsiTheme="minorEastAsia" w:eastAsiaTheme="minorEastAsia" w:cstheme="minorEastAsia"/>
          <w:szCs w:val="21"/>
          <w:lang w:eastAsia="zh-CN"/>
        </w:rPr>
        <w:t>起至合同约定的工期截止日后</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天，最迟不超过</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年</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月</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日。</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四、我方承诺，在收到受益人发来的书面索赔通知和本保函原件后的</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个工作日内无条件支付至受益人指定账户，前述书面索赔通知即为付款要求之单据，且应满足以下要求：</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（1）索赔通知到达的日期在本保函的有效期内；</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（2）载明要求支付的金额；</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（3）载明申请人违反合同义务的条款和内容；</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（4）声明不存在合同文件约定或我国法律规定免除申请人或开立人支付责任的情形；</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（5）索赔通知应在本保函有效期内到达的地址是：</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受益人发出的书面索赔通知应由其为鉴明受益人法定代表人（负责人）或授权代理人签名或盖个人名章并加盖公章。</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五、本保函项下的权利不得转让，不得设定担保。贵方未经我方书面同意转让本保函或其项下任何权利，对我方不发生法律效力。</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六、与本保函有关的基础合同不成立、不生效、无效、被撤销、被解除，不影响本保函的独立有效。</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七、贵方应在本保函到期后的七个工作日内将本保函正本退回我方注销，但是不论贵方是否按此要求将本保函正本退回我方，我方在本保函项下的义务和责任均在保函有效期到期后自动消灭。</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八、本保函适用的法律为中华人民共和国法律，争议裁判管辖地为中华人民共和国</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九、本保函自我方法定代表人或授权代表签名或盖个人名章并加盖公章或合同专用章之日起生效。</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十、本保函在重庆市辖区范围内的核验地点：</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；核验方式：</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w:t>
      </w:r>
    </w:p>
    <w:p>
      <w:pPr>
        <w:spacing w:line="360" w:lineRule="auto"/>
        <w:rPr>
          <w:rFonts w:asciiTheme="minorEastAsia" w:hAnsiTheme="minorEastAsia" w:eastAsiaTheme="minorEastAsia" w:cstheme="minorEastAsia"/>
          <w:szCs w:val="21"/>
          <w:lang w:eastAsia="zh-CN"/>
        </w:rPr>
      </w:pP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 xml:space="preserve">开 立 人： </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（公章）</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法定代表人（或授权代表）：</w:t>
      </w:r>
      <w:r>
        <w:rPr>
          <w:rFonts w:hint="eastAsia" w:asciiTheme="minorEastAsia" w:hAnsiTheme="minorEastAsia" w:eastAsiaTheme="minorEastAsia" w:cstheme="minorEastAsia"/>
          <w:szCs w:val="21"/>
          <w:u w:val="single"/>
          <w:lang w:eastAsia="zh-CN"/>
        </w:rPr>
        <w:t xml:space="preserve">        </w:t>
      </w:r>
      <w:r>
        <w:rPr>
          <w:rFonts w:hint="eastAsia" w:asciiTheme="minorEastAsia" w:hAnsiTheme="minorEastAsia" w:eastAsiaTheme="minorEastAsia" w:cstheme="minorEastAsia"/>
          <w:szCs w:val="21"/>
          <w:lang w:eastAsia="zh-CN"/>
        </w:rPr>
        <w:t>（签名或盖个人名章）</w:t>
      </w:r>
    </w:p>
    <w:p>
      <w:pPr>
        <w:spacing w:line="360" w:lineRule="auto"/>
        <w:ind w:firstLine="440" w:firstLineChars="200"/>
        <w:rPr>
          <w:rFonts w:asciiTheme="minorEastAsia" w:hAnsiTheme="minorEastAsia" w:eastAsiaTheme="minorEastAsia" w:cstheme="minorEastAsia"/>
          <w:szCs w:val="21"/>
          <w:u w:val="single"/>
          <w:lang w:eastAsia="zh-CN"/>
        </w:rPr>
      </w:pPr>
      <w:r>
        <w:rPr>
          <w:rFonts w:hint="eastAsia" w:asciiTheme="minorEastAsia" w:hAnsiTheme="minorEastAsia" w:eastAsiaTheme="minorEastAsia" w:cstheme="minorEastAsia"/>
          <w:szCs w:val="21"/>
          <w:lang w:eastAsia="zh-CN"/>
        </w:rPr>
        <w:t>地    址：</w:t>
      </w:r>
      <w:r>
        <w:rPr>
          <w:rFonts w:hint="eastAsia" w:asciiTheme="minorEastAsia" w:hAnsiTheme="minorEastAsia" w:eastAsiaTheme="minorEastAsia" w:cstheme="minorEastAsia"/>
          <w:szCs w:val="21"/>
          <w:u w:val="single"/>
          <w:lang w:eastAsia="zh-CN"/>
        </w:rPr>
        <w:t xml:space="preserve">                                          </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邮政编码：</w:t>
      </w:r>
      <w:r>
        <w:rPr>
          <w:rFonts w:hint="eastAsia" w:asciiTheme="minorEastAsia" w:hAnsiTheme="minorEastAsia" w:eastAsiaTheme="minorEastAsia" w:cstheme="minorEastAsia"/>
          <w:szCs w:val="21"/>
          <w:u w:val="single"/>
          <w:lang w:eastAsia="zh-CN"/>
        </w:rPr>
        <w:t xml:space="preserve">                                          </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电    话：</w:t>
      </w:r>
      <w:r>
        <w:rPr>
          <w:rFonts w:hint="eastAsia" w:asciiTheme="minorEastAsia" w:hAnsiTheme="minorEastAsia" w:eastAsiaTheme="minorEastAsia" w:cstheme="minorEastAsia"/>
          <w:szCs w:val="21"/>
          <w:u w:val="single"/>
          <w:lang w:eastAsia="zh-CN"/>
        </w:rPr>
        <w:t xml:space="preserve">                                          </w:t>
      </w:r>
    </w:p>
    <w:p>
      <w:pPr>
        <w:spacing w:line="360" w:lineRule="auto"/>
        <w:ind w:firstLine="440" w:firstLineChars="200"/>
        <w:rPr>
          <w:rFonts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传    真：</w:t>
      </w:r>
      <w:r>
        <w:rPr>
          <w:rFonts w:hint="eastAsia" w:asciiTheme="minorEastAsia" w:hAnsiTheme="minorEastAsia" w:eastAsiaTheme="minorEastAsia" w:cstheme="minorEastAsia"/>
          <w:szCs w:val="21"/>
          <w:u w:val="single"/>
          <w:lang w:eastAsia="zh-CN"/>
        </w:rPr>
        <w:t xml:space="preserve">                                          </w:t>
      </w:r>
    </w:p>
    <w:p>
      <w:pPr>
        <w:spacing w:line="360" w:lineRule="auto"/>
        <w:ind w:firstLine="440" w:firstLineChars="200"/>
        <w:rPr>
          <w:szCs w:val="21"/>
          <w:lang w:eastAsia="zh-CN"/>
        </w:rPr>
      </w:pPr>
      <w:r>
        <w:rPr>
          <w:rFonts w:hint="eastAsia" w:asciiTheme="minorEastAsia" w:hAnsiTheme="minorEastAsia" w:eastAsiaTheme="minorEastAsia" w:cstheme="minorEastAsia"/>
          <w:szCs w:val="21"/>
          <w:lang w:eastAsia="zh-CN"/>
        </w:rPr>
        <w:t xml:space="preserve">开立时间：    年    月    </w:t>
      </w:r>
      <w:r>
        <w:rPr>
          <w:rFonts w:hint="eastAsia"/>
          <w:szCs w:val="21"/>
          <w:lang w:eastAsia="zh-CN"/>
        </w:rPr>
        <w:t>日</w:t>
      </w:r>
    </w:p>
    <w:bookmarkEnd w:id="695"/>
    <w:bookmarkEnd w:id="696"/>
    <w:p>
      <w:pPr>
        <w:rPr>
          <w:szCs w:val="21"/>
          <w:lang w:eastAsia="zh-CN"/>
        </w:rPr>
      </w:pPr>
    </w:p>
    <w:p>
      <w:pPr>
        <w:pStyle w:val="2"/>
        <w:rPr>
          <w:lang w:eastAsia="zh-CN"/>
        </w:rPr>
      </w:pPr>
    </w:p>
    <w:p>
      <w:pPr>
        <w:rPr>
          <w:szCs w:val="21"/>
          <w:lang w:eastAsia="zh-CN"/>
        </w:rPr>
      </w:pPr>
    </w:p>
    <w:p>
      <w:pPr>
        <w:pStyle w:val="2"/>
        <w:rPr>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adjustRightInd w:val="0"/>
        <w:snapToGrid w:val="0"/>
        <w:spacing w:line="360" w:lineRule="auto"/>
        <w:ind w:firstLine="440" w:firstLineChars="200"/>
        <w:rPr>
          <w:szCs w:val="21"/>
          <w:lang w:eastAsia="zh-CN"/>
        </w:rPr>
      </w:pPr>
    </w:p>
    <w:p>
      <w:pPr>
        <w:tabs>
          <w:tab w:val="left" w:pos="1213"/>
        </w:tabs>
        <w:snapToGrid w:val="0"/>
        <w:spacing w:line="440" w:lineRule="exact"/>
        <w:outlineLvl w:val="1"/>
        <w:rPr>
          <w:szCs w:val="21"/>
          <w:highlight w:val="none"/>
          <w:lang w:eastAsia="zh-CN"/>
        </w:rPr>
      </w:pPr>
      <w:bookmarkStart w:id="697" w:name="_Toc13003"/>
      <w:bookmarkStart w:id="698" w:name="_Toc22032796"/>
      <w:bookmarkStart w:id="699" w:name="_Toc10355"/>
      <w:bookmarkStart w:id="700" w:name="_Toc12802"/>
      <w:bookmarkStart w:id="701" w:name="_Toc113559510"/>
      <w:bookmarkStart w:id="702" w:name="_Toc102983314"/>
      <w:bookmarkStart w:id="703" w:name="_Toc13700"/>
      <w:r>
        <w:rPr>
          <w:szCs w:val="21"/>
          <w:highlight w:val="none"/>
          <w:lang w:eastAsia="zh-CN"/>
        </w:rPr>
        <w:t>附件三：廉政合同格式</w:t>
      </w:r>
      <w:bookmarkEnd w:id="697"/>
      <w:bookmarkEnd w:id="698"/>
      <w:bookmarkEnd w:id="699"/>
      <w:bookmarkEnd w:id="700"/>
      <w:bookmarkEnd w:id="701"/>
      <w:bookmarkEnd w:id="702"/>
      <w:bookmarkEnd w:id="703"/>
    </w:p>
    <w:p>
      <w:pPr>
        <w:jc w:val="center"/>
        <w:rPr>
          <w:b/>
          <w:szCs w:val="21"/>
          <w:highlight w:val="none"/>
          <w:lang w:eastAsia="zh-CN"/>
        </w:rPr>
      </w:pPr>
      <w:bookmarkStart w:id="704" w:name="_Toc420995074"/>
      <w:bookmarkStart w:id="705" w:name="_Toc24117"/>
      <w:bookmarkStart w:id="706" w:name="_Toc418517429"/>
      <w:bookmarkStart w:id="707" w:name="_Toc421798219"/>
      <w:bookmarkStart w:id="708" w:name="_Toc416788188"/>
      <w:bookmarkStart w:id="709" w:name="_Toc420995178"/>
      <w:r>
        <w:rPr>
          <w:rFonts w:hint="eastAsia"/>
          <w:b/>
          <w:szCs w:val="21"/>
          <w:highlight w:val="none"/>
          <w:lang w:eastAsia="zh-CN"/>
        </w:rPr>
        <w:t>廉政合同</w:t>
      </w:r>
      <w:bookmarkEnd w:id="704"/>
      <w:bookmarkEnd w:id="705"/>
      <w:bookmarkEnd w:id="706"/>
      <w:bookmarkEnd w:id="707"/>
      <w:bookmarkEnd w:id="708"/>
      <w:bookmarkEnd w:id="709"/>
    </w:p>
    <w:p>
      <w:pPr>
        <w:tabs>
          <w:tab w:val="left" w:pos="1213"/>
        </w:tabs>
        <w:snapToGrid w:val="0"/>
        <w:spacing w:line="440" w:lineRule="exact"/>
        <w:ind w:firstLine="440" w:firstLineChars="200"/>
        <w:rPr>
          <w:lang w:val="zh-CN" w:eastAsia="zh-CN"/>
        </w:rPr>
      </w:pPr>
      <w:r>
        <w:rPr>
          <w:rFonts w:hint="eastAsia"/>
          <w:lang w:val="zh-CN" w:eastAsia="zh-CN"/>
        </w:rPr>
        <w:t>根据有关工程建设、廉政建设的规定，为做好工程建设中的党风廉政建设，保证工程建设高效优质，保证建设资金的安全和有效使用以及投资效益，</w:t>
      </w:r>
      <w:r>
        <w:rPr>
          <w:rFonts w:hint="eastAsia"/>
          <w:u w:val="single"/>
          <w:lang w:val="zh-CN" w:eastAsia="zh-CN"/>
        </w:rPr>
        <w:t xml:space="preserve">                   </w:t>
      </w:r>
      <w:r>
        <w:rPr>
          <w:rFonts w:hint="eastAsia"/>
          <w:lang w:val="zh-CN" w:eastAsia="zh-CN"/>
        </w:rPr>
        <w:t>（买方）与</w:t>
      </w:r>
      <w:r>
        <w:rPr>
          <w:rFonts w:hint="eastAsia"/>
          <w:u w:val="single"/>
          <w:lang w:val="zh-CN" w:eastAsia="zh-CN"/>
        </w:rPr>
        <w:t xml:space="preserve">                 </w:t>
      </w:r>
      <w:r>
        <w:rPr>
          <w:rFonts w:hint="eastAsia"/>
          <w:lang w:val="zh-CN" w:eastAsia="zh-CN"/>
        </w:rPr>
        <w:t>（卖方），特订立如下合同：</w:t>
      </w:r>
    </w:p>
    <w:p>
      <w:pPr>
        <w:rPr>
          <w:lang w:val="zh-CN" w:eastAsia="zh-CN"/>
        </w:rPr>
      </w:pPr>
      <w:bookmarkStart w:id="710" w:name="_Toc17089"/>
      <w:bookmarkStart w:id="711" w:name="_Toc1742"/>
      <w:bookmarkStart w:id="712" w:name="_Toc21725"/>
      <w:bookmarkStart w:id="713" w:name="_Toc113559511"/>
      <w:bookmarkStart w:id="714" w:name="_Toc9692"/>
      <w:r>
        <w:rPr>
          <w:rFonts w:hint="eastAsia"/>
          <w:lang w:val="zh-CN" w:eastAsia="zh-CN"/>
        </w:rPr>
        <w:t>1.一般约定</w:t>
      </w:r>
      <w:bookmarkEnd w:id="710"/>
      <w:bookmarkEnd w:id="711"/>
      <w:bookmarkEnd w:id="712"/>
      <w:bookmarkEnd w:id="713"/>
      <w:bookmarkEnd w:id="714"/>
    </w:p>
    <w:p>
      <w:pPr>
        <w:rPr>
          <w:lang w:val="zh-CN" w:eastAsia="zh-CN"/>
        </w:rPr>
      </w:pPr>
      <w:r>
        <w:rPr>
          <w:rFonts w:hint="eastAsia"/>
          <w:lang w:val="zh-CN" w:eastAsia="zh-CN"/>
        </w:rPr>
        <w:t>（1）严格遵守党的政策规定和国家有关法律法规及行业部门的有关规定。</w:t>
      </w:r>
    </w:p>
    <w:p>
      <w:pPr>
        <w:rPr>
          <w:lang w:val="zh-CN" w:eastAsia="zh-CN"/>
        </w:rPr>
      </w:pPr>
      <w:r>
        <w:rPr>
          <w:rFonts w:hint="eastAsia"/>
          <w:lang w:val="zh-CN" w:eastAsia="zh-CN"/>
        </w:rPr>
        <w:t>（2）严格执行合同文件，自觉按合同办事。</w:t>
      </w:r>
    </w:p>
    <w:p>
      <w:pPr>
        <w:rPr>
          <w:lang w:val="zh-CN" w:eastAsia="zh-CN"/>
        </w:rPr>
      </w:pPr>
      <w:r>
        <w:rPr>
          <w:rFonts w:hint="eastAsia"/>
          <w:lang w:val="zh-CN" w:eastAsia="zh-CN"/>
        </w:rPr>
        <w:t>（3）双方的业务活动坚持公开、公正、诚信、透明的原则（法律认定的商业秘密和合同文件另有规定除外），不得损害国家和集体利益，违反工程建设管理规章制度。</w:t>
      </w:r>
    </w:p>
    <w:p>
      <w:pPr>
        <w:rPr>
          <w:lang w:val="zh-CN" w:eastAsia="zh-CN"/>
        </w:rPr>
      </w:pPr>
      <w:r>
        <w:rPr>
          <w:rFonts w:hint="eastAsia"/>
          <w:lang w:val="zh-CN" w:eastAsia="zh-CN"/>
        </w:rPr>
        <w:t>（4）建立健全廉政制度，开展廉政教育，设立廉政告示牌，公布举报电话，监督并认真查处违法违纪行为。</w:t>
      </w:r>
    </w:p>
    <w:p>
      <w:pPr>
        <w:rPr>
          <w:lang w:val="zh-CN" w:eastAsia="zh-CN"/>
        </w:rPr>
      </w:pPr>
      <w:r>
        <w:rPr>
          <w:rFonts w:hint="eastAsia"/>
          <w:lang w:val="zh-CN" w:eastAsia="zh-CN"/>
        </w:rPr>
        <w:t>（5）发现对方在业务活动中有违反廉政规定的行为，有及时提醒对方纠正的权利和义务。</w:t>
      </w:r>
    </w:p>
    <w:p>
      <w:pPr>
        <w:rPr>
          <w:lang w:val="zh-CN" w:eastAsia="zh-CN"/>
        </w:rPr>
      </w:pPr>
      <w:r>
        <w:rPr>
          <w:rFonts w:hint="eastAsia"/>
          <w:lang w:val="zh-CN" w:eastAsia="zh-CN"/>
        </w:rPr>
        <w:t>（6）发现对方严重违反本合同义务条款的行为，有向其上级有关部门举报、建议给予处理并要求告知处理结果的权利。</w:t>
      </w:r>
    </w:p>
    <w:p>
      <w:pPr>
        <w:rPr>
          <w:lang w:val="zh-CN" w:eastAsia="zh-CN"/>
        </w:rPr>
      </w:pPr>
      <w:bookmarkStart w:id="715" w:name="_Toc16010"/>
      <w:bookmarkStart w:id="716" w:name="_Toc31909"/>
      <w:bookmarkStart w:id="717" w:name="_Toc113559512"/>
      <w:bookmarkStart w:id="718" w:name="_Toc2212"/>
      <w:bookmarkStart w:id="719" w:name="_Toc23210"/>
      <w:r>
        <w:rPr>
          <w:rFonts w:hint="eastAsia"/>
          <w:lang w:val="zh-CN" w:eastAsia="zh-CN"/>
        </w:rPr>
        <w:t>2.买方的义务</w:t>
      </w:r>
      <w:bookmarkEnd w:id="715"/>
      <w:bookmarkEnd w:id="716"/>
      <w:bookmarkEnd w:id="717"/>
      <w:bookmarkEnd w:id="718"/>
      <w:bookmarkEnd w:id="719"/>
    </w:p>
    <w:p>
      <w:pPr>
        <w:rPr>
          <w:lang w:val="zh-CN" w:eastAsia="zh-CN"/>
        </w:rPr>
      </w:pPr>
      <w:r>
        <w:rPr>
          <w:rFonts w:hint="eastAsia"/>
          <w:lang w:val="zh-CN" w:eastAsia="zh-CN"/>
        </w:rPr>
        <w:t>（1）买方及其工作人员不得索要或接受卖方的礼金、有价证券和贵重物品，不得在卖方报销任何应由买方或买方工作人员个人支付的费用等。</w:t>
      </w:r>
    </w:p>
    <w:p>
      <w:pPr>
        <w:rPr>
          <w:lang w:val="zh-CN" w:eastAsia="zh-CN"/>
        </w:rPr>
      </w:pPr>
      <w:r>
        <w:rPr>
          <w:rFonts w:hint="eastAsia"/>
          <w:lang w:val="zh-CN" w:eastAsia="zh-CN"/>
        </w:rPr>
        <w:t>（2）买方工作人员不得参加卖方安排的超标准宴请和娱乐活动；不得接受卖方提供的通讯工具、交通工具和高档办公用品等。</w:t>
      </w:r>
    </w:p>
    <w:p>
      <w:pPr>
        <w:rPr>
          <w:lang w:val="zh-CN" w:eastAsia="zh-CN"/>
        </w:rPr>
      </w:pPr>
      <w:r>
        <w:rPr>
          <w:rFonts w:hint="eastAsia"/>
          <w:lang w:val="zh-CN" w:eastAsia="zh-CN"/>
        </w:rPr>
        <w:t>（3）买方及其工作人员不得要求或者接受卖方为其住房装修、婚丧嫁娶活动、配偶子女的工作安排以及出国出境、旅游等提供方便等。</w:t>
      </w:r>
    </w:p>
    <w:p>
      <w:pPr>
        <w:rPr>
          <w:lang w:val="zh-CN" w:eastAsia="zh-CN"/>
        </w:rPr>
      </w:pPr>
      <w:r>
        <w:rPr>
          <w:rFonts w:hint="eastAsia"/>
          <w:lang w:val="zh-CN" w:eastAsia="zh-CN"/>
        </w:rPr>
        <w:t>（4）买方工作人员及其配偶、子女不得从事与买方工程有关的材料设备供应、工程分包、劳务等经济活动。</w:t>
      </w:r>
    </w:p>
    <w:p>
      <w:pPr>
        <w:rPr>
          <w:lang w:val="zh-CN" w:eastAsia="zh-CN"/>
        </w:rPr>
      </w:pPr>
      <w:r>
        <w:rPr>
          <w:rFonts w:hint="eastAsia"/>
          <w:lang w:val="zh-CN" w:eastAsia="zh-CN"/>
        </w:rPr>
        <w:t>（5）买方及其工作人员不得以任何理由向卖方推荐分包单位或推销材料，不得要求卖方购买合同规定外的材料和设备。</w:t>
      </w:r>
    </w:p>
    <w:p>
      <w:pPr>
        <w:rPr>
          <w:lang w:val="zh-CN" w:eastAsia="zh-CN"/>
        </w:rPr>
      </w:pPr>
      <w:r>
        <w:rPr>
          <w:rFonts w:hint="eastAsia"/>
          <w:lang w:val="zh-CN" w:eastAsia="zh-CN"/>
        </w:rPr>
        <w:t>（6）买方工作人员要秉公办事，不准营私舞弊，不准利用职权从事各种个人有偿中介活动和安排个人施工队伍。</w:t>
      </w:r>
    </w:p>
    <w:p>
      <w:pPr>
        <w:rPr>
          <w:lang w:val="zh-CN" w:eastAsia="zh-CN"/>
        </w:rPr>
      </w:pPr>
      <w:bookmarkStart w:id="720" w:name="_Toc7343"/>
      <w:bookmarkStart w:id="721" w:name="_Toc14236"/>
      <w:bookmarkStart w:id="722" w:name="_Toc2060"/>
      <w:bookmarkStart w:id="723" w:name="_Toc11332"/>
      <w:bookmarkStart w:id="724" w:name="_Toc113559513"/>
      <w:r>
        <w:rPr>
          <w:rFonts w:hint="eastAsia"/>
          <w:lang w:val="zh-CN" w:eastAsia="zh-CN"/>
        </w:rPr>
        <w:t>3.卖方义务</w:t>
      </w:r>
      <w:bookmarkEnd w:id="720"/>
      <w:bookmarkEnd w:id="721"/>
      <w:bookmarkEnd w:id="722"/>
      <w:bookmarkEnd w:id="723"/>
      <w:bookmarkEnd w:id="724"/>
    </w:p>
    <w:p>
      <w:pPr>
        <w:rPr>
          <w:lang w:val="zh-CN" w:eastAsia="zh-CN"/>
        </w:rPr>
      </w:pPr>
      <w:r>
        <w:rPr>
          <w:rFonts w:hint="eastAsia"/>
          <w:lang w:val="zh-CN" w:eastAsia="zh-CN"/>
        </w:rPr>
        <w:t>（1）卖方不得以任何理由向买方及其工作人员行贿或馈赠礼金、有价证券、贵重礼品。</w:t>
      </w:r>
    </w:p>
    <w:p>
      <w:pPr>
        <w:rPr>
          <w:lang w:val="zh-CN" w:eastAsia="zh-CN"/>
        </w:rPr>
      </w:pPr>
      <w:r>
        <w:rPr>
          <w:rFonts w:hint="eastAsia"/>
          <w:lang w:val="zh-CN" w:eastAsia="zh-CN"/>
        </w:rPr>
        <w:t>（2）卖方不得以任何名义为买方及其工作人员报销应由买方单位或个人支付的任何费用。</w:t>
      </w:r>
    </w:p>
    <w:p>
      <w:pPr>
        <w:rPr>
          <w:lang w:val="zh-CN" w:eastAsia="zh-CN"/>
        </w:rPr>
      </w:pPr>
      <w:r>
        <w:rPr>
          <w:rFonts w:hint="eastAsia"/>
          <w:lang w:val="zh-CN" w:eastAsia="zh-CN"/>
        </w:rPr>
        <w:t>（3）卖方不得以任何理由安排买方工作人员参加超标准宴请及娱乐活动。</w:t>
      </w:r>
    </w:p>
    <w:p>
      <w:pPr>
        <w:rPr>
          <w:lang w:val="zh-CN" w:eastAsia="zh-CN"/>
        </w:rPr>
      </w:pPr>
      <w:r>
        <w:rPr>
          <w:rFonts w:hint="eastAsia"/>
          <w:lang w:val="zh-CN" w:eastAsia="zh-CN"/>
        </w:rPr>
        <w:t>（4）卖方不得为买方单位和个人购置或提供通讯工具、交通工具和高档办公用品等。</w:t>
      </w:r>
    </w:p>
    <w:p>
      <w:pPr>
        <w:rPr>
          <w:lang w:val="zh-CN" w:eastAsia="zh-CN"/>
        </w:rPr>
      </w:pPr>
      <w:bookmarkStart w:id="725" w:name="_Toc24967"/>
      <w:bookmarkStart w:id="726" w:name="_Toc10831"/>
      <w:bookmarkStart w:id="727" w:name="_Toc16180"/>
      <w:bookmarkStart w:id="728" w:name="_Toc22016"/>
      <w:bookmarkStart w:id="729" w:name="_Toc113559514"/>
      <w:r>
        <w:rPr>
          <w:rFonts w:hint="eastAsia"/>
          <w:lang w:val="zh-CN" w:eastAsia="zh-CN"/>
        </w:rPr>
        <w:t>4.违约责任</w:t>
      </w:r>
      <w:bookmarkEnd w:id="725"/>
      <w:bookmarkEnd w:id="726"/>
      <w:bookmarkEnd w:id="727"/>
      <w:bookmarkEnd w:id="728"/>
      <w:bookmarkEnd w:id="729"/>
    </w:p>
    <w:p>
      <w:pPr>
        <w:rPr>
          <w:lang w:val="zh-CN" w:eastAsia="zh-CN"/>
        </w:rPr>
      </w:pPr>
      <w:r>
        <w:rPr>
          <w:rFonts w:hint="eastAsia"/>
          <w:lang w:val="zh-CN" w:eastAsia="zh-CN"/>
        </w:rPr>
        <w:t>（1）买方及其工作人员违反本合同第一、二条，按管理权限，依据有关规定给予党纪、政纪或组织处理；涉嫌犯罪的，移交司法机关追究刑事责任；给卖方单位造成经济损失的，应予以赔偿。</w:t>
      </w:r>
    </w:p>
    <w:p>
      <w:pPr>
        <w:rPr>
          <w:lang w:val="zh-CN" w:eastAsia="zh-CN"/>
        </w:rPr>
      </w:pPr>
      <w:r>
        <w:rPr>
          <w:rFonts w:hint="eastAsia"/>
          <w:lang w:val="zh-CN" w:eastAsia="zh-CN"/>
        </w:rPr>
        <w:t>（2）卖方及其工作人员违反本合同第一、三条，按管理权限，依据有关规定给予党纪、政纪或组织处理；给买方单位造成经济损失的，应予以赔偿；情节严重的，买方建议交通主管部门给予卖方一至三年内不得进入其交通建设市场的处罚。</w:t>
      </w:r>
    </w:p>
    <w:p>
      <w:pPr>
        <w:rPr>
          <w:lang w:val="zh-CN" w:eastAsia="zh-CN"/>
        </w:rPr>
      </w:pPr>
      <w:r>
        <w:rPr>
          <w:rFonts w:hint="eastAsia"/>
          <w:lang w:val="zh-CN" w:eastAsia="zh-CN"/>
        </w:rPr>
        <w:t>5.双方约定：本合同由双方或双方上级单位的纪检监察机关负责监督执行。由买方或买方上级单位的纪检监察机关约请卖方或卖方上级单位纪检监察机关对本合同执行情况进行检查，提出在本合同规定范围内的裁定意见。</w:t>
      </w:r>
    </w:p>
    <w:p>
      <w:pPr>
        <w:rPr>
          <w:lang w:val="zh-CN" w:eastAsia="zh-CN"/>
        </w:rPr>
      </w:pPr>
      <w:r>
        <w:rPr>
          <w:rFonts w:hint="eastAsia"/>
          <w:lang w:val="zh-CN" w:eastAsia="zh-CN"/>
        </w:rPr>
        <w:t>6.本合同有效期为甲乙双方签署之日起至该工程项目竣工验收后止。</w:t>
      </w:r>
    </w:p>
    <w:p>
      <w:pPr>
        <w:rPr>
          <w:lang w:val="zh-CN" w:eastAsia="zh-CN"/>
        </w:rPr>
      </w:pPr>
      <w:r>
        <w:rPr>
          <w:rFonts w:hint="eastAsia"/>
          <w:lang w:val="zh-CN" w:eastAsia="zh-CN"/>
        </w:rPr>
        <w:t>7.本合同作为承包合同的附件，与承包合同具有同等的法律效力，经合同双方签署立即生效。</w:t>
      </w:r>
    </w:p>
    <w:p>
      <w:pPr>
        <w:rPr>
          <w:lang w:val="zh-CN" w:eastAsia="zh-CN"/>
        </w:rPr>
      </w:pPr>
      <w:r>
        <w:rPr>
          <w:rFonts w:hint="eastAsia"/>
          <w:lang w:val="zh-CN" w:eastAsia="zh-CN"/>
        </w:rPr>
        <w:t>8.本合同一式八份，由甲乙双方各执三份，送交双方的监督单位各一份。</w:t>
      </w:r>
    </w:p>
    <w:p>
      <w:pPr>
        <w:rPr>
          <w:lang w:val="zh-CN" w:eastAsia="zh-CN"/>
        </w:rPr>
      </w:pPr>
    </w:p>
    <w:p>
      <w:pPr>
        <w:rPr>
          <w:lang w:val="zh-CN" w:eastAsia="zh-CN"/>
        </w:rPr>
      </w:pPr>
    </w:p>
    <w:p>
      <w:pPr>
        <w:rPr>
          <w:lang w:val="zh-CN" w:eastAsia="zh-CN"/>
        </w:rPr>
      </w:pPr>
      <w:r>
        <w:rPr>
          <w:rFonts w:hint="eastAsia"/>
          <w:lang w:val="zh-CN" w:eastAsia="zh-CN"/>
        </w:rPr>
        <w:t xml:space="preserve">买方：                       </w:t>
      </w:r>
      <w:r>
        <w:rPr>
          <w:rFonts w:hint="eastAsia"/>
          <w:lang w:eastAsia="zh-CN"/>
        </w:rPr>
        <w:t xml:space="preserve">  </w:t>
      </w:r>
      <w:r>
        <w:rPr>
          <w:rFonts w:hint="eastAsia"/>
          <w:lang w:val="zh-CN" w:eastAsia="zh-CN"/>
        </w:rPr>
        <w:t xml:space="preserve">卖方：                     </w:t>
      </w:r>
    </w:p>
    <w:p>
      <w:pPr>
        <w:rPr>
          <w:lang w:val="zh-CN" w:eastAsia="zh-CN"/>
        </w:rPr>
      </w:pPr>
      <w:r>
        <w:rPr>
          <w:rFonts w:hint="eastAsia"/>
          <w:lang w:val="zh-CN" w:eastAsia="zh-CN"/>
        </w:rPr>
        <w:t xml:space="preserve">法定代表人：                  </w:t>
      </w:r>
      <w:r>
        <w:rPr>
          <w:rFonts w:hint="eastAsia"/>
          <w:lang w:eastAsia="zh-CN"/>
        </w:rPr>
        <w:t xml:space="preserve">    </w:t>
      </w:r>
      <w:r>
        <w:rPr>
          <w:rFonts w:hint="eastAsia"/>
          <w:lang w:val="zh-CN" w:eastAsia="zh-CN"/>
        </w:rPr>
        <w:t>法定代表人：</w:t>
      </w:r>
    </w:p>
    <w:p>
      <w:pPr>
        <w:rPr>
          <w:lang w:val="zh-CN" w:eastAsia="zh-CN"/>
        </w:rPr>
      </w:pPr>
      <w:r>
        <w:rPr>
          <w:rFonts w:hint="eastAsia"/>
          <w:lang w:val="zh-CN" w:eastAsia="zh-CN"/>
        </w:rPr>
        <w:t>或其授权的代理人：</w:t>
      </w:r>
      <w:r>
        <w:rPr>
          <w:rFonts w:hint="eastAsia"/>
          <w:lang w:val="zh-CN" w:eastAsia="zh-CN"/>
        </w:rPr>
        <w:tab/>
      </w:r>
      <w:r>
        <w:rPr>
          <w:rFonts w:hint="eastAsia"/>
          <w:lang w:val="zh-CN" w:eastAsia="zh-CN"/>
        </w:rPr>
        <w:t xml:space="preserve">            </w:t>
      </w:r>
      <w:r>
        <w:rPr>
          <w:rFonts w:hint="eastAsia"/>
          <w:lang w:eastAsia="zh-CN"/>
        </w:rPr>
        <w:t xml:space="preserve"> </w:t>
      </w:r>
      <w:r>
        <w:rPr>
          <w:rFonts w:hint="eastAsia"/>
          <w:lang w:val="zh-CN" w:eastAsia="zh-CN"/>
        </w:rPr>
        <w:t>或其授权的代理人</w:t>
      </w:r>
    </w:p>
    <w:p>
      <w:pPr>
        <w:rPr>
          <w:lang w:val="zh-CN" w:eastAsia="zh-CN"/>
        </w:rPr>
      </w:pPr>
    </w:p>
    <w:p>
      <w:pPr>
        <w:rPr>
          <w:lang w:val="zh-CN" w:eastAsia="zh-CN"/>
        </w:rPr>
      </w:pPr>
      <w:r>
        <w:rPr>
          <w:rFonts w:hint="eastAsia"/>
          <w:lang w:val="zh-CN" w:eastAsia="zh-CN"/>
        </w:rPr>
        <w:t xml:space="preserve">买方监督单位：              </w:t>
      </w:r>
      <w:r>
        <w:rPr>
          <w:rFonts w:hint="eastAsia"/>
          <w:lang w:eastAsia="zh-CN"/>
        </w:rPr>
        <w:t xml:space="preserve">   </w:t>
      </w:r>
      <w:r>
        <w:rPr>
          <w:rFonts w:hint="eastAsia"/>
          <w:lang w:val="zh-CN" w:eastAsia="zh-CN"/>
        </w:rPr>
        <w:t xml:space="preserve"> </w:t>
      </w:r>
      <w:r>
        <w:rPr>
          <w:rFonts w:hint="eastAsia"/>
          <w:lang w:eastAsia="zh-CN"/>
        </w:rPr>
        <w:t xml:space="preserve"> </w:t>
      </w:r>
      <w:r>
        <w:rPr>
          <w:rFonts w:hint="eastAsia"/>
          <w:lang w:val="zh-CN" w:eastAsia="zh-CN"/>
        </w:rPr>
        <w:t>卖方监督单位：</w:t>
      </w:r>
    </w:p>
    <w:p>
      <w:pPr>
        <w:spacing w:line="510" w:lineRule="exact"/>
        <w:ind w:firstLine="437" w:firstLineChars="199"/>
        <w:rPr>
          <w:rFonts w:ascii="Times New Roman" w:hAnsi="Times New Roman" w:eastAsia="方正仿宋_GBK" w:cs="Times New Roman"/>
          <w:sz w:val="32"/>
          <w:szCs w:val="32"/>
          <w:lang w:eastAsia="zh-CN"/>
        </w:rPr>
      </w:pPr>
      <w:r>
        <w:rPr>
          <w:lang w:eastAsia="zh-CN"/>
        </w:rPr>
        <w:br w:type="page"/>
      </w:r>
    </w:p>
    <w:p>
      <w:pPr>
        <w:pStyle w:val="43"/>
        <w:ind w:left="0" w:leftChars="0" w:firstLine="0"/>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bookmarkStart w:id="730" w:name="_Toc26369"/>
      <w:bookmarkStart w:id="731" w:name="_Toc2528"/>
      <w:bookmarkStart w:id="732" w:name="_Toc7400"/>
      <w:bookmarkStart w:id="733" w:name="_Toc658"/>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bookmarkEnd w:id="730"/>
      <w:bookmarkEnd w:id="731"/>
      <w:bookmarkEnd w:id="732"/>
      <w:bookmarkEnd w:id="733"/>
    </w:p>
    <w:p>
      <w:pPr>
        <w:autoSpaceDE w:val="0"/>
        <w:autoSpaceDN w:val="0"/>
        <w:adjustRightInd w:val="0"/>
        <w:spacing w:line="360" w:lineRule="auto"/>
        <w:ind w:firstLine="2880" w:firstLineChars="600"/>
        <w:jc w:val="both"/>
        <w:rPr>
          <w:rFonts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3"/>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numPr>
          <w:ilvl w:val="0"/>
          <w:numId w:val="3"/>
        </w:num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法定代表人身份证明或授权委托书</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r>
        <w:rPr>
          <w:rFonts w:hint="eastAsia" w:ascii="Times New Roman" w:hAnsi="Times New Roman" w:eastAsia="方正仿宋_GBK" w:cs="Times New Roman"/>
          <w:sz w:val="32"/>
          <w:szCs w:val="32"/>
          <w:lang w:eastAsia="zh-CN"/>
        </w:rPr>
        <w:t>及性能参数</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734" w:name="_Toc52097543"/>
      <w:bookmarkEnd w:id="734"/>
      <w:bookmarkStart w:id="735" w:name="bookmark292"/>
      <w:bookmarkStart w:id="736" w:name="_Toc10710824"/>
      <w:bookmarkStart w:id="737" w:name="_Toc29194793"/>
      <w:r>
        <w:br w:type="page"/>
      </w:r>
      <w:bookmarkStart w:id="738" w:name="_Toc29942"/>
      <w:bookmarkStart w:id="739" w:name="_Toc3180"/>
      <w:bookmarkStart w:id="740" w:name="_Toc30634"/>
      <w:bookmarkStart w:id="741" w:name="_Toc26753"/>
      <w:r>
        <w:rPr>
          <w:rFonts w:ascii="Times New Roman" w:hAnsi="Times New Roman" w:eastAsia="方正小标宋_GBK" w:cs="Times New Roman"/>
          <w:sz w:val="44"/>
          <w:szCs w:val="44"/>
        </w:rPr>
        <w:t>一、法定代表人身份证明或授权委托书</w:t>
      </w:r>
      <w:bookmarkEnd w:id="738"/>
      <w:bookmarkEnd w:id="739"/>
      <w:bookmarkEnd w:id="740"/>
      <w:bookmarkEnd w:id="741"/>
    </w:p>
    <w:p>
      <w:pPr>
        <w:jc w:val="center"/>
        <w:rPr>
          <w:sz w:val="32"/>
          <w:lang w:eastAsia="zh-CN"/>
        </w:rPr>
      </w:pPr>
      <w:r>
        <w:rPr>
          <w:lang w:eastAsia="zh-CN"/>
        </w:rPr>
        <w:br w:type="page"/>
      </w:r>
      <w:r>
        <w:rPr>
          <w:rFonts w:hint="eastAsia"/>
          <w:sz w:val="32"/>
          <w:lang w:eastAsia="zh-CN"/>
        </w:rPr>
        <w:t>法定代表人身份证明</w:t>
      </w:r>
    </w:p>
    <w:p>
      <w:pPr>
        <w:spacing w:line="480" w:lineRule="auto"/>
        <w:jc w:val="center"/>
        <w:rPr>
          <w:lang w:eastAsia="zh-CN"/>
        </w:rPr>
      </w:pPr>
    </w:p>
    <w:p>
      <w:pPr>
        <w:tabs>
          <w:tab w:val="left" w:pos="5565"/>
        </w:tabs>
        <w:autoSpaceDE w:val="0"/>
        <w:autoSpaceDN w:val="0"/>
        <w:adjustRightInd w:val="0"/>
        <w:snapToGrid w:val="0"/>
        <w:spacing w:line="480" w:lineRule="auto"/>
        <w:ind w:firstLine="409" w:firstLineChars="186"/>
        <w:rPr>
          <w:szCs w:val="21"/>
          <w:lang w:eastAsia="zh-CN"/>
        </w:rPr>
      </w:pPr>
      <w:r>
        <w:rPr>
          <w:rFonts w:hint="eastAsia"/>
          <w:szCs w:val="21"/>
          <w:lang w:eastAsia="zh-CN"/>
        </w:rPr>
        <w:t>报价人名称：</w:t>
      </w:r>
      <w:r>
        <w:rPr>
          <w:rFonts w:hint="eastAsia"/>
          <w:w w:val="200"/>
          <w:szCs w:val="21"/>
          <w:u w:val="single"/>
          <w:lang w:eastAsia="zh-CN"/>
        </w:rPr>
        <w:t xml:space="preserve">                                     </w:t>
      </w:r>
    </w:p>
    <w:p>
      <w:pPr>
        <w:tabs>
          <w:tab w:val="left" w:pos="5475"/>
        </w:tabs>
        <w:autoSpaceDE w:val="0"/>
        <w:autoSpaceDN w:val="0"/>
        <w:adjustRightInd w:val="0"/>
        <w:snapToGrid w:val="0"/>
        <w:spacing w:line="480" w:lineRule="auto"/>
        <w:ind w:firstLine="409" w:firstLineChars="186"/>
        <w:rPr>
          <w:szCs w:val="21"/>
          <w:lang w:eastAsia="zh-CN"/>
        </w:rPr>
      </w:pPr>
      <w:r>
        <w:rPr>
          <w:rFonts w:hint="eastAsia"/>
          <w:szCs w:val="21"/>
          <w:lang w:eastAsia="zh-CN"/>
        </w:rPr>
        <w:t>单位性质：</w:t>
      </w:r>
      <w:r>
        <w:rPr>
          <w:rFonts w:hint="eastAsia"/>
          <w:w w:val="200"/>
          <w:szCs w:val="21"/>
          <w:u w:val="single"/>
          <w:lang w:eastAsia="zh-CN"/>
        </w:rPr>
        <w:t xml:space="preserve">                                     </w:t>
      </w:r>
    </w:p>
    <w:p>
      <w:pPr>
        <w:tabs>
          <w:tab w:val="left" w:pos="5475"/>
        </w:tabs>
        <w:autoSpaceDE w:val="0"/>
        <w:autoSpaceDN w:val="0"/>
        <w:adjustRightInd w:val="0"/>
        <w:snapToGrid w:val="0"/>
        <w:spacing w:line="480" w:lineRule="auto"/>
        <w:ind w:firstLine="409" w:firstLineChars="186"/>
        <w:rPr>
          <w:szCs w:val="21"/>
          <w:lang w:eastAsia="zh-CN"/>
        </w:rPr>
      </w:pPr>
      <w:r>
        <w:rPr>
          <w:rFonts w:hint="eastAsia"/>
          <w:szCs w:val="21"/>
          <w:lang w:eastAsia="zh-CN"/>
        </w:rPr>
        <w:t>地    址：</w:t>
      </w:r>
      <w:r>
        <w:rPr>
          <w:rFonts w:hint="eastAsia"/>
          <w:w w:val="200"/>
          <w:szCs w:val="21"/>
          <w:u w:val="single"/>
          <w:lang w:eastAsia="zh-CN"/>
        </w:rPr>
        <w:t xml:space="preserve">                                     </w:t>
      </w:r>
    </w:p>
    <w:p>
      <w:pPr>
        <w:tabs>
          <w:tab w:val="left" w:pos="2520"/>
          <w:tab w:val="left" w:pos="3836"/>
        </w:tabs>
        <w:autoSpaceDE w:val="0"/>
        <w:autoSpaceDN w:val="0"/>
        <w:adjustRightInd w:val="0"/>
        <w:snapToGrid w:val="0"/>
        <w:spacing w:line="480" w:lineRule="auto"/>
        <w:ind w:firstLine="409" w:firstLineChars="186"/>
        <w:rPr>
          <w:sz w:val="10"/>
          <w:szCs w:val="10"/>
          <w:lang w:eastAsia="zh-CN"/>
        </w:rPr>
      </w:pPr>
      <w:r>
        <w:rPr>
          <w:rFonts w:hint="eastAsia"/>
          <w:szCs w:val="21"/>
          <w:lang w:eastAsia="zh-CN"/>
        </w:rPr>
        <w:t>成立时间：</w:t>
      </w:r>
      <w:r>
        <w:rPr>
          <w:rFonts w:hint="eastAsia"/>
          <w:w w:val="200"/>
          <w:szCs w:val="21"/>
          <w:u w:val="single"/>
          <w:lang w:eastAsia="zh-CN"/>
        </w:rPr>
        <w:t xml:space="preserve">        </w:t>
      </w:r>
      <w:r>
        <w:rPr>
          <w:rFonts w:hint="eastAsia"/>
          <w:szCs w:val="21"/>
          <w:lang w:eastAsia="zh-CN"/>
        </w:rPr>
        <w:t>年</w:t>
      </w:r>
      <w:r>
        <w:rPr>
          <w:rFonts w:hint="eastAsia"/>
          <w:w w:val="200"/>
          <w:szCs w:val="21"/>
          <w:u w:val="single"/>
          <w:lang w:eastAsia="zh-CN"/>
        </w:rPr>
        <w:t xml:space="preserve"> </w:t>
      </w:r>
      <w:r>
        <w:rPr>
          <w:rFonts w:hint="eastAsia"/>
          <w:szCs w:val="21"/>
          <w:u w:val="single"/>
          <w:lang w:eastAsia="zh-CN"/>
        </w:rPr>
        <w:t xml:space="preserve">       </w:t>
      </w:r>
      <w:r>
        <w:rPr>
          <w:rFonts w:hint="eastAsia"/>
          <w:szCs w:val="21"/>
          <w:lang w:eastAsia="zh-CN"/>
        </w:rPr>
        <w:t>月</w:t>
      </w:r>
      <w:r>
        <w:rPr>
          <w:rFonts w:hint="eastAsia"/>
          <w:w w:val="200"/>
          <w:szCs w:val="21"/>
          <w:u w:val="single"/>
          <w:lang w:eastAsia="zh-CN"/>
        </w:rPr>
        <w:t xml:space="preserve"> </w:t>
      </w:r>
      <w:r>
        <w:rPr>
          <w:rFonts w:hint="eastAsia"/>
          <w:szCs w:val="21"/>
          <w:u w:val="single"/>
          <w:lang w:eastAsia="zh-CN"/>
        </w:rPr>
        <w:t xml:space="preserve">       </w:t>
      </w:r>
      <w:r>
        <w:rPr>
          <w:rFonts w:hint="eastAsia"/>
          <w:szCs w:val="21"/>
          <w:lang w:eastAsia="zh-CN"/>
        </w:rPr>
        <w:t>日</w:t>
      </w:r>
    </w:p>
    <w:p>
      <w:pPr>
        <w:tabs>
          <w:tab w:val="left" w:pos="5475"/>
        </w:tabs>
        <w:autoSpaceDE w:val="0"/>
        <w:autoSpaceDN w:val="0"/>
        <w:adjustRightInd w:val="0"/>
        <w:snapToGrid w:val="0"/>
        <w:spacing w:line="480" w:lineRule="auto"/>
        <w:ind w:firstLine="409" w:firstLineChars="186"/>
        <w:rPr>
          <w:szCs w:val="21"/>
          <w:lang w:eastAsia="zh-CN"/>
        </w:rPr>
      </w:pPr>
      <w:r>
        <w:rPr>
          <w:rFonts w:hint="eastAsia"/>
          <w:szCs w:val="21"/>
          <w:lang w:eastAsia="zh-CN"/>
        </w:rPr>
        <w:t>经营期限：</w:t>
      </w:r>
      <w:r>
        <w:rPr>
          <w:rFonts w:hint="eastAsia"/>
          <w:w w:val="200"/>
          <w:szCs w:val="21"/>
          <w:u w:val="single"/>
          <w:lang w:eastAsia="zh-CN"/>
        </w:rPr>
        <w:t xml:space="preserve">                                     </w:t>
      </w:r>
    </w:p>
    <w:p>
      <w:pPr>
        <w:tabs>
          <w:tab w:val="left" w:pos="1580"/>
          <w:tab w:val="left" w:pos="3260"/>
          <w:tab w:val="left" w:pos="4840"/>
          <w:tab w:val="left" w:pos="6300"/>
        </w:tabs>
        <w:autoSpaceDE w:val="0"/>
        <w:autoSpaceDN w:val="0"/>
        <w:adjustRightInd w:val="0"/>
        <w:snapToGrid w:val="0"/>
        <w:spacing w:line="480" w:lineRule="auto"/>
        <w:ind w:firstLine="409" w:firstLineChars="186"/>
        <w:rPr>
          <w:szCs w:val="21"/>
          <w:lang w:eastAsia="zh-CN"/>
        </w:rPr>
      </w:pPr>
      <w:r>
        <w:rPr>
          <w:rFonts w:hint="eastAsia"/>
          <w:szCs w:val="21"/>
          <w:lang w:eastAsia="zh-CN"/>
        </w:rPr>
        <w:t>姓名：</w:t>
      </w:r>
      <w:r>
        <w:rPr>
          <w:rFonts w:hint="eastAsia"/>
          <w:w w:val="200"/>
          <w:szCs w:val="21"/>
          <w:u w:val="single"/>
          <w:lang w:eastAsia="zh-CN"/>
        </w:rPr>
        <w:t xml:space="preserve">        </w:t>
      </w:r>
      <w:r>
        <w:rPr>
          <w:rFonts w:hint="eastAsia"/>
          <w:szCs w:val="21"/>
          <w:lang w:eastAsia="zh-CN"/>
        </w:rPr>
        <w:t>性别</w:t>
      </w:r>
      <w:r>
        <w:rPr>
          <w:rFonts w:hint="eastAsia"/>
          <w:spacing w:val="-1"/>
          <w:szCs w:val="21"/>
          <w:lang w:eastAsia="zh-CN"/>
        </w:rPr>
        <w:t>：</w:t>
      </w:r>
      <w:r>
        <w:rPr>
          <w:rFonts w:hint="eastAsia"/>
          <w:szCs w:val="21"/>
          <w:u w:val="single"/>
          <w:lang w:eastAsia="zh-CN"/>
        </w:rPr>
        <w:t xml:space="preserve">       </w:t>
      </w:r>
      <w:r>
        <w:rPr>
          <w:rFonts w:hint="eastAsia"/>
          <w:spacing w:val="-1"/>
          <w:szCs w:val="21"/>
          <w:lang w:eastAsia="zh-CN"/>
        </w:rPr>
        <w:t>年</w:t>
      </w:r>
      <w:r>
        <w:rPr>
          <w:rFonts w:hint="eastAsia"/>
          <w:szCs w:val="21"/>
          <w:lang w:eastAsia="zh-CN"/>
        </w:rPr>
        <w:t>龄：</w:t>
      </w:r>
      <w:r>
        <w:rPr>
          <w:rFonts w:hint="eastAsia"/>
          <w:szCs w:val="21"/>
          <w:u w:val="single"/>
          <w:lang w:eastAsia="zh-CN"/>
        </w:rPr>
        <w:t xml:space="preserve">       </w:t>
      </w:r>
      <w:r>
        <w:rPr>
          <w:rFonts w:hint="eastAsia"/>
          <w:szCs w:val="21"/>
          <w:lang w:eastAsia="zh-CN"/>
        </w:rPr>
        <w:t>职务：</w:t>
      </w:r>
      <w:r>
        <w:rPr>
          <w:rFonts w:hint="eastAsia"/>
          <w:szCs w:val="21"/>
          <w:u w:val="single"/>
          <w:lang w:eastAsia="zh-CN"/>
        </w:rPr>
        <w:t xml:space="preserve">               </w:t>
      </w:r>
    </w:p>
    <w:p>
      <w:pPr>
        <w:tabs>
          <w:tab w:val="left" w:pos="3360"/>
        </w:tabs>
        <w:autoSpaceDE w:val="0"/>
        <w:autoSpaceDN w:val="0"/>
        <w:adjustRightInd w:val="0"/>
        <w:snapToGrid w:val="0"/>
        <w:spacing w:line="480" w:lineRule="auto"/>
        <w:ind w:firstLine="409" w:firstLineChars="186"/>
        <w:rPr>
          <w:szCs w:val="21"/>
          <w:lang w:eastAsia="zh-CN"/>
        </w:rPr>
      </w:pPr>
      <w:r>
        <w:rPr>
          <w:rFonts w:hint="eastAsia"/>
          <w:szCs w:val="21"/>
          <w:lang w:eastAsia="zh-CN"/>
        </w:rPr>
        <w:t>系</w:t>
      </w:r>
      <w:r>
        <w:rPr>
          <w:rFonts w:hint="eastAsia"/>
          <w:szCs w:val="21"/>
          <w:u w:val="single"/>
          <w:lang w:eastAsia="zh-CN"/>
        </w:rPr>
        <w:t xml:space="preserve">                                                         </w:t>
      </w:r>
      <w:r>
        <w:rPr>
          <w:rFonts w:hint="eastAsia"/>
          <w:szCs w:val="21"/>
          <w:lang w:eastAsia="zh-CN"/>
        </w:rPr>
        <w:t>（报价人名称）的法定代表人。</w:t>
      </w:r>
    </w:p>
    <w:p>
      <w:pPr>
        <w:autoSpaceDE w:val="0"/>
        <w:autoSpaceDN w:val="0"/>
        <w:adjustRightInd w:val="0"/>
        <w:snapToGrid w:val="0"/>
        <w:spacing w:line="480" w:lineRule="auto"/>
        <w:ind w:firstLine="186" w:firstLineChars="186"/>
        <w:rPr>
          <w:sz w:val="10"/>
          <w:szCs w:val="10"/>
          <w:lang w:eastAsia="zh-CN"/>
        </w:rPr>
      </w:pPr>
    </w:p>
    <w:p>
      <w:pPr>
        <w:autoSpaceDE w:val="0"/>
        <w:autoSpaceDN w:val="0"/>
        <w:adjustRightInd w:val="0"/>
        <w:snapToGrid w:val="0"/>
        <w:spacing w:line="480" w:lineRule="auto"/>
        <w:ind w:firstLine="849" w:firstLineChars="386"/>
        <w:rPr>
          <w:szCs w:val="21"/>
          <w:lang w:eastAsia="zh-CN"/>
        </w:rPr>
      </w:pPr>
      <w:r>
        <w:rPr>
          <w:rFonts w:hint="eastAsia"/>
          <w:szCs w:val="21"/>
          <w:lang w:eastAsia="zh-CN"/>
        </w:rPr>
        <w:t>特此证明。</w:t>
      </w:r>
    </w:p>
    <w:p>
      <w:pPr>
        <w:autoSpaceDE w:val="0"/>
        <w:autoSpaceDN w:val="0"/>
        <w:adjustRightInd w:val="0"/>
        <w:snapToGrid w:val="0"/>
        <w:spacing w:line="480" w:lineRule="auto"/>
        <w:ind w:firstLine="849" w:firstLineChars="386"/>
        <w:rPr>
          <w:szCs w:val="21"/>
          <w:lang w:eastAsia="zh-CN"/>
        </w:rPr>
      </w:pPr>
      <w:r>
        <w:rPr>
          <w:rFonts w:hint="eastAsia"/>
          <w:szCs w:val="21"/>
          <w:lang w:eastAsia="zh-CN"/>
        </w:rPr>
        <w:t>附：法定代表人身份证扫描件（双面）</w:t>
      </w:r>
    </w:p>
    <w:p>
      <w:pPr>
        <w:tabs>
          <w:tab w:val="left" w:pos="5460"/>
        </w:tabs>
        <w:autoSpaceDE w:val="0"/>
        <w:autoSpaceDN w:val="0"/>
        <w:adjustRightInd w:val="0"/>
        <w:snapToGrid w:val="0"/>
        <w:spacing w:line="480" w:lineRule="auto"/>
        <w:ind w:firstLine="2100"/>
        <w:jc w:val="right"/>
        <w:rPr>
          <w:i/>
          <w:szCs w:val="21"/>
          <w:lang w:eastAsia="zh-CN"/>
        </w:rPr>
      </w:pPr>
    </w:p>
    <w:p>
      <w:pPr>
        <w:tabs>
          <w:tab w:val="left" w:pos="5460"/>
        </w:tabs>
        <w:autoSpaceDE w:val="0"/>
        <w:autoSpaceDN w:val="0"/>
        <w:adjustRightInd w:val="0"/>
        <w:snapToGrid w:val="0"/>
        <w:spacing w:line="480" w:lineRule="auto"/>
        <w:ind w:firstLine="2100"/>
        <w:jc w:val="right"/>
        <w:rPr>
          <w:i/>
          <w:szCs w:val="21"/>
          <w:lang w:eastAsia="zh-CN"/>
        </w:rPr>
      </w:pPr>
    </w:p>
    <w:p>
      <w:pPr>
        <w:tabs>
          <w:tab w:val="left" w:pos="5460"/>
        </w:tabs>
        <w:autoSpaceDE w:val="0"/>
        <w:autoSpaceDN w:val="0"/>
        <w:adjustRightInd w:val="0"/>
        <w:snapToGrid w:val="0"/>
        <w:spacing w:line="480" w:lineRule="auto"/>
        <w:ind w:firstLine="2100"/>
        <w:jc w:val="right"/>
        <w:rPr>
          <w:sz w:val="20"/>
          <w:szCs w:val="20"/>
          <w:lang w:eastAsia="zh-CN"/>
        </w:rPr>
      </w:pPr>
      <w:r>
        <w:rPr>
          <w:rFonts w:hint="eastAsia"/>
          <w:szCs w:val="21"/>
          <w:lang w:eastAsia="zh-CN"/>
        </w:rPr>
        <w:t>报价人：</w:t>
      </w:r>
      <w:r>
        <w:rPr>
          <w:rFonts w:hint="eastAsia"/>
          <w:w w:val="200"/>
          <w:szCs w:val="21"/>
          <w:u w:val="single"/>
          <w:lang w:eastAsia="zh-CN"/>
        </w:rPr>
        <w:t xml:space="preserve">              </w:t>
      </w:r>
      <w:r>
        <w:rPr>
          <w:rFonts w:hint="eastAsia"/>
          <w:szCs w:val="21"/>
          <w:u w:val="single"/>
          <w:lang w:eastAsia="zh-CN"/>
        </w:rPr>
        <w:tab/>
      </w:r>
      <w:r>
        <w:rPr>
          <w:rFonts w:hint="eastAsia"/>
          <w:spacing w:val="-1"/>
          <w:szCs w:val="21"/>
          <w:lang w:eastAsia="zh-CN"/>
        </w:rPr>
        <w:t>（</w:t>
      </w:r>
      <w:r>
        <w:rPr>
          <w:rFonts w:hint="eastAsia"/>
          <w:szCs w:val="21"/>
          <w:lang w:eastAsia="zh-CN"/>
        </w:rPr>
        <w:t>盖单位法人章）</w:t>
      </w:r>
    </w:p>
    <w:p>
      <w:pPr>
        <w:tabs>
          <w:tab w:val="left" w:pos="4935"/>
          <w:tab w:val="left" w:pos="5460"/>
          <w:tab w:val="left" w:pos="6400"/>
        </w:tabs>
        <w:wordWrap w:val="0"/>
        <w:autoSpaceDE w:val="0"/>
        <w:autoSpaceDN w:val="0"/>
        <w:adjustRightInd w:val="0"/>
        <w:snapToGrid w:val="0"/>
        <w:spacing w:line="480" w:lineRule="auto"/>
        <w:ind w:firstLine="3780"/>
        <w:jc w:val="right"/>
        <w:rPr>
          <w:szCs w:val="21"/>
          <w:lang w:eastAsia="zh-CN"/>
        </w:rPr>
      </w:pPr>
      <w:r>
        <w:rPr>
          <w:rFonts w:hint="eastAsia"/>
          <w:w w:val="200"/>
          <w:szCs w:val="21"/>
          <w:u w:val="single"/>
          <w:lang w:eastAsia="zh-CN"/>
        </w:rPr>
        <w:t xml:space="preserve">      </w:t>
      </w:r>
      <w:r>
        <w:rPr>
          <w:rFonts w:hint="eastAsia"/>
          <w:szCs w:val="21"/>
          <w:lang w:eastAsia="zh-CN"/>
        </w:rPr>
        <w:t>年</w:t>
      </w:r>
      <w:r>
        <w:rPr>
          <w:rFonts w:hint="eastAsia"/>
          <w:w w:val="200"/>
          <w:szCs w:val="21"/>
          <w:u w:val="single"/>
          <w:lang w:eastAsia="zh-CN"/>
        </w:rPr>
        <w:t xml:space="preserve"> </w:t>
      </w:r>
      <w:r>
        <w:rPr>
          <w:rFonts w:hint="eastAsia"/>
          <w:szCs w:val="21"/>
          <w:u w:val="single"/>
          <w:lang w:eastAsia="zh-CN"/>
        </w:rPr>
        <w:t xml:space="preserve">     </w:t>
      </w:r>
      <w:r>
        <w:rPr>
          <w:rFonts w:hint="eastAsia"/>
          <w:szCs w:val="21"/>
          <w:lang w:eastAsia="zh-CN"/>
        </w:rPr>
        <w:t>月</w:t>
      </w:r>
      <w:r>
        <w:rPr>
          <w:rFonts w:hint="eastAsia"/>
          <w:w w:val="200"/>
          <w:szCs w:val="21"/>
          <w:u w:val="single"/>
          <w:lang w:eastAsia="zh-CN"/>
        </w:rPr>
        <w:t xml:space="preserve"> </w:t>
      </w:r>
      <w:r>
        <w:rPr>
          <w:rFonts w:hint="eastAsia"/>
          <w:szCs w:val="21"/>
          <w:u w:val="single"/>
          <w:lang w:eastAsia="zh-CN"/>
        </w:rPr>
        <w:t xml:space="preserve">     </w:t>
      </w:r>
      <w:r>
        <w:rPr>
          <w:rFonts w:hint="eastAsia"/>
          <w:szCs w:val="21"/>
          <w:lang w:eastAsia="zh-CN"/>
        </w:rPr>
        <w:t xml:space="preserve">日  </w:t>
      </w:r>
    </w:p>
    <w:p>
      <w:pPr>
        <w:spacing w:line="360" w:lineRule="auto"/>
        <w:ind w:firstLine="440" w:firstLineChars="200"/>
        <w:rPr>
          <w:lang w:eastAsia="zh-CN"/>
        </w:rPr>
      </w:pPr>
      <w:r>
        <w:rPr>
          <w:rFonts w:hint="eastAsia"/>
          <w:lang w:eastAsia="zh-CN"/>
        </w:rPr>
        <w:t>注：法定代表人身份证明需按上述格式将空白填写完整。在此基础上增加内容的不影响其有效性。</w:t>
      </w:r>
    </w:p>
    <w:p>
      <w:pPr>
        <w:rPr>
          <w:rFonts w:ascii="Times New Roman" w:hAnsi="Times New Roman" w:cs="Times New Roman" w:eastAsiaTheme="minorEastAsia"/>
          <w:kern w:val="2"/>
          <w:sz w:val="32"/>
          <w:szCs w:val="32"/>
          <w:lang w:eastAsia="zh-CN"/>
        </w:rPr>
      </w:pPr>
    </w:p>
    <w:p>
      <w:pPr>
        <w:pStyle w:val="2"/>
        <w:rPr>
          <w:rFonts w:ascii="Times New Roman" w:hAnsi="Times New Roman" w:cs="Times New Roman" w:eastAsiaTheme="minorEastAsia"/>
          <w:kern w:val="2"/>
          <w:sz w:val="32"/>
          <w:szCs w:val="32"/>
          <w:lang w:eastAsia="zh-CN"/>
        </w:rPr>
      </w:pPr>
    </w:p>
    <w:p>
      <w:pPr>
        <w:rPr>
          <w:rFonts w:ascii="Times New Roman" w:hAnsi="Times New Roman" w:cs="Times New Roman" w:eastAsiaTheme="minorEastAsia"/>
          <w:kern w:val="2"/>
          <w:sz w:val="32"/>
          <w:szCs w:val="32"/>
          <w:lang w:eastAsia="zh-CN"/>
        </w:rPr>
      </w:pPr>
    </w:p>
    <w:p>
      <w:pPr>
        <w:pStyle w:val="2"/>
        <w:rPr>
          <w:rFonts w:ascii="Times New Roman" w:hAnsi="Times New Roman" w:cs="Times New Roman" w:eastAsiaTheme="minorEastAsia"/>
          <w:kern w:val="2"/>
          <w:sz w:val="32"/>
          <w:szCs w:val="32"/>
          <w:lang w:eastAsia="zh-CN"/>
        </w:rPr>
      </w:pPr>
    </w:p>
    <w:p>
      <w:pPr>
        <w:rPr>
          <w:rFonts w:ascii="Times New Roman" w:hAnsi="Times New Roman" w:cs="Times New Roman" w:eastAsiaTheme="minorEastAsia"/>
          <w:kern w:val="2"/>
          <w:sz w:val="32"/>
          <w:szCs w:val="32"/>
          <w:lang w:eastAsia="zh-CN"/>
        </w:rPr>
      </w:pPr>
    </w:p>
    <w:p>
      <w:pPr>
        <w:pStyle w:val="2"/>
        <w:rPr>
          <w:rFonts w:ascii="Times New Roman" w:hAnsi="Times New Roman" w:cs="Times New Roman" w:eastAsiaTheme="minorEastAsia"/>
          <w:kern w:val="2"/>
          <w:sz w:val="32"/>
          <w:szCs w:val="32"/>
          <w:lang w:eastAsia="zh-CN"/>
        </w:rPr>
      </w:pPr>
    </w:p>
    <w:p>
      <w:pPr>
        <w:rPr>
          <w:rFonts w:ascii="Times New Roman" w:hAnsi="Times New Roman" w:cs="Times New Roman" w:eastAsiaTheme="minorEastAsia"/>
          <w:kern w:val="2"/>
          <w:sz w:val="32"/>
          <w:szCs w:val="32"/>
          <w:lang w:eastAsia="zh-CN"/>
        </w:rPr>
      </w:pPr>
    </w:p>
    <w:p>
      <w:pPr>
        <w:pStyle w:val="2"/>
        <w:rPr>
          <w:rFonts w:ascii="Times New Roman" w:hAnsi="Times New Roman" w:cs="Times New Roman" w:eastAsiaTheme="minorEastAsia"/>
          <w:kern w:val="2"/>
          <w:sz w:val="32"/>
          <w:szCs w:val="32"/>
          <w:lang w:eastAsia="zh-CN"/>
        </w:rPr>
      </w:pPr>
    </w:p>
    <w:p>
      <w:pPr>
        <w:rPr>
          <w:rFonts w:ascii="Times New Roman" w:hAnsi="Times New Roman" w:cs="Times New Roman" w:eastAsiaTheme="minorEastAsia"/>
          <w:kern w:val="2"/>
          <w:sz w:val="32"/>
          <w:szCs w:val="32"/>
          <w:lang w:eastAsia="zh-CN"/>
        </w:rPr>
      </w:pPr>
    </w:p>
    <w:p>
      <w:pPr>
        <w:pStyle w:val="2"/>
        <w:rPr>
          <w:rFonts w:ascii="Times New Roman" w:hAnsi="Times New Roman" w:cs="Times New Roman" w:eastAsiaTheme="minorEastAsia"/>
          <w:kern w:val="2"/>
          <w:sz w:val="32"/>
          <w:szCs w:val="32"/>
          <w:lang w:eastAsia="zh-CN"/>
        </w:rPr>
      </w:pPr>
    </w:p>
    <w:p>
      <w:pPr>
        <w:tabs>
          <w:tab w:val="left" w:pos="1680"/>
          <w:tab w:val="left" w:pos="4215"/>
          <w:tab w:val="left" w:pos="4305"/>
          <w:tab w:val="left" w:pos="8000"/>
        </w:tabs>
        <w:autoSpaceDE w:val="0"/>
        <w:autoSpaceDN w:val="0"/>
        <w:adjustRightInd w:val="0"/>
        <w:snapToGrid w:val="0"/>
        <w:spacing w:line="360" w:lineRule="auto"/>
        <w:jc w:val="center"/>
        <w:outlineLvl w:val="2"/>
        <w:rPr>
          <w:sz w:val="28"/>
          <w:szCs w:val="28"/>
          <w:lang w:eastAsia="zh-CN"/>
        </w:rPr>
      </w:pPr>
      <w:bookmarkStart w:id="742" w:name="_Toc32624"/>
      <w:bookmarkStart w:id="743" w:name="_Toc113559522"/>
      <w:bookmarkStart w:id="744" w:name="_Toc27910"/>
      <w:bookmarkStart w:id="745" w:name="_Toc7647"/>
      <w:bookmarkStart w:id="746" w:name="_Toc11058"/>
      <w:r>
        <w:rPr>
          <w:rFonts w:hint="eastAsia"/>
          <w:snapToGrid w:val="0"/>
          <w:sz w:val="32"/>
          <w:szCs w:val="32"/>
          <w:lang w:eastAsia="zh-CN"/>
        </w:rPr>
        <w:t>授权委托书</w:t>
      </w:r>
      <w:bookmarkEnd w:id="742"/>
      <w:bookmarkEnd w:id="743"/>
      <w:bookmarkEnd w:id="744"/>
      <w:bookmarkEnd w:id="745"/>
      <w:bookmarkEnd w:id="746"/>
    </w:p>
    <w:p>
      <w:pPr>
        <w:tabs>
          <w:tab w:val="left" w:pos="1680"/>
          <w:tab w:val="left" w:pos="4215"/>
          <w:tab w:val="left" w:pos="4305"/>
          <w:tab w:val="left" w:pos="8000"/>
        </w:tabs>
        <w:autoSpaceDE w:val="0"/>
        <w:autoSpaceDN w:val="0"/>
        <w:adjustRightInd w:val="0"/>
        <w:snapToGrid w:val="0"/>
        <w:spacing w:line="480" w:lineRule="auto"/>
        <w:ind w:firstLine="420"/>
        <w:rPr>
          <w:szCs w:val="21"/>
          <w:lang w:eastAsia="zh-CN"/>
        </w:rPr>
      </w:pPr>
      <w:r>
        <w:rPr>
          <w:rFonts w:hint="eastAsia"/>
          <w:szCs w:val="21"/>
          <w:lang w:eastAsia="zh-CN"/>
        </w:rPr>
        <w:t>本人</w:t>
      </w:r>
      <w:r>
        <w:rPr>
          <w:rFonts w:hint="eastAsia"/>
          <w:w w:val="200"/>
          <w:szCs w:val="21"/>
          <w:u w:val="single"/>
          <w:lang w:eastAsia="zh-CN"/>
        </w:rPr>
        <w:t xml:space="preserve">    </w:t>
      </w:r>
      <w:r>
        <w:rPr>
          <w:rFonts w:hint="eastAsia"/>
          <w:szCs w:val="21"/>
          <w:lang w:eastAsia="zh-CN"/>
        </w:rPr>
        <w:t>（姓名）系</w:t>
      </w:r>
      <w:r>
        <w:rPr>
          <w:rFonts w:hint="eastAsia"/>
          <w:w w:val="200"/>
          <w:szCs w:val="21"/>
          <w:u w:val="single"/>
          <w:lang w:eastAsia="zh-CN"/>
        </w:rPr>
        <w:t xml:space="preserve">        </w:t>
      </w:r>
      <w:r>
        <w:rPr>
          <w:rFonts w:hint="eastAsia"/>
          <w:szCs w:val="21"/>
          <w:lang w:eastAsia="zh-CN"/>
        </w:rPr>
        <w:t>（</w:t>
      </w:r>
      <w:r>
        <w:rPr>
          <w:rFonts w:hint="eastAsia"/>
          <w:spacing w:val="-1"/>
          <w:szCs w:val="21"/>
          <w:lang w:eastAsia="zh-CN"/>
        </w:rPr>
        <w:t>报价人</w:t>
      </w:r>
      <w:r>
        <w:rPr>
          <w:rFonts w:hint="eastAsia"/>
          <w:szCs w:val="21"/>
          <w:lang w:eastAsia="zh-CN"/>
        </w:rPr>
        <w:t>名称</w:t>
      </w:r>
      <w:r>
        <w:rPr>
          <w:rFonts w:hint="eastAsia"/>
          <w:spacing w:val="1"/>
          <w:szCs w:val="21"/>
          <w:lang w:eastAsia="zh-CN"/>
        </w:rPr>
        <w:t>）</w:t>
      </w:r>
      <w:r>
        <w:rPr>
          <w:rFonts w:hint="eastAsia"/>
          <w:szCs w:val="21"/>
          <w:lang w:eastAsia="zh-CN"/>
        </w:rPr>
        <w:t>的法定代</w:t>
      </w:r>
      <w:r>
        <w:rPr>
          <w:rFonts w:hint="eastAsia"/>
          <w:spacing w:val="1"/>
          <w:szCs w:val="21"/>
          <w:lang w:eastAsia="zh-CN"/>
        </w:rPr>
        <w:t>表</w:t>
      </w:r>
      <w:r>
        <w:rPr>
          <w:rFonts w:hint="eastAsia"/>
          <w:szCs w:val="21"/>
          <w:lang w:eastAsia="zh-CN"/>
        </w:rPr>
        <w:t>人，现委托</w:t>
      </w:r>
      <w:r>
        <w:rPr>
          <w:rFonts w:hint="eastAsia"/>
          <w:w w:val="200"/>
          <w:szCs w:val="21"/>
          <w:u w:val="single"/>
          <w:lang w:eastAsia="zh-CN"/>
        </w:rPr>
        <w:t xml:space="preserve">    </w:t>
      </w:r>
      <w:r>
        <w:rPr>
          <w:rFonts w:hint="eastAsia"/>
          <w:szCs w:val="21"/>
          <w:lang w:eastAsia="zh-CN"/>
        </w:rPr>
        <w:t>（姓名）为我方代理人。代理人根据授权，以我方名义签署、澄清、说明、补正、递交、撤回、 修改</w:t>
      </w:r>
      <w:r>
        <w:rPr>
          <w:rFonts w:hint="eastAsia"/>
          <w:szCs w:val="21"/>
          <w:u w:val="single"/>
          <w:lang w:eastAsia="zh-CN"/>
        </w:rPr>
        <w:t>涪江干流梯级渠化双江航电枢纽工程船闸液压启闭机及附属设备采购</w:t>
      </w:r>
      <w:r>
        <w:rPr>
          <w:rFonts w:hint="eastAsia"/>
          <w:szCs w:val="21"/>
          <w:lang w:eastAsia="zh-CN"/>
        </w:rPr>
        <w:t>报价文件、签订合同和处理有关事宜，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szCs w:val="21"/>
          <w:lang w:eastAsia="zh-CN"/>
        </w:rPr>
      </w:pPr>
      <w:r>
        <w:rPr>
          <w:rFonts w:hint="eastAsia"/>
          <w:szCs w:val="21"/>
          <w:lang w:eastAsia="zh-CN"/>
        </w:rPr>
        <w:t>委托</w:t>
      </w:r>
      <w:r>
        <w:rPr>
          <w:rFonts w:hint="eastAsia"/>
          <w:spacing w:val="-1"/>
          <w:szCs w:val="21"/>
          <w:lang w:eastAsia="zh-CN"/>
        </w:rPr>
        <w:t>期</w:t>
      </w:r>
      <w:r>
        <w:rPr>
          <w:rFonts w:hint="eastAsia"/>
          <w:szCs w:val="21"/>
          <w:lang w:eastAsia="zh-CN"/>
        </w:rPr>
        <w:t>限：</w:t>
      </w:r>
      <w:r>
        <w:rPr>
          <w:rFonts w:hint="eastAsia"/>
          <w:w w:val="200"/>
          <w:szCs w:val="21"/>
          <w:u w:val="single"/>
          <w:lang w:eastAsia="zh-CN"/>
        </w:rPr>
        <w:t xml:space="preserve">        </w:t>
      </w:r>
      <w:r>
        <w:rPr>
          <w:rFonts w:hint="eastAsia"/>
          <w:szCs w:val="21"/>
          <w:lang w:eastAsia="zh-CN"/>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szCs w:val="21"/>
          <w:lang w:eastAsia="zh-CN"/>
        </w:rPr>
      </w:pPr>
      <w:r>
        <w:rPr>
          <w:rFonts w:hint="eastAsia"/>
          <w:szCs w:val="21"/>
          <w:lang w:eastAsia="zh-CN"/>
        </w:rPr>
        <w:t>代理人无转委托权。</w:t>
      </w:r>
    </w:p>
    <w:p>
      <w:pPr>
        <w:tabs>
          <w:tab w:val="left" w:pos="3360"/>
        </w:tabs>
        <w:autoSpaceDE w:val="0"/>
        <w:autoSpaceDN w:val="0"/>
        <w:adjustRightInd w:val="0"/>
        <w:snapToGrid w:val="0"/>
        <w:spacing w:line="480" w:lineRule="auto"/>
        <w:ind w:firstLine="440" w:firstLineChars="200"/>
        <w:rPr>
          <w:szCs w:val="21"/>
          <w:lang w:eastAsia="zh-CN"/>
        </w:rPr>
      </w:pPr>
      <w:r>
        <w:rPr>
          <w:rFonts w:hint="eastAsia"/>
          <w:szCs w:val="21"/>
          <w:lang w:eastAsia="zh-CN"/>
        </w:rPr>
        <w:t>附：1. 法定代表人及委托代理人身份证扫描件（双面）</w:t>
      </w:r>
    </w:p>
    <w:p>
      <w:pPr>
        <w:tabs>
          <w:tab w:val="left" w:pos="1680"/>
          <w:tab w:val="left" w:pos="4200"/>
          <w:tab w:val="left" w:pos="4305"/>
          <w:tab w:val="left" w:pos="8000"/>
        </w:tabs>
        <w:autoSpaceDE w:val="0"/>
        <w:autoSpaceDN w:val="0"/>
        <w:adjustRightInd w:val="0"/>
        <w:snapToGrid w:val="0"/>
        <w:spacing w:line="480" w:lineRule="auto"/>
        <w:ind w:firstLine="420"/>
        <w:rPr>
          <w:szCs w:val="21"/>
          <w:lang w:eastAsia="zh-CN"/>
        </w:rPr>
      </w:pPr>
    </w:p>
    <w:p>
      <w:pPr>
        <w:tabs>
          <w:tab w:val="left" w:pos="1680"/>
          <w:tab w:val="left" w:pos="4200"/>
          <w:tab w:val="left" w:pos="4305"/>
          <w:tab w:val="left" w:pos="8000"/>
        </w:tabs>
        <w:autoSpaceDE w:val="0"/>
        <w:autoSpaceDN w:val="0"/>
        <w:adjustRightInd w:val="0"/>
        <w:snapToGrid w:val="0"/>
        <w:spacing w:line="480" w:lineRule="auto"/>
        <w:ind w:firstLine="420"/>
        <w:rPr>
          <w:szCs w:val="21"/>
          <w:lang w:eastAsia="zh-CN"/>
        </w:rPr>
      </w:pPr>
      <w:r>
        <w:rPr>
          <w:rFonts w:hint="eastAsia"/>
          <w:szCs w:val="21"/>
          <w:lang w:eastAsia="zh-CN"/>
        </w:rPr>
        <w:t>投  标  人：</w:t>
      </w:r>
      <w:r>
        <w:rPr>
          <w:rFonts w:hint="eastAsia"/>
          <w:w w:val="200"/>
          <w:szCs w:val="21"/>
          <w:u w:val="single"/>
          <w:lang w:eastAsia="zh-CN"/>
        </w:rPr>
        <w:t xml:space="preserve">                           </w:t>
      </w:r>
      <w:r>
        <w:rPr>
          <w:rFonts w:hint="eastAsia"/>
          <w:szCs w:val="21"/>
          <w:lang w:eastAsia="zh-CN"/>
        </w:rPr>
        <w:t>（</w:t>
      </w:r>
      <w:r>
        <w:rPr>
          <w:rFonts w:hint="eastAsia"/>
          <w:spacing w:val="-1"/>
          <w:szCs w:val="21"/>
          <w:lang w:eastAsia="zh-CN"/>
        </w:rPr>
        <w:t>盖单位法人章</w:t>
      </w:r>
      <w:r>
        <w:rPr>
          <w:rFonts w:hint="eastAsia"/>
          <w:szCs w:val="21"/>
          <w:lang w:eastAsia="zh-CN"/>
        </w:rPr>
        <w:t>）</w:t>
      </w:r>
    </w:p>
    <w:p>
      <w:pPr>
        <w:tabs>
          <w:tab w:val="left" w:pos="6300"/>
        </w:tabs>
        <w:autoSpaceDE w:val="0"/>
        <w:autoSpaceDN w:val="0"/>
        <w:adjustRightInd w:val="0"/>
        <w:snapToGrid w:val="0"/>
        <w:spacing w:line="480" w:lineRule="auto"/>
        <w:ind w:firstLine="440" w:firstLineChars="200"/>
        <w:rPr>
          <w:szCs w:val="21"/>
          <w:lang w:eastAsia="zh-CN"/>
        </w:rPr>
      </w:pPr>
      <w:r>
        <w:rPr>
          <w:rFonts w:hint="eastAsia"/>
          <w:szCs w:val="21"/>
          <w:lang w:eastAsia="zh-CN"/>
        </w:rPr>
        <w:t>法定代表人：</w:t>
      </w:r>
      <w:r>
        <w:rPr>
          <w:rFonts w:hint="eastAsia"/>
          <w:w w:val="200"/>
          <w:szCs w:val="21"/>
          <w:u w:val="single"/>
          <w:lang w:eastAsia="zh-CN"/>
        </w:rPr>
        <w:t xml:space="preserve">                           </w:t>
      </w:r>
      <w:r>
        <w:rPr>
          <w:rFonts w:hint="eastAsia"/>
          <w:szCs w:val="21"/>
          <w:lang w:eastAsia="zh-CN"/>
        </w:rPr>
        <w:t>（签名或盖章）</w:t>
      </w:r>
    </w:p>
    <w:p>
      <w:pPr>
        <w:tabs>
          <w:tab w:val="left" w:pos="5260"/>
        </w:tabs>
        <w:autoSpaceDE w:val="0"/>
        <w:autoSpaceDN w:val="0"/>
        <w:adjustRightInd w:val="0"/>
        <w:snapToGrid w:val="0"/>
        <w:spacing w:line="480" w:lineRule="auto"/>
        <w:ind w:firstLine="440" w:firstLineChars="200"/>
        <w:rPr>
          <w:szCs w:val="21"/>
          <w:u w:val="single"/>
          <w:lang w:eastAsia="zh-CN"/>
        </w:rPr>
      </w:pPr>
      <w:r>
        <w:rPr>
          <w:rFonts w:hint="eastAsia"/>
          <w:szCs w:val="21"/>
          <w:lang w:eastAsia="zh-CN"/>
        </w:rPr>
        <w:t>身份证号码：</w:t>
      </w:r>
      <w:r>
        <w:rPr>
          <w:rFonts w:hint="eastAsia"/>
          <w:w w:val="200"/>
          <w:szCs w:val="21"/>
          <w:u w:val="single"/>
          <w:lang w:eastAsia="zh-CN"/>
        </w:rPr>
        <w:t xml:space="preserve">                           </w:t>
      </w:r>
    </w:p>
    <w:p>
      <w:pPr>
        <w:tabs>
          <w:tab w:val="left" w:pos="5260"/>
        </w:tabs>
        <w:autoSpaceDE w:val="0"/>
        <w:autoSpaceDN w:val="0"/>
        <w:adjustRightInd w:val="0"/>
        <w:snapToGrid w:val="0"/>
        <w:spacing w:line="480" w:lineRule="auto"/>
        <w:ind w:firstLine="440" w:firstLineChars="200"/>
        <w:rPr>
          <w:szCs w:val="21"/>
          <w:lang w:eastAsia="zh-CN"/>
        </w:rPr>
      </w:pPr>
      <w:r>
        <w:rPr>
          <w:rFonts w:hint="eastAsia"/>
          <w:szCs w:val="21"/>
          <w:lang w:eastAsia="zh-CN"/>
        </w:rPr>
        <w:t>委托代理人：</w:t>
      </w:r>
      <w:r>
        <w:rPr>
          <w:rFonts w:hint="eastAsia"/>
          <w:w w:val="200"/>
          <w:szCs w:val="21"/>
          <w:u w:val="single"/>
          <w:lang w:eastAsia="zh-CN"/>
        </w:rPr>
        <w:t xml:space="preserve">                           </w:t>
      </w:r>
      <w:r>
        <w:rPr>
          <w:rFonts w:hint="eastAsia"/>
          <w:szCs w:val="21"/>
          <w:lang w:eastAsia="zh-CN"/>
        </w:rPr>
        <w:t>（签名）</w:t>
      </w:r>
    </w:p>
    <w:p>
      <w:pPr>
        <w:tabs>
          <w:tab w:val="left" w:pos="6825"/>
        </w:tabs>
        <w:autoSpaceDE w:val="0"/>
        <w:autoSpaceDN w:val="0"/>
        <w:adjustRightInd w:val="0"/>
        <w:snapToGrid w:val="0"/>
        <w:spacing w:line="480" w:lineRule="auto"/>
        <w:ind w:firstLine="440" w:firstLineChars="200"/>
        <w:rPr>
          <w:w w:val="200"/>
          <w:szCs w:val="21"/>
          <w:u w:val="single"/>
          <w:lang w:eastAsia="zh-CN"/>
        </w:rPr>
      </w:pPr>
      <w:r>
        <w:rPr>
          <w:rFonts w:hint="eastAsia"/>
          <w:szCs w:val="21"/>
          <w:lang w:eastAsia="zh-CN"/>
        </w:rPr>
        <w:t>身份证号码：</w:t>
      </w:r>
      <w:r>
        <w:rPr>
          <w:rFonts w:hint="eastAsia"/>
          <w:w w:val="200"/>
          <w:szCs w:val="21"/>
          <w:u w:val="single"/>
          <w:lang w:eastAsia="zh-CN"/>
        </w:rPr>
        <w:t xml:space="preserve">                           </w:t>
      </w:r>
    </w:p>
    <w:p>
      <w:pPr>
        <w:pStyle w:val="2"/>
        <w:spacing w:line="360" w:lineRule="auto"/>
        <w:ind w:firstLine="420" w:firstLineChars="200"/>
        <w:rPr>
          <w:snapToGrid w:val="0"/>
          <w:lang w:eastAsia="zh-CN"/>
        </w:rPr>
      </w:pPr>
      <w:r>
        <w:rPr>
          <w:rFonts w:hint="eastAsia"/>
          <w:snapToGrid w:val="0"/>
          <w:lang w:eastAsia="zh-CN"/>
        </w:rPr>
        <w:t>单位电话（座机）：</w:t>
      </w:r>
      <w:r>
        <w:rPr>
          <w:rFonts w:hint="eastAsia"/>
          <w:w w:val="200"/>
          <w:u w:val="single"/>
          <w:lang w:eastAsia="zh-CN"/>
        </w:rPr>
        <w:t xml:space="preserve">                        </w:t>
      </w:r>
    </w:p>
    <w:p>
      <w:pPr>
        <w:pStyle w:val="2"/>
        <w:spacing w:line="360" w:lineRule="auto"/>
        <w:ind w:firstLine="420" w:firstLineChars="200"/>
        <w:rPr>
          <w:lang w:eastAsia="zh-CN"/>
        </w:rPr>
      </w:pPr>
      <w:r>
        <w:rPr>
          <w:rFonts w:hint="eastAsia"/>
          <w:snapToGrid w:val="0"/>
          <w:lang w:eastAsia="zh-CN"/>
        </w:rPr>
        <w:t>委托代理人电话（手机）：</w:t>
      </w:r>
      <w:r>
        <w:rPr>
          <w:rFonts w:hint="eastAsia"/>
          <w:w w:val="200"/>
          <w:u w:val="single"/>
          <w:lang w:eastAsia="zh-CN"/>
        </w:rPr>
        <w:t xml:space="preserve">                     </w:t>
      </w:r>
    </w:p>
    <w:p>
      <w:pPr>
        <w:pStyle w:val="2"/>
        <w:rPr>
          <w:lang w:eastAsia="zh-CN"/>
        </w:rPr>
      </w:pPr>
    </w:p>
    <w:p>
      <w:pPr>
        <w:tabs>
          <w:tab w:val="left" w:pos="4005"/>
          <w:tab w:val="left" w:pos="4100"/>
          <w:tab w:val="left" w:pos="5040"/>
        </w:tabs>
        <w:wordWrap w:val="0"/>
        <w:autoSpaceDE w:val="0"/>
        <w:autoSpaceDN w:val="0"/>
        <w:adjustRightInd w:val="0"/>
        <w:snapToGrid w:val="0"/>
        <w:spacing w:line="360" w:lineRule="auto"/>
        <w:ind w:firstLine="3780"/>
        <w:jc w:val="right"/>
        <w:rPr>
          <w:szCs w:val="21"/>
          <w:lang w:eastAsia="zh-CN"/>
        </w:rPr>
      </w:pPr>
      <w:r>
        <w:rPr>
          <w:rFonts w:hint="eastAsia"/>
          <w:w w:val="200"/>
          <w:szCs w:val="21"/>
          <w:u w:val="single"/>
          <w:lang w:eastAsia="zh-CN"/>
        </w:rPr>
        <w:t xml:space="preserve">  </w:t>
      </w:r>
      <w:r>
        <w:rPr>
          <w:rFonts w:hint="eastAsia"/>
          <w:szCs w:val="21"/>
          <w:lang w:eastAsia="zh-CN"/>
        </w:rPr>
        <w:t>年</w:t>
      </w:r>
      <w:r>
        <w:rPr>
          <w:rFonts w:hint="eastAsia"/>
          <w:w w:val="200"/>
          <w:szCs w:val="21"/>
          <w:u w:val="single"/>
          <w:lang w:eastAsia="zh-CN"/>
        </w:rPr>
        <w:t xml:space="preserve">  </w:t>
      </w:r>
      <w:r>
        <w:rPr>
          <w:rFonts w:hint="eastAsia"/>
          <w:szCs w:val="21"/>
          <w:lang w:eastAsia="zh-CN"/>
        </w:rPr>
        <w:t>月</w:t>
      </w:r>
      <w:r>
        <w:rPr>
          <w:rFonts w:hint="eastAsia"/>
          <w:w w:val="200"/>
          <w:szCs w:val="21"/>
          <w:u w:val="single"/>
          <w:lang w:eastAsia="zh-CN"/>
        </w:rPr>
        <w:t xml:space="preserve">  </w:t>
      </w:r>
      <w:r>
        <w:rPr>
          <w:rFonts w:hint="eastAsia"/>
          <w:szCs w:val="21"/>
          <w:lang w:eastAsia="zh-CN"/>
        </w:rPr>
        <w:t xml:space="preserve">日 </w:t>
      </w:r>
    </w:p>
    <w:p>
      <w:pPr>
        <w:tabs>
          <w:tab w:val="left" w:pos="4005"/>
          <w:tab w:val="left" w:pos="4100"/>
          <w:tab w:val="left" w:pos="5040"/>
        </w:tabs>
        <w:autoSpaceDE w:val="0"/>
        <w:autoSpaceDN w:val="0"/>
        <w:adjustRightInd w:val="0"/>
        <w:snapToGrid w:val="0"/>
        <w:spacing w:line="360" w:lineRule="auto"/>
        <w:ind w:firstLine="3780"/>
        <w:jc w:val="right"/>
        <w:rPr>
          <w:szCs w:val="21"/>
          <w:lang w:eastAsia="zh-CN"/>
        </w:rPr>
      </w:pPr>
    </w:p>
    <w:p>
      <w:pPr>
        <w:tabs>
          <w:tab w:val="left" w:pos="1680"/>
          <w:tab w:val="left" w:pos="4215"/>
          <w:tab w:val="left" w:pos="4305"/>
          <w:tab w:val="left" w:pos="8000"/>
        </w:tabs>
        <w:autoSpaceDE w:val="0"/>
        <w:autoSpaceDN w:val="0"/>
        <w:adjustRightInd w:val="0"/>
        <w:snapToGrid w:val="0"/>
        <w:spacing w:line="360" w:lineRule="auto"/>
        <w:ind w:firstLine="440" w:firstLineChars="200"/>
        <w:rPr>
          <w:szCs w:val="21"/>
          <w:lang w:eastAsia="zh-CN"/>
        </w:rPr>
      </w:pPr>
      <w:r>
        <w:rPr>
          <w:rFonts w:hint="eastAsia"/>
          <w:szCs w:val="21"/>
          <w:lang w:eastAsia="zh-CN"/>
        </w:rPr>
        <w:t>注：1、法定代表人参加报价活动并签署文件的不需要授权委托书，只需提供法定代表人身份证明；非法定代表人参加报价活动及签署文件的除提供法定代表人身份证明外还须提供授权委托书。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40" w:firstLineChars="200"/>
        <w:rPr>
          <w:lang w:eastAsia="zh-CN"/>
        </w:rPr>
      </w:pPr>
      <w:r>
        <w:rPr>
          <w:rFonts w:hint="eastAsia"/>
          <w:szCs w:val="21"/>
          <w:lang w:eastAsia="zh-CN"/>
        </w:rPr>
        <w:t>2.</w:t>
      </w:r>
      <w:r>
        <w:rPr>
          <w:rFonts w:hint="eastAsia"/>
          <w:lang w:eastAsia="zh-CN"/>
        </w:rPr>
        <w:t>授权委托书需按上述格式将空白处填写完整。在此基础上增加内容的不影响其有效性。</w:t>
      </w:r>
    </w:p>
    <w:p>
      <w:pPr>
        <w:rPr>
          <w:rFonts w:ascii="Times New Roman" w:hAnsi="Times New Roman" w:cs="Times New Roman" w:eastAsiaTheme="minorEastAsia"/>
          <w:kern w:val="2"/>
          <w:sz w:val="32"/>
          <w:szCs w:val="32"/>
          <w:lang w:eastAsia="zh-CN"/>
        </w:rPr>
      </w:pPr>
    </w:p>
    <w:p>
      <w:pPr>
        <w:pStyle w:val="2"/>
        <w:rPr>
          <w:lang w:eastAsia="zh-CN"/>
        </w:rPr>
      </w:pPr>
    </w:p>
    <w:bookmarkEnd w:id="735"/>
    <w:bookmarkEnd w:id="736"/>
    <w:bookmarkEnd w:id="737"/>
    <w:p>
      <w:pPr>
        <w:pStyle w:val="173"/>
        <w:shd w:val="clear" w:color="auto" w:fill="auto"/>
        <w:spacing w:before="0" w:after="476" w:line="240" w:lineRule="auto"/>
        <w:jc w:val="center"/>
        <w:rPr>
          <w:rFonts w:ascii="Times New Roman" w:hAnsi="Times New Roman" w:eastAsia="方正小标宋_GBK" w:cs="Times New Roman"/>
          <w:sz w:val="36"/>
          <w:szCs w:val="36"/>
        </w:rPr>
      </w:pPr>
      <w:bookmarkStart w:id="747" w:name="_Toc52097544"/>
      <w:bookmarkEnd w:id="747"/>
      <w:bookmarkStart w:id="748" w:name="_Toc12431"/>
      <w:bookmarkStart w:id="749" w:name="_Toc23906"/>
      <w:bookmarkStart w:id="750" w:name="_Toc18251"/>
      <w:bookmarkStart w:id="751" w:name="_Toc3941"/>
      <w:r>
        <w:rPr>
          <w:rFonts w:hint="eastAsia" w:ascii="Times New Roman" w:hAnsi="Times New Roman" w:eastAsia="方正小标宋_GBK" w:cs="Times New Roman"/>
          <w:sz w:val="36"/>
          <w:szCs w:val="36"/>
        </w:rPr>
        <w:t>二、报价函</w:t>
      </w:r>
      <w:bookmarkEnd w:id="748"/>
      <w:bookmarkEnd w:id="749"/>
      <w:bookmarkEnd w:id="750"/>
      <w:bookmarkEnd w:id="751"/>
    </w:p>
    <w:p>
      <w:pPr>
        <w:tabs>
          <w:tab w:val="left" w:leader="underscore" w:pos="2036"/>
        </w:tabs>
        <w:ind w:left="140"/>
        <w:rPr>
          <w:rFonts w:ascii="Times New Roman" w:hAnsi="Times New Roman" w:eastAsia="方正仿宋_GBK" w:cs="Times New Roman"/>
          <w:sz w:val="30"/>
          <w:szCs w:val="30"/>
          <w:lang w:eastAsia="zh-CN"/>
        </w:rPr>
      </w:pPr>
      <w:bookmarkStart w:id="752" w:name="bookmark293"/>
      <w:bookmarkEnd w:id="752"/>
      <w:r>
        <w:rPr>
          <w:rFonts w:hint="eastAsia" w:ascii="Times New Roman" w:hAnsi="Times New Roman" w:eastAsia="方正仿宋_GBK" w:cs="Times New Roman"/>
          <w:sz w:val="30"/>
          <w:szCs w:val="30"/>
          <w:lang w:eastAsia="zh-CN"/>
        </w:rPr>
        <w:t>____________(询价人名称</w:t>
      </w:r>
      <w:r>
        <w:rPr>
          <w:rFonts w:hint="eastAsia" w:ascii="Times New Roman" w:hAnsi="Times New Roman" w:eastAsia="方正仿宋_GBK" w:cs="Times New Roman"/>
          <w:sz w:val="30"/>
          <w:szCs w:val="30"/>
          <w:lang w:eastAsia="zh-CN" w:bidi="en-US"/>
        </w:rPr>
        <w:t>）：</w:t>
      </w:r>
    </w:p>
    <w:p>
      <w:pPr>
        <w:tabs>
          <w:tab w:val="left" w:pos="939"/>
        </w:tabs>
        <w:adjustRightInd w:val="0"/>
        <w:ind w:firstLine="600" w:firstLineChars="20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bidi="en-US"/>
        </w:rPr>
        <w:t>1.</w:t>
      </w:r>
      <w:r>
        <w:rPr>
          <w:rFonts w:hint="eastAsia" w:ascii="Times New Roman" w:hAnsi="Times New Roman" w:eastAsia="方正仿宋_GBK" w:cs="Times New Roman"/>
          <w:sz w:val="30"/>
          <w:szCs w:val="30"/>
          <w:lang w:eastAsia="zh-CN"/>
        </w:rPr>
        <w:t>我方己仔细研究了_______项目询价文件的全部内容，愿意以人民币（大写</w:t>
      </w:r>
      <w:r>
        <w:rPr>
          <w:rFonts w:hint="eastAsia" w:ascii="Times New Roman" w:hAnsi="Times New Roman" w:eastAsia="方正仿宋_GBK" w:cs="Times New Roman"/>
          <w:sz w:val="30"/>
          <w:szCs w:val="30"/>
          <w:lang w:eastAsia="zh-CN" w:bidi="en-US"/>
        </w:rPr>
        <w:t>）</w:t>
      </w:r>
      <w:r>
        <w:rPr>
          <w:rFonts w:hint="eastAsia" w:ascii="Times New Roman" w:hAnsi="Times New Roman" w:eastAsia="方正仿宋_GBK" w:cs="Times New Roman"/>
          <w:sz w:val="30"/>
          <w:szCs w:val="30"/>
          <w:u w:val="single"/>
          <w:lang w:eastAsia="zh-CN" w:bidi="en-US"/>
        </w:rPr>
        <w:t xml:space="preserve">       </w:t>
      </w:r>
      <w:r>
        <w:rPr>
          <w:rFonts w:hint="eastAsia" w:ascii="Times New Roman" w:hAnsi="Times New Roman" w:eastAsia="方正仿宋_GBK" w:cs="Times New Roman"/>
          <w:sz w:val="30"/>
          <w:szCs w:val="30"/>
          <w:lang w:eastAsia="zh-CN" w:bidi="en-US"/>
        </w:rPr>
        <w:t>(¥</w:t>
      </w:r>
      <w:r>
        <w:rPr>
          <w:rFonts w:hint="eastAsia" w:ascii="Times New Roman" w:hAnsi="Times New Roman" w:eastAsia="方正仿宋_GBK" w:cs="Times New Roman"/>
          <w:sz w:val="30"/>
          <w:szCs w:val="30"/>
          <w:u w:val="single"/>
          <w:lang w:eastAsia="zh-CN" w:bidi="en-US"/>
        </w:rPr>
        <w:t xml:space="preserve">      </w:t>
      </w:r>
      <w:r>
        <w:rPr>
          <w:rFonts w:hint="eastAsia" w:ascii="Times New Roman" w:hAnsi="Times New Roman" w:eastAsia="方正仿宋_GBK" w:cs="Times New Roman"/>
          <w:color w:val="000000" w:themeColor="text1"/>
          <w:sz w:val="30"/>
          <w:szCs w:val="30"/>
          <w:u w:val="single"/>
          <w:lang w:eastAsia="zh-CN" w:bidi="en-US"/>
          <w14:textFill>
            <w14:solidFill>
              <w14:schemeClr w14:val="tx1"/>
            </w14:solidFill>
          </w14:textFill>
        </w:rPr>
        <w:t xml:space="preserve"> </w:t>
      </w:r>
      <w:r>
        <w:rPr>
          <w:rFonts w:hint="eastAsia" w:ascii="Times New Roman" w:hAnsi="Times New Roman" w:eastAsia="方正仿宋_GBK" w:cs="Times New Roman"/>
          <w:color w:val="000000" w:themeColor="text1"/>
          <w:sz w:val="30"/>
          <w:szCs w:val="30"/>
          <w:lang w:eastAsia="zh-CN" w:bidi="en-US"/>
          <w14:textFill>
            <w14:solidFill>
              <w14:schemeClr w14:val="tx1"/>
            </w14:solidFill>
          </w14:textFill>
        </w:rPr>
        <w:t>)元</w:t>
      </w:r>
      <w:r>
        <w:rPr>
          <w:rFonts w:hint="eastAsia" w:ascii="Times New Roman" w:hAnsi="Times New Roman" w:eastAsia="方正仿宋_GBK" w:cs="Times New Roman"/>
          <w:color w:val="000000" w:themeColor="text1"/>
          <w:sz w:val="30"/>
          <w:szCs w:val="30"/>
          <w:lang w:eastAsia="zh-CN"/>
          <w14:textFill>
            <w14:solidFill>
              <w14:schemeClr w14:val="tx1"/>
            </w14:solidFill>
          </w14:textFill>
        </w:rPr>
        <w:t>的</w:t>
      </w:r>
      <w:r>
        <w:rPr>
          <w:rFonts w:hint="eastAsia" w:ascii="Times New Roman" w:hAnsi="Times New Roman" w:eastAsia="方正仿宋_GBK" w:cs="Times New Roman"/>
          <w:sz w:val="30"/>
          <w:szCs w:val="30"/>
          <w:lang w:eastAsia="zh-CN"/>
        </w:rPr>
        <w:t>总报价提供相关服务，并按合同约定履行义务。</w:t>
      </w:r>
    </w:p>
    <w:p>
      <w:pPr>
        <w:tabs>
          <w:tab w:val="left" w:pos="939"/>
        </w:tabs>
        <w:adjustRightInd w:val="0"/>
        <w:ind w:left="420" w:leftChars="191" w:firstLine="300" w:firstLineChars="10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2.我方的报价文件包括下列内容：</w:t>
      </w:r>
    </w:p>
    <w:p>
      <w:pPr>
        <w:tabs>
          <w:tab w:val="left" w:pos="1088"/>
        </w:tabs>
        <w:adjustRightInd w:val="0"/>
        <w:ind w:left="42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（1）报价函；</w:t>
      </w:r>
    </w:p>
    <w:p>
      <w:pPr>
        <w:tabs>
          <w:tab w:val="left" w:pos="1088"/>
        </w:tabs>
        <w:adjustRightInd w:val="0"/>
        <w:ind w:left="42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（2）法定代表人身份证明或授权委托书；</w:t>
      </w:r>
    </w:p>
    <w:p>
      <w:pPr>
        <w:tabs>
          <w:tab w:val="left" w:pos="1088"/>
        </w:tabs>
        <w:adjustRightInd w:val="0"/>
        <w:ind w:left="42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（3）报价表；</w:t>
      </w:r>
    </w:p>
    <w:p>
      <w:pPr>
        <w:tabs>
          <w:tab w:val="left" w:pos="1088"/>
        </w:tabs>
        <w:adjustRightInd w:val="0"/>
        <w:ind w:left="42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（4）资格审查资料；</w:t>
      </w:r>
    </w:p>
    <w:p>
      <w:pPr>
        <w:tabs>
          <w:tab w:val="left" w:pos="1088"/>
        </w:tabs>
        <w:adjustRightInd w:val="0"/>
        <w:ind w:left="42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（5）项目方案及性能参数；</w:t>
      </w:r>
    </w:p>
    <w:p>
      <w:pPr>
        <w:tabs>
          <w:tab w:val="left" w:pos="1088"/>
        </w:tabs>
        <w:adjustRightInd w:val="0"/>
        <w:ind w:firstLine="600" w:firstLineChars="20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报价文件的上述组成部分如存在内容不一致的，以报标函为准。</w:t>
      </w:r>
    </w:p>
    <w:p>
      <w:pPr>
        <w:tabs>
          <w:tab w:val="left" w:pos="993"/>
        </w:tabs>
        <w:adjustRightInd w:val="0"/>
        <w:ind w:firstLine="600" w:firstLineChars="20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3.我方承诺响应询价文件的全部要求。</w:t>
      </w:r>
    </w:p>
    <w:p>
      <w:pPr>
        <w:tabs>
          <w:tab w:val="left" w:pos="993"/>
        </w:tabs>
        <w:adjustRightInd w:val="0"/>
        <w:ind w:firstLine="600" w:firstLineChars="20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4.如我方中选，我方承诺：</w:t>
      </w:r>
    </w:p>
    <w:p>
      <w:pPr>
        <w:tabs>
          <w:tab w:val="left" w:pos="1088"/>
        </w:tabs>
        <w:adjustRightInd w:val="0"/>
        <w:ind w:firstLine="300" w:firstLineChars="10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（1）在收到中选通知后，在规定的期限内与你方签订合同；</w:t>
      </w:r>
    </w:p>
    <w:p>
      <w:pPr>
        <w:tabs>
          <w:tab w:val="left" w:pos="1088"/>
        </w:tabs>
        <w:adjustRightInd w:val="0"/>
        <w:ind w:left="42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（2）在签订合同时不向你方提出附加条件；</w:t>
      </w:r>
    </w:p>
    <w:p>
      <w:pPr>
        <w:tabs>
          <w:tab w:val="left" w:pos="1088"/>
        </w:tabs>
        <w:adjustRightInd w:val="0"/>
        <w:ind w:left="42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（3）在合同约定的期限内完成合同规定的全部义务。</w:t>
      </w:r>
    </w:p>
    <w:p>
      <w:pPr>
        <w:tabs>
          <w:tab w:val="left" w:pos="849"/>
        </w:tabs>
        <w:adjustRightInd w:val="0"/>
        <w:ind w:firstLine="600" w:firstLineChars="20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6.我方在此声明，愿意对递交的报价文件及有关资料的真实性负法律责任。</w:t>
      </w:r>
    </w:p>
    <w:p>
      <w:pPr>
        <w:tabs>
          <w:tab w:val="left" w:pos="849"/>
        </w:tabs>
        <w:adjustRightInd w:val="0"/>
        <w:ind w:left="42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bidi="en-US"/>
        </w:rPr>
        <w:t>7.(</w:t>
      </w:r>
      <w:r>
        <w:rPr>
          <w:rFonts w:hint="eastAsia" w:ascii="Times New Roman" w:hAnsi="Times New Roman" w:eastAsia="方正仿宋_GBK" w:cs="Times New Roman"/>
          <w:sz w:val="30"/>
          <w:szCs w:val="30"/>
          <w:lang w:eastAsia="zh-CN"/>
        </w:rPr>
        <w:t>其他补充说明）。</w:t>
      </w:r>
    </w:p>
    <w:p>
      <w:pPr>
        <w:ind w:left="2660"/>
        <w:rPr>
          <w:rFonts w:ascii="Times New Roman" w:hAnsi="Times New Roman" w:eastAsia="方正仿宋_GBK" w:cs="Times New Roman"/>
          <w:sz w:val="30"/>
          <w:szCs w:val="30"/>
          <w:lang w:eastAsia="zh-CN"/>
        </w:rPr>
      </w:pPr>
      <w:r>
        <w:rPr>
          <w:rStyle w:val="180"/>
          <w:rFonts w:hint="eastAsia" w:ascii="Times New Roman" w:hAnsi="Times New Roman" w:eastAsia="方正仿宋_GBK" w:cs="Times New Roman"/>
          <w:color w:val="auto"/>
          <w:sz w:val="30"/>
          <w:szCs w:val="30"/>
        </w:rPr>
        <w:t>报价人：</w:t>
      </w:r>
      <w:r>
        <w:rPr>
          <w:rStyle w:val="182"/>
          <w:rFonts w:hint="eastAsia" w:ascii="Times New Roman" w:hAnsi="Times New Roman" w:eastAsia="方正仿宋_GBK" w:cs="Times New Roman"/>
          <w:sz w:val="30"/>
          <w:szCs w:val="30"/>
          <w:lang w:eastAsia="zh-CN"/>
        </w:rPr>
        <w:t>(盖单位章）</w:t>
      </w:r>
    </w:p>
    <w:p>
      <w:pPr>
        <w:ind w:left="266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法定代表人或其委托代理人：</w:t>
      </w:r>
      <w:r>
        <w:rPr>
          <w:rStyle w:val="182"/>
          <w:rFonts w:hint="eastAsia" w:ascii="Times New Roman" w:hAnsi="Times New Roman" w:eastAsia="方正仿宋_GBK" w:cs="Times New Roman"/>
          <w:sz w:val="30"/>
          <w:szCs w:val="30"/>
          <w:lang w:eastAsia="zh-CN"/>
        </w:rPr>
        <w:t>(签字</w:t>
      </w:r>
      <w:r>
        <w:rPr>
          <w:rStyle w:val="182"/>
          <w:rFonts w:hint="eastAsia" w:ascii="Times New Roman" w:hAnsi="Times New Roman" w:eastAsia="方正仿宋_GBK" w:cs="Times New Roman"/>
          <w:sz w:val="30"/>
          <w:szCs w:val="30"/>
          <w:lang w:eastAsia="zh-CN" w:bidi="en-US"/>
        </w:rPr>
        <w:t>）</w:t>
      </w:r>
    </w:p>
    <w:p>
      <w:pPr>
        <w:tabs>
          <w:tab w:val="left" w:leader="underscore" w:pos="6768"/>
        </w:tabs>
        <w:ind w:left="266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地 址：</w:t>
      </w:r>
    </w:p>
    <w:p>
      <w:pPr>
        <w:tabs>
          <w:tab w:val="left" w:leader="underscore" w:pos="6768"/>
        </w:tabs>
        <w:ind w:left="266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电 话：</w:t>
      </w:r>
    </w:p>
    <w:p>
      <w:pPr>
        <w:tabs>
          <w:tab w:val="left" w:leader="underscore" w:pos="6768"/>
        </w:tabs>
        <w:ind w:left="2660"/>
        <w:rPr>
          <w:rFonts w:ascii="Times New Roman" w:hAnsi="Times New Roman" w:eastAsia="方正仿宋_GBK" w:cs="Times New Roman"/>
          <w:sz w:val="30"/>
          <w:szCs w:val="30"/>
          <w:lang w:eastAsia="zh-CN"/>
        </w:rPr>
      </w:pPr>
      <w:r>
        <w:rPr>
          <w:rFonts w:hint="eastAsia" w:ascii="Times New Roman" w:hAnsi="Times New Roman" w:eastAsia="方正仿宋_GBK" w:cs="Times New Roman"/>
          <w:sz w:val="30"/>
          <w:szCs w:val="30"/>
          <w:lang w:eastAsia="zh-CN"/>
        </w:rPr>
        <w:t>传 真：</w:t>
      </w:r>
    </w:p>
    <w:p>
      <w:pPr>
        <w:tabs>
          <w:tab w:val="left" w:leader="underscore" w:pos="6768"/>
        </w:tabs>
        <w:ind w:left="2660"/>
        <w:rPr>
          <w:rFonts w:ascii="Times New Roman" w:hAnsi="Times New Roman" w:eastAsia="方正仿宋_GBK" w:cs="Times New Roman"/>
          <w:sz w:val="30"/>
          <w:szCs w:val="30"/>
          <w:u w:val="single"/>
          <w:lang w:eastAsia="zh-CN"/>
        </w:rPr>
      </w:pPr>
      <w:r>
        <w:rPr>
          <w:rFonts w:hint="eastAsia" w:ascii="Times New Roman" w:hAnsi="Times New Roman" w:eastAsia="方正仿宋_GBK" w:cs="Times New Roman"/>
          <w:sz w:val="30"/>
          <w:szCs w:val="30"/>
          <w:lang w:eastAsia="zh-CN"/>
        </w:rPr>
        <w:t>邮政编码：</w:t>
      </w:r>
    </w:p>
    <w:p>
      <w:pPr>
        <w:pStyle w:val="173"/>
        <w:numPr>
          <w:ilvl w:val="0"/>
          <w:numId w:val="4"/>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753" w:name="_Toc52097545"/>
      <w:bookmarkEnd w:id="753"/>
      <w:bookmarkStart w:id="754" w:name="_Toc29194794"/>
      <w:bookmarkEnd w:id="754"/>
      <w:bookmarkStart w:id="755" w:name="_Toc10710825"/>
      <w:bookmarkEnd w:id="755"/>
      <w:r>
        <w:br w:type="page"/>
      </w:r>
      <w:bookmarkStart w:id="756" w:name="_Toc7096"/>
      <w:bookmarkStart w:id="757" w:name="_Toc29951"/>
      <w:bookmarkStart w:id="758" w:name="_Toc6239"/>
      <w:bookmarkStart w:id="759" w:name="_Toc23411"/>
      <w:r>
        <w:rPr>
          <w:rStyle w:val="181"/>
          <w:rFonts w:ascii="Times New Roman" w:hAnsi="Times New Roman" w:eastAsia="方正小标宋_GBK" w:cs="Times New Roman"/>
          <w:color w:val="auto"/>
          <w:sz w:val="44"/>
          <w:szCs w:val="44"/>
        </w:rPr>
        <w:t>报价表</w:t>
      </w:r>
      <w:bookmarkEnd w:id="756"/>
      <w:bookmarkEnd w:id="757"/>
      <w:bookmarkEnd w:id="758"/>
      <w:bookmarkEnd w:id="759"/>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adjustRightInd w:val="0"/>
        <w:snapToGrid w:val="0"/>
        <w:spacing w:line="360" w:lineRule="auto"/>
        <w:ind w:firstLine="440" w:firstLineChars="200"/>
        <w:rPr>
          <w:szCs w:val="21"/>
          <w:lang w:eastAsia="zh-CN"/>
        </w:rPr>
      </w:pPr>
      <w:r>
        <w:rPr>
          <w:szCs w:val="21"/>
          <w:lang w:eastAsia="zh-CN"/>
        </w:rPr>
        <w:t>1.</w:t>
      </w:r>
      <w:r>
        <w:rPr>
          <w:rFonts w:hint="eastAsia"/>
          <w:szCs w:val="21"/>
          <w:lang w:eastAsia="zh-CN"/>
        </w:rPr>
        <w:t>价格应按照本说明的要求报价，以人民币计价，单位为元，精确到个数位。</w:t>
      </w:r>
    </w:p>
    <w:p>
      <w:pPr>
        <w:tabs>
          <w:tab w:val="left" w:leader="underscore" w:pos="7582"/>
        </w:tabs>
        <w:adjustRightInd w:val="0"/>
        <w:snapToGrid w:val="0"/>
        <w:spacing w:line="360" w:lineRule="auto"/>
        <w:ind w:firstLine="440" w:firstLineChars="200"/>
        <w:rPr>
          <w:szCs w:val="21"/>
          <w:lang w:eastAsia="zh-CN"/>
        </w:rPr>
      </w:pPr>
      <w:r>
        <w:rPr>
          <w:szCs w:val="21"/>
          <w:lang w:eastAsia="zh-CN"/>
        </w:rPr>
        <w:t>2.</w:t>
      </w:r>
      <w:r>
        <w:rPr>
          <w:rFonts w:hint="eastAsia"/>
          <w:szCs w:val="21"/>
          <w:lang w:eastAsia="zh-CN"/>
        </w:rPr>
        <w:t>表中的价格，应包括完成合同内容所需的设计费、零部件采购费、材料费、制造费、组装调试费、试验费、防腐费、包装费、保管费、运杂费，调试验收费，特种设备申报、检验及取证费用（若有）、技术服务费、保险费、管理费、利润、税费，以及合同明示或暗示的风险、责任和义务等所发生的其他全部费用。</w:t>
      </w:r>
    </w:p>
    <w:p>
      <w:pPr>
        <w:tabs>
          <w:tab w:val="left" w:leader="underscore" w:pos="7582"/>
        </w:tabs>
        <w:adjustRightInd w:val="0"/>
        <w:snapToGrid w:val="0"/>
        <w:spacing w:line="360" w:lineRule="auto"/>
        <w:ind w:firstLine="440" w:firstLineChars="200"/>
        <w:rPr>
          <w:szCs w:val="21"/>
          <w:lang w:eastAsia="zh-CN"/>
        </w:rPr>
      </w:pPr>
      <w:r>
        <w:rPr>
          <w:szCs w:val="21"/>
          <w:lang w:eastAsia="zh-CN"/>
        </w:rPr>
        <w:t>3.</w:t>
      </w:r>
      <w:r>
        <w:rPr>
          <w:rFonts w:hint="eastAsia"/>
          <w:szCs w:val="21"/>
          <w:lang w:eastAsia="zh-CN"/>
        </w:rPr>
        <w:t>在价格清单中没有专门提及的、但对一套完整的性能优良的合同设备必不可少的或对改善合同设备运行品质所必需的设备及元器件亦应包含在合同设备供货范围内，报价人仍应全部、完整的提供，其价格均视为包含在合同总价中。</w:t>
      </w:r>
    </w:p>
    <w:p>
      <w:pPr>
        <w:tabs>
          <w:tab w:val="left" w:leader="underscore" w:pos="7582"/>
        </w:tabs>
        <w:adjustRightInd w:val="0"/>
        <w:snapToGrid w:val="0"/>
        <w:spacing w:line="360" w:lineRule="auto"/>
        <w:ind w:firstLine="440" w:firstLineChars="200"/>
        <w:rPr>
          <w:szCs w:val="21"/>
          <w:lang w:eastAsia="zh-CN"/>
        </w:rPr>
      </w:pPr>
      <w:r>
        <w:rPr>
          <w:szCs w:val="21"/>
          <w:lang w:eastAsia="zh-CN"/>
        </w:rPr>
        <w:t>4.</w:t>
      </w:r>
      <w:r>
        <w:rPr>
          <w:rFonts w:hint="eastAsia"/>
          <w:szCs w:val="21"/>
          <w:lang w:eastAsia="zh-CN"/>
        </w:rPr>
        <w:t>为了防止设备运输及现场保管变形，报价人应负责按相关规范标准对设备采取支托、加固、包装等措施，相关费用均已包含在报价报价中。</w:t>
      </w:r>
    </w:p>
    <w:p>
      <w:pPr>
        <w:tabs>
          <w:tab w:val="left" w:leader="underscore" w:pos="7582"/>
        </w:tabs>
        <w:adjustRightInd w:val="0"/>
        <w:snapToGrid w:val="0"/>
        <w:spacing w:line="360" w:lineRule="auto"/>
        <w:ind w:firstLine="440" w:firstLineChars="200"/>
        <w:rPr>
          <w:szCs w:val="21"/>
          <w:lang w:eastAsia="zh-CN"/>
        </w:rPr>
      </w:pPr>
      <w:r>
        <w:rPr>
          <w:szCs w:val="21"/>
          <w:lang w:eastAsia="zh-CN"/>
        </w:rPr>
        <w:t>5.</w:t>
      </w:r>
      <w:r>
        <w:rPr>
          <w:rFonts w:hint="eastAsia"/>
          <w:szCs w:val="21"/>
          <w:lang w:eastAsia="zh-CN"/>
        </w:rPr>
        <w:t>依据国家法律、行政法规、国务院有关部门的规章以及重庆市的法规和规章的规定应由报价人缴纳的税金、费用均应按规定计入报价报价中。</w:t>
      </w:r>
    </w:p>
    <w:p>
      <w:pPr>
        <w:tabs>
          <w:tab w:val="left" w:leader="underscore" w:pos="7582"/>
        </w:tabs>
        <w:adjustRightInd w:val="0"/>
        <w:snapToGrid w:val="0"/>
        <w:spacing w:line="360" w:lineRule="auto"/>
        <w:ind w:firstLine="440" w:firstLineChars="200"/>
        <w:rPr>
          <w:szCs w:val="21"/>
          <w:lang w:eastAsia="zh-CN"/>
        </w:rPr>
      </w:pPr>
      <w:r>
        <w:rPr>
          <w:szCs w:val="21"/>
          <w:lang w:eastAsia="zh-CN"/>
        </w:rPr>
        <w:t>6.</w:t>
      </w:r>
      <w:r>
        <w:rPr>
          <w:rFonts w:hint="eastAsia"/>
          <w:szCs w:val="21"/>
          <w:lang w:eastAsia="zh-CN"/>
        </w:rPr>
        <w:t>报价文件报价的“单价”、“合价”均由报价人填写。若报价人对某些项目未填报单价和合价，则应认为已包括在其它项目的单价和合价以及报价总报价内。若某项报价不足以支付合同中约定的应支付费用，视为该项费用已包含在报价总报价中。</w:t>
      </w:r>
    </w:p>
    <w:p>
      <w:pPr>
        <w:tabs>
          <w:tab w:val="left" w:leader="underscore" w:pos="7582"/>
        </w:tabs>
        <w:adjustRightInd w:val="0"/>
        <w:snapToGrid w:val="0"/>
        <w:spacing w:line="360" w:lineRule="auto"/>
        <w:ind w:firstLine="440" w:firstLineChars="200"/>
        <w:rPr>
          <w:szCs w:val="21"/>
          <w:lang w:eastAsia="zh-CN"/>
        </w:rPr>
      </w:pPr>
      <w:r>
        <w:rPr>
          <w:szCs w:val="21"/>
          <w:lang w:eastAsia="zh-CN"/>
        </w:rPr>
        <w:t>7.</w:t>
      </w:r>
      <w:r>
        <w:rPr>
          <w:rFonts w:hint="eastAsia"/>
          <w:szCs w:val="21"/>
          <w:lang w:eastAsia="zh-CN"/>
        </w:rPr>
        <w:t>本项目报价报价表中没有明确的而与本项目的实施有关的其它所有费用，包含在报价总价中，不单列，包括但不限于以下：</w:t>
      </w:r>
    </w:p>
    <w:p>
      <w:pPr>
        <w:tabs>
          <w:tab w:val="left" w:leader="underscore" w:pos="7582"/>
        </w:tabs>
        <w:adjustRightInd w:val="0"/>
        <w:snapToGrid w:val="0"/>
        <w:spacing w:line="360" w:lineRule="auto"/>
        <w:ind w:firstLine="440" w:firstLineChars="200"/>
        <w:rPr>
          <w:szCs w:val="21"/>
          <w:lang w:eastAsia="zh-CN"/>
        </w:rPr>
      </w:pPr>
      <w:r>
        <w:rPr>
          <w:rFonts w:hint="eastAsia"/>
          <w:szCs w:val="21"/>
          <w:lang w:eastAsia="zh-CN"/>
        </w:rPr>
        <w:t>1）买方（含设计单位）参加设计联络会、出厂验收、工厂培训等所发生的相关费用（包括往返交通、食宿、会务等）。参加会议的人次数详见合同专用条款。</w:t>
      </w:r>
    </w:p>
    <w:p>
      <w:pPr>
        <w:tabs>
          <w:tab w:val="left" w:leader="underscore" w:pos="7582"/>
        </w:tabs>
        <w:adjustRightInd w:val="0"/>
        <w:snapToGrid w:val="0"/>
        <w:spacing w:line="360" w:lineRule="auto"/>
        <w:ind w:firstLine="440" w:firstLineChars="200"/>
        <w:rPr>
          <w:szCs w:val="21"/>
          <w:lang w:eastAsia="zh-CN"/>
        </w:rPr>
      </w:pPr>
      <w:r>
        <w:rPr>
          <w:rFonts w:hint="eastAsia"/>
          <w:szCs w:val="21"/>
          <w:lang w:eastAsia="zh-CN"/>
        </w:rPr>
        <w:t>2）卖方派遣相关专业技术人员到工地现场指导安装调试及验收所发生的相关费用（包括往返交通、食宿、办公等）。卖方不得因现场实际发生的人次数、天数超过报价报价人次数、天数而停止现场服务，也不得因此提出增加费用。</w:t>
      </w:r>
    </w:p>
    <w:p>
      <w:pPr>
        <w:tabs>
          <w:tab w:val="left" w:leader="underscore" w:pos="7582"/>
        </w:tabs>
        <w:adjustRightInd w:val="0"/>
        <w:snapToGrid w:val="0"/>
        <w:spacing w:line="360" w:lineRule="auto"/>
        <w:ind w:firstLine="440" w:firstLineChars="200"/>
        <w:rPr>
          <w:szCs w:val="21"/>
          <w:lang w:eastAsia="zh-CN"/>
        </w:rPr>
      </w:pPr>
      <w:r>
        <w:rPr>
          <w:rFonts w:hint="eastAsia"/>
          <w:szCs w:val="21"/>
          <w:lang w:eastAsia="zh-CN"/>
        </w:rPr>
        <w:t>3）招标代理服务费、交易服务费等。</w:t>
      </w:r>
    </w:p>
    <w:p>
      <w:pPr>
        <w:tabs>
          <w:tab w:val="left" w:leader="underscore" w:pos="7582"/>
        </w:tabs>
        <w:adjustRightInd w:val="0"/>
        <w:snapToGrid w:val="0"/>
        <w:spacing w:line="360" w:lineRule="auto"/>
        <w:ind w:firstLine="440" w:firstLineChars="200"/>
        <w:rPr>
          <w:szCs w:val="21"/>
          <w:lang w:eastAsia="zh-CN"/>
        </w:rPr>
      </w:pPr>
      <w:r>
        <w:rPr>
          <w:szCs w:val="21"/>
          <w:lang w:eastAsia="zh-CN"/>
        </w:rPr>
        <w:t>8.</w:t>
      </w:r>
      <w:r>
        <w:rPr>
          <w:rFonts w:hint="eastAsia"/>
          <w:szCs w:val="21"/>
          <w:lang w:eastAsia="zh-CN"/>
        </w:rPr>
        <w:t>报价表中的单价、合价及总价等在合同有效期内均固定不变，</w:t>
      </w:r>
      <w:r>
        <w:rPr>
          <w:rFonts w:hint="eastAsia"/>
          <w:szCs w:val="21"/>
          <w:lang w:val="en-US" w:eastAsia="zh-CN"/>
        </w:rPr>
        <w:t>总价包干</w:t>
      </w:r>
      <w:r>
        <w:rPr>
          <w:rFonts w:hint="eastAsia"/>
          <w:szCs w:val="21"/>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5"/>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p>
    <w:p>
      <w:pPr>
        <w:pStyle w:val="43"/>
        <w:ind w:left="440" w:firstLine="0"/>
      </w:pPr>
    </w:p>
    <w:p>
      <w:pPr>
        <w:spacing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bCs/>
          <w:sz w:val="44"/>
          <w:szCs w:val="44"/>
          <w:lang w:eastAsia="zh-CN"/>
        </w:rPr>
        <w:t>报价表</w:t>
      </w:r>
    </w:p>
    <w:p>
      <w:pPr>
        <w:pStyle w:val="5"/>
        <w:jc w:val="center"/>
      </w:pPr>
      <w:bookmarkStart w:id="760" w:name="_Toc20001"/>
      <w:bookmarkStart w:id="761" w:name="_Toc7859"/>
      <w:r>
        <w:rPr>
          <w:rFonts w:hint="eastAsia"/>
          <w:lang w:eastAsia="zh-CN"/>
        </w:rPr>
        <w:t>一、</w:t>
      </w:r>
      <w:r>
        <w:rPr>
          <w:rFonts w:hint="eastAsia"/>
        </w:rPr>
        <w:t>报价汇总表</w:t>
      </w:r>
      <w:bookmarkEnd w:id="760"/>
      <w:bookmarkEnd w:id="761"/>
    </w:p>
    <w:p>
      <w:pPr>
        <w:autoSpaceDE w:val="0"/>
        <w:autoSpaceDN w:val="0"/>
        <w:adjustRightInd w:val="0"/>
        <w:snapToGrid w:val="0"/>
        <w:spacing w:before="120" w:beforeLines="50" w:after="192" w:afterLines="80" w:line="240" w:lineRule="atLeast"/>
        <w:ind w:left="-359" w:leftChars="-163"/>
        <w:jc w:val="right"/>
        <w:rPr>
          <w:rFonts w:ascii="黑体" w:hAnsi="黑体" w:eastAsia="黑体" w:cs="黑体"/>
          <w:b/>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（单位：元）</w:t>
      </w:r>
    </w:p>
    <w:tbl>
      <w:tblPr>
        <w:tblStyle w:val="44"/>
        <w:tblW w:w="4997" w:type="pct"/>
        <w:tblInd w:w="0" w:type="dxa"/>
        <w:tblLayout w:type="autofit"/>
        <w:tblCellMar>
          <w:top w:w="0" w:type="dxa"/>
          <w:left w:w="108" w:type="dxa"/>
          <w:bottom w:w="0" w:type="dxa"/>
          <w:right w:w="108" w:type="dxa"/>
        </w:tblCellMar>
      </w:tblPr>
      <w:tblGrid>
        <w:gridCol w:w="777"/>
        <w:gridCol w:w="1981"/>
        <w:gridCol w:w="967"/>
        <w:gridCol w:w="754"/>
        <w:gridCol w:w="1091"/>
        <w:gridCol w:w="1477"/>
        <w:gridCol w:w="1477"/>
        <w:tblGridChange w:id="0">
          <w:tblGrid>
            <w:gridCol w:w="777"/>
            <w:gridCol w:w="3"/>
            <w:gridCol w:w="1978"/>
            <w:gridCol w:w="3"/>
            <w:gridCol w:w="964"/>
            <w:gridCol w:w="3"/>
            <w:gridCol w:w="751"/>
            <w:gridCol w:w="1091"/>
            <w:gridCol w:w="1477"/>
            <w:gridCol w:w="1477"/>
          </w:tblGrid>
        </w:tblGridChange>
      </w:tblGrid>
      <w:tr>
        <w:tblPrEx>
          <w:tblCellMar>
            <w:top w:w="0" w:type="dxa"/>
            <w:left w:w="108" w:type="dxa"/>
            <w:bottom w:w="0" w:type="dxa"/>
            <w:right w:w="108" w:type="dxa"/>
          </w:tblCellMar>
        </w:tblPrEx>
        <w:trPr>
          <w:trHeight w:val="950" w:hRule="atLeast"/>
          <w:tblHeader/>
        </w:trPr>
        <w:tc>
          <w:tcPr>
            <w:tcW w:w="456" w:type="pct"/>
            <w:vMerge w:val="restart"/>
            <w:tcBorders>
              <w:top w:val="single" w:color="auto" w:sz="8" w:space="0"/>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序号</w:t>
            </w:r>
          </w:p>
        </w:tc>
        <w:tc>
          <w:tcPr>
            <w:tcW w:w="1162" w:type="pct"/>
            <w:vMerge w:val="restart"/>
            <w:tcBorders>
              <w:top w:val="single" w:color="auto" w:sz="8" w:space="0"/>
              <w:left w:val="single" w:color="auto" w:sz="8" w:space="0"/>
              <w:bottom w:val="single" w:color="000000" w:sz="8" w:space="0"/>
              <w:right w:val="single" w:color="000000"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w:t>
            </w:r>
          </w:p>
        </w:tc>
        <w:tc>
          <w:tcPr>
            <w:tcW w:w="567" w:type="pct"/>
            <w:vMerge w:val="restart"/>
            <w:tcBorders>
              <w:top w:val="single" w:color="auto" w:sz="8" w:space="0"/>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单位</w:t>
            </w:r>
          </w:p>
        </w:tc>
        <w:tc>
          <w:tcPr>
            <w:tcW w:w="442" w:type="pct"/>
            <w:vMerge w:val="restart"/>
            <w:tcBorders>
              <w:top w:val="single" w:color="auto" w:sz="8" w:space="0"/>
              <w:left w:val="single" w:color="auto" w:sz="8" w:space="0"/>
              <w:bottom w:val="single" w:color="000000" w:sz="8" w:space="0"/>
              <w:right w:val="single" w:color="000000"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数量</w:t>
            </w:r>
          </w:p>
        </w:tc>
        <w:tc>
          <w:tcPr>
            <w:tcW w:w="639" w:type="pct"/>
            <w:tcBorders>
              <w:top w:val="single" w:color="auto" w:sz="8" w:space="0"/>
              <w:left w:val="single" w:color="auto" w:sz="8" w:space="0"/>
              <w:right w:val="single" w:color="auto" w:sz="8" w:space="0"/>
            </w:tcBorders>
          </w:tcPr>
          <w:p>
            <w:pPr>
              <w:adjustRightInd w:val="0"/>
              <w:snapToGrid w:val="0"/>
              <w:jc w:val="center"/>
              <w:rPr>
                <w:rFonts w:ascii="仿宋" w:hAnsi="仿宋" w:eastAsia="仿宋"/>
                <w:color w:val="000000" w:themeColor="text1"/>
                <w:szCs w:val="21"/>
                <w14:textFill>
                  <w14:solidFill>
                    <w14:schemeClr w14:val="tx1"/>
                  </w14:solidFill>
                </w14:textFill>
              </w:rPr>
            </w:pPr>
          </w:p>
          <w:p>
            <w:pPr>
              <w:adjustRightInd w:val="0"/>
              <w:snapToGrid w:val="0"/>
              <w:jc w:val="center"/>
              <w:rPr>
                <w:rFonts w:ascii="仿宋" w:hAnsi="仿宋" w:eastAsia="仿宋"/>
                <w:color w:val="000000" w:themeColor="text1"/>
                <w:szCs w:val="21"/>
                <w14:textFill>
                  <w14:solidFill>
                    <w14:schemeClr w14:val="tx1"/>
                  </w14:solidFill>
                </w14:textFill>
              </w:rPr>
            </w:pPr>
          </w:p>
          <w:p>
            <w:pPr>
              <w:adjustRightInd w:val="0"/>
              <w:snapToGrid w:val="0"/>
              <w:jc w:val="center"/>
              <w:rPr>
                <w:rFonts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单价</w:t>
            </w:r>
          </w:p>
        </w:tc>
        <w:tc>
          <w:tcPr>
            <w:tcW w:w="866" w:type="pct"/>
            <w:vMerge w:val="restart"/>
            <w:tcBorders>
              <w:top w:val="single" w:color="auto" w:sz="8" w:space="0"/>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合</w:t>
            </w:r>
            <w:r>
              <w:rPr>
                <w:rFonts w:hint="eastAsia" w:ascii="仿宋" w:hAnsi="仿宋" w:eastAsia="仿宋"/>
                <w:color w:val="000000" w:themeColor="text1"/>
                <w:szCs w:val="21"/>
                <w14:textFill>
                  <w14:solidFill>
                    <w14:schemeClr w14:val="tx1"/>
                  </w14:solidFill>
                </w14:textFill>
              </w:rPr>
              <w:t>价</w:t>
            </w:r>
          </w:p>
        </w:tc>
        <w:tc>
          <w:tcPr>
            <w:tcW w:w="866" w:type="pct"/>
            <w:vMerge w:val="restart"/>
            <w:tcBorders>
              <w:top w:val="single" w:color="auto" w:sz="8" w:space="0"/>
              <w:left w:val="single" w:color="auto" w:sz="8" w:space="0"/>
              <w:right w:val="single" w:color="auto" w:sz="8" w:space="0"/>
            </w:tcBorders>
            <w:vAlign w:val="center"/>
          </w:tcPr>
          <w:p>
            <w:pPr>
              <w:adjustRightInd w:val="0"/>
              <w:snapToGrid w:val="0"/>
              <w:jc w:val="center"/>
              <w:rPr>
                <w:rFonts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备注</w:t>
            </w:r>
          </w:p>
        </w:tc>
      </w:tr>
      <w:tr>
        <w:tblPrEx>
          <w:tblCellMar>
            <w:top w:w="0" w:type="dxa"/>
            <w:left w:w="108" w:type="dxa"/>
            <w:bottom w:w="0" w:type="dxa"/>
            <w:right w:w="108" w:type="dxa"/>
          </w:tblCellMar>
        </w:tblPrEx>
        <w:trPr>
          <w:trHeight w:val="507" w:hRule="atLeast"/>
          <w:tblHeader/>
        </w:trPr>
        <w:tc>
          <w:tcPr>
            <w:tcW w:w="456" w:type="pct"/>
            <w:vMerge w:val="continue"/>
            <w:tcBorders>
              <w:top w:val="single" w:color="auto" w:sz="8" w:space="0"/>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p>
        </w:tc>
        <w:tc>
          <w:tcPr>
            <w:tcW w:w="1162" w:type="pct"/>
            <w:vMerge w:val="continue"/>
            <w:tcBorders>
              <w:top w:val="single" w:color="auto" w:sz="8" w:space="0"/>
              <w:left w:val="single" w:color="auto" w:sz="8" w:space="0"/>
              <w:bottom w:val="single" w:color="auto" w:sz="4" w:space="0"/>
              <w:right w:val="single" w:color="000000"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p>
        </w:tc>
        <w:tc>
          <w:tcPr>
            <w:tcW w:w="567" w:type="pct"/>
            <w:vMerge w:val="continue"/>
            <w:tcBorders>
              <w:top w:val="single" w:color="auto" w:sz="8" w:space="0"/>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p>
        </w:tc>
        <w:tc>
          <w:tcPr>
            <w:tcW w:w="442" w:type="pct"/>
            <w:vMerge w:val="continue"/>
            <w:tcBorders>
              <w:top w:val="single" w:color="auto" w:sz="8" w:space="0"/>
              <w:left w:val="single" w:color="auto" w:sz="8" w:space="0"/>
              <w:bottom w:val="single" w:color="000000" w:sz="8" w:space="0"/>
              <w:right w:val="single" w:color="000000"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p>
        </w:tc>
        <w:tc>
          <w:tcPr>
            <w:tcW w:w="639" w:type="pct"/>
            <w:tcBorders>
              <w:left w:val="single" w:color="auto" w:sz="8" w:space="0"/>
              <w:bottom w:val="single" w:color="000000" w:sz="8" w:space="0"/>
              <w:right w:val="single" w:color="auto" w:sz="8" w:space="0"/>
            </w:tcBorders>
          </w:tcPr>
          <w:p>
            <w:pPr>
              <w:adjustRightInd w:val="0"/>
              <w:snapToGrid w:val="0"/>
              <w:jc w:val="center"/>
              <w:rPr>
                <w:rFonts w:ascii="仿宋" w:hAnsi="仿宋" w:eastAsia="仿宋"/>
                <w:color w:val="000000" w:themeColor="text1"/>
                <w:szCs w:val="21"/>
                <w14:textFill>
                  <w14:solidFill>
                    <w14:schemeClr w14:val="tx1"/>
                  </w14:solidFill>
                </w14:textFill>
              </w:rPr>
            </w:pPr>
          </w:p>
        </w:tc>
        <w:tc>
          <w:tcPr>
            <w:tcW w:w="866" w:type="pct"/>
            <w:vMerge w:val="continue"/>
            <w:tcBorders>
              <w:top w:val="single" w:color="auto" w:sz="8" w:space="0"/>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p>
        </w:tc>
        <w:tc>
          <w:tcPr>
            <w:tcW w:w="866" w:type="pct"/>
            <w:vMerge w:val="continue"/>
            <w:tcBorders>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704" w:hRule="atLeast"/>
        </w:trPr>
        <w:tc>
          <w:tcPr>
            <w:tcW w:w="456" w:type="pct"/>
            <w:tcBorders>
              <w:top w:val="nil"/>
              <w:left w:val="single" w:color="auto" w:sz="8" w:space="0"/>
              <w:bottom w:val="single" w:color="000000" w:sz="8" w:space="0"/>
              <w:right w:val="single" w:color="auto" w:sz="4" w:space="0"/>
            </w:tcBorders>
            <w:vAlign w:val="center"/>
          </w:tcPr>
          <w:p>
            <w:pPr>
              <w:adjustRightInd w:val="0"/>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1</w:t>
            </w:r>
          </w:p>
        </w:tc>
        <w:tc>
          <w:tcPr>
            <w:tcW w:w="116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b/>
                <w:color w:val="000000" w:themeColor="text1"/>
                <w:szCs w:val="21"/>
                <w14:textFill>
                  <w14:solidFill>
                    <w14:schemeClr w14:val="tx1"/>
                  </w14:solidFill>
                </w14:textFill>
              </w:rPr>
            </w:pPr>
            <w:r>
              <w:rPr>
                <w:rStyle w:val="49"/>
                <w:rFonts w:hint="eastAsia"/>
                <w:b/>
                <w:color w:val="000000" w:themeColor="text1"/>
                <w:szCs w:val="21"/>
                <w14:textFill>
                  <w14:solidFill>
                    <w14:schemeClr w14:val="tx1"/>
                  </w14:solidFill>
                </w14:textFill>
              </w:rPr>
              <w:t>220V直流电源系统</w:t>
            </w:r>
          </w:p>
        </w:tc>
        <w:tc>
          <w:tcPr>
            <w:tcW w:w="567" w:type="pct"/>
            <w:tcBorders>
              <w:top w:val="nil"/>
              <w:left w:val="single" w:color="auto" w:sz="4" w:space="0"/>
              <w:bottom w:val="single" w:color="000000" w:sz="8" w:space="0"/>
              <w:right w:val="single" w:color="auto" w:sz="8" w:space="0"/>
            </w:tcBorders>
            <w:vAlign w:val="center"/>
          </w:tcPr>
          <w:p>
            <w:pPr>
              <w:adjustRightInd w:val="0"/>
              <w:snapToGrid w:val="0"/>
              <w:spacing w:line="360" w:lineRule="auto"/>
              <w:jc w:val="center"/>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项</w:t>
            </w:r>
          </w:p>
        </w:tc>
        <w:tc>
          <w:tcPr>
            <w:tcW w:w="442" w:type="pct"/>
            <w:tcBorders>
              <w:top w:val="single" w:color="auto" w:sz="8" w:space="0"/>
              <w:left w:val="single" w:color="auto" w:sz="8" w:space="0"/>
              <w:bottom w:val="single" w:color="000000" w:sz="8" w:space="0"/>
              <w:right w:val="single" w:color="000000" w:sz="8" w:space="0"/>
            </w:tcBorders>
            <w:vAlign w:val="center"/>
          </w:tcPr>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w:t>
            </w:r>
          </w:p>
        </w:tc>
        <w:tc>
          <w:tcPr>
            <w:tcW w:w="639" w:type="pct"/>
            <w:tcBorders>
              <w:top w:val="nil"/>
              <w:left w:val="single" w:color="auto" w:sz="8" w:space="0"/>
              <w:bottom w:val="single" w:color="000000" w:sz="8" w:space="0"/>
              <w:right w:val="single" w:color="auto" w:sz="8" w:space="0"/>
            </w:tcBorders>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7" w:hRule="atLeast"/>
        </w:trPr>
        <w:tc>
          <w:tcPr>
            <w:tcW w:w="456" w:type="pct"/>
            <w:tcBorders>
              <w:top w:val="nil"/>
              <w:left w:val="single" w:color="auto" w:sz="8" w:space="0"/>
              <w:bottom w:val="single" w:color="000000" w:sz="8" w:space="0"/>
              <w:right w:val="single" w:color="auto" w:sz="8" w:space="0"/>
            </w:tcBorders>
            <w:vAlign w:val="center"/>
          </w:tcPr>
          <w:p>
            <w:pPr>
              <w:adjustRightInd w:val="0"/>
              <w:snapToGrid w:val="0"/>
              <w:spacing w:line="360"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2</w:t>
            </w:r>
          </w:p>
        </w:tc>
        <w:tc>
          <w:tcPr>
            <w:tcW w:w="1162" w:type="pct"/>
            <w:tcBorders>
              <w:top w:val="single" w:color="auto" w:sz="8" w:space="0"/>
              <w:left w:val="single" w:color="auto" w:sz="8" w:space="0"/>
              <w:bottom w:val="single" w:color="000000" w:sz="8" w:space="0"/>
              <w:right w:val="single" w:color="000000" w:sz="8" w:space="0"/>
            </w:tcBorders>
            <w:vAlign w:val="center"/>
          </w:tcPr>
          <w:p>
            <w:pPr>
              <w:adjustRightInd w:val="0"/>
              <w:snapToGrid w:val="0"/>
              <w:spacing w:line="360" w:lineRule="auto"/>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交流</w:t>
            </w:r>
            <w:r>
              <w:rPr>
                <w:b/>
                <w:color w:val="000000" w:themeColor="text1"/>
                <w:szCs w:val="21"/>
                <w14:textFill>
                  <w14:solidFill>
                    <w14:schemeClr w14:val="tx1"/>
                  </w14:solidFill>
                </w14:textFill>
              </w:rPr>
              <w:t>配电系统</w:t>
            </w:r>
          </w:p>
        </w:tc>
        <w:tc>
          <w:tcPr>
            <w:tcW w:w="567" w:type="pct"/>
            <w:tcBorders>
              <w:top w:val="nil"/>
              <w:left w:val="single" w:color="auto" w:sz="8" w:space="0"/>
              <w:bottom w:val="single" w:color="000000" w:sz="8" w:space="0"/>
              <w:right w:val="single" w:color="auto" w:sz="8" w:space="0"/>
            </w:tcBorders>
            <w:vAlign w:val="center"/>
          </w:tcPr>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项</w:t>
            </w:r>
          </w:p>
        </w:tc>
        <w:tc>
          <w:tcPr>
            <w:tcW w:w="442" w:type="pct"/>
            <w:tcBorders>
              <w:top w:val="single" w:color="auto" w:sz="8" w:space="0"/>
              <w:left w:val="single" w:color="auto" w:sz="8" w:space="0"/>
              <w:bottom w:val="single" w:color="000000" w:sz="8" w:space="0"/>
              <w:right w:val="single" w:color="000000" w:sz="8" w:space="0"/>
            </w:tcBorders>
            <w:vAlign w:val="center"/>
          </w:tcPr>
          <w:p>
            <w:pPr>
              <w:jc w:val="center"/>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1</w:t>
            </w:r>
          </w:p>
        </w:tc>
        <w:tc>
          <w:tcPr>
            <w:tcW w:w="639" w:type="pct"/>
            <w:tcBorders>
              <w:top w:val="nil"/>
              <w:left w:val="single" w:color="auto" w:sz="8" w:space="0"/>
              <w:bottom w:val="single" w:color="000000" w:sz="8" w:space="0"/>
              <w:right w:val="single" w:color="auto" w:sz="8" w:space="0"/>
            </w:tcBorders>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7" w:hRule="atLeast"/>
        </w:trPr>
        <w:tc>
          <w:tcPr>
            <w:tcW w:w="456" w:type="pct"/>
            <w:tcBorders>
              <w:top w:val="nil"/>
              <w:left w:val="single" w:color="auto" w:sz="8" w:space="0"/>
              <w:bottom w:val="single" w:color="000000" w:sz="8" w:space="0"/>
              <w:right w:val="single" w:color="auto" w:sz="8" w:space="0"/>
            </w:tcBorders>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3</w:t>
            </w:r>
          </w:p>
        </w:tc>
        <w:tc>
          <w:tcPr>
            <w:tcW w:w="1162" w:type="pct"/>
            <w:tcBorders>
              <w:top w:val="single" w:color="auto" w:sz="8" w:space="0"/>
              <w:left w:val="single" w:color="auto" w:sz="8" w:space="0"/>
              <w:bottom w:val="single" w:color="000000" w:sz="8" w:space="0"/>
              <w:right w:val="single" w:color="000000" w:sz="8" w:space="0"/>
            </w:tcBorders>
            <w:vAlign w:val="center"/>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备品备件</w:t>
            </w:r>
          </w:p>
        </w:tc>
        <w:tc>
          <w:tcPr>
            <w:tcW w:w="567" w:type="pct"/>
            <w:tcBorders>
              <w:top w:val="nil"/>
              <w:left w:val="single" w:color="auto" w:sz="8" w:space="0"/>
              <w:bottom w:val="single" w:color="000000" w:sz="8" w:space="0"/>
              <w:right w:val="single" w:color="auto" w:sz="8"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442" w:type="pct"/>
            <w:tcBorders>
              <w:top w:val="single" w:color="auto" w:sz="8" w:space="0"/>
              <w:left w:val="single" w:color="auto" w:sz="8" w:space="0"/>
              <w:bottom w:val="single" w:color="000000" w:sz="8" w:space="0"/>
              <w:right w:val="single" w:color="000000" w:sz="8" w:space="0"/>
            </w:tcBorders>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1</w:t>
            </w:r>
          </w:p>
        </w:tc>
        <w:tc>
          <w:tcPr>
            <w:tcW w:w="639" w:type="pct"/>
            <w:tcBorders>
              <w:top w:val="nil"/>
              <w:left w:val="single" w:color="auto" w:sz="8" w:space="0"/>
              <w:bottom w:val="single" w:color="000000" w:sz="8" w:space="0"/>
              <w:right w:val="single" w:color="auto" w:sz="8" w:space="0"/>
            </w:tcBorders>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7" w:hRule="atLeast"/>
        </w:trPr>
        <w:tc>
          <w:tcPr>
            <w:tcW w:w="456" w:type="pct"/>
            <w:tcBorders>
              <w:top w:val="nil"/>
              <w:left w:val="single" w:color="auto" w:sz="8" w:space="0"/>
              <w:bottom w:val="single" w:color="000000" w:sz="8" w:space="0"/>
              <w:right w:val="single" w:color="auto" w:sz="8" w:space="0"/>
            </w:tcBorders>
            <w:vAlign w:val="center"/>
          </w:tcPr>
          <w:p>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4</w:t>
            </w:r>
          </w:p>
        </w:tc>
        <w:tc>
          <w:tcPr>
            <w:tcW w:w="1162" w:type="pct"/>
            <w:tcBorders>
              <w:top w:val="single" w:color="auto" w:sz="8" w:space="0"/>
              <w:left w:val="single" w:color="auto" w:sz="8" w:space="0"/>
              <w:bottom w:val="single" w:color="000000" w:sz="8" w:space="0"/>
              <w:right w:val="single" w:color="000000" w:sz="8" w:space="0"/>
            </w:tcBorders>
            <w:vAlign w:val="center"/>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专用工具</w:t>
            </w:r>
          </w:p>
        </w:tc>
        <w:tc>
          <w:tcPr>
            <w:tcW w:w="567" w:type="pct"/>
            <w:tcBorders>
              <w:top w:val="nil"/>
              <w:left w:val="single" w:color="auto" w:sz="8" w:space="0"/>
              <w:bottom w:val="single" w:color="000000" w:sz="8" w:space="0"/>
              <w:right w:val="single" w:color="auto" w:sz="8"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442" w:type="pct"/>
            <w:tcBorders>
              <w:top w:val="single" w:color="auto" w:sz="8" w:space="0"/>
              <w:left w:val="single" w:color="auto" w:sz="8" w:space="0"/>
              <w:bottom w:val="single" w:color="000000" w:sz="8" w:space="0"/>
              <w:right w:val="single" w:color="000000" w:sz="8" w:space="0"/>
            </w:tcBorders>
            <w:vAlign w:val="center"/>
          </w:tcPr>
          <w:p>
            <w:pPr>
              <w:jc w:val="center"/>
              <w:rPr>
                <w:color w:val="000000" w:themeColor="text1"/>
                <w14:textFill>
                  <w14:solidFill>
                    <w14:schemeClr w14:val="tx1"/>
                  </w14:solidFill>
                </w14:textFill>
              </w:rPr>
            </w:pPr>
            <w:r>
              <w:rPr>
                <w:color w:val="000000" w:themeColor="text1"/>
                <w:szCs w:val="21"/>
                <w14:textFill>
                  <w14:solidFill>
                    <w14:schemeClr w14:val="tx1"/>
                  </w14:solidFill>
                </w14:textFill>
              </w:rPr>
              <w:t>1</w:t>
            </w:r>
          </w:p>
        </w:tc>
        <w:tc>
          <w:tcPr>
            <w:tcW w:w="639" w:type="pct"/>
            <w:tcBorders>
              <w:top w:val="nil"/>
              <w:left w:val="single" w:color="auto" w:sz="8" w:space="0"/>
              <w:bottom w:val="single" w:color="000000" w:sz="8" w:space="0"/>
              <w:right w:val="single" w:color="auto" w:sz="8" w:space="0"/>
            </w:tcBorders>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7" w:hRule="atLeast"/>
        </w:trPr>
        <w:tc>
          <w:tcPr>
            <w:tcW w:w="456" w:type="pct"/>
            <w:tcBorders>
              <w:top w:val="nil"/>
              <w:left w:val="single" w:color="auto" w:sz="8" w:space="0"/>
              <w:bottom w:val="single" w:color="000000" w:sz="8" w:space="0"/>
              <w:right w:val="single" w:color="auto" w:sz="8" w:space="0"/>
            </w:tcBorders>
            <w:vAlign w:val="center"/>
          </w:tcPr>
          <w:p>
            <w:pPr>
              <w:jc w:val="center"/>
              <w:rPr>
                <w:b/>
                <w:color w:val="000000" w:themeColor="text1"/>
                <w:szCs w:val="21"/>
                <w:highlight w:val="yellow"/>
                <w:lang w:eastAsia="zh-CN"/>
                <w14:textFill>
                  <w14:solidFill>
                    <w14:schemeClr w14:val="tx1"/>
                  </w14:solidFill>
                </w14:textFill>
              </w:rPr>
            </w:pPr>
            <w:r>
              <w:rPr>
                <w:rFonts w:hint="eastAsia"/>
                <w:b/>
                <w:color w:val="000000" w:themeColor="text1"/>
                <w:szCs w:val="21"/>
                <w:lang w:eastAsia="zh-CN"/>
                <w14:textFill>
                  <w14:solidFill>
                    <w14:schemeClr w14:val="tx1"/>
                  </w14:solidFill>
                </w14:textFill>
              </w:rPr>
              <w:t>5</w:t>
            </w:r>
          </w:p>
        </w:tc>
        <w:tc>
          <w:tcPr>
            <w:tcW w:w="1162" w:type="pct"/>
            <w:tcBorders>
              <w:top w:val="single" w:color="auto" w:sz="8" w:space="0"/>
              <w:left w:val="single" w:color="auto" w:sz="8" w:space="0"/>
              <w:bottom w:val="single" w:color="000000" w:sz="8" w:space="0"/>
              <w:right w:val="single" w:color="000000" w:sz="8" w:space="0"/>
            </w:tcBorders>
            <w:vAlign w:val="center"/>
          </w:tcPr>
          <w:p>
            <w:pPr>
              <w:adjustRightInd w:val="0"/>
              <w:snapToGrid w:val="0"/>
              <w:spacing w:line="360" w:lineRule="auto"/>
              <w:rPr>
                <w:b/>
                <w:color w:val="000000" w:themeColor="text1"/>
                <w:szCs w:val="21"/>
                <w:highlight w:val="yellow"/>
                <w14:textFill>
                  <w14:solidFill>
                    <w14:schemeClr w14:val="tx1"/>
                  </w14:solidFill>
                </w14:textFill>
              </w:rPr>
            </w:pPr>
            <w:r>
              <w:rPr>
                <w:rFonts w:hint="eastAsia"/>
                <w:b/>
                <w:szCs w:val="21"/>
                <w:lang w:eastAsia="zh-CN"/>
              </w:rPr>
              <w:t>三维设计模型</w:t>
            </w:r>
          </w:p>
        </w:tc>
        <w:tc>
          <w:tcPr>
            <w:tcW w:w="567" w:type="pct"/>
            <w:tcBorders>
              <w:top w:val="nil"/>
              <w:left w:val="single" w:color="auto" w:sz="8" w:space="0"/>
              <w:bottom w:val="single" w:color="000000" w:sz="8" w:space="0"/>
              <w:right w:val="single" w:color="auto" w:sz="8" w:space="0"/>
            </w:tcBorders>
            <w:vAlign w:val="center"/>
          </w:tcPr>
          <w:p>
            <w:pPr>
              <w:jc w:val="center"/>
              <w:rPr>
                <w:color w:val="000000" w:themeColor="text1"/>
                <w:highlight w:val="yellow"/>
                <w:lang w:eastAsia="zh-CN"/>
                <w14:textFill>
                  <w14:solidFill>
                    <w14:schemeClr w14:val="tx1"/>
                  </w14:solidFill>
                </w14:textFill>
              </w:rPr>
            </w:pPr>
            <w:r>
              <w:rPr>
                <w:rFonts w:hint="eastAsia"/>
                <w:color w:val="000000" w:themeColor="text1"/>
                <w:highlight w:val="yellow"/>
                <w:lang w:eastAsia="zh-CN"/>
                <w14:textFill>
                  <w14:solidFill>
                    <w14:schemeClr w14:val="tx1"/>
                  </w14:solidFill>
                </w14:textFill>
              </w:rPr>
              <w:t>项</w:t>
            </w:r>
          </w:p>
        </w:tc>
        <w:tc>
          <w:tcPr>
            <w:tcW w:w="442" w:type="pct"/>
            <w:tcBorders>
              <w:top w:val="single" w:color="auto" w:sz="8" w:space="0"/>
              <w:left w:val="single" w:color="auto" w:sz="8" w:space="0"/>
              <w:bottom w:val="single" w:color="000000" w:sz="8" w:space="0"/>
              <w:right w:val="single" w:color="000000" w:sz="8" w:space="0"/>
            </w:tcBorders>
            <w:vAlign w:val="center"/>
          </w:tcPr>
          <w:p>
            <w:pPr>
              <w:jc w:val="center"/>
              <w:rPr>
                <w:color w:val="000000" w:themeColor="text1"/>
                <w:szCs w:val="21"/>
                <w:highlight w:val="yellow"/>
                <w:lang w:eastAsia="zh-CN"/>
                <w14:textFill>
                  <w14:solidFill>
                    <w14:schemeClr w14:val="tx1"/>
                  </w14:solidFill>
                </w14:textFill>
              </w:rPr>
            </w:pPr>
            <w:r>
              <w:rPr>
                <w:rFonts w:hint="eastAsia"/>
                <w:color w:val="000000" w:themeColor="text1"/>
                <w:szCs w:val="21"/>
                <w:highlight w:val="yellow"/>
                <w:lang w:eastAsia="zh-CN"/>
                <w14:textFill>
                  <w14:solidFill>
                    <w14:schemeClr w14:val="tx1"/>
                  </w14:solidFill>
                </w14:textFill>
              </w:rPr>
              <w:t>1</w:t>
            </w:r>
          </w:p>
        </w:tc>
        <w:tc>
          <w:tcPr>
            <w:tcW w:w="639" w:type="pct"/>
            <w:tcBorders>
              <w:top w:val="nil"/>
              <w:left w:val="single" w:color="auto" w:sz="8" w:space="0"/>
              <w:bottom w:val="single" w:color="000000" w:sz="8" w:space="0"/>
              <w:right w:val="single" w:color="auto" w:sz="8" w:space="0"/>
            </w:tcBorders>
          </w:tcPr>
          <w:p>
            <w:pPr>
              <w:adjustRightInd w:val="0"/>
              <w:snapToGrid w:val="0"/>
              <w:jc w:val="center"/>
              <w:rPr>
                <w:rFonts w:ascii="仿宋" w:hAnsi="仿宋" w:eastAsia="仿宋"/>
                <w:b/>
                <w:color w:val="000000" w:themeColor="text1"/>
                <w:szCs w:val="21"/>
                <w:highlight w:val="yellow"/>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highlight w:val="yellow"/>
                <w14:textFill>
                  <w14:solidFill>
                    <w14:schemeClr w14:val="tx1"/>
                  </w14:solidFill>
                </w14:textFill>
              </w:rPr>
            </w:pPr>
          </w:p>
        </w:tc>
        <w:tc>
          <w:tcPr>
            <w:tcW w:w="866" w:type="pct"/>
            <w:tcBorders>
              <w:top w:val="nil"/>
              <w:left w:val="single" w:color="auto" w:sz="8" w:space="0"/>
              <w:bottom w:val="single" w:color="000000" w:sz="8" w:space="0"/>
              <w:right w:val="single" w:color="auto" w:sz="8" w:space="0"/>
            </w:tcBorders>
            <w:vAlign w:val="center"/>
          </w:tcPr>
          <w:p>
            <w:pPr>
              <w:adjustRightInd w:val="0"/>
              <w:snapToGrid w:val="0"/>
              <w:jc w:val="center"/>
              <w:rPr>
                <w:rFonts w:ascii="仿宋" w:hAnsi="仿宋" w:eastAsia="仿宋"/>
                <w:b/>
                <w:color w:val="000000" w:themeColor="text1"/>
                <w:szCs w:val="21"/>
                <w:highlight w:val="yellow"/>
                <w14:textFill>
                  <w14:solidFill>
                    <w14:schemeClr w14:val="tx1"/>
                  </w14:solidFill>
                </w14:textFill>
              </w:rPr>
            </w:pPr>
          </w:p>
        </w:tc>
      </w:tr>
      <w:tr>
        <w:tblPrEx>
          <w:tblCellMar>
            <w:top w:w="0" w:type="dxa"/>
            <w:left w:w="108" w:type="dxa"/>
            <w:bottom w:w="0" w:type="dxa"/>
            <w:right w:w="108" w:type="dxa"/>
          </w:tblCellMar>
        </w:tblPrEx>
        <w:trPr>
          <w:trHeight w:val="467" w:hRule="atLeast"/>
        </w:trPr>
        <w:tc>
          <w:tcPr>
            <w:tcW w:w="3267" w:type="pct"/>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color w:val="000000" w:themeColor="text1"/>
                <w:szCs w:val="21"/>
                <w:lang w:eastAsia="zh-CN"/>
                <w14:textFill>
                  <w14:solidFill>
                    <w14:schemeClr w14:val="tx1"/>
                  </w14:solidFill>
                </w14:textFill>
              </w:rPr>
            </w:pPr>
            <w:r>
              <w:rPr>
                <w:rFonts w:hint="eastAsia"/>
                <w:szCs w:val="21"/>
                <w:lang w:eastAsia="zh-CN"/>
              </w:rPr>
              <w:t>合计大写</w:t>
            </w:r>
            <w:r>
              <w:rPr>
                <w:rFonts w:hint="eastAsia"/>
                <w:szCs w:val="21"/>
                <w:u w:val="single"/>
                <w:lang w:eastAsia="zh-CN"/>
              </w:rPr>
              <w:t xml:space="preserve">            </w:t>
            </w:r>
            <w:r>
              <w:rPr>
                <w:rFonts w:hint="eastAsia"/>
                <w:szCs w:val="21"/>
                <w:lang w:eastAsia="zh-CN"/>
              </w:rPr>
              <w:t>元整（报价总报价，填入报价函）</w:t>
            </w:r>
          </w:p>
        </w:tc>
        <w:tc>
          <w:tcPr>
            <w:tcW w:w="86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color w:val="000000" w:themeColor="text1"/>
                <w:szCs w:val="21"/>
                <w:lang w:eastAsia="zh-CN"/>
                <w14:textFill>
                  <w14:solidFill>
                    <w14:schemeClr w14:val="tx1"/>
                  </w14:solidFill>
                </w14:textFill>
              </w:rPr>
            </w:pPr>
          </w:p>
        </w:tc>
        <w:tc>
          <w:tcPr>
            <w:tcW w:w="86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b/>
                <w:color w:val="000000" w:themeColor="text1"/>
                <w:szCs w:val="21"/>
                <w:lang w:eastAsia="zh-CN"/>
                <w14:textFill>
                  <w14:solidFill>
                    <w14:schemeClr w14:val="tx1"/>
                  </w14:solidFill>
                </w14:textFill>
              </w:rPr>
            </w:pPr>
            <w:r>
              <w:rPr>
                <w:rFonts w:hint="eastAsia" w:ascii="仿宋" w:hAnsi="仿宋" w:eastAsia="仿宋"/>
                <w:b/>
                <w:color w:val="000000" w:themeColor="text1"/>
                <w:szCs w:val="21"/>
                <w:lang w:eastAsia="zh-CN"/>
                <w14:textFill>
                  <w14:solidFill>
                    <w14:schemeClr w14:val="tx1"/>
                  </w14:solidFill>
                </w14:textFill>
              </w:rPr>
              <w:t>1+2++3+4+5</w:t>
            </w:r>
          </w:p>
        </w:tc>
      </w:tr>
    </w:tbl>
    <w:p>
      <w:pPr>
        <w:pStyle w:val="73"/>
        <w:spacing w:line="360" w:lineRule="auto"/>
        <w:ind w:left="800"/>
        <w:rPr>
          <w:rFonts w:ascii="Times New Roman" w:hAnsi="Times New Roman" w:cs="Times New Roman"/>
          <w:b/>
          <w:bCs/>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pStyle w:val="73"/>
        <w:spacing w:line="360" w:lineRule="auto"/>
        <w:ind w:left="800"/>
        <w:rPr>
          <w:rFonts w:ascii="Times New Roman" w:hAnsi="Times New Roman" w:cs="Times New Roman"/>
          <w:szCs w:val="21"/>
          <w:lang w:eastAsia="zh-CN"/>
        </w:rPr>
      </w:pPr>
    </w:p>
    <w:p>
      <w:pPr>
        <w:tabs>
          <w:tab w:val="right" w:pos="8120"/>
        </w:tabs>
        <w:adjustRightInd w:val="0"/>
        <w:snapToGrid w:val="0"/>
        <w:spacing w:line="360" w:lineRule="auto"/>
        <w:jc w:val="center"/>
        <w:rPr>
          <w:rFonts w:ascii="黑体" w:hAnsi="黑体" w:eastAsia="黑体" w:cs="黑体"/>
          <w:bCs/>
          <w:color w:val="000000" w:themeColor="text1"/>
          <w:sz w:val="30"/>
          <w:szCs w:val="30"/>
          <w:lang w:eastAsia="zh-CN"/>
          <w14:textFill>
            <w14:solidFill>
              <w14:schemeClr w14:val="tx1"/>
            </w14:solidFill>
          </w14:textFill>
        </w:rPr>
      </w:pPr>
      <w:bookmarkStart w:id="762" w:name="_Toc19753"/>
      <w:bookmarkStart w:id="763" w:name="_Toc23463"/>
      <w:bookmarkStart w:id="764" w:name="_Toc2822"/>
      <w:r>
        <w:rPr>
          <w:rStyle w:val="70"/>
          <w:b/>
          <w:lang w:eastAsia="zh-CN"/>
        </w:rPr>
        <w:t>二、直流电源系统分项报价表</w:t>
      </w:r>
      <w:bookmarkEnd w:id="762"/>
      <w:bookmarkEnd w:id="763"/>
      <w:bookmarkEnd w:id="764"/>
      <w:r>
        <w:rPr>
          <w:rFonts w:hint="eastAsia" w:ascii="黑体" w:hAnsi="黑体" w:eastAsia="黑体" w:cs="黑体"/>
          <w:bCs/>
          <w:color w:val="000000" w:themeColor="text1"/>
          <w:sz w:val="30"/>
          <w:szCs w:val="30"/>
          <w:lang w:eastAsia="zh-CN"/>
          <w14:textFill>
            <w14:solidFill>
              <w14:schemeClr w14:val="tx1"/>
            </w14:solidFill>
          </w14:textFill>
        </w:rPr>
        <w:t xml:space="preserve">                 </w:t>
      </w:r>
    </w:p>
    <w:p>
      <w:pPr>
        <w:tabs>
          <w:tab w:val="right" w:pos="8120"/>
        </w:tabs>
        <w:adjustRightInd w:val="0"/>
        <w:snapToGrid w:val="0"/>
        <w:spacing w:line="360" w:lineRule="auto"/>
        <w:jc w:val="center"/>
        <w:rPr>
          <w:rFonts w:ascii="黑体" w:hAnsi="黑体" w:eastAsia="黑体" w:cs="黑体"/>
          <w:bCs/>
          <w:sz w:val="30"/>
          <w:szCs w:val="30"/>
          <w:lang w:eastAsia="zh-CN"/>
        </w:rPr>
      </w:pPr>
      <w:r>
        <w:rPr>
          <w:rFonts w:hint="eastAsia" w:ascii="黑体" w:hAnsi="黑体" w:eastAsia="黑体" w:cs="黑体"/>
          <w:bCs/>
          <w:color w:val="000000" w:themeColor="text1"/>
          <w:sz w:val="30"/>
          <w:szCs w:val="30"/>
          <w:lang w:eastAsia="zh-CN"/>
          <w14:textFill>
            <w14:solidFill>
              <w14:schemeClr w14:val="tx1"/>
            </w14:solidFill>
          </w14:textFill>
        </w:rPr>
        <w:t xml:space="preserve">                                        </w:t>
      </w:r>
      <w:r>
        <w:rPr>
          <w:rStyle w:val="70"/>
          <w:rFonts w:hint="eastAsia" w:ascii="黑体" w:hAnsi="黑体" w:eastAsia="黑体" w:cs="黑体"/>
          <w:b/>
          <w:bCs/>
          <w:color w:val="000000" w:themeColor="text1"/>
          <w:sz w:val="30"/>
          <w:szCs w:val="30"/>
          <w14:textFill>
            <w14:solidFill>
              <w14:schemeClr w14:val="tx1"/>
            </w14:solidFill>
          </w14:textFill>
        </w:rPr>
        <w:t>（单位：元）</w:t>
      </w:r>
    </w:p>
    <w:tbl>
      <w:tblPr>
        <w:tblStyle w:val="44"/>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0" w:type="dxa"/>
        </w:tblCellMar>
      </w:tblPr>
      <w:tblGrid>
        <w:gridCol w:w="980"/>
        <w:gridCol w:w="1949"/>
        <w:gridCol w:w="992"/>
        <w:gridCol w:w="746"/>
        <w:gridCol w:w="724"/>
        <w:gridCol w:w="706"/>
        <w:gridCol w:w="19"/>
        <w:gridCol w:w="629"/>
        <w:gridCol w:w="736"/>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1791" w:hRule="atLeast"/>
          <w:tblHeader/>
          <w:jc w:val="center"/>
        </w:trPr>
        <w:tc>
          <w:tcPr>
            <w:tcW w:w="578" w:type="pct"/>
            <w:tcBorders>
              <w:right w:val="single" w:color="auto" w:sz="4" w:space="0"/>
            </w:tcBorders>
            <w:vAlign w:val="center"/>
          </w:tcPr>
          <w:p>
            <w:pPr>
              <w:pStyle w:val="135"/>
              <w:spacing w:before="50"/>
              <w:rPr>
                <w:b/>
                <w:color w:val="000000" w:themeColor="text1"/>
                <w14:textFill>
                  <w14:solidFill>
                    <w14:schemeClr w14:val="tx1"/>
                  </w14:solidFill>
                </w14:textFill>
              </w:rPr>
            </w:pPr>
            <w:r>
              <w:rPr>
                <w:b/>
                <w:color w:val="000000" w:themeColor="text1"/>
                <w14:textFill>
                  <w14:solidFill>
                    <w14:schemeClr w14:val="tx1"/>
                  </w14:solidFill>
                </w14:textFill>
              </w:rPr>
              <w:t>编号</w:t>
            </w:r>
          </w:p>
        </w:tc>
        <w:tc>
          <w:tcPr>
            <w:tcW w:w="1149" w:type="pct"/>
            <w:tcBorders>
              <w:left w:val="single" w:color="auto" w:sz="4" w:space="0"/>
              <w:right w:val="single" w:color="auto" w:sz="4" w:space="0"/>
            </w:tcBorders>
            <w:vAlign w:val="center"/>
          </w:tcPr>
          <w:p>
            <w:pPr>
              <w:pStyle w:val="135"/>
              <w:spacing w:before="50"/>
              <w:ind w:left="84" w:leftChars="38"/>
              <w:rPr>
                <w:b/>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设备/组件名称</w:t>
            </w:r>
          </w:p>
        </w:tc>
        <w:tc>
          <w:tcPr>
            <w:tcW w:w="585" w:type="pct"/>
            <w:tcBorders>
              <w:left w:val="single" w:color="auto" w:sz="4" w:space="0"/>
              <w:right w:val="single" w:color="auto" w:sz="4" w:space="0"/>
            </w:tcBorders>
            <w:vAlign w:val="center"/>
          </w:tcPr>
          <w:p>
            <w:pPr>
              <w:pStyle w:val="135"/>
              <w:spacing w:before="50"/>
              <w:rPr>
                <w:b/>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规格型号</w:t>
            </w:r>
          </w:p>
        </w:tc>
        <w:tc>
          <w:tcPr>
            <w:tcW w:w="440" w:type="pct"/>
            <w:tcBorders>
              <w:left w:val="single" w:color="auto" w:sz="4" w:space="0"/>
              <w:right w:val="single" w:color="auto" w:sz="4" w:space="0"/>
            </w:tcBorders>
            <w:vAlign w:val="center"/>
          </w:tcPr>
          <w:p>
            <w:pPr>
              <w:pStyle w:val="135"/>
              <w:spacing w:before="50"/>
              <w:rPr>
                <w:b/>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品牌/产地</w:t>
            </w:r>
          </w:p>
        </w:tc>
        <w:tc>
          <w:tcPr>
            <w:tcW w:w="427" w:type="pct"/>
            <w:tcBorders>
              <w:left w:val="single" w:color="auto" w:sz="4" w:space="0"/>
              <w:right w:val="single" w:color="auto" w:sz="4" w:space="0"/>
            </w:tcBorders>
            <w:vAlign w:val="center"/>
          </w:tcPr>
          <w:p>
            <w:pPr>
              <w:pStyle w:val="135"/>
              <w:spacing w:before="50"/>
              <w:rPr>
                <w:b/>
                <w:color w:val="000000" w:themeColor="text1"/>
                <w14:textFill>
                  <w14:solidFill>
                    <w14:schemeClr w14:val="tx1"/>
                  </w14:solidFill>
                </w14:textFill>
              </w:rPr>
            </w:pPr>
            <w:r>
              <w:rPr>
                <w:b/>
                <w:color w:val="000000" w:themeColor="text1"/>
                <w14:textFill>
                  <w14:solidFill>
                    <w14:schemeClr w14:val="tx1"/>
                  </w14:solidFill>
                </w14:textFill>
              </w:rPr>
              <w:t>单位</w:t>
            </w:r>
          </w:p>
        </w:tc>
        <w:tc>
          <w:tcPr>
            <w:tcW w:w="416" w:type="pct"/>
            <w:tcBorders>
              <w:left w:val="single" w:color="auto" w:sz="4" w:space="0"/>
              <w:right w:val="single" w:color="auto" w:sz="4" w:space="0"/>
            </w:tcBorders>
            <w:vAlign w:val="center"/>
          </w:tcPr>
          <w:p>
            <w:pPr>
              <w:pStyle w:val="135"/>
              <w:spacing w:before="50"/>
              <w:ind w:left="84" w:leftChars="38"/>
              <w:rPr>
                <w:b/>
                <w:color w:val="000000" w:themeColor="text1"/>
                <w14:textFill>
                  <w14:solidFill>
                    <w14:schemeClr w14:val="tx1"/>
                  </w14:solidFill>
                </w14:textFill>
              </w:rPr>
            </w:pPr>
            <w:r>
              <w:rPr>
                <w:b/>
                <w:color w:val="000000" w:themeColor="text1"/>
                <w14:textFill>
                  <w14:solidFill>
                    <w14:schemeClr w14:val="tx1"/>
                  </w14:solidFill>
                </w14:textFill>
              </w:rPr>
              <w:t>数量</w:t>
            </w:r>
          </w:p>
        </w:tc>
        <w:tc>
          <w:tcPr>
            <w:tcW w:w="382" w:type="pct"/>
            <w:gridSpan w:val="2"/>
            <w:tcBorders>
              <w:left w:val="single" w:color="auto" w:sz="4" w:space="0"/>
              <w:right w:val="single" w:color="auto" w:sz="4" w:space="0"/>
            </w:tcBorders>
            <w:vAlign w:val="center"/>
          </w:tcPr>
          <w:p>
            <w:pPr>
              <w:pStyle w:val="135"/>
              <w:spacing w:before="50"/>
              <w:rPr>
                <w:b/>
                <w:color w:val="000000" w:themeColor="text1"/>
                <w14:textFill>
                  <w14:solidFill>
                    <w14:schemeClr w14:val="tx1"/>
                  </w14:solidFill>
                </w14:textFill>
              </w:rPr>
            </w:pPr>
            <w:r>
              <w:rPr>
                <w:rFonts w:hint="eastAsia"/>
                <w:b/>
                <w:color w:val="000000" w:themeColor="text1"/>
                <w14:textFill>
                  <w14:solidFill>
                    <w14:schemeClr w14:val="tx1"/>
                  </w14:solidFill>
                </w14:textFill>
              </w:rPr>
              <w:t>单价</w:t>
            </w:r>
          </w:p>
        </w:tc>
        <w:tc>
          <w:tcPr>
            <w:tcW w:w="434" w:type="pct"/>
            <w:tcBorders>
              <w:left w:val="single" w:color="auto" w:sz="4" w:space="0"/>
              <w:right w:val="single" w:color="auto" w:sz="4" w:space="0"/>
            </w:tcBorders>
            <w:vAlign w:val="center"/>
          </w:tcPr>
          <w:p>
            <w:pPr>
              <w:pStyle w:val="135"/>
              <w:spacing w:before="50"/>
              <w:rPr>
                <w:b/>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合价</w:t>
            </w:r>
          </w:p>
        </w:tc>
        <w:tc>
          <w:tcPr>
            <w:tcW w:w="584" w:type="pct"/>
            <w:tcBorders>
              <w:left w:val="single" w:color="auto" w:sz="4" w:space="0"/>
            </w:tcBorders>
            <w:vAlign w:val="center"/>
          </w:tcPr>
          <w:p>
            <w:pPr>
              <w:pStyle w:val="135"/>
              <w:spacing w:before="50"/>
              <w:rPr>
                <w:b/>
                <w:color w:val="000000" w:themeColor="text1"/>
                <w14:textFill>
                  <w14:solidFill>
                    <w14:schemeClr w14:val="tx1"/>
                  </w14:solidFill>
                </w14:textFill>
              </w:rPr>
            </w:pPr>
            <w:r>
              <w:rPr>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jc w:val="center"/>
        </w:trPr>
        <w:tc>
          <w:tcPr>
            <w:tcW w:w="578" w:type="pct"/>
            <w:vAlign w:val="center"/>
          </w:tcPr>
          <w:p>
            <w:pPr>
              <w:pStyle w:val="135"/>
              <w:ind w:left="154" w:leftChars="70"/>
              <w:jc w:val="both"/>
              <w:rPr>
                <w:b/>
                <w:bCs/>
                <w:color w:val="000000" w:themeColor="text1"/>
                <w14:textFill>
                  <w14:solidFill>
                    <w14:schemeClr w14:val="tx1"/>
                  </w14:solidFill>
                </w14:textFill>
              </w:rPr>
            </w:pPr>
            <w:r>
              <w:rPr>
                <w:b/>
                <w:bCs/>
                <w:color w:val="000000" w:themeColor="text1"/>
                <w14:textFill>
                  <w14:solidFill>
                    <w14:schemeClr w14:val="tx1"/>
                  </w14:solidFill>
                </w14:textFill>
              </w:rPr>
              <w:t>1</w:t>
            </w:r>
          </w:p>
        </w:tc>
        <w:tc>
          <w:tcPr>
            <w:tcW w:w="1149" w:type="pct"/>
          </w:tcPr>
          <w:p>
            <w:pPr>
              <w:pStyle w:val="135"/>
              <w:ind w:left="84" w:leftChars="38"/>
              <w:jc w:val="both"/>
              <w:rPr>
                <w:b/>
                <w:bCs/>
                <w:color w:val="000000" w:themeColor="text1"/>
                <w14:textFill>
                  <w14:solidFill>
                    <w14:schemeClr w14:val="tx1"/>
                  </w14:solidFill>
                </w14:textFill>
              </w:rPr>
            </w:pPr>
            <w:r>
              <w:rPr>
                <w:rStyle w:val="49"/>
                <w:rFonts w:hint="eastAsia"/>
                <w:color w:val="000000" w:themeColor="text1"/>
                <w14:textFill>
                  <w14:solidFill>
                    <w14:schemeClr w14:val="tx1"/>
                  </w14:solidFill>
                </w14:textFill>
              </w:rPr>
              <w:t>220V直流电源系统</w:t>
            </w:r>
          </w:p>
        </w:tc>
        <w:tc>
          <w:tcPr>
            <w:tcW w:w="585" w:type="pct"/>
          </w:tcPr>
          <w:p>
            <w:pPr>
              <w:pStyle w:val="135"/>
              <w:rPr>
                <w:color w:val="000000" w:themeColor="text1"/>
                <w14:textFill>
                  <w14:solidFill>
                    <w14:schemeClr w14:val="tx1"/>
                  </w14:solidFill>
                </w14:textFill>
              </w:rPr>
            </w:pPr>
          </w:p>
        </w:tc>
        <w:tc>
          <w:tcPr>
            <w:tcW w:w="440" w:type="pct"/>
          </w:tcPr>
          <w:p>
            <w:pPr>
              <w:pStyle w:val="135"/>
              <w:rPr>
                <w:color w:val="000000" w:themeColor="text1"/>
                <w14:textFill>
                  <w14:solidFill>
                    <w14:schemeClr w14:val="tx1"/>
                  </w14:solidFill>
                </w14:textFill>
              </w:rPr>
            </w:pPr>
          </w:p>
        </w:tc>
        <w:tc>
          <w:tcPr>
            <w:tcW w:w="427" w:type="pct"/>
          </w:tcPr>
          <w:p>
            <w:pPr>
              <w:widowControl/>
              <w:autoSpaceDE w:val="0"/>
              <w:autoSpaceDN w:val="0"/>
              <w:spacing w:line="280" w:lineRule="exact"/>
              <w:jc w:val="center"/>
              <w:textAlignment w:val="bottom"/>
              <w:rPr>
                <w:b/>
                <w:bCs/>
                <w:color w:val="000000" w:themeColor="text1"/>
                <w:szCs w:val="21"/>
                <w14:textFill>
                  <w14:solidFill>
                    <w14:schemeClr w14:val="tx1"/>
                  </w14:solidFill>
                </w14:textFill>
              </w:rPr>
            </w:pPr>
          </w:p>
        </w:tc>
        <w:tc>
          <w:tcPr>
            <w:tcW w:w="416" w:type="pct"/>
          </w:tcPr>
          <w:p>
            <w:pPr>
              <w:widowControl/>
              <w:autoSpaceDE w:val="0"/>
              <w:autoSpaceDN w:val="0"/>
              <w:spacing w:line="280" w:lineRule="exact"/>
              <w:jc w:val="center"/>
              <w:textAlignment w:val="bottom"/>
              <w:rPr>
                <w:b/>
                <w:bCs/>
                <w:color w:val="000000" w:themeColor="text1"/>
                <w:szCs w:val="21"/>
                <w14:textFill>
                  <w14:solidFill>
                    <w14:schemeClr w14:val="tx1"/>
                  </w14:solidFill>
                </w14:textFill>
              </w:rPr>
            </w:pPr>
          </w:p>
        </w:tc>
        <w:tc>
          <w:tcPr>
            <w:tcW w:w="382" w:type="pct"/>
            <w:gridSpan w:val="2"/>
            <w:vAlign w:val="center"/>
          </w:tcPr>
          <w:p>
            <w:pPr>
              <w:pStyle w:val="135"/>
              <w:rPr>
                <w:color w:val="000000" w:themeColor="text1"/>
                <w14:textFill>
                  <w14:solidFill>
                    <w14:schemeClr w14:val="tx1"/>
                  </w14:solidFill>
                </w14:textFill>
              </w:rPr>
            </w:pPr>
          </w:p>
        </w:tc>
        <w:tc>
          <w:tcPr>
            <w:tcW w:w="434" w:type="pct"/>
            <w:vAlign w:val="center"/>
          </w:tcPr>
          <w:p>
            <w:pPr>
              <w:pStyle w:val="135"/>
              <w:rPr>
                <w:color w:val="000000" w:themeColor="text1"/>
                <w14:textFill>
                  <w14:solidFill>
                    <w14:schemeClr w14:val="tx1"/>
                  </w14:solidFill>
                </w14:textFill>
              </w:rPr>
            </w:pPr>
          </w:p>
        </w:tc>
        <w:tc>
          <w:tcPr>
            <w:tcW w:w="584" w:type="pct"/>
          </w:tcPr>
          <w:p>
            <w:pPr>
              <w:pStyle w:val="13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vAlign w:val="center"/>
          </w:tcPr>
          <w:p>
            <w:pPr>
              <w:numPr>
                <w:ilvl w:val="0"/>
                <w:numId w:val="6"/>
              </w:numPr>
              <w:adjustRightInd w:val="0"/>
              <w:jc w:val="right"/>
              <w:textAlignment w:val="baseline"/>
              <w:rPr>
                <w:color w:val="000000" w:themeColor="text1"/>
                <w:szCs w:val="21"/>
                <w14:textFill>
                  <w14:solidFill>
                    <w14:schemeClr w14:val="tx1"/>
                  </w14:solidFill>
                </w14:textFill>
              </w:rPr>
            </w:pPr>
          </w:p>
        </w:tc>
        <w:tc>
          <w:tcPr>
            <w:tcW w:w="1149" w:type="pct"/>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充电装置</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4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4"/>
              <w:ind w:left="0" w:leftChars="0"/>
              <w:jc w:val="left"/>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p>
        </w:tc>
        <w:tc>
          <w:tcPr>
            <w:tcW w:w="416" w:type="pct"/>
            <w:vAlign w:val="center"/>
          </w:tcPr>
          <w:p>
            <w:pPr>
              <w:jc w:val="center"/>
              <w:rPr>
                <w:color w:val="000000" w:themeColor="text1"/>
                <w:szCs w:val="21"/>
                <w14:textFill>
                  <w14:solidFill>
                    <w14:schemeClr w14:val="tx1"/>
                  </w14:solidFill>
                </w14:textFill>
              </w:rPr>
            </w:pP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vAlign w:val="center"/>
          </w:tcPr>
          <w:p>
            <w:pPr>
              <w:numPr>
                <w:ilvl w:val="0"/>
                <w:numId w:val="6"/>
              </w:numPr>
              <w:adjustRightInd w:val="0"/>
              <w:jc w:val="right"/>
              <w:textAlignment w:val="baseline"/>
              <w:rPr>
                <w:color w:val="000000" w:themeColor="text1"/>
                <w:szCs w:val="21"/>
                <w14:textFill>
                  <w14:solidFill>
                    <w14:schemeClr w14:val="tx1"/>
                  </w14:solidFill>
                </w14:textFill>
              </w:rPr>
            </w:pPr>
          </w:p>
        </w:tc>
        <w:tc>
          <w:tcPr>
            <w:tcW w:w="1149" w:type="pct"/>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馈线屏</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面</w:t>
            </w:r>
          </w:p>
        </w:tc>
        <w:tc>
          <w:tcPr>
            <w:tcW w:w="4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p>
        </w:tc>
        <w:tc>
          <w:tcPr>
            <w:tcW w:w="416" w:type="pct"/>
            <w:vAlign w:val="center"/>
          </w:tcPr>
          <w:p>
            <w:pPr>
              <w:jc w:val="center"/>
              <w:rPr>
                <w:color w:val="000000" w:themeColor="text1"/>
                <w:szCs w:val="21"/>
                <w14:textFill>
                  <w14:solidFill>
                    <w14:schemeClr w14:val="tx1"/>
                  </w14:solidFill>
                </w14:textFill>
              </w:rPr>
            </w:pP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vAlign w:val="center"/>
          </w:tcPr>
          <w:p>
            <w:pPr>
              <w:numPr>
                <w:ilvl w:val="0"/>
                <w:numId w:val="6"/>
              </w:numPr>
              <w:adjustRightInd w:val="0"/>
              <w:jc w:val="right"/>
              <w:textAlignment w:val="baseline"/>
              <w:rPr>
                <w:color w:val="000000" w:themeColor="text1"/>
                <w:szCs w:val="21"/>
                <w14:textFill>
                  <w14:solidFill>
                    <w14:schemeClr w14:val="tx1"/>
                  </w14:solidFill>
                </w14:textFill>
              </w:rPr>
            </w:pPr>
          </w:p>
        </w:tc>
        <w:tc>
          <w:tcPr>
            <w:tcW w:w="1149" w:type="pct"/>
            <w:vAlign w:val="center"/>
          </w:tcPr>
          <w:p>
            <w:pPr>
              <w:rPr>
                <w:color w:val="000000" w:themeColor="text1"/>
                <w:szCs w:val="21"/>
                <w:lang w:eastAsia="zh-CN"/>
                <w14:textFill>
                  <w14:solidFill>
                    <w14:schemeClr w14:val="tx1"/>
                  </w14:solidFill>
                </w14:textFill>
              </w:rPr>
            </w:pPr>
            <w:r>
              <w:rPr>
                <w:rFonts w:hint="eastAsia" w:hAnsi="新宋体" w:eastAsia="新宋体"/>
                <w:color w:val="000000" w:themeColor="text1"/>
                <w:szCs w:val="21"/>
                <w:lang w:eastAsia="zh-CN"/>
                <w14:textFill>
                  <w14:solidFill>
                    <w14:schemeClr w14:val="tx1"/>
                  </w14:solidFill>
                </w14:textFill>
              </w:rPr>
              <w:t>绝缘在线巡回检测装置（每段母线1套）</w:t>
            </w:r>
          </w:p>
        </w:tc>
        <w:tc>
          <w:tcPr>
            <w:tcW w:w="585" w:type="pct"/>
          </w:tcPr>
          <w:p>
            <w:pPr>
              <w:pStyle w:val="29"/>
              <w:tabs>
                <w:tab w:val="left" w:pos="360"/>
                <w:tab w:val="left" w:pos="840"/>
                <w:tab w:val="right" w:leader="dot" w:pos="8640"/>
              </w:tabs>
              <w:spacing w:before="120" w:after="120"/>
              <w:ind w:left="1006" w:right="420"/>
              <w:rPr>
                <w:color w:val="000000" w:themeColor="text1"/>
                <w:lang w:eastAsia="zh-CN"/>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lang w:eastAsia="zh-CN"/>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4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p>
        </w:tc>
        <w:tc>
          <w:tcPr>
            <w:tcW w:w="416" w:type="pct"/>
            <w:vAlign w:val="center"/>
          </w:tcPr>
          <w:p>
            <w:pPr>
              <w:jc w:val="center"/>
              <w:rPr>
                <w:color w:val="000000" w:themeColor="text1"/>
                <w:szCs w:val="21"/>
                <w14:textFill>
                  <w14:solidFill>
                    <w14:schemeClr w14:val="tx1"/>
                  </w14:solidFill>
                </w14:textFill>
              </w:rPr>
            </w:pP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vAlign w:val="center"/>
          </w:tcPr>
          <w:p>
            <w:pPr>
              <w:numPr>
                <w:ilvl w:val="0"/>
                <w:numId w:val="6"/>
              </w:numPr>
              <w:adjustRightInd w:val="0"/>
              <w:jc w:val="right"/>
              <w:textAlignment w:val="baseline"/>
              <w:rPr>
                <w:color w:val="000000" w:themeColor="text1"/>
                <w:szCs w:val="21"/>
                <w14:textFill>
                  <w14:solidFill>
                    <w14:schemeClr w14:val="tx1"/>
                  </w14:solidFill>
                </w14:textFill>
              </w:rPr>
            </w:pPr>
          </w:p>
        </w:tc>
        <w:tc>
          <w:tcPr>
            <w:tcW w:w="1149" w:type="pct"/>
            <w:vAlign w:val="center"/>
          </w:tcPr>
          <w:p>
            <w:pPr>
              <w:rPr>
                <w:rFonts w:hAnsi="新宋体" w:eastAsia="新宋体"/>
                <w:color w:val="000000" w:themeColor="text1"/>
                <w:szCs w:val="21"/>
                <w14:textFill>
                  <w14:solidFill>
                    <w14:schemeClr w14:val="tx1"/>
                  </w14:solidFill>
                </w14:textFill>
              </w:rPr>
            </w:pPr>
            <w:r>
              <w:rPr>
                <w:rFonts w:hint="eastAsia" w:hAnsi="新宋体" w:eastAsia="新宋体"/>
                <w:color w:val="000000" w:themeColor="text1"/>
                <w:szCs w:val="21"/>
                <w14:textFill>
                  <w14:solidFill>
                    <w14:schemeClr w14:val="tx1"/>
                  </w14:solidFill>
                </w14:textFill>
              </w:rPr>
              <w:t>微机监控装置</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4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p>
        </w:tc>
        <w:tc>
          <w:tcPr>
            <w:tcW w:w="416" w:type="pct"/>
            <w:vAlign w:val="center"/>
          </w:tcPr>
          <w:p>
            <w:pPr>
              <w:jc w:val="center"/>
              <w:rPr>
                <w:color w:val="000000" w:themeColor="text1"/>
                <w:szCs w:val="21"/>
                <w14:textFill>
                  <w14:solidFill>
                    <w14:schemeClr w14:val="tx1"/>
                  </w14:solidFill>
                </w14:textFill>
              </w:rPr>
            </w:pP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vAlign w:val="center"/>
          </w:tcPr>
          <w:p>
            <w:pPr>
              <w:numPr>
                <w:ilvl w:val="0"/>
                <w:numId w:val="6"/>
              </w:numPr>
              <w:adjustRightInd w:val="0"/>
              <w:jc w:val="right"/>
              <w:textAlignment w:val="baseline"/>
              <w:rPr>
                <w:color w:val="000000" w:themeColor="text1"/>
                <w:szCs w:val="21"/>
                <w14:textFill>
                  <w14:solidFill>
                    <w14:schemeClr w14:val="tx1"/>
                  </w14:solidFill>
                </w14:textFill>
              </w:rPr>
            </w:pPr>
          </w:p>
        </w:tc>
        <w:tc>
          <w:tcPr>
            <w:tcW w:w="1149" w:type="pct"/>
            <w:vAlign w:val="center"/>
          </w:tcPr>
          <w:p>
            <w:pPr>
              <w:rPr>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事故照明逆变电源装置（</w:t>
            </w:r>
            <w:r>
              <w:rPr>
                <w:color w:val="000000" w:themeColor="text1"/>
                <w:szCs w:val="21"/>
                <w:lang w:eastAsia="zh-CN"/>
                <w14:textFill>
                  <w14:solidFill>
                    <w14:schemeClr w14:val="tx1"/>
                  </w14:solidFill>
                </w14:textFill>
              </w:rPr>
              <w:t>10kW）</w:t>
            </w:r>
          </w:p>
        </w:tc>
        <w:tc>
          <w:tcPr>
            <w:tcW w:w="585" w:type="pct"/>
          </w:tcPr>
          <w:p>
            <w:pPr>
              <w:pStyle w:val="29"/>
              <w:tabs>
                <w:tab w:val="left" w:pos="360"/>
                <w:tab w:val="left" w:pos="840"/>
                <w:tab w:val="right" w:leader="dot" w:pos="8640"/>
              </w:tabs>
              <w:spacing w:before="120" w:after="120"/>
              <w:ind w:left="1006" w:right="420"/>
              <w:rPr>
                <w:color w:val="000000" w:themeColor="text1"/>
                <w:lang w:eastAsia="zh-CN"/>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lang w:eastAsia="zh-CN"/>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4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p>
        </w:tc>
        <w:tc>
          <w:tcPr>
            <w:tcW w:w="416" w:type="pct"/>
            <w:vAlign w:val="center"/>
          </w:tcPr>
          <w:p>
            <w:pPr>
              <w:jc w:val="center"/>
              <w:rPr>
                <w:color w:val="000000" w:themeColor="text1"/>
                <w:szCs w:val="21"/>
                <w14:textFill>
                  <w14:solidFill>
                    <w14:schemeClr w14:val="tx1"/>
                  </w14:solidFill>
                </w14:textFill>
              </w:rPr>
            </w:pP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vAlign w:val="center"/>
          </w:tcPr>
          <w:p>
            <w:pPr>
              <w:numPr>
                <w:ilvl w:val="0"/>
                <w:numId w:val="6"/>
              </w:numPr>
              <w:adjustRightInd w:val="0"/>
              <w:jc w:val="right"/>
              <w:textAlignment w:val="baseline"/>
              <w:rPr>
                <w:color w:val="000000" w:themeColor="text1"/>
                <w:szCs w:val="21"/>
                <w14:textFill>
                  <w14:solidFill>
                    <w14:schemeClr w14:val="tx1"/>
                  </w14:solidFill>
                </w14:textFill>
              </w:rPr>
            </w:pPr>
          </w:p>
        </w:tc>
        <w:tc>
          <w:tcPr>
            <w:tcW w:w="1149" w:type="pct"/>
            <w:vAlign w:val="center"/>
          </w:tcPr>
          <w:p>
            <w:pPr>
              <w:rPr>
                <w:color w:val="000000" w:themeColor="text1"/>
                <w:szCs w:val="21"/>
                <w:lang w:eastAsia="zh-CN"/>
                <w14:textFill>
                  <w14:solidFill>
                    <w14:schemeClr w14:val="tx1"/>
                  </w14:solidFill>
                </w14:textFill>
              </w:rPr>
            </w:pPr>
            <w:r>
              <w:rPr>
                <w:rFonts w:hint="eastAsia" w:hAnsi="新宋体" w:eastAsia="新宋体"/>
                <w:color w:val="000000" w:themeColor="text1"/>
                <w:szCs w:val="21"/>
                <w:lang w:eastAsia="zh-CN"/>
                <w14:textFill>
                  <w14:solidFill>
                    <w14:schemeClr w14:val="tx1"/>
                  </w14:solidFill>
                </w14:textFill>
              </w:rPr>
              <w:t>蓄电池</w:t>
            </w:r>
            <w:r>
              <w:rPr>
                <w:rFonts w:hAnsi="新宋体" w:eastAsia="新宋体"/>
                <w:color w:val="000000" w:themeColor="text1"/>
                <w:szCs w:val="21"/>
                <w:lang w:eastAsia="zh-CN"/>
                <w14:textFill>
                  <w14:solidFill>
                    <w14:schemeClr w14:val="tx1"/>
                  </w14:solidFill>
                </w14:textFill>
              </w:rPr>
              <w:t>5</w:t>
            </w:r>
            <w:r>
              <w:rPr>
                <w:rFonts w:hint="eastAsia" w:hAnsi="新宋体" w:eastAsia="新宋体"/>
                <w:color w:val="000000" w:themeColor="text1"/>
                <w:szCs w:val="21"/>
                <w:lang w:eastAsia="zh-CN"/>
                <w14:textFill>
                  <w14:solidFill>
                    <w14:schemeClr w14:val="tx1"/>
                  </w14:solidFill>
                </w14:textFill>
              </w:rPr>
              <w:t>00Ah（包括蓄电池安装支架和材料）</w:t>
            </w:r>
          </w:p>
        </w:tc>
        <w:tc>
          <w:tcPr>
            <w:tcW w:w="585" w:type="pct"/>
          </w:tcPr>
          <w:p>
            <w:pPr>
              <w:pStyle w:val="29"/>
              <w:tabs>
                <w:tab w:val="left" w:pos="360"/>
                <w:tab w:val="left" w:pos="840"/>
                <w:tab w:val="right" w:leader="dot" w:pos="8640"/>
              </w:tabs>
              <w:spacing w:before="120" w:after="120"/>
              <w:ind w:left="1006" w:right="420"/>
              <w:rPr>
                <w:color w:val="000000" w:themeColor="text1"/>
                <w:lang w:eastAsia="zh-CN"/>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lang w:eastAsia="zh-CN"/>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组</w:t>
            </w:r>
          </w:p>
        </w:tc>
        <w:tc>
          <w:tcPr>
            <w:tcW w:w="4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135"/>
              <w:rPr>
                <w:color w:val="000000" w:themeColor="text1"/>
                <w14:textFill>
                  <w14:solidFill>
                    <w14:schemeClr w14:val="tx1"/>
                  </w14:solidFill>
                </w14:textFill>
              </w:rPr>
            </w:pPr>
          </w:p>
        </w:tc>
        <w:tc>
          <w:tcPr>
            <w:tcW w:w="440" w:type="pct"/>
          </w:tcPr>
          <w:p>
            <w:pPr>
              <w:pStyle w:val="135"/>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p>
        </w:tc>
        <w:tc>
          <w:tcPr>
            <w:tcW w:w="416" w:type="pct"/>
            <w:vAlign w:val="center"/>
          </w:tcPr>
          <w:p>
            <w:pPr>
              <w:jc w:val="center"/>
              <w:rPr>
                <w:color w:val="000000" w:themeColor="text1"/>
                <w:szCs w:val="21"/>
                <w14:textFill>
                  <w14:solidFill>
                    <w14:schemeClr w14:val="tx1"/>
                  </w14:solidFill>
                </w14:textFill>
              </w:rPr>
            </w:pPr>
          </w:p>
        </w:tc>
        <w:tc>
          <w:tcPr>
            <w:tcW w:w="382" w:type="pct"/>
            <w:gridSpan w:val="2"/>
            <w:vAlign w:val="center"/>
          </w:tcPr>
          <w:p>
            <w:pPr>
              <w:pStyle w:val="135"/>
              <w:rPr>
                <w:color w:val="000000" w:themeColor="text1"/>
                <w14:textFill>
                  <w14:solidFill>
                    <w14:schemeClr w14:val="tx1"/>
                  </w14:solidFill>
                </w14:textFill>
              </w:rPr>
            </w:pPr>
          </w:p>
        </w:tc>
        <w:tc>
          <w:tcPr>
            <w:tcW w:w="434" w:type="pct"/>
            <w:vAlign w:val="center"/>
          </w:tcPr>
          <w:p>
            <w:pPr>
              <w:pStyle w:val="135"/>
              <w:rPr>
                <w:color w:val="000000" w:themeColor="text1"/>
                <w14:textFill>
                  <w14:solidFill>
                    <w14:schemeClr w14:val="tx1"/>
                  </w14:solidFill>
                </w14:textFill>
              </w:rPr>
            </w:pPr>
          </w:p>
        </w:tc>
        <w:tc>
          <w:tcPr>
            <w:tcW w:w="584" w:type="pct"/>
          </w:tcPr>
          <w:p>
            <w:pPr>
              <w:pStyle w:val="13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vAlign w:val="center"/>
          </w:tcPr>
          <w:p>
            <w:pPr>
              <w:numPr>
                <w:ilvl w:val="0"/>
                <w:numId w:val="6"/>
              </w:numPr>
              <w:adjustRightInd w:val="0"/>
              <w:jc w:val="right"/>
              <w:textAlignment w:val="baseline"/>
              <w:rPr>
                <w:color w:val="000000" w:themeColor="text1"/>
                <w:szCs w:val="21"/>
                <w14:textFill>
                  <w14:solidFill>
                    <w14:schemeClr w14:val="tx1"/>
                  </w14:solidFill>
                </w14:textFill>
              </w:rPr>
            </w:pPr>
          </w:p>
        </w:tc>
        <w:tc>
          <w:tcPr>
            <w:tcW w:w="1149" w:type="pct"/>
            <w:vAlign w:val="center"/>
          </w:tcPr>
          <w:p>
            <w:pPr>
              <w:rPr>
                <w:rFonts w:hAnsi="新宋体" w:eastAsia="新宋体"/>
                <w:color w:val="000000" w:themeColor="text1"/>
                <w:szCs w:val="21"/>
                <w:lang w:eastAsia="zh-CN"/>
                <w14:textFill>
                  <w14:solidFill>
                    <w14:schemeClr w14:val="tx1"/>
                  </w14:solidFill>
                </w14:textFill>
              </w:rPr>
            </w:pPr>
            <w:r>
              <w:rPr>
                <w:rFonts w:hint="eastAsia" w:hAnsi="新宋体" w:eastAsia="新宋体"/>
                <w:color w:val="000000" w:themeColor="text1"/>
                <w:szCs w:val="21"/>
                <w:lang w:eastAsia="zh-CN"/>
                <w14:textFill>
                  <w14:solidFill>
                    <w14:schemeClr w14:val="tx1"/>
                  </w14:solidFill>
                </w14:textFill>
              </w:rPr>
              <w:t>蓄电池巡检装置（包括安装支架和材料）</w:t>
            </w:r>
          </w:p>
        </w:tc>
        <w:tc>
          <w:tcPr>
            <w:tcW w:w="585" w:type="pct"/>
          </w:tcPr>
          <w:p>
            <w:pPr>
              <w:pStyle w:val="135"/>
              <w:rPr>
                <w:b/>
                <w:color w:val="000000" w:themeColor="text1"/>
                <w14:textFill>
                  <w14:solidFill>
                    <w14:schemeClr w14:val="tx1"/>
                  </w14:solidFill>
                </w14:textFill>
              </w:rPr>
            </w:pPr>
          </w:p>
        </w:tc>
        <w:tc>
          <w:tcPr>
            <w:tcW w:w="440" w:type="pct"/>
          </w:tcPr>
          <w:p>
            <w:pPr>
              <w:pStyle w:val="135"/>
              <w:rPr>
                <w:b/>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4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382" w:type="pct"/>
            <w:gridSpan w:val="2"/>
            <w:vAlign w:val="center"/>
          </w:tcPr>
          <w:p>
            <w:pPr>
              <w:pStyle w:val="135"/>
              <w:rPr>
                <w:b/>
                <w:color w:val="000000" w:themeColor="text1"/>
                <w14:textFill>
                  <w14:solidFill>
                    <w14:schemeClr w14:val="tx1"/>
                  </w14:solidFill>
                </w14:textFill>
              </w:rPr>
            </w:pPr>
          </w:p>
        </w:tc>
        <w:tc>
          <w:tcPr>
            <w:tcW w:w="434" w:type="pct"/>
            <w:vAlign w:val="center"/>
          </w:tcPr>
          <w:p>
            <w:pPr>
              <w:pStyle w:val="135"/>
              <w:rPr>
                <w:b/>
                <w:color w:val="000000" w:themeColor="text1"/>
                <w14:textFill>
                  <w14:solidFill>
                    <w14:schemeClr w14:val="tx1"/>
                  </w14:solidFill>
                </w14:textFill>
              </w:rPr>
            </w:pPr>
          </w:p>
        </w:tc>
        <w:tc>
          <w:tcPr>
            <w:tcW w:w="584" w:type="pct"/>
          </w:tcPr>
          <w:p>
            <w:pPr>
              <w:pStyle w:val="135"/>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p>
        </w:tc>
        <w:tc>
          <w:tcPr>
            <w:tcW w:w="416" w:type="pct"/>
            <w:vAlign w:val="center"/>
          </w:tcPr>
          <w:p>
            <w:pPr>
              <w:jc w:val="center"/>
              <w:rPr>
                <w:color w:val="000000" w:themeColor="text1"/>
                <w:szCs w:val="21"/>
                <w14:textFill>
                  <w14:solidFill>
                    <w14:schemeClr w14:val="tx1"/>
                  </w14:solidFill>
                </w14:textFill>
              </w:rPr>
            </w:pP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vAlign w:val="center"/>
          </w:tcPr>
          <w:p>
            <w:pPr>
              <w:numPr>
                <w:ilvl w:val="0"/>
                <w:numId w:val="6"/>
              </w:numPr>
              <w:adjustRightInd w:val="0"/>
              <w:jc w:val="right"/>
              <w:textAlignment w:val="baseline"/>
              <w:rPr>
                <w:color w:val="000000" w:themeColor="text1"/>
                <w:szCs w:val="21"/>
                <w14:textFill>
                  <w14:solidFill>
                    <w14:schemeClr w14:val="tx1"/>
                  </w14:solidFill>
                </w14:textFill>
              </w:rPr>
            </w:pPr>
          </w:p>
        </w:tc>
        <w:tc>
          <w:tcPr>
            <w:tcW w:w="1149" w:type="pct"/>
            <w:vAlign w:val="center"/>
          </w:tcPr>
          <w:p>
            <w:pPr>
              <w:rPr>
                <w:color w:val="000000" w:themeColor="text1"/>
                <w:szCs w:val="21"/>
                <w14:textFill>
                  <w14:solidFill>
                    <w14:schemeClr w14:val="tx1"/>
                  </w14:solidFill>
                </w14:textFill>
              </w:rPr>
            </w:pPr>
            <w:r>
              <w:rPr>
                <w:rStyle w:val="49"/>
                <w:rFonts w:hint="eastAsia"/>
                <w:color w:val="000000" w:themeColor="text1"/>
                <w:szCs w:val="21"/>
                <w14:textFill>
                  <w14:solidFill>
                    <w14:schemeClr w14:val="tx1"/>
                  </w14:solidFill>
                </w14:textFill>
              </w:rPr>
              <w:t>机组交/直流分电屏</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面</w:t>
            </w:r>
          </w:p>
        </w:tc>
        <w:tc>
          <w:tcPr>
            <w:tcW w:w="416"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p>
        </w:tc>
        <w:tc>
          <w:tcPr>
            <w:tcW w:w="416" w:type="pct"/>
            <w:vAlign w:val="center"/>
          </w:tcPr>
          <w:p>
            <w:pPr>
              <w:jc w:val="center"/>
              <w:rPr>
                <w:color w:val="000000" w:themeColor="text1"/>
                <w:szCs w:val="21"/>
                <w14:textFill>
                  <w14:solidFill>
                    <w14:schemeClr w14:val="tx1"/>
                  </w14:solidFill>
                </w14:textFill>
              </w:rPr>
            </w:pP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jc w:val="center"/>
        </w:trPr>
        <w:tc>
          <w:tcPr>
            <w:tcW w:w="578" w:type="pct"/>
            <w:vAlign w:val="center"/>
          </w:tcPr>
          <w:p>
            <w:pPr>
              <w:numPr>
                <w:ilvl w:val="0"/>
                <w:numId w:val="6"/>
              </w:numPr>
              <w:adjustRightInd w:val="0"/>
              <w:jc w:val="right"/>
              <w:textAlignment w:val="baseline"/>
              <w:rPr>
                <w:color w:val="000000" w:themeColor="text1"/>
                <w:szCs w:val="21"/>
                <w14:textFill>
                  <w14:solidFill>
                    <w14:schemeClr w14:val="tx1"/>
                  </w14:solidFill>
                </w14:textFill>
              </w:rPr>
            </w:pPr>
          </w:p>
        </w:tc>
        <w:tc>
          <w:tcPr>
            <w:tcW w:w="1149" w:type="pct"/>
            <w:vAlign w:val="center"/>
          </w:tcPr>
          <w:p>
            <w:pPr>
              <w:rPr>
                <w:color w:val="000000" w:themeColor="text1"/>
                <w:szCs w:val="21"/>
                <w:lang w:eastAsia="zh-CN"/>
                <w14:textFill>
                  <w14:solidFill>
                    <w14:schemeClr w14:val="tx1"/>
                  </w14:solidFill>
                </w14:textFill>
              </w:rPr>
            </w:pPr>
            <w:r>
              <w:rPr>
                <w:rFonts w:hint="eastAsia" w:hAnsi="新宋体" w:eastAsia="新宋体"/>
                <w:color w:val="000000" w:themeColor="text1"/>
                <w:szCs w:val="21"/>
                <w:lang w:eastAsia="zh-CN"/>
                <w14:textFill>
                  <w14:solidFill>
                    <w14:schemeClr w14:val="tx1"/>
                  </w14:solidFill>
                </w14:textFill>
              </w:rPr>
              <w:t>连接电缆（包括屏间连接电缆、直流屏与蓄电池间的连接电缆）</w:t>
            </w:r>
          </w:p>
        </w:tc>
        <w:tc>
          <w:tcPr>
            <w:tcW w:w="585" w:type="pct"/>
          </w:tcPr>
          <w:p>
            <w:pPr>
              <w:pStyle w:val="29"/>
              <w:tabs>
                <w:tab w:val="left" w:pos="360"/>
                <w:tab w:val="left" w:pos="840"/>
                <w:tab w:val="right" w:leader="dot" w:pos="8640"/>
              </w:tabs>
              <w:spacing w:before="120" w:after="120"/>
              <w:ind w:left="1006" w:right="420"/>
              <w:rPr>
                <w:color w:val="000000" w:themeColor="text1"/>
                <w:lang w:eastAsia="zh-CN"/>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lang w:eastAsia="zh-CN"/>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4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p>
        </w:tc>
        <w:tc>
          <w:tcPr>
            <w:tcW w:w="416" w:type="pct"/>
            <w:vAlign w:val="center"/>
          </w:tcPr>
          <w:p>
            <w:pPr>
              <w:jc w:val="center"/>
              <w:rPr>
                <w:color w:val="000000" w:themeColor="text1"/>
                <w:szCs w:val="21"/>
                <w14:textFill>
                  <w14:solidFill>
                    <w14:schemeClr w14:val="tx1"/>
                  </w14:solidFill>
                </w14:textFill>
              </w:rPr>
            </w:pP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jc w:val="center"/>
        </w:trPr>
        <w:tc>
          <w:tcPr>
            <w:tcW w:w="578" w:type="pct"/>
            <w:vAlign w:val="center"/>
          </w:tcPr>
          <w:p>
            <w:pPr>
              <w:numPr>
                <w:ilvl w:val="0"/>
                <w:numId w:val="6"/>
              </w:numPr>
              <w:adjustRightInd w:val="0"/>
              <w:jc w:val="right"/>
              <w:textAlignment w:val="baseline"/>
              <w:rPr>
                <w:color w:val="000000" w:themeColor="text1"/>
                <w:szCs w:val="21"/>
                <w14:textFill>
                  <w14:solidFill>
                    <w14:schemeClr w14:val="tx1"/>
                  </w14:solidFill>
                </w14:textFill>
              </w:rPr>
            </w:pPr>
          </w:p>
        </w:tc>
        <w:tc>
          <w:tcPr>
            <w:tcW w:w="1149" w:type="pct"/>
            <w:vAlign w:val="center"/>
          </w:tcPr>
          <w:p>
            <w:pPr>
              <w:rPr>
                <w:rFonts w:hAnsi="新宋体" w:eastAsia="新宋体"/>
                <w:color w:val="000000" w:themeColor="text1"/>
                <w:szCs w:val="21"/>
                <w14:textFill>
                  <w14:solidFill>
                    <w14:schemeClr w14:val="tx1"/>
                  </w14:solidFill>
                </w14:textFill>
              </w:rPr>
            </w:pPr>
            <w:r>
              <w:rPr>
                <w:rFonts w:hint="eastAsia" w:hAnsi="新宋体" w:eastAsia="新宋体"/>
                <w:color w:val="000000" w:themeColor="text1"/>
                <w:szCs w:val="21"/>
                <w14:textFill>
                  <w14:solidFill>
                    <w14:schemeClr w14:val="tx1"/>
                  </w14:solidFill>
                </w14:textFill>
              </w:rPr>
              <w:t>柜体及辅助设备</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4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382" w:type="pct"/>
            <w:gridSpan w:val="2"/>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34" w:type="pct"/>
            <w:vAlign w:val="center"/>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584"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135"/>
              <w:rPr>
                <w:color w:val="000000" w:themeColor="text1"/>
                <w14:textFill>
                  <w14:solidFill>
                    <w14:schemeClr w14:val="tx1"/>
                  </w14:solidFill>
                </w14:textFill>
              </w:rPr>
            </w:pPr>
          </w:p>
        </w:tc>
        <w:tc>
          <w:tcPr>
            <w:tcW w:w="440" w:type="pct"/>
          </w:tcPr>
          <w:p>
            <w:pPr>
              <w:pStyle w:val="135"/>
              <w:rPr>
                <w:color w:val="000000" w:themeColor="text1"/>
                <w14:textFill>
                  <w14:solidFill>
                    <w14:schemeClr w14:val="tx1"/>
                  </w14:solidFill>
                </w14:textFill>
              </w:rPr>
            </w:pPr>
          </w:p>
        </w:tc>
        <w:tc>
          <w:tcPr>
            <w:tcW w:w="427" w:type="pct"/>
          </w:tcPr>
          <w:p>
            <w:pPr>
              <w:tabs>
                <w:tab w:val="left" w:pos="7038"/>
                <w:tab w:val="left" w:pos="8718"/>
              </w:tabs>
              <w:adjustRightInd w:val="0"/>
              <w:snapToGrid w:val="0"/>
              <w:rPr>
                <w:color w:val="000000" w:themeColor="text1"/>
                <w:szCs w:val="21"/>
                <w14:textFill>
                  <w14:solidFill>
                    <w14:schemeClr w14:val="tx1"/>
                  </w14:solidFill>
                </w14:textFill>
              </w:rPr>
            </w:pPr>
          </w:p>
        </w:tc>
        <w:tc>
          <w:tcPr>
            <w:tcW w:w="416" w:type="pct"/>
          </w:tcPr>
          <w:p>
            <w:pPr>
              <w:tabs>
                <w:tab w:val="left" w:pos="7038"/>
                <w:tab w:val="left" w:pos="8718"/>
              </w:tabs>
              <w:adjustRightInd w:val="0"/>
              <w:snapToGrid w:val="0"/>
              <w:spacing w:after="120"/>
              <w:ind w:left="420" w:hanging="420"/>
              <w:jc w:val="center"/>
              <w:rPr>
                <w:rFonts w:ascii="Arial" w:hAnsi="Arial"/>
                <w:color w:val="000000" w:themeColor="text1"/>
                <w:szCs w:val="21"/>
                <w14:textFill>
                  <w14:solidFill>
                    <w14:schemeClr w14:val="tx1"/>
                  </w14:solidFill>
                </w14:textFill>
              </w:rPr>
            </w:pPr>
          </w:p>
        </w:tc>
        <w:tc>
          <w:tcPr>
            <w:tcW w:w="382" w:type="pct"/>
            <w:gridSpan w:val="2"/>
            <w:vAlign w:val="center"/>
          </w:tcPr>
          <w:p>
            <w:pPr>
              <w:pStyle w:val="135"/>
              <w:rPr>
                <w:color w:val="000000" w:themeColor="text1"/>
                <w14:textFill>
                  <w14:solidFill>
                    <w14:schemeClr w14:val="tx1"/>
                  </w14:solidFill>
                </w14:textFill>
              </w:rPr>
            </w:pPr>
          </w:p>
        </w:tc>
        <w:tc>
          <w:tcPr>
            <w:tcW w:w="434" w:type="pct"/>
            <w:vAlign w:val="center"/>
          </w:tcPr>
          <w:p>
            <w:pPr>
              <w:pStyle w:val="135"/>
              <w:rPr>
                <w:color w:val="000000" w:themeColor="text1"/>
                <w14:textFill>
                  <w14:solidFill>
                    <w14:schemeClr w14:val="tx1"/>
                  </w14:solidFill>
                </w14:textFill>
              </w:rPr>
            </w:pPr>
          </w:p>
        </w:tc>
        <w:tc>
          <w:tcPr>
            <w:tcW w:w="584" w:type="pct"/>
          </w:tcPr>
          <w:p>
            <w:pPr>
              <w:pStyle w:val="13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hint="eastAsia"/>
                <w:color w:val="000000" w:themeColor="text1"/>
                <w:szCs w:val="21"/>
                <w14:textFill>
                  <w14:solidFill>
                    <w14:schemeClr w14:val="tx1"/>
                  </w14:solidFill>
                </w14:textFill>
              </w:rPr>
              <w:t>小计</w:t>
            </w:r>
          </w:p>
        </w:tc>
        <w:tc>
          <w:tcPr>
            <w:tcW w:w="1149" w:type="pct"/>
          </w:tcPr>
          <w:p>
            <w:pPr>
              <w:tabs>
                <w:tab w:val="left" w:pos="7038"/>
                <w:tab w:val="left" w:pos="8718"/>
              </w:tabs>
              <w:adjustRightInd w:val="0"/>
              <w:snapToGrid w:val="0"/>
              <w:rPr>
                <w:color w:val="000000" w:themeColor="text1"/>
                <w:szCs w:val="21"/>
                <w14:textFill>
                  <w14:solidFill>
                    <w14:schemeClr w14:val="tx1"/>
                  </w14:solidFill>
                </w14:textFill>
              </w:rPr>
            </w:pP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tcPr>
          <w:p>
            <w:pPr>
              <w:tabs>
                <w:tab w:val="left" w:pos="7038"/>
                <w:tab w:val="left" w:pos="8718"/>
              </w:tabs>
              <w:adjustRightInd w:val="0"/>
              <w:snapToGrid w:val="0"/>
              <w:rPr>
                <w:color w:val="000000" w:themeColor="text1"/>
                <w:szCs w:val="21"/>
                <w14:textFill>
                  <w14:solidFill>
                    <w14:schemeClr w14:val="tx1"/>
                  </w14:solidFill>
                </w14:textFill>
              </w:rPr>
            </w:pPr>
          </w:p>
        </w:tc>
        <w:tc>
          <w:tcPr>
            <w:tcW w:w="416" w:type="pct"/>
          </w:tcPr>
          <w:p>
            <w:pPr>
              <w:tabs>
                <w:tab w:val="left" w:pos="7038"/>
                <w:tab w:val="left" w:pos="8718"/>
              </w:tabs>
              <w:adjustRightInd w:val="0"/>
              <w:snapToGrid w:val="0"/>
              <w:jc w:val="center"/>
              <w:rPr>
                <w:color w:val="000000" w:themeColor="text1"/>
                <w:szCs w:val="21"/>
                <w14:textFill>
                  <w14:solidFill>
                    <w14:schemeClr w14:val="tx1"/>
                  </w14:solidFill>
                </w14:textFill>
              </w:rPr>
            </w:pPr>
          </w:p>
        </w:tc>
        <w:tc>
          <w:tcPr>
            <w:tcW w:w="382" w:type="pct"/>
            <w:gridSpan w:val="2"/>
            <w:vAlign w:val="center"/>
          </w:tcPr>
          <w:p>
            <w:pPr>
              <w:pStyle w:val="135"/>
              <w:rPr>
                <w:color w:val="000000" w:themeColor="text1"/>
                <w14:textFill>
                  <w14:solidFill>
                    <w14:schemeClr w14:val="tx1"/>
                  </w14:solidFill>
                </w14:textFill>
              </w:rPr>
            </w:pPr>
          </w:p>
        </w:tc>
        <w:tc>
          <w:tcPr>
            <w:tcW w:w="434" w:type="pct"/>
            <w:vAlign w:val="center"/>
          </w:tcPr>
          <w:p>
            <w:pPr>
              <w:pStyle w:val="135"/>
              <w:rPr>
                <w:color w:val="000000" w:themeColor="text1"/>
                <w14:textFill>
                  <w14:solidFill>
                    <w14:schemeClr w14:val="tx1"/>
                  </w14:solidFill>
                </w14:textFill>
              </w:rPr>
            </w:pPr>
          </w:p>
        </w:tc>
        <w:tc>
          <w:tcPr>
            <w:tcW w:w="584" w:type="pct"/>
          </w:tcPr>
          <w:p>
            <w:pPr>
              <w:pStyle w:val="13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numPr>
                <w:ilvl w:val="0"/>
                <w:numId w:val="6"/>
              </w:numPr>
              <w:adjustRightInd w:val="0"/>
              <w:jc w:val="right"/>
              <w:textAlignment w:val="baseline"/>
              <w:rPr>
                <w:color w:val="000000" w:themeColor="text1"/>
                <w:szCs w:val="21"/>
                <w:lang w:val="en-GB"/>
                <w14:textFill>
                  <w14:solidFill>
                    <w14:schemeClr w14:val="tx1"/>
                  </w14:solidFill>
                </w14:textFill>
              </w:rPr>
            </w:pPr>
          </w:p>
        </w:tc>
        <w:tc>
          <w:tcPr>
            <w:tcW w:w="1149" w:type="pct"/>
          </w:tcPr>
          <w:p>
            <w:pPr>
              <w:tabs>
                <w:tab w:val="left" w:pos="7038"/>
                <w:tab w:val="left" w:pos="8718"/>
              </w:tabs>
              <w:adjustRightInd w:val="0"/>
              <w:snapToGrid w:val="0"/>
              <w:rPr>
                <w:color w:val="000000" w:themeColor="text1"/>
                <w:szCs w:val="21"/>
                <w:lang w:eastAsia="zh-CN"/>
                <w14:textFill>
                  <w14:solidFill>
                    <w14:schemeClr w14:val="tx1"/>
                  </w14:solidFill>
                </w14:textFill>
              </w:rPr>
            </w:pPr>
            <w:r>
              <w:rPr>
                <w:rFonts w:hint="eastAsia" w:hAnsi="新宋体" w:eastAsia="新宋体"/>
                <w:color w:val="000000" w:themeColor="text1"/>
                <w:szCs w:val="21"/>
                <w:lang w:eastAsia="zh-CN"/>
                <w14:textFill>
                  <w14:solidFill>
                    <w14:schemeClr w14:val="tx1"/>
                  </w14:solidFill>
                </w14:textFill>
              </w:rPr>
              <w:t>放电</w:t>
            </w:r>
            <w:r>
              <w:rPr>
                <w:rFonts w:hAnsi="新宋体" w:eastAsia="新宋体"/>
                <w:color w:val="000000" w:themeColor="text1"/>
                <w:szCs w:val="21"/>
                <w:lang w:eastAsia="zh-CN"/>
                <w14:textFill>
                  <w14:solidFill>
                    <w14:schemeClr w14:val="tx1"/>
                  </w14:solidFill>
                </w14:textFill>
              </w:rPr>
              <w:t>装置</w:t>
            </w:r>
            <w:r>
              <w:rPr>
                <w:rFonts w:hint="eastAsia" w:hAnsi="新宋体" w:eastAsia="新宋体"/>
                <w:color w:val="000000" w:themeColor="text1"/>
                <w:szCs w:val="21"/>
                <w:lang w:eastAsia="zh-CN"/>
                <w14:textFill>
                  <w14:solidFill>
                    <w14:schemeClr w14:val="tx1"/>
                  </w14:solidFill>
                </w14:textFill>
              </w:rPr>
              <w:t>（移动式，包括直流屏和放电装置的连接电缆）</w:t>
            </w:r>
          </w:p>
        </w:tc>
        <w:tc>
          <w:tcPr>
            <w:tcW w:w="585" w:type="pct"/>
          </w:tcPr>
          <w:p>
            <w:pPr>
              <w:pStyle w:val="135"/>
              <w:rPr>
                <w:color w:val="000000" w:themeColor="text1"/>
                <w14:textFill>
                  <w14:solidFill>
                    <w14:schemeClr w14:val="tx1"/>
                  </w14:solidFill>
                </w14:textFill>
              </w:rPr>
            </w:pPr>
          </w:p>
        </w:tc>
        <w:tc>
          <w:tcPr>
            <w:tcW w:w="440" w:type="pct"/>
          </w:tcPr>
          <w:p>
            <w:pPr>
              <w:pStyle w:val="135"/>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416"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382" w:type="pct"/>
            <w:gridSpan w:val="2"/>
            <w:vAlign w:val="center"/>
          </w:tcPr>
          <w:p>
            <w:pPr>
              <w:pStyle w:val="135"/>
              <w:rPr>
                <w:color w:val="000000" w:themeColor="text1"/>
                <w14:textFill>
                  <w14:solidFill>
                    <w14:schemeClr w14:val="tx1"/>
                  </w14:solidFill>
                </w14:textFill>
              </w:rPr>
            </w:pPr>
          </w:p>
        </w:tc>
        <w:tc>
          <w:tcPr>
            <w:tcW w:w="434" w:type="pct"/>
            <w:vAlign w:val="center"/>
          </w:tcPr>
          <w:p>
            <w:pPr>
              <w:pStyle w:val="135"/>
              <w:rPr>
                <w:color w:val="000000" w:themeColor="text1"/>
                <w14:textFill>
                  <w14:solidFill>
                    <w14:schemeClr w14:val="tx1"/>
                  </w14:solidFill>
                </w14:textFill>
              </w:rPr>
            </w:pPr>
          </w:p>
        </w:tc>
        <w:tc>
          <w:tcPr>
            <w:tcW w:w="584" w:type="pct"/>
          </w:tcPr>
          <w:p>
            <w:pPr>
              <w:pStyle w:val="13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135"/>
              <w:rPr>
                <w:b/>
                <w:color w:val="000000" w:themeColor="text1"/>
                <w14:textFill>
                  <w14:solidFill>
                    <w14:schemeClr w14:val="tx1"/>
                  </w14:solidFill>
                </w14:textFill>
              </w:rPr>
            </w:pPr>
          </w:p>
        </w:tc>
        <w:tc>
          <w:tcPr>
            <w:tcW w:w="440" w:type="pct"/>
          </w:tcPr>
          <w:p>
            <w:pPr>
              <w:pStyle w:val="135"/>
              <w:rPr>
                <w:b/>
                <w:color w:val="000000" w:themeColor="text1"/>
                <w14:textFill>
                  <w14:solidFill>
                    <w14:schemeClr w14:val="tx1"/>
                  </w14:solidFill>
                </w14:textFill>
              </w:rPr>
            </w:pPr>
          </w:p>
        </w:tc>
        <w:tc>
          <w:tcPr>
            <w:tcW w:w="427" w:type="pct"/>
          </w:tcPr>
          <w:p>
            <w:pPr>
              <w:tabs>
                <w:tab w:val="left" w:pos="7038"/>
                <w:tab w:val="left" w:pos="8718"/>
              </w:tabs>
              <w:adjustRightInd w:val="0"/>
              <w:snapToGrid w:val="0"/>
              <w:rPr>
                <w:color w:val="000000" w:themeColor="text1"/>
                <w:szCs w:val="21"/>
                <w14:textFill>
                  <w14:solidFill>
                    <w14:schemeClr w14:val="tx1"/>
                  </w14:solidFill>
                </w14:textFill>
              </w:rPr>
            </w:pPr>
          </w:p>
        </w:tc>
        <w:tc>
          <w:tcPr>
            <w:tcW w:w="416" w:type="pct"/>
          </w:tcPr>
          <w:p>
            <w:pPr>
              <w:tabs>
                <w:tab w:val="left" w:pos="7038"/>
                <w:tab w:val="left" w:pos="8718"/>
              </w:tabs>
              <w:adjustRightInd w:val="0"/>
              <w:snapToGrid w:val="0"/>
              <w:jc w:val="center"/>
              <w:rPr>
                <w:color w:val="000000" w:themeColor="text1"/>
                <w:sz w:val="24"/>
                <w:szCs w:val="21"/>
                <w14:textFill>
                  <w14:solidFill>
                    <w14:schemeClr w14:val="tx1"/>
                  </w14:solidFill>
                </w14:textFill>
              </w:rPr>
            </w:pPr>
          </w:p>
        </w:tc>
        <w:tc>
          <w:tcPr>
            <w:tcW w:w="382" w:type="pct"/>
            <w:gridSpan w:val="2"/>
            <w:vAlign w:val="center"/>
          </w:tcPr>
          <w:p>
            <w:pPr>
              <w:pStyle w:val="135"/>
              <w:rPr>
                <w:color w:val="000000" w:themeColor="text1"/>
                <w14:textFill>
                  <w14:solidFill>
                    <w14:schemeClr w14:val="tx1"/>
                  </w14:solidFill>
                </w14:textFill>
              </w:rPr>
            </w:pPr>
          </w:p>
        </w:tc>
        <w:tc>
          <w:tcPr>
            <w:tcW w:w="434" w:type="pct"/>
            <w:vAlign w:val="center"/>
          </w:tcPr>
          <w:p>
            <w:pPr>
              <w:pStyle w:val="135"/>
              <w:rPr>
                <w:color w:val="000000" w:themeColor="text1"/>
                <w14:textFill>
                  <w14:solidFill>
                    <w14:schemeClr w14:val="tx1"/>
                  </w14:solidFill>
                </w14:textFill>
              </w:rPr>
            </w:pPr>
          </w:p>
        </w:tc>
        <w:tc>
          <w:tcPr>
            <w:tcW w:w="584" w:type="pct"/>
          </w:tcPr>
          <w:p>
            <w:pPr>
              <w:pStyle w:val="13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hint="eastAsia"/>
                <w:color w:val="000000" w:themeColor="text1"/>
                <w:szCs w:val="21"/>
                <w:lang w:val="en-GB"/>
                <w14:textFill>
                  <w14:solidFill>
                    <w14:schemeClr w14:val="tx1"/>
                  </w14:solidFill>
                </w14:textFill>
              </w:rPr>
              <w:t>2</w:t>
            </w:r>
          </w:p>
        </w:tc>
        <w:tc>
          <w:tcPr>
            <w:tcW w:w="1149" w:type="pct"/>
          </w:tcPr>
          <w:p>
            <w:pPr>
              <w:tabs>
                <w:tab w:val="left" w:pos="7038"/>
                <w:tab w:val="left" w:pos="8718"/>
              </w:tabs>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交流</w:t>
            </w:r>
            <w:r>
              <w:rPr>
                <w:color w:val="000000" w:themeColor="text1"/>
                <w:szCs w:val="21"/>
                <w14:textFill>
                  <w14:solidFill>
                    <w14:schemeClr w14:val="tx1"/>
                  </w14:solidFill>
                </w14:textFill>
              </w:rPr>
              <w:t>配电系统</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tcPr>
          <w:p>
            <w:pPr>
              <w:tabs>
                <w:tab w:val="left" w:pos="7038"/>
                <w:tab w:val="left" w:pos="8718"/>
              </w:tabs>
              <w:adjustRightInd w:val="0"/>
              <w:snapToGrid w:val="0"/>
              <w:rPr>
                <w:color w:val="000000" w:themeColor="text1"/>
                <w:szCs w:val="21"/>
                <w14:textFill>
                  <w14:solidFill>
                    <w14:schemeClr w14:val="tx1"/>
                  </w14:solidFill>
                </w14:textFill>
              </w:rPr>
            </w:pPr>
          </w:p>
        </w:tc>
        <w:tc>
          <w:tcPr>
            <w:tcW w:w="416" w:type="pct"/>
          </w:tcPr>
          <w:p>
            <w:pPr>
              <w:tabs>
                <w:tab w:val="left" w:pos="7038"/>
                <w:tab w:val="left" w:pos="8718"/>
              </w:tabs>
              <w:adjustRightInd w:val="0"/>
              <w:snapToGrid w:val="0"/>
              <w:jc w:val="center"/>
              <w:rPr>
                <w:color w:val="000000" w:themeColor="text1"/>
                <w:sz w:val="24"/>
                <w:szCs w:val="21"/>
                <w14:textFill>
                  <w14:solidFill>
                    <w14:schemeClr w14:val="tx1"/>
                  </w14:solidFill>
                </w14:textFill>
              </w:rPr>
            </w:pPr>
          </w:p>
        </w:tc>
        <w:tc>
          <w:tcPr>
            <w:tcW w:w="382" w:type="pct"/>
            <w:gridSpan w:val="2"/>
            <w:vAlign w:val="center"/>
          </w:tcPr>
          <w:p>
            <w:pPr>
              <w:pStyle w:val="135"/>
              <w:rPr>
                <w:color w:val="000000" w:themeColor="text1"/>
                <w14:textFill>
                  <w14:solidFill>
                    <w14:schemeClr w14:val="tx1"/>
                  </w14:solidFill>
                </w14:textFill>
              </w:rPr>
            </w:pPr>
          </w:p>
        </w:tc>
        <w:tc>
          <w:tcPr>
            <w:tcW w:w="434" w:type="pct"/>
            <w:vAlign w:val="center"/>
          </w:tcPr>
          <w:p>
            <w:pPr>
              <w:pStyle w:val="135"/>
              <w:rPr>
                <w:color w:val="000000" w:themeColor="text1"/>
                <w14:textFill>
                  <w14:solidFill>
                    <w14:schemeClr w14:val="tx1"/>
                  </w14:solidFill>
                </w14:textFill>
              </w:rPr>
            </w:pPr>
          </w:p>
        </w:tc>
        <w:tc>
          <w:tcPr>
            <w:tcW w:w="584" w:type="pct"/>
          </w:tcPr>
          <w:p>
            <w:pPr>
              <w:pStyle w:val="13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vAlign w:val="center"/>
          </w:tcPr>
          <w:p>
            <w:pPr>
              <w:adjustRightInd w:val="0"/>
              <w:jc w:val="center"/>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2.1</w:t>
            </w:r>
          </w:p>
        </w:tc>
        <w:tc>
          <w:tcPr>
            <w:tcW w:w="1149" w:type="pct"/>
            <w:vAlign w:val="center"/>
          </w:tcPr>
          <w:p>
            <w:pPr>
              <w:rPr>
                <w:color w:val="000000" w:themeColor="text1"/>
                <w:szCs w:val="21"/>
                <w14:textFill>
                  <w14:solidFill>
                    <w14:schemeClr w14:val="tx1"/>
                  </w14:solidFill>
                </w14:textFill>
              </w:rPr>
            </w:pPr>
            <w:r>
              <w:rPr>
                <w:rStyle w:val="49"/>
                <w:rFonts w:hint="eastAsia"/>
                <w:color w:val="000000" w:themeColor="text1"/>
                <w:szCs w:val="21"/>
                <w14:textFill>
                  <w14:solidFill>
                    <w14:schemeClr w14:val="tx1"/>
                  </w14:solidFill>
                </w14:textFill>
              </w:rPr>
              <w:t>开关站交流配电屏</w:t>
            </w:r>
          </w:p>
        </w:tc>
        <w:tc>
          <w:tcPr>
            <w:tcW w:w="585"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40" w:type="pct"/>
          </w:tcPr>
          <w:p>
            <w:pPr>
              <w:pStyle w:val="29"/>
              <w:tabs>
                <w:tab w:val="left" w:pos="360"/>
                <w:tab w:val="left" w:pos="840"/>
                <w:tab w:val="right" w:leader="dot" w:pos="8640"/>
              </w:tabs>
              <w:spacing w:before="120" w:after="120"/>
              <w:ind w:left="1006" w:right="420"/>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面</w:t>
            </w:r>
          </w:p>
        </w:tc>
        <w:tc>
          <w:tcPr>
            <w:tcW w:w="416"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382" w:type="pct"/>
            <w:gridSpan w:val="2"/>
            <w:vAlign w:val="center"/>
          </w:tcPr>
          <w:p>
            <w:pPr>
              <w:pStyle w:val="135"/>
              <w:rPr>
                <w:color w:val="000000" w:themeColor="text1"/>
                <w14:textFill>
                  <w14:solidFill>
                    <w14:schemeClr w14:val="tx1"/>
                  </w14:solidFill>
                </w14:textFill>
              </w:rPr>
            </w:pPr>
          </w:p>
        </w:tc>
        <w:tc>
          <w:tcPr>
            <w:tcW w:w="434" w:type="pct"/>
            <w:vAlign w:val="center"/>
          </w:tcPr>
          <w:p>
            <w:pPr>
              <w:pStyle w:val="135"/>
              <w:rPr>
                <w:color w:val="000000" w:themeColor="text1"/>
                <w14:textFill>
                  <w14:solidFill>
                    <w14:schemeClr w14:val="tx1"/>
                  </w14:solidFill>
                </w14:textFill>
              </w:rPr>
            </w:pPr>
          </w:p>
        </w:tc>
        <w:tc>
          <w:tcPr>
            <w:tcW w:w="584" w:type="pct"/>
          </w:tcPr>
          <w:p>
            <w:pPr>
              <w:pStyle w:val="13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578" w:type="pct"/>
          </w:tcPr>
          <w:p>
            <w:pPr>
              <w:tabs>
                <w:tab w:val="left" w:pos="7038"/>
                <w:tab w:val="left" w:pos="8718"/>
              </w:tabs>
              <w:adjustRightInd w:val="0"/>
              <w:snapToGrid w:val="0"/>
              <w:jc w:val="center"/>
              <w:textAlignment w:val="baseline"/>
              <w:rPr>
                <w:color w:val="000000" w:themeColor="text1"/>
                <w:szCs w:val="21"/>
                <w:lang w:val="en-GB"/>
                <w14:textFill>
                  <w14:solidFill>
                    <w14:schemeClr w14:val="tx1"/>
                  </w14:solidFill>
                </w14:textFill>
              </w:rPr>
            </w:pPr>
            <w:r>
              <w:rPr>
                <w:rFonts w:ascii="Arial" w:hAnsi="Arial" w:cs="Arial"/>
                <w:color w:val="000000" w:themeColor="text1"/>
                <w:szCs w:val="21"/>
                <w14:textFill>
                  <w14:solidFill>
                    <w14:schemeClr w14:val="tx1"/>
                  </w14:solidFill>
                </w14:textFill>
              </w:rPr>
              <w:t>…</w:t>
            </w:r>
          </w:p>
        </w:tc>
        <w:tc>
          <w:tcPr>
            <w:tcW w:w="1149" w:type="pct"/>
          </w:tcPr>
          <w:p>
            <w:pPr>
              <w:tabs>
                <w:tab w:val="left" w:pos="7038"/>
                <w:tab w:val="left" w:pos="8718"/>
              </w:tabs>
              <w:jc w:val="center"/>
              <w:rPr>
                <w:rFonts w:ascii="Arial" w:hAnsi="Arial" w:cs="Arial"/>
                <w:color w:val="000000" w:themeColor="text1"/>
                <w:szCs w:val="21"/>
                <w:lang w:val="en-GB"/>
                <w14:textFill>
                  <w14:solidFill>
                    <w14:schemeClr w14:val="tx1"/>
                  </w14:solidFill>
                </w14:textFill>
              </w:rPr>
            </w:pPr>
            <w:r>
              <w:rPr>
                <w:rFonts w:ascii="Arial" w:hAnsi="Arial" w:cs="Arial"/>
                <w:color w:val="000000" w:themeColor="text1"/>
                <w:szCs w:val="21"/>
                <w:lang w:val="en-GB"/>
                <w14:textFill>
                  <w14:solidFill>
                    <w14:schemeClr w14:val="tx1"/>
                  </w14:solidFill>
                </w14:textFill>
              </w:rPr>
              <w:t>…</w:t>
            </w:r>
          </w:p>
        </w:tc>
        <w:tc>
          <w:tcPr>
            <w:tcW w:w="585" w:type="pct"/>
          </w:tcPr>
          <w:p>
            <w:pPr>
              <w:pStyle w:val="135"/>
              <w:rPr>
                <w:color w:val="000000" w:themeColor="text1"/>
                <w14:textFill>
                  <w14:solidFill>
                    <w14:schemeClr w14:val="tx1"/>
                  </w14:solidFill>
                </w14:textFill>
              </w:rPr>
            </w:pPr>
          </w:p>
        </w:tc>
        <w:tc>
          <w:tcPr>
            <w:tcW w:w="440" w:type="pct"/>
          </w:tcPr>
          <w:p>
            <w:pPr>
              <w:pStyle w:val="135"/>
              <w:rPr>
                <w:color w:val="000000" w:themeColor="text1"/>
                <w14:textFill>
                  <w14:solidFill>
                    <w14:schemeClr w14:val="tx1"/>
                  </w14:solidFill>
                </w14:textFill>
              </w:rPr>
            </w:pPr>
          </w:p>
        </w:tc>
        <w:tc>
          <w:tcPr>
            <w:tcW w:w="427" w:type="pct"/>
            <w:vAlign w:val="center"/>
          </w:tcPr>
          <w:p>
            <w:pPr>
              <w:jc w:val="center"/>
              <w:rPr>
                <w:color w:val="000000" w:themeColor="text1"/>
                <w:szCs w:val="21"/>
                <w14:textFill>
                  <w14:solidFill>
                    <w14:schemeClr w14:val="tx1"/>
                  </w14:solidFill>
                </w14:textFill>
              </w:rPr>
            </w:pPr>
          </w:p>
        </w:tc>
        <w:tc>
          <w:tcPr>
            <w:tcW w:w="416" w:type="pct"/>
            <w:vAlign w:val="center"/>
          </w:tcPr>
          <w:p>
            <w:pPr>
              <w:jc w:val="center"/>
              <w:rPr>
                <w:color w:val="000000" w:themeColor="text1"/>
                <w:szCs w:val="21"/>
                <w14:textFill>
                  <w14:solidFill>
                    <w14:schemeClr w14:val="tx1"/>
                  </w14:solidFill>
                </w14:textFill>
              </w:rPr>
            </w:pPr>
          </w:p>
        </w:tc>
        <w:tc>
          <w:tcPr>
            <w:tcW w:w="382" w:type="pct"/>
            <w:gridSpan w:val="2"/>
            <w:vAlign w:val="center"/>
          </w:tcPr>
          <w:p>
            <w:pPr>
              <w:pStyle w:val="135"/>
              <w:rPr>
                <w:color w:val="000000" w:themeColor="text1"/>
                <w14:textFill>
                  <w14:solidFill>
                    <w14:schemeClr w14:val="tx1"/>
                  </w14:solidFill>
                </w14:textFill>
              </w:rPr>
            </w:pPr>
          </w:p>
        </w:tc>
        <w:tc>
          <w:tcPr>
            <w:tcW w:w="434" w:type="pct"/>
            <w:vAlign w:val="center"/>
          </w:tcPr>
          <w:p>
            <w:pPr>
              <w:pStyle w:val="135"/>
              <w:rPr>
                <w:color w:val="000000" w:themeColor="text1"/>
                <w14:textFill>
                  <w14:solidFill>
                    <w14:schemeClr w14:val="tx1"/>
                  </w14:solidFill>
                </w14:textFill>
              </w:rPr>
            </w:pPr>
          </w:p>
        </w:tc>
        <w:tc>
          <w:tcPr>
            <w:tcW w:w="584" w:type="pct"/>
          </w:tcPr>
          <w:p>
            <w:pPr>
              <w:pStyle w:val="135"/>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0" w:type="dxa"/>
          </w:tblCellMar>
        </w:tblPrEx>
        <w:trPr>
          <w:cantSplit/>
          <w:trHeight w:val="65" w:hRule="atLeast"/>
          <w:jc w:val="center"/>
        </w:trPr>
        <w:tc>
          <w:tcPr>
            <w:tcW w:w="3606" w:type="pct"/>
            <w:gridSpan w:val="7"/>
          </w:tcPr>
          <w:p>
            <w:pPr>
              <w:pStyle w:val="135"/>
              <w:rPr>
                <w:b/>
                <w:color w:val="000000" w:themeColor="text1"/>
                <w14:textFill>
                  <w14:solidFill>
                    <w14:schemeClr w14:val="tx1"/>
                  </w14:solidFill>
                </w14:textFill>
              </w:rPr>
            </w:pPr>
            <w:r>
              <w:rPr>
                <w:rFonts w:hint="eastAsia" w:ascii="宋体" w:hAnsi="宋体" w:cs="宋体"/>
                <w:szCs w:val="21"/>
              </w:rPr>
              <w:t>合计</w:t>
            </w:r>
          </w:p>
        </w:tc>
        <w:tc>
          <w:tcPr>
            <w:tcW w:w="1393" w:type="pct"/>
            <w:gridSpan w:val="3"/>
          </w:tcPr>
          <w:p>
            <w:pPr>
              <w:pStyle w:val="135"/>
              <w:rPr>
                <w:b/>
                <w:color w:val="000000" w:themeColor="text1"/>
                <w14:textFill>
                  <w14:solidFill>
                    <w14:schemeClr w14:val="tx1"/>
                  </w14:solidFill>
                </w14:textFill>
              </w:rPr>
            </w:pPr>
          </w:p>
        </w:tc>
      </w:tr>
    </w:tbl>
    <w:p>
      <w:pPr>
        <w:adjustRightInd w:val="0"/>
        <w:snapToGrid w:val="0"/>
        <w:spacing w:line="360" w:lineRule="auto"/>
        <w:rPr>
          <w:rFonts w:ascii="Times New Roman" w:hAnsi="Times New Roman" w:cs="Times New Roman"/>
          <w:szCs w:val="21"/>
          <w:lang w:eastAsia="zh-CN"/>
        </w:rPr>
      </w:pPr>
    </w:p>
    <w:p>
      <w:pPr>
        <w:adjustRightInd w:val="0"/>
        <w:snapToGrid w:val="0"/>
        <w:spacing w:line="360" w:lineRule="auto"/>
        <w:rPr>
          <w:szCs w:val="21"/>
          <w:lang w:eastAsia="zh-CN"/>
        </w:rPr>
      </w:pPr>
      <w:r>
        <w:rPr>
          <w:rFonts w:hint="eastAsia"/>
          <w:szCs w:val="21"/>
          <w:lang w:eastAsia="zh-CN"/>
        </w:rPr>
        <w:t>1.报价人应在该表中应详细列明本项目所包含的全部部件；未列项目或数量缺漏的，均已视为包含在合同总价中；</w:t>
      </w:r>
    </w:p>
    <w:p>
      <w:pPr>
        <w:adjustRightInd w:val="0"/>
        <w:snapToGrid w:val="0"/>
        <w:spacing w:line="360" w:lineRule="auto"/>
        <w:rPr>
          <w:szCs w:val="21"/>
          <w:lang w:eastAsia="zh-CN"/>
        </w:rPr>
      </w:pPr>
      <w:r>
        <w:rPr>
          <w:rFonts w:hint="eastAsia"/>
          <w:szCs w:val="21"/>
          <w:lang w:eastAsia="zh-CN"/>
        </w:rPr>
        <w:t>2.表中单价是指设备运至工程工地现场买方指定地点的全费用价格;</w:t>
      </w:r>
    </w:p>
    <w:p>
      <w:pPr>
        <w:adjustRightInd w:val="0"/>
        <w:snapToGrid w:val="0"/>
        <w:spacing w:line="360" w:lineRule="auto"/>
        <w:rPr>
          <w:szCs w:val="21"/>
          <w:lang w:eastAsia="zh-CN"/>
        </w:rPr>
      </w:pPr>
      <w:r>
        <w:rPr>
          <w:rFonts w:hint="eastAsia"/>
          <w:szCs w:val="21"/>
          <w:lang w:eastAsia="zh-CN"/>
        </w:rPr>
        <w:t>3.表中没有专门提及的、但对一套完整的性能优良的合同设备必不可少的或对改善合同设备运行品质所必需的设备及元器件亦应包含在合同设备供货范围内，报价人仍应全部、完整的提供，其价格均视为包含在合同总价中；</w:t>
      </w:r>
    </w:p>
    <w:p>
      <w:pPr>
        <w:adjustRightInd w:val="0"/>
        <w:snapToGrid w:val="0"/>
        <w:spacing w:line="360" w:lineRule="auto"/>
        <w:rPr>
          <w:szCs w:val="21"/>
          <w:lang w:eastAsia="zh-CN"/>
        </w:rPr>
      </w:pPr>
      <w:r>
        <w:rPr>
          <w:rFonts w:hint="eastAsia"/>
          <w:szCs w:val="21"/>
          <w:lang w:eastAsia="zh-CN"/>
        </w:rPr>
        <w:t>4.表中合计金额应与报价报价汇总表中“</w:t>
      </w:r>
      <w:r>
        <w:rPr>
          <w:rStyle w:val="46"/>
          <w:b/>
          <w:color w:val="000000" w:themeColor="text1"/>
          <w:szCs w:val="21"/>
          <w:lang w:eastAsia="zh-CN"/>
          <w14:textFill>
            <w14:solidFill>
              <w14:schemeClr w14:val="tx1"/>
            </w14:solidFill>
          </w14:textFill>
        </w:rPr>
        <w:t>220V直流电源系统</w:t>
      </w:r>
      <w:r>
        <w:rPr>
          <w:rFonts w:hint="eastAsia"/>
          <w:szCs w:val="21"/>
          <w:lang w:eastAsia="zh-CN"/>
        </w:rPr>
        <w:t>”</w:t>
      </w:r>
      <w:r>
        <w:rPr>
          <w:rFonts w:hint="eastAsia"/>
          <w:lang w:eastAsia="zh-CN"/>
        </w:rPr>
        <w:t>的</w:t>
      </w:r>
      <w:r>
        <w:rPr>
          <w:rFonts w:hint="eastAsia"/>
          <w:szCs w:val="21"/>
          <w:lang w:eastAsia="zh-CN"/>
        </w:rPr>
        <w:t>单价一致。</w:t>
      </w:r>
    </w:p>
    <w:p>
      <w:pPr>
        <w:rPr>
          <w:rFonts w:ascii="Times New Roman" w:hAnsi="Times New Roman" w:cs="Times New Roman"/>
          <w:szCs w:val="21"/>
          <w:lang w:eastAsia="zh-CN"/>
        </w:rPr>
      </w:pPr>
    </w:p>
    <w:p>
      <w:pPr>
        <w:rPr>
          <w:rFonts w:ascii="Times New Roman" w:hAnsi="Times New Roman" w:cs="Times New Roman"/>
          <w:lang w:eastAsia="zh-CN"/>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bookmarkStart w:id="765" w:name="_Toc52097546"/>
      <w:bookmarkEnd w:id="765"/>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both"/>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_GB2312" w:eastAsia="仿宋_GB2312" w:cs="Calibri"/>
          <w:b/>
          <w:color w:val="000000" w:themeColor="text1"/>
          <w:sz w:val="24"/>
          <w:szCs w:val="24"/>
          <w:lang w:eastAsia="zh-CN"/>
          <w14:textFill>
            <w14:solidFill>
              <w14:schemeClr w14:val="tx1"/>
            </w14:solidFill>
          </w14:textFill>
        </w:rPr>
      </w:pPr>
    </w:p>
    <w:p>
      <w:pPr>
        <w:widowControl/>
        <w:jc w:val="center"/>
        <w:rPr>
          <w:rFonts w:ascii="仿宋" w:hAnsi="仿宋" w:eastAsia="仿宋"/>
          <w:b/>
          <w:color w:val="000000" w:themeColor="text1"/>
          <w:szCs w:val="21"/>
          <w:lang w:eastAsia="zh-CN"/>
          <w14:textFill>
            <w14:solidFill>
              <w14:schemeClr w14:val="tx1"/>
            </w14:solidFill>
          </w14:textFill>
        </w:rPr>
      </w:pPr>
      <w:bookmarkStart w:id="766" w:name="_Toc22442"/>
      <w:bookmarkStart w:id="767" w:name="_Toc900"/>
      <w:bookmarkStart w:id="768" w:name="_Toc19927"/>
      <w:r>
        <w:rPr>
          <w:rStyle w:val="70"/>
          <w:b/>
          <w:lang w:eastAsia="zh-CN"/>
        </w:rPr>
        <w:t xml:space="preserve">三、备品备件分项报价表  </w:t>
      </w:r>
      <w:r>
        <w:rPr>
          <w:rStyle w:val="70"/>
          <w:bCs/>
          <w:lang w:eastAsia="zh-CN"/>
        </w:rPr>
        <w:t xml:space="preserve"> </w:t>
      </w:r>
      <w:bookmarkEnd w:id="766"/>
      <w:bookmarkEnd w:id="767"/>
      <w:bookmarkEnd w:id="768"/>
      <w:r>
        <w:rPr>
          <w:rFonts w:hint="eastAsia" w:ascii="仿宋" w:hAnsi="仿宋" w:eastAsia="仿宋"/>
          <w:b/>
          <w:color w:val="000000" w:themeColor="text1"/>
          <w:szCs w:val="21"/>
          <w:lang w:eastAsia="zh-CN"/>
          <w14:textFill>
            <w14:solidFill>
              <w14:schemeClr w14:val="tx1"/>
            </w14:solidFill>
          </w14:textFill>
        </w:rPr>
        <w:t xml:space="preserve">                                                                 </w:t>
      </w:r>
    </w:p>
    <w:p>
      <w:pPr>
        <w:widowControl/>
        <w:jc w:val="center"/>
        <w:rPr>
          <w:rFonts w:ascii="仿宋" w:hAnsi="仿宋" w:eastAsia="仿宋"/>
          <w:b/>
          <w:color w:val="000000" w:themeColor="text1"/>
          <w:szCs w:val="21"/>
          <w:lang w:eastAsia="zh-CN"/>
          <w14:textFill>
            <w14:solidFill>
              <w14:schemeClr w14:val="tx1"/>
            </w14:solidFill>
          </w14:textFill>
        </w:rPr>
      </w:pPr>
    </w:p>
    <w:p>
      <w:pPr>
        <w:widowControl/>
        <w:jc w:val="center"/>
        <w:rPr>
          <w:rFonts w:ascii="Arial" w:hAnsi="Arial" w:eastAsia="黑体" w:cs="Arial"/>
          <w:b/>
          <w:color w:val="000000" w:themeColor="text1"/>
          <w:szCs w:val="21"/>
          <w14:textFill>
            <w14:solidFill>
              <w14:schemeClr w14:val="tx1"/>
            </w14:solidFill>
          </w14:textFill>
        </w:rPr>
      </w:pPr>
      <w:r>
        <w:rPr>
          <w:rFonts w:hint="eastAsia" w:ascii="仿宋" w:hAnsi="仿宋" w:eastAsia="仿宋"/>
          <w:b/>
          <w:color w:val="000000" w:themeColor="text1"/>
          <w:szCs w:val="21"/>
          <w:lang w:eastAsia="zh-CN"/>
          <w14:textFill>
            <w14:solidFill>
              <w14:schemeClr w14:val="tx1"/>
            </w14:solidFill>
          </w14:textFill>
        </w:rPr>
        <w:t xml:space="preserve">                                                            </w:t>
      </w:r>
      <w:r>
        <w:rPr>
          <w:rStyle w:val="70"/>
          <w:rFonts w:ascii="仿宋" w:hAnsi="仿宋" w:eastAsia="仿宋"/>
          <w:b/>
          <w:color w:val="000000" w:themeColor="text1"/>
          <w:szCs w:val="21"/>
          <w:lang w:eastAsia="zh-CN"/>
          <w14:textFill>
            <w14:solidFill>
              <w14:schemeClr w14:val="tx1"/>
            </w14:solidFill>
          </w14:textFill>
        </w:rPr>
        <w:t xml:space="preserve"> </w:t>
      </w:r>
      <w:r>
        <w:rPr>
          <w:rStyle w:val="70"/>
          <w:rFonts w:hint="eastAsia" w:ascii="黑体" w:hAnsi="黑体" w:eastAsia="黑体" w:cs="黑体"/>
          <w:b/>
          <w:color w:val="000000" w:themeColor="text1"/>
          <w:sz w:val="30"/>
          <w:szCs w:val="30"/>
          <w14:textFill>
            <w14:solidFill>
              <w14:schemeClr w14:val="tx1"/>
            </w14:solidFill>
          </w14:textFill>
        </w:rPr>
        <w:t>（单位：元）</w:t>
      </w:r>
    </w:p>
    <w:tbl>
      <w:tblPr>
        <w:tblStyle w:val="44"/>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115"/>
        <w:gridCol w:w="1359"/>
        <w:gridCol w:w="890"/>
        <w:gridCol w:w="420"/>
        <w:gridCol w:w="826"/>
        <w:gridCol w:w="910"/>
        <w:gridCol w:w="910"/>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1" w:hRule="atLeast"/>
          <w:tblHeader/>
          <w:jc w:val="center"/>
        </w:trPr>
        <w:tc>
          <w:tcPr>
            <w:tcW w:w="556" w:type="dxa"/>
            <w:vAlign w:val="center"/>
          </w:tcPr>
          <w:p>
            <w:pPr>
              <w:tabs>
                <w:tab w:val="left" w:pos="7038"/>
                <w:tab w:val="left" w:pos="8718"/>
              </w:tabs>
              <w:adjustRightInd w:val="0"/>
              <w:snapToGrid w:val="0"/>
              <w:jc w:val="center"/>
              <w:rPr>
                <w:color w:val="000000" w:themeColor="text1"/>
                <w:sz w:val="21"/>
                <w:szCs w:val="21"/>
                <w:lang w:val="en-GB"/>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序号</w:t>
            </w:r>
          </w:p>
        </w:tc>
        <w:tc>
          <w:tcPr>
            <w:tcW w:w="2115" w:type="dxa"/>
            <w:vAlign w:val="center"/>
          </w:tcPr>
          <w:p>
            <w:pPr>
              <w:tabs>
                <w:tab w:val="left" w:pos="7038"/>
                <w:tab w:val="left" w:pos="8718"/>
              </w:tabs>
              <w:adjustRightInd w:val="0"/>
              <w:snapToGrid w:val="0"/>
              <w:jc w:val="center"/>
              <w:rPr>
                <w:color w:val="000000" w:themeColor="text1"/>
                <w:sz w:val="21"/>
                <w:szCs w:val="21"/>
                <w14:textFill>
                  <w14:solidFill>
                    <w14:schemeClr w14:val="tx1"/>
                  </w14:solidFill>
                </w14:textFill>
              </w:rPr>
            </w:pPr>
            <w:r>
              <w:rPr>
                <w:rFonts w:ascii="仿宋" w:hAnsi="仿宋" w:eastAsia="仿宋"/>
                <w:color w:val="000000" w:themeColor="text1"/>
                <w:sz w:val="21"/>
                <w:szCs w:val="21"/>
                <w14:textFill>
                  <w14:solidFill>
                    <w14:schemeClr w14:val="tx1"/>
                  </w14:solidFill>
                </w14:textFill>
              </w:rPr>
              <w:t>名称</w:t>
            </w:r>
          </w:p>
        </w:tc>
        <w:tc>
          <w:tcPr>
            <w:tcW w:w="1359" w:type="dxa"/>
          </w:tcPr>
          <w:p>
            <w:pPr>
              <w:tabs>
                <w:tab w:val="left" w:pos="7038"/>
                <w:tab w:val="left" w:pos="8718"/>
              </w:tabs>
              <w:adjustRightInd w:val="0"/>
              <w:snapToGrid w:val="0"/>
              <w:jc w:val="center"/>
              <w:rPr>
                <w:rFonts w:ascii="仿宋" w:hAnsi="仿宋" w:eastAsia="仿宋"/>
                <w:color w:val="000000" w:themeColor="text1"/>
                <w:sz w:val="21"/>
                <w:szCs w:val="21"/>
                <w14:textFill>
                  <w14:solidFill>
                    <w14:schemeClr w14:val="tx1"/>
                  </w14:solidFill>
                </w14:textFill>
              </w:rPr>
            </w:pPr>
          </w:p>
          <w:p>
            <w:pPr>
              <w:tabs>
                <w:tab w:val="left" w:pos="7038"/>
                <w:tab w:val="left" w:pos="8718"/>
              </w:tabs>
              <w:adjustRightInd w:val="0"/>
              <w:snapToGrid w:val="0"/>
              <w:jc w:val="center"/>
              <w:rPr>
                <w:rFonts w:ascii="仿宋" w:hAnsi="仿宋" w:eastAsia="仿宋"/>
                <w:color w:val="000000" w:themeColor="text1"/>
                <w:sz w:val="21"/>
                <w:szCs w:val="21"/>
                <w14:textFill>
                  <w14:solidFill>
                    <w14:schemeClr w14:val="tx1"/>
                  </w14:solidFill>
                </w14:textFill>
              </w:rPr>
            </w:pPr>
          </w:p>
          <w:p>
            <w:pPr>
              <w:tabs>
                <w:tab w:val="left" w:pos="7038"/>
                <w:tab w:val="left" w:pos="8718"/>
              </w:tabs>
              <w:adjustRightInd w:val="0"/>
              <w:snapToGrid w:val="0"/>
              <w:jc w:val="both"/>
              <w:rPr>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规格型号</w:t>
            </w:r>
          </w:p>
        </w:tc>
        <w:tc>
          <w:tcPr>
            <w:tcW w:w="890" w:type="dxa"/>
            <w:vAlign w:val="center"/>
          </w:tcPr>
          <w:p>
            <w:pPr>
              <w:tabs>
                <w:tab w:val="left" w:pos="7038"/>
                <w:tab w:val="left" w:pos="8718"/>
              </w:tabs>
              <w:adjustRightInd w:val="0"/>
              <w:snapToGrid w:val="0"/>
              <w:jc w:val="center"/>
              <w:rPr>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品牌</w:t>
            </w:r>
            <w:r>
              <w:rPr>
                <w:rFonts w:ascii="仿宋" w:hAnsi="仿宋" w:eastAsia="仿宋"/>
                <w:color w:val="000000" w:themeColor="text1"/>
                <w:sz w:val="21"/>
                <w:szCs w:val="21"/>
                <w14:textFill>
                  <w14:solidFill>
                    <w14:schemeClr w14:val="tx1"/>
                  </w14:solidFill>
                </w14:textFill>
              </w:rPr>
              <w:t>/产地</w:t>
            </w:r>
          </w:p>
        </w:tc>
        <w:tc>
          <w:tcPr>
            <w:tcW w:w="420" w:type="dxa"/>
            <w:vAlign w:val="center"/>
          </w:tcPr>
          <w:p>
            <w:pPr>
              <w:tabs>
                <w:tab w:val="left" w:pos="7038"/>
                <w:tab w:val="left" w:pos="8718"/>
              </w:tabs>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单</w:t>
            </w:r>
          </w:p>
          <w:p>
            <w:pPr>
              <w:tabs>
                <w:tab w:val="left" w:pos="7038"/>
                <w:tab w:val="left" w:pos="8718"/>
              </w:tabs>
              <w:adjustRightInd w:val="0"/>
              <w:snapToGrid w:val="0"/>
              <w:jc w:val="center"/>
              <w:rPr>
                <w:color w:val="000000" w:themeColor="text1"/>
                <w:sz w:val="21"/>
                <w:szCs w:val="21"/>
                <w14:textFill>
                  <w14:solidFill>
                    <w14:schemeClr w14:val="tx1"/>
                  </w14:solidFill>
                </w14:textFill>
              </w:rPr>
            </w:pPr>
          </w:p>
          <w:p>
            <w:pPr>
              <w:tabs>
                <w:tab w:val="left" w:pos="7038"/>
                <w:tab w:val="left" w:pos="8718"/>
              </w:tabs>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位</w:t>
            </w:r>
          </w:p>
        </w:tc>
        <w:tc>
          <w:tcPr>
            <w:tcW w:w="826" w:type="dxa"/>
            <w:vAlign w:val="center"/>
          </w:tcPr>
          <w:p>
            <w:pPr>
              <w:tabs>
                <w:tab w:val="left" w:pos="7038"/>
                <w:tab w:val="left" w:pos="8718"/>
              </w:tabs>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数</w:t>
            </w:r>
          </w:p>
          <w:p>
            <w:pPr>
              <w:tabs>
                <w:tab w:val="left" w:pos="7038"/>
                <w:tab w:val="left" w:pos="8718"/>
              </w:tabs>
              <w:adjustRightInd w:val="0"/>
              <w:snapToGrid w:val="0"/>
              <w:jc w:val="center"/>
              <w:rPr>
                <w:color w:val="000000" w:themeColor="text1"/>
                <w:sz w:val="21"/>
                <w:szCs w:val="21"/>
                <w14:textFill>
                  <w14:solidFill>
                    <w14:schemeClr w14:val="tx1"/>
                  </w14:solidFill>
                </w14:textFill>
              </w:rPr>
            </w:pPr>
          </w:p>
          <w:p>
            <w:pPr>
              <w:tabs>
                <w:tab w:val="left" w:pos="7038"/>
                <w:tab w:val="left" w:pos="8718"/>
              </w:tabs>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量</w:t>
            </w:r>
          </w:p>
        </w:tc>
        <w:tc>
          <w:tcPr>
            <w:tcW w:w="910" w:type="dxa"/>
            <w:vAlign w:val="center"/>
          </w:tcPr>
          <w:p>
            <w:pPr>
              <w:tabs>
                <w:tab w:val="left" w:pos="7038"/>
                <w:tab w:val="left" w:pos="8718"/>
              </w:tabs>
              <w:adjustRightInd w:val="0"/>
              <w:snapToGrid w:val="0"/>
              <w:jc w:val="center"/>
              <w:rPr>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单</w:t>
            </w:r>
            <w:r>
              <w:rPr>
                <w:rFonts w:ascii="仿宋" w:hAnsi="仿宋" w:eastAsia="仿宋"/>
                <w:color w:val="000000" w:themeColor="text1"/>
                <w:sz w:val="21"/>
                <w:szCs w:val="21"/>
                <w14:textFill>
                  <w14:solidFill>
                    <w14:schemeClr w14:val="tx1"/>
                  </w14:solidFill>
                </w14:textFill>
              </w:rPr>
              <w:t>价</w:t>
            </w:r>
          </w:p>
        </w:tc>
        <w:tc>
          <w:tcPr>
            <w:tcW w:w="910" w:type="dxa"/>
            <w:vAlign w:val="center"/>
          </w:tcPr>
          <w:p>
            <w:pPr>
              <w:tabs>
                <w:tab w:val="left" w:pos="7038"/>
                <w:tab w:val="left" w:pos="8718"/>
              </w:tabs>
              <w:adjustRightInd w:val="0"/>
              <w:snapToGrid w:val="0"/>
              <w:jc w:val="center"/>
              <w:rPr>
                <w:color w:val="000000" w:themeColor="text1"/>
                <w:sz w:val="21"/>
                <w:szCs w:val="21"/>
                <w14:textFill>
                  <w14:solidFill>
                    <w14:schemeClr w14:val="tx1"/>
                  </w14:solidFill>
                </w14:textFill>
              </w:rPr>
            </w:pPr>
            <w:r>
              <w:rPr>
                <w:rFonts w:hint="eastAsia" w:ascii="仿宋" w:hAnsi="仿宋" w:eastAsia="仿宋"/>
                <w:color w:val="000000" w:themeColor="text1"/>
                <w:sz w:val="21"/>
                <w:szCs w:val="21"/>
                <w:lang w:eastAsia="zh-CN"/>
                <w14:textFill>
                  <w14:solidFill>
                    <w14:schemeClr w14:val="tx1"/>
                  </w14:solidFill>
                </w14:textFill>
              </w:rPr>
              <w:t>合</w:t>
            </w:r>
            <w:r>
              <w:rPr>
                <w:rFonts w:ascii="仿宋" w:hAnsi="仿宋" w:eastAsia="仿宋"/>
                <w:color w:val="000000" w:themeColor="text1"/>
                <w:sz w:val="21"/>
                <w:szCs w:val="21"/>
                <w14:textFill>
                  <w14:solidFill>
                    <w14:schemeClr w14:val="tx1"/>
                  </w14:solidFill>
                </w14:textFill>
              </w:rPr>
              <w:t>价</w:t>
            </w:r>
          </w:p>
        </w:tc>
        <w:tc>
          <w:tcPr>
            <w:tcW w:w="648" w:type="dxa"/>
            <w:vAlign w:val="center"/>
          </w:tcPr>
          <w:p>
            <w:pPr>
              <w:tabs>
                <w:tab w:val="left" w:pos="7038"/>
                <w:tab w:val="left" w:pos="8718"/>
              </w:tabs>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w:t>
            </w:r>
          </w:p>
          <w:p>
            <w:pPr>
              <w:tabs>
                <w:tab w:val="left" w:pos="7038"/>
                <w:tab w:val="left" w:pos="8718"/>
              </w:tabs>
              <w:adjustRightInd w:val="0"/>
              <w:snapToGrid w:val="0"/>
              <w:jc w:val="center"/>
              <w:rPr>
                <w:color w:val="000000" w:themeColor="text1"/>
                <w:sz w:val="21"/>
                <w:szCs w:val="21"/>
                <w14:textFill>
                  <w14:solidFill>
                    <w14:schemeClr w14:val="tx1"/>
                  </w14:solidFill>
                </w14:textFill>
              </w:rPr>
            </w:pPr>
          </w:p>
          <w:p>
            <w:pPr>
              <w:tabs>
                <w:tab w:val="left" w:pos="7038"/>
                <w:tab w:val="left" w:pos="8718"/>
              </w:tabs>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1</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高频开关电源模块</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2</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信号灯</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3</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直流断路器 </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rFonts w:eastAsia="华文中宋"/>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各型各2</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4</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电流变送器</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5</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电压变送器</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6</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数字电压表</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7</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数字电流表</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8</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熔断器</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9</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逆变模块</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10</w:t>
            </w:r>
          </w:p>
        </w:tc>
        <w:tc>
          <w:tcPr>
            <w:tcW w:w="2115" w:type="dxa"/>
            <w:vAlign w:val="center"/>
          </w:tcPr>
          <w:p>
            <w:pPr>
              <w:widowControl/>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监控模块（7寸彩色触摸屏）</w:t>
            </w:r>
          </w:p>
        </w:tc>
        <w:tc>
          <w:tcPr>
            <w:tcW w:w="1359" w:type="dxa"/>
          </w:tcPr>
          <w:p>
            <w:pPr>
              <w:tabs>
                <w:tab w:val="left" w:pos="7038"/>
                <w:tab w:val="left" w:pos="8718"/>
              </w:tabs>
              <w:adjustRightInd w:val="0"/>
              <w:snapToGrid w:val="0"/>
              <w:rPr>
                <w:color w:val="000000" w:themeColor="text1"/>
                <w:sz w:val="21"/>
                <w:szCs w:val="21"/>
                <w:lang w:eastAsia="zh-CN"/>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lang w:eastAsia="zh-CN"/>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11</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直流配电监测单元</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12</w:t>
            </w:r>
          </w:p>
        </w:tc>
        <w:tc>
          <w:tcPr>
            <w:tcW w:w="2115" w:type="dxa"/>
            <w:vAlign w:val="center"/>
          </w:tcPr>
          <w:p>
            <w:pPr>
              <w:widowControl/>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交流配电监测单元</w:t>
            </w:r>
          </w:p>
        </w:tc>
        <w:tc>
          <w:tcPr>
            <w:tcW w:w="1359"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14:textFill>
                  <w14:solidFill>
                    <w14:schemeClr w14:val="tx1"/>
                  </w14:solidFill>
                </w14:textFill>
              </w:rPr>
              <w:t>13</w:t>
            </w:r>
          </w:p>
        </w:tc>
        <w:tc>
          <w:tcPr>
            <w:tcW w:w="2115" w:type="dxa"/>
            <w:vAlign w:val="center"/>
          </w:tcPr>
          <w:p>
            <w:pPr>
              <w:widowControl/>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通用配电监控模块单元</w:t>
            </w:r>
          </w:p>
        </w:tc>
        <w:tc>
          <w:tcPr>
            <w:tcW w:w="1359" w:type="dxa"/>
          </w:tcPr>
          <w:p>
            <w:pPr>
              <w:tabs>
                <w:tab w:val="left" w:pos="7038"/>
                <w:tab w:val="left" w:pos="8718"/>
              </w:tabs>
              <w:adjustRightInd w:val="0"/>
              <w:snapToGrid w:val="0"/>
              <w:rPr>
                <w:color w:val="000000" w:themeColor="text1"/>
                <w:sz w:val="21"/>
                <w:szCs w:val="21"/>
                <w:lang w:eastAsia="zh-CN"/>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lang w:eastAsia="zh-CN"/>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vAlign w:val="center"/>
          </w:tcPr>
          <w:p>
            <w:pPr>
              <w:tabs>
                <w:tab w:val="left" w:pos="360"/>
                <w:tab w:val="left" w:pos="7038"/>
                <w:tab w:val="left" w:pos="8718"/>
              </w:tabs>
              <w:snapToGrid w:val="0"/>
              <w:jc w:val="center"/>
              <w:rPr>
                <w:color w:val="000000" w:themeColor="text1"/>
                <w:sz w:val="21"/>
                <w:szCs w:val="21"/>
                <w:lang w:val="en-GB"/>
                <w14:textFill>
                  <w14:solidFill>
                    <w14:schemeClr w14:val="tx1"/>
                  </w14:solidFill>
                </w14:textFill>
              </w:rPr>
            </w:pPr>
            <w:r>
              <w:rPr>
                <w:rFonts w:hint="eastAsia"/>
                <w:color w:val="000000" w:themeColor="text1"/>
                <w:sz w:val="21"/>
                <w:szCs w:val="21"/>
                <w:lang w:val="en-GB" w:eastAsia="zh-CN"/>
                <w14:textFill>
                  <w14:solidFill>
                    <w14:schemeClr w14:val="tx1"/>
                  </w14:solidFill>
                </w14:textFill>
              </w:rPr>
              <w:t>14</w:t>
            </w:r>
          </w:p>
        </w:tc>
        <w:tc>
          <w:tcPr>
            <w:tcW w:w="2115" w:type="dxa"/>
            <w:vAlign w:val="center"/>
          </w:tcPr>
          <w:p>
            <w:pPr>
              <w:widowControl/>
              <w:rPr>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蓄电池（同本体）</w:t>
            </w:r>
          </w:p>
        </w:tc>
        <w:tc>
          <w:tcPr>
            <w:tcW w:w="1359" w:type="dxa"/>
          </w:tcPr>
          <w:p>
            <w:pPr>
              <w:tabs>
                <w:tab w:val="left" w:pos="7038"/>
                <w:tab w:val="left" w:pos="8718"/>
              </w:tabs>
              <w:adjustRightInd w:val="0"/>
              <w:snapToGrid w:val="0"/>
              <w:rPr>
                <w:color w:val="000000" w:themeColor="text1"/>
                <w:sz w:val="21"/>
                <w:szCs w:val="21"/>
                <w:lang w:eastAsia="zh-CN"/>
                <w14:textFill>
                  <w14:solidFill>
                    <w14:schemeClr w14:val="tx1"/>
                  </w14:solidFill>
                </w14:textFill>
              </w:rPr>
            </w:pPr>
          </w:p>
        </w:tc>
        <w:tc>
          <w:tcPr>
            <w:tcW w:w="890" w:type="dxa"/>
          </w:tcPr>
          <w:p>
            <w:pPr>
              <w:tabs>
                <w:tab w:val="left" w:pos="7038"/>
                <w:tab w:val="left" w:pos="8718"/>
              </w:tabs>
              <w:adjustRightInd w:val="0"/>
              <w:snapToGrid w:val="0"/>
              <w:rPr>
                <w:color w:val="000000" w:themeColor="text1"/>
                <w:sz w:val="21"/>
                <w:szCs w:val="21"/>
                <w:lang w:eastAsia="zh-CN"/>
                <w14:textFill>
                  <w14:solidFill>
                    <w14:schemeClr w14:val="tx1"/>
                  </w14:solidFill>
                </w14:textFill>
              </w:rPr>
            </w:pPr>
          </w:p>
        </w:tc>
        <w:tc>
          <w:tcPr>
            <w:tcW w:w="420"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只</w:t>
            </w:r>
          </w:p>
        </w:tc>
        <w:tc>
          <w:tcPr>
            <w:tcW w:w="826" w:type="dxa"/>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1</w:t>
            </w: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910" w:type="dxa"/>
          </w:tcPr>
          <w:p>
            <w:pPr>
              <w:tabs>
                <w:tab w:val="left" w:pos="7038"/>
                <w:tab w:val="left" w:pos="8718"/>
              </w:tabs>
              <w:adjustRightInd w:val="0"/>
              <w:snapToGrid w:val="0"/>
              <w:rPr>
                <w:color w:val="000000" w:themeColor="text1"/>
                <w:sz w:val="21"/>
                <w:szCs w:val="21"/>
                <w14:textFill>
                  <w14:solidFill>
                    <w14:schemeClr w14:val="tx1"/>
                  </w14:solidFill>
                </w14:textFill>
              </w:rPr>
            </w:pPr>
          </w:p>
        </w:tc>
        <w:tc>
          <w:tcPr>
            <w:tcW w:w="648" w:type="dxa"/>
          </w:tcPr>
          <w:p>
            <w:pPr>
              <w:tabs>
                <w:tab w:val="left" w:pos="7038"/>
                <w:tab w:val="left" w:pos="8718"/>
              </w:tabs>
              <w:adjustRightInd w:val="0"/>
              <w:snapToGrid w:val="0"/>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6" w:type="dxa"/>
            <w:gridSpan w:val="6"/>
            <w:vAlign w:val="center"/>
          </w:tcPr>
          <w:p>
            <w:pPr>
              <w:widowControl/>
              <w:jc w:val="cente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合计</w:t>
            </w:r>
          </w:p>
        </w:tc>
        <w:tc>
          <w:tcPr>
            <w:tcW w:w="2468" w:type="dxa"/>
            <w:gridSpan w:val="3"/>
          </w:tcPr>
          <w:p>
            <w:pPr>
              <w:tabs>
                <w:tab w:val="left" w:pos="7038"/>
                <w:tab w:val="left" w:pos="8718"/>
              </w:tabs>
              <w:adjustRightInd w:val="0"/>
              <w:snapToGrid w:val="0"/>
              <w:rPr>
                <w:color w:val="000000" w:themeColor="text1"/>
                <w:sz w:val="21"/>
                <w:szCs w:val="21"/>
                <w14:textFill>
                  <w14:solidFill>
                    <w14:schemeClr w14:val="tx1"/>
                  </w14:solidFill>
                </w14:textFill>
              </w:rPr>
            </w:pPr>
          </w:p>
        </w:tc>
      </w:tr>
    </w:tbl>
    <w:p>
      <w:pPr>
        <w:adjustRightInd w:val="0"/>
        <w:snapToGrid w:val="0"/>
        <w:spacing w:line="360" w:lineRule="auto"/>
        <w:rPr>
          <w:szCs w:val="21"/>
          <w:lang w:eastAsia="zh-CN"/>
        </w:rPr>
      </w:pPr>
      <w:r>
        <w:rPr>
          <w:rFonts w:hint="eastAsia"/>
          <w:szCs w:val="21"/>
          <w:lang w:eastAsia="zh-CN"/>
        </w:rPr>
        <w:t xml:space="preserve">注：1.此表中招标人规定的备品备件是必须提供的、不得删除； </w:t>
      </w:r>
    </w:p>
    <w:p>
      <w:pPr>
        <w:adjustRightInd w:val="0"/>
        <w:snapToGrid w:val="0"/>
        <w:spacing w:line="360" w:lineRule="auto"/>
        <w:rPr>
          <w:szCs w:val="21"/>
          <w:lang w:eastAsia="zh-CN"/>
        </w:rPr>
      </w:pPr>
      <w:r>
        <w:rPr>
          <w:rFonts w:hint="eastAsia"/>
          <w:szCs w:val="21"/>
          <w:lang w:eastAsia="zh-CN"/>
        </w:rPr>
        <w:t>2.招标人规定的及报价人推荐的备品备件的价格均计入本表的合计价格；</w:t>
      </w:r>
    </w:p>
    <w:p>
      <w:pPr>
        <w:adjustRightInd w:val="0"/>
        <w:snapToGrid w:val="0"/>
        <w:spacing w:line="360" w:lineRule="auto"/>
        <w:rPr>
          <w:szCs w:val="21"/>
          <w:lang w:eastAsia="zh-CN"/>
        </w:rPr>
      </w:pPr>
      <w:r>
        <w:rPr>
          <w:rFonts w:hint="eastAsia"/>
          <w:szCs w:val="21"/>
          <w:lang w:eastAsia="zh-CN"/>
        </w:rPr>
        <w:t>3.此表中合计金额应与报价报价汇总表中的“备品备件”的单价一致。</w:t>
      </w:r>
    </w:p>
    <w:p>
      <w:pPr>
        <w:pStyle w:val="173"/>
        <w:shd w:val="clear" w:color="auto" w:fill="auto"/>
        <w:spacing w:before="0" w:after="476" w:line="510" w:lineRule="exact"/>
        <w:jc w:val="center"/>
      </w:pPr>
    </w:p>
    <w:p>
      <w:pPr>
        <w:pStyle w:val="173"/>
        <w:shd w:val="clear" w:color="auto" w:fill="auto"/>
        <w:spacing w:before="0" w:after="476" w:line="510" w:lineRule="exact"/>
        <w:jc w:val="center"/>
      </w:pPr>
    </w:p>
    <w:p>
      <w:pPr>
        <w:pStyle w:val="173"/>
        <w:shd w:val="clear" w:color="auto" w:fill="auto"/>
        <w:spacing w:before="0" w:after="476" w:line="510" w:lineRule="exact"/>
        <w:jc w:val="center"/>
      </w:pPr>
    </w:p>
    <w:p>
      <w:pPr>
        <w:pStyle w:val="173"/>
        <w:shd w:val="clear" w:color="auto" w:fill="auto"/>
        <w:spacing w:before="0" w:after="476" w:line="510" w:lineRule="exact"/>
        <w:jc w:val="center"/>
      </w:pPr>
    </w:p>
    <w:p>
      <w:pPr>
        <w:pStyle w:val="5"/>
        <w:jc w:val="center"/>
        <w:rPr>
          <w:b/>
          <w:bCs/>
          <w:lang w:eastAsia="zh-CN"/>
        </w:rPr>
      </w:pPr>
      <w:bookmarkStart w:id="769" w:name="_Toc7821"/>
      <w:bookmarkStart w:id="770" w:name="_Toc5541"/>
      <w:bookmarkStart w:id="771" w:name="_Toc2446"/>
      <w:r>
        <w:rPr>
          <w:rFonts w:hint="eastAsia"/>
          <w:b/>
          <w:bCs/>
          <w:lang w:eastAsia="zh-CN"/>
        </w:rPr>
        <w:t>四、专用工具分项报价表</w:t>
      </w:r>
      <w:bookmarkEnd w:id="769"/>
      <w:bookmarkEnd w:id="770"/>
      <w:bookmarkEnd w:id="771"/>
      <w:bookmarkStart w:id="772" w:name="_Toc197748855"/>
      <w:bookmarkStart w:id="773" w:name="_Toc200358186"/>
    </w:p>
    <w:p>
      <w:pPr>
        <w:widowControl/>
        <w:jc w:val="right"/>
        <w:rPr>
          <w:rStyle w:val="70"/>
          <w:rFonts w:ascii="仿宋" w:hAnsi="仿宋" w:eastAsia="仿宋"/>
          <w:b/>
          <w:color w:val="000000" w:themeColor="text1"/>
          <w:sz w:val="24"/>
          <w:szCs w:val="24"/>
          <w14:textFill>
            <w14:solidFill>
              <w14:schemeClr w14:val="tx1"/>
            </w14:solidFill>
          </w14:textFill>
        </w:rPr>
      </w:pPr>
      <w:r>
        <w:rPr>
          <w:rStyle w:val="70"/>
          <w:rFonts w:hint="eastAsia" w:ascii="仿宋" w:hAnsi="仿宋" w:eastAsia="仿宋" w:cs="Arial"/>
          <w:b/>
          <w:color w:val="000000" w:themeColor="text1"/>
          <w:sz w:val="24"/>
          <w:szCs w:val="24"/>
          <w14:textFill>
            <w14:solidFill>
              <w14:schemeClr w14:val="tx1"/>
            </w14:solidFill>
          </w14:textFill>
        </w:rPr>
        <w:t>（单位：元）</w:t>
      </w:r>
    </w:p>
    <w:tbl>
      <w:tblPr>
        <w:tblStyle w:val="44"/>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22"/>
        <w:gridCol w:w="708"/>
        <w:gridCol w:w="822"/>
        <w:gridCol w:w="426"/>
        <w:gridCol w:w="687"/>
        <w:gridCol w:w="1268"/>
        <w:gridCol w:w="1163"/>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34" w:type="dxa"/>
            <w:vAlign w:val="center"/>
          </w:tcPr>
          <w:p>
            <w:pPr>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序号</w:t>
            </w:r>
          </w:p>
        </w:tc>
        <w:tc>
          <w:tcPr>
            <w:tcW w:w="2722" w:type="dxa"/>
            <w:vAlign w:val="center"/>
          </w:tcPr>
          <w:p>
            <w:pPr>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设备/组件名称</w:t>
            </w:r>
          </w:p>
        </w:tc>
        <w:tc>
          <w:tcPr>
            <w:tcW w:w="70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规格型号</w:t>
            </w:r>
          </w:p>
        </w:tc>
        <w:tc>
          <w:tcPr>
            <w:tcW w:w="822"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品牌</w:t>
            </w:r>
            <w:r>
              <w:rPr>
                <w:rFonts w:ascii="仿宋" w:hAnsi="仿宋" w:eastAsia="仿宋"/>
                <w:color w:val="000000" w:themeColor="text1"/>
                <w:szCs w:val="21"/>
                <w14:textFill>
                  <w14:solidFill>
                    <w14:schemeClr w14:val="tx1"/>
                  </w14:solidFill>
                </w14:textFill>
              </w:rPr>
              <w:t>/产地</w:t>
            </w:r>
          </w:p>
        </w:tc>
        <w:tc>
          <w:tcPr>
            <w:tcW w:w="426" w:type="dxa"/>
            <w:vAlign w:val="center"/>
          </w:tcPr>
          <w:p>
            <w:pPr>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单位</w:t>
            </w:r>
          </w:p>
        </w:tc>
        <w:tc>
          <w:tcPr>
            <w:tcW w:w="687" w:type="dxa"/>
            <w:vAlign w:val="center"/>
          </w:tcPr>
          <w:p>
            <w:pPr>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数量</w:t>
            </w:r>
          </w:p>
        </w:tc>
        <w:tc>
          <w:tcPr>
            <w:tcW w:w="126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单</w:t>
            </w:r>
            <w:r>
              <w:rPr>
                <w:rFonts w:ascii="仿宋" w:hAnsi="仿宋" w:eastAsia="仿宋"/>
                <w:color w:val="000000" w:themeColor="text1"/>
                <w:szCs w:val="21"/>
                <w14:textFill>
                  <w14:solidFill>
                    <w14:schemeClr w14:val="tx1"/>
                  </w14:solidFill>
                </w14:textFill>
              </w:rPr>
              <w:t>价</w:t>
            </w:r>
          </w:p>
        </w:tc>
        <w:tc>
          <w:tcPr>
            <w:tcW w:w="1163"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合</w:t>
            </w:r>
            <w:r>
              <w:rPr>
                <w:rFonts w:ascii="仿宋" w:hAnsi="仿宋" w:eastAsia="仿宋"/>
                <w:color w:val="000000" w:themeColor="text1"/>
                <w:szCs w:val="21"/>
                <w14:textFill>
                  <w14:solidFill>
                    <w14:schemeClr w14:val="tx1"/>
                  </w14:solidFill>
                </w14:textFill>
              </w:rPr>
              <w:t>价</w:t>
            </w:r>
          </w:p>
        </w:tc>
        <w:tc>
          <w:tcPr>
            <w:tcW w:w="79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534" w:type="dxa"/>
          </w:tcPr>
          <w:p>
            <w:pPr>
              <w:tabs>
                <w:tab w:val="left" w:pos="360"/>
                <w:tab w:val="left" w:pos="7038"/>
                <w:tab w:val="left" w:pos="8718"/>
              </w:tabs>
              <w:adjustRightInd w:val="0"/>
              <w:snapToGrid w:val="0"/>
              <w:spacing w:line="276" w:lineRule="auto"/>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722" w:type="dxa"/>
            <w:vAlign w:val="center"/>
          </w:tcPr>
          <w:p>
            <w:pPr>
              <w:widowControl/>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万用表</w:t>
            </w:r>
          </w:p>
        </w:tc>
        <w:tc>
          <w:tcPr>
            <w:tcW w:w="708"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822" w:type="dxa"/>
          </w:tcPr>
          <w:p>
            <w:pPr>
              <w:jc w:val="center"/>
              <w:rPr>
                <w:rFonts w:ascii="仿宋" w:hAnsi="仿宋" w:eastAsia="仿宋"/>
                <w:color w:val="000000" w:themeColor="text1"/>
                <w:szCs w:val="21"/>
                <w14:textFill>
                  <w14:solidFill>
                    <w14:schemeClr w14:val="tx1"/>
                  </w14:solidFill>
                </w14:textFill>
              </w:rPr>
            </w:pPr>
          </w:p>
        </w:tc>
        <w:tc>
          <w:tcPr>
            <w:tcW w:w="426" w:type="dxa"/>
            <w:vAlign w:val="center"/>
          </w:tcPr>
          <w:p>
            <w:pPr>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只</w:t>
            </w:r>
          </w:p>
        </w:tc>
        <w:tc>
          <w:tcPr>
            <w:tcW w:w="687" w:type="dxa"/>
            <w:vAlign w:val="center"/>
          </w:tcPr>
          <w:p>
            <w:pPr>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268"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1163"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798"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534" w:type="dxa"/>
          </w:tcPr>
          <w:p>
            <w:pPr>
              <w:tabs>
                <w:tab w:val="left" w:pos="360"/>
                <w:tab w:val="left" w:pos="7038"/>
                <w:tab w:val="left" w:pos="8718"/>
              </w:tabs>
              <w:adjustRightInd w:val="0"/>
              <w:snapToGrid w:val="0"/>
              <w:spacing w:line="276" w:lineRule="auto"/>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2722" w:type="dxa"/>
          </w:tcPr>
          <w:p>
            <w:pPr>
              <w:tabs>
                <w:tab w:val="left" w:pos="1280"/>
                <w:tab w:val="left" w:pos="7400"/>
              </w:tabs>
              <w:adjustRightInd w:val="0"/>
              <w:snapToGrid w:val="0"/>
              <w:spacing w:line="360" w:lineRule="auto"/>
              <w:textAlignment w:val="baseline"/>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708"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822" w:type="dxa"/>
          </w:tcPr>
          <w:p>
            <w:pPr>
              <w:jc w:val="center"/>
              <w:rPr>
                <w:rFonts w:ascii="仿宋" w:hAnsi="仿宋" w:eastAsia="仿宋"/>
                <w:color w:val="000000" w:themeColor="text1"/>
                <w:szCs w:val="21"/>
                <w14:textFill>
                  <w14:solidFill>
                    <w14:schemeClr w14:val="tx1"/>
                  </w14:solidFill>
                </w14:textFill>
              </w:rPr>
            </w:pPr>
          </w:p>
        </w:tc>
        <w:tc>
          <w:tcPr>
            <w:tcW w:w="426" w:type="dxa"/>
            <w:vAlign w:val="center"/>
          </w:tcPr>
          <w:p>
            <w:pPr>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687" w:type="dxa"/>
            <w:vAlign w:val="center"/>
          </w:tcPr>
          <w:p>
            <w:pPr>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268"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1163"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798"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534" w:type="dxa"/>
          </w:tcPr>
          <w:p>
            <w:pPr>
              <w:tabs>
                <w:tab w:val="left" w:pos="360"/>
                <w:tab w:val="left" w:pos="7038"/>
                <w:tab w:val="left" w:pos="8718"/>
              </w:tabs>
              <w:adjustRightInd w:val="0"/>
              <w:snapToGrid w:val="0"/>
              <w:spacing w:line="276" w:lineRule="auto"/>
              <w:textAlignment w:val="baseline"/>
              <w:rPr>
                <w:rFonts w:ascii="仿宋" w:hAnsi="仿宋" w:eastAsia="仿宋"/>
                <w:color w:val="000000" w:themeColor="text1"/>
                <w:szCs w:val="21"/>
                <w14:textFill>
                  <w14:solidFill>
                    <w14:schemeClr w14:val="tx1"/>
                  </w14:solidFill>
                </w14:textFill>
              </w:rPr>
            </w:pPr>
          </w:p>
        </w:tc>
        <w:tc>
          <w:tcPr>
            <w:tcW w:w="2722" w:type="dxa"/>
          </w:tcPr>
          <w:p>
            <w:pPr>
              <w:tabs>
                <w:tab w:val="left" w:pos="1280"/>
                <w:tab w:val="left" w:pos="7400"/>
              </w:tabs>
              <w:adjustRightInd w:val="0"/>
              <w:snapToGrid w:val="0"/>
              <w:spacing w:line="360" w:lineRule="auto"/>
              <w:textAlignment w:val="baseline"/>
              <w:rPr>
                <w:rFonts w:ascii="仿宋" w:hAnsi="仿宋" w:eastAsia="仿宋"/>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合计（万元）</w:t>
            </w:r>
          </w:p>
        </w:tc>
        <w:tc>
          <w:tcPr>
            <w:tcW w:w="708"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822"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426"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687"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1268"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1163"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c>
          <w:tcPr>
            <w:tcW w:w="798" w:type="dxa"/>
          </w:tcPr>
          <w:p>
            <w:pPr>
              <w:tabs>
                <w:tab w:val="left" w:pos="7038"/>
                <w:tab w:val="left" w:pos="8718"/>
              </w:tabs>
              <w:adjustRightInd w:val="0"/>
              <w:snapToGrid w:val="0"/>
              <w:spacing w:line="276" w:lineRule="auto"/>
              <w:rPr>
                <w:rFonts w:ascii="仿宋" w:hAnsi="仿宋" w:eastAsia="仿宋"/>
                <w:color w:val="000000" w:themeColor="text1"/>
                <w:szCs w:val="21"/>
                <w14:textFill>
                  <w14:solidFill>
                    <w14:schemeClr w14:val="tx1"/>
                  </w14:solidFill>
                </w14:textFill>
              </w:rPr>
            </w:pPr>
          </w:p>
        </w:tc>
      </w:tr>
      <w:bookmarkEnd w:id="772"/>
      <w:bookmarkEnd w:id="773"/>
    </w:tbl>
    <w:p>
      <w:pPr>
        <w:adjustRightInd w:val="0"/>
        <w:snapToGrid w:val="0"/>
        <w:spacing w:line="360" w:lineRule="auto"/>
        <w:rPr>
          <w:szCs w:val="21"/>
          <w:lang w:eastAsia="zh-CN"/>
        </w:rPr>
      </w:pPr>
      <w:r>
        <w:rPr>
          <w:rFonts w:hint="eastAsia"/>
          <w:szCs w:val="21"/>
          <w:lang w:eastAsia="zh-CN"/>
        </w:rPr>
        <w:t xml:space="preserve">注：1.此表中招标人规定的备品备件是必须提供的、不得删除，报价人推荐的专用工具由报价人根据合同设备安装调试实际需要及自身经验逐一列明； </w:t>
      </w:r>
    </w:p>
    <w:p>
      <w:pPr>
        <w:adjustRightInd w:val="0"/>
        <w:snapToGrid w:val="0"/>
        <w:spacing w:line="360" w:lineRule="auto"/>
        <w:rPr>
          <w:szCs w:val="21"/>
          <w:lang w:eastAsia="zh-CN"/>
        </w:rPr>
      </w:pPr>
      <w:r>
        <w:rPr>
          <w:rFonts w:hint="eastAsia"/>
          <w:szCs w:val="21"/>
          <w:lang w:eastAsia="zh-CN"/>
        </w:rPr>
        <w:t>2.招标人规定的及报价人推荐的专用工具的价格均计入本表的合计价格；</w:t>
      </w:r>
    </w:p>
    <w:p>
      <w:pPr>
        <w:adjustRightInd w:val="0"/>
        <w:snapToGrid w:val="0"/>
        <w:spacing w:line="360" w:lineRule="auto"/>
        <w:rPr>
          <w:szCs w:val="21"/>
          <w:lang w:eastAsia="zh-CN"/>
        </w:rPr>
      </w:pPr>
      <w:r>
        <w:rPr>
          <w:rFonts w:hint="eastAsia"/>
          <w:szCs w:val="21"/>
          <w:lang w:eastAsia="zh-CN"/>
        </w:rPr>
        <w:t>3.此表中合计金额应与报价报价汇总表中的“专用工具”的单价一致。</w:t>
      </w:r>
    </w:p>
    <w:p>
      <w:pPr>
        <w:pStyle w:val="173"/>
        <w:shd w:val="clear" w:color="auto" w:fill="auto"/>
        <w:spacing w:before="0" w:after="476" w:line="510" w:lineRule="exact"/>
        <w:jc w:val="center"/>
      </w:pPr>
    </w:p>
    <w:p>
      <w:pPr>
        <w:pStyle w:val="173"/>
        <w:shd w:val="clear" w:color="auto" w:fill="auto"/>
        <w:spacing w:before="0" w:after="476" w:line="510" w:lineRule="exact"/>
        <w:jc w:val="center"/>
      </w:pPr>
    </w:p>
    <w:p>
      <w:pPr>
        <w:pStyle w:val="173"/>
        <w:shd w:val="clear" w:color="auto" w:fill="auto"/>
        <w:spacing w:before="0" w:after="476" w:line="510" w:lineRule="exact"/>
        <w:jc w:val="center"/>
        <w:rPr>
          <w:rFonts w:ascii="Times New Roman" w:hAnsi="Times New Roman" w:eastAsia="方正小标宋_GBK" w:cs="Times New Roman"/>
          <w:sz w:val="44"/>
          <w:szCs w:val="44"/>
        </w:rPr>
      </w:pPr>
      <w:r>
        <w:br w:type="page"/>
      </w:r>
      <w:bookmarkStart w:id="774" w:name="_Toc14167"/>
      <w:bookmarkStart w:id="775" w:name="_Toc31472"/>
      <w:bookmarkStart w:id="776" w:name="_Toc18883"/>
      <w:bookmarkStart w:id="777" w:name="_Toc8953"/>
      <w:r>
        <w:rPr>
          <w:rFonts w:ascii="Times New Roman" w:hAnsi="Times New Roman" w:eastAsia="方正小标宋_GBK" w:cs="Times New Roman"/>
          <w:sz w:val="44"/>
          <w:szCs w:val="44"/>
        </w:rPr>
        <w:t>四、资格审查资料</w:t>
      </w:r>
      <w:bookmarkEnd w:id="774"/>
      <w:bookmarkEnd w:id="775"/>
      <w:bookmarkEnd w:id="776"/>
      <w:bookmarkEnd w:id="777"/>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pStyle w:val="2"/>
        <w:jc w:val="center"/>
        <w:rPr>
          <w:bCs/>
          <w:sz w:val="32"/>
          <w:szCs w:val="32"/>
          <w:lang w:eastAsia="zh-CN"/>
        </w:rPr>
      </w:pPr>
      <w:r>
        <w:rPr>
          <w:bCs/>
          <w:sz w:val="32"/>
          <w:szCs w:val="32"/>
          <w:lang w:eastAsia="zh-CN"/>
        </w:rPr>
        <w:t>类似项目情况表</w:t>
      </w:r>
    </w:p>
    <w:p>
      <w:pPr>
        <w:rPr>
          <w:lang w:eastAsia="zh-CN"/>
        </w:rPr>
      </w:pPr>
    </w:p>
    <w:p>
      <w:pPr>
        <w:pStyle w:val="2"/>
        <w:jc w:val="center"/>
        <w:rPr>
          <w:sz w:val="28"/>
          <w:szCs w:val="28"/>
          <w:lang w:eastAsia="zh-CN"/>
        </w:rPr>
      </w:pPr>
      <w:r>
        <w:rPr>
          <w:rFonts w:hint="eastAsia"/>
          <w:sz w:val="28"/>
          <w:szCs w:val="28"/>
          <w:lang w:eastAsia="zh-CN"/>
        </w:rPr>
        <w:t>类似项目业绩汇总一览表</w:t>
      </w:r>
    </w:p>
    <w:tbl>
      <w:tblPr>
        <w:tblStyle w:val="44"/>
        <w:tblW w:w="479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571"/>
        <w:gridCol w:w="2722"/>
        <w:gridCol w:w="2319"/>
        <w:gridCol w:w="1192"/>
        <w:gridCol w:w="11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5" w:hRule="exact"/>
          <w:jc w:val="center"/>
        </w:trPr>
        <w:tc>
          <w:tcPr>
            <w:tcW w:w="358" w:type="pct"/>
            <w:vAlign w:val="center"/>
          </w:tcPr>
          <w:p>
            <w:pPr>
              <w:autoSpaceDE w:val="0"/>
              <w:autoSpaceDN w:val="0"/>
              <w:adjustRightInd w:val="0"/>
              <w:snapToGrid w:val="0"/>
              <w:spacing w:line="360" w:lineRule="auto"/>
              <w:jc w:val="center"/>
              <w:rPr>
                <w:szCs w:val="21"/>
              </w:rPr>
            </w:pPr>
            <w:r>
              <w:rPr>
                <w:rFonts w:hint="eastAsia"/>
                <w:szCs w:val="21"/>
              </w:rPr>
              <w:t>序号</w:t>
            </w:r>
          </w:p>
        </w:tc>
        <w:tc>
          <w:tcPr>
            <w:tcW w:w="1704" w:type="pct"/>
            <w:vAlign w:val="center"/>
          </w:tcPr>
          <w:p>
            <w:pPr>
              <w:autoSpaceDE w:val="0"/>
              <w:autoSpaceDN w:val="0"/>
              <w:adjustRightInd w:val="0"/>
              <w:snapToGrid w:val="0"/>
              <w:spacing w:line="360" w:lineRule="auto"/>
              <w:jc w:val="center"/>
              <w:rPr>
                <w:szCs w:val="21"/>
              </w:rPr>
            </w:pPr>
            <w:r>
              <w:rPr>
                <w:rFonts w:hint="eastAsia"/>
                <w:szCs w:val="21"/>
              </w:rPr>
              <w:t>合同名称</w:t>
            </w:r>
          </w:p>
        </w:tc>
        <w:tc>
          <w:tcPr>
            <w:tcW w:w="1452" w:type="pct"/>
            <w:vAlign w:val="center"/>
          </w:tcPr>
          <w:p>
            <w:pPr>
              <w:autoSpaceDE w:val="0"/>
              <w:autoSpaceDN w:val="0"/>
              <w:adjustRightInd w:val="0"/>
              <w:snapToGrid w:val="0"/>
              <w:spacing w:line="360" w:lineRule="auto"/>
              <w:jc w:val="center"/>
            </w:pPr>
            <w:r>
              <w:t>特性指标</w:t>
            </w:r>
          </w:p>
        </w:tc>
        <w:tc>
          <w:tcPr>
            <w:tcW w:w="746" w:type="pct"/>
            <w:vAlign w:val="center"/>
          </w:tcPr>
          <w:p>
            <w:pPr>
              <w:autoSpaceDE w:val="0"/>
              <w:autoSpaceDN w:val="0"/>
              <w:adjustRightInd w:val="0"/>
              <w:snapToGrid w:val="0"/>
              <w:spacing w:line="360" w:lineRule="auto"/>
              <w:jc w:val="center"/>
              <w:rPr>
                <w:szCs w:val="21"/>
              </w:rPr>
            </w:pPr>
            <w:r>
              <w:rPr>
                <w:rFonts w:hint="eastAsia"/>
                <w:szCs w:val="21"/>
              </w:rPr>
              <w:t>合同金额</w:t>
            </w:r>
          </w:p>
          <w:p>
            <w:pPr>
              <w:autoSpaceDE w:val="0"/>
              <w:autoSpaceDN w:val="0"/>
              <w:adjustRightInd w:val="0"/>
              <w:snapToGrid w:val="0"/>
              <w:spacing w:line="360" w:lineRule="auto"/>
              <w:jc w:val="center"/>
              <w:rPr>
                <w:szCs w:val="21"/>
              </w:rPr>
            </w:pPr>
            <w:r>
              <w:rPr>
                <w:rFonts w:hint="eastAsia"/>
                <w:szCs w:val="21"/>
              </w:rPr>
              <w:t>（万元）</w:t>
            </w:r>
          </w:p>
        </w:tc>
        <w:tc>
          <w:tcPr>
            <w:tcW w:w="738" w:type="pct"/>
            <w:vAlign w:val="center"/>
          </w:tcPr>
          <w:p>
            <w:pPr>
              <w:autoSpaceDE w:val="0"/>
              <w:autoSpaceDN w:val="0"/>
              <w:adjustRightInd w:val="0"/>
              <w:snapToGrid w:val="0"/>
              <w:spacing w:line="360" w:lineRule="auto"/>
              <w:jc w:val="center"/>
            </w:pPr>
            <w:r>
              <w:rPr>
                <w:szCs w:val="21"/>
              </w:rPr>
              <w:t>合同签订日期</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358" w:type="pct"/>
            <w:vAlign w:val="center"/>
          </w:tcPr>
          <w:p>
            <w:pPr>
              <w:autoSpaceDE w:val="0"/>
              <w:autoSpaceDN w:val="0"/>
              <w:adjustRightInd w:val="0"/>
              <w:snapToGrid w:val="0"/>
              <w:spacing w:line="360" w:lineRule="auto"/>
              <w:jc w:val="center"/>
              <w:rPr>
                <w:szCs w:val="21"/>
              </w:rPr>
            </w:pPr>
            <w:r>
              <w:rPr>
                <w:rFonts w:hint="eastAsia"/>
                <w:szCs w:val="21"/>
              </w:rPr>
              <w:t>1</w:t>
            </w: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358" w:type="pct"/>
            <w:vAlign w:val="center"/>
          </w:tcPr>
          <w:p>
            <w:pPr>
              <w:autoSpaceDE w:val="0"/>
              <w:autoSpaceDN w:val="0"/>
              <w:adjustRightInd w:val="0"/>
              <w:snapToGrid w:val="0"/>
              <w:spacing w:line="360" w:lineRule="auto"/>
              <w:jc w:val="center"/>
              <w:rPr>
                <w:szCs w:val="21"/>
              </w:rPr>
            </w:pPr>
            <w:r>
              <w:rPr>
                <w:rFonts w:hint="eastAsia"/>
                <w:szCs w:val="21"/>
              </w:rPr>
              <w:t>2</w:t>
            </w: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358" w:type="pct"/>
            <w:vAlign w:val="center"/>
          </w:tcPr>
          <w:p>
            <w:pPr>
              <w:autoSpaceDE w:val="0"/>
              <w:autoSpaceDN w:val="0"/>
              <w:adjustRightInd w:val="0"/>
              <w:snapToGrid w:val="0"/>
              <w:spacing w:line="360" w:lineRule="auto"/>
              <w:jc w:val="center"/>
              <w:rPr>
                <w:szCs w:val="21"/>
              </w:rPr>
            </w:pPr>
            <w:r>
              <w:rPr>
                <w:rFonts w:hint="eastAsia"/>
                <w:szCs w:val="21"/>
              </w:rPr>
              <w:t>3</w:t>
            </w: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358" w:type="pct"/>
            <w:vAlign w:val="center"/>
          </w:tcPr>
          <w:p>
            <w:pPr>
              <w:autoSpaceDE w:val="0"/>
              <w:autoSpaceDN w:val="0"/>
              <w:adjustRightInd w:val="0"/>
              <w:snapToGrid w:val="0"/>
              <w:spacing w:line="360" w:lineRule="auto"/>
              <w:jc w:val="center"/>
              <w:rPr>
                <w:szCs w:val="21"/>
              </w:rPr>
            </w:pPr>
            <w:r>
              <w:rPr>
                <w:rFonts w:hint="eastAsia"/>
                <w:szCs w:val="21"/>
              </w:rPr>
              <w:t>...</w:t>
            </w: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358" w:type="pct"/>
            <w:vAlign w:val="center"/>
          </w:tcPr>
          <w:p>
            <w:pPr>
              <w:autoSpaceDE w:val="0"/>
              <w:autoSpaceDN w:val="0"/>
              <w:adjustRightInd w:val="0"/>
              <w:snapToGrid w:val="0"/>
              <w:spacing w:line="360" w:lineRule="auto"/>
              <w:jc w:val="center"/>
              <w:rPr>
                <w:szCs w:val="21"/>
              </w:rPr>
            </w:pP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358" w:type="pct"/>
            <w:vAlign w:val="center"/>
          </w:tcPr>
          <w:p>
            <w:pPr>
              <w:autoSpaceDE w:val="0"/>
              <w:autoSpaceDN w:val="0"/>
              <w:adjustRightInd w:val="0"/>
              <w:snapToGrid w:val="0"/>
              <w:spacing w:line="360" w:lineRule="auto"/>
              <w:jc w:val="center"/>
              <w:rPr>
                <w:szCs w:val="21"/>
              </w:rPr>
            </w:pP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358" w:type="pct"/>
            <w:vAlign w:val="center"/>
          </w:tcPr>
          <w:p>
            <w:pPr>
              <w:adjustRightInd w:val="0"/>
              <w:snapToGrid w:val="0"/>
              <w:spacing w:line="360" w:lineRule="auto"/>
              <w:jc w:val="center"/>
            </w:pPr>
          </w:p>
        </w:tc>
        <w:tc>
          <w:tcPr>
            <w:tcW w:w="1704" w:type="pct"/>
            <w:vAlign w:val="center"/>
          </w:tcPr>
          <w:p>
            <w:pPr>
              <w:autoSpaceDE w:val="0"/>
              <w:autoSpaceDN w:val="0"/>
              <w:adjustRightInd w:val="0"/>
              <w:snapToGrid w:val="0"/>
              <w:spacing w:line="360" w:lineRule="auto"/>
              <w:jc w:val="center"/>
              <w:rPr>
                <w:szCs w:val="21"/>
              </w:rPr>
            </w:pPr>
          </w:p>
        </w:tc>
        <w:tc>
          <w:tcPr>
            <w:tcW w:w="1452" w:type="pct"/>
            <w:vAlign w:val="center"/>
          </w:tcPr>
          <w:p>
            <w:pPr>
              <w:autoSpaceDE w:val="0"/>
              <w:autoSpaceDN w:val="0"/>
              <w:adjustRightInd w:val="0"/>
              <w:snapToGrid w:val="0"/>
              <w:spacing w:line="360" w:lineRule="auto"/>
              <w:jc w:val="center"/>
              <w:rPr>
                <w:szCs w:val="21"/>
              </w:rPr>
            </w:pPr>
          </w:p>
        </w:tc>
        <w:tc>
          <w:tcPr>
            <w:tcW w:w="746" w:type="pct"/>
            <w:vAlign w:val="center"/>
          </w:tcPr>
          <w:p>
            <w:pPr>
              <w:autoSpaceDE w:val="0"/>
              <w:autoSpaceDN w:val="0"/>
              <w:adjustRightInd w:val="0"/>
              <w:snapToGrid w:val="0"/>
              <w:spacing w:line="360" w:lineRule="auto"/>
              <w:jc w:val="center"/>
              <w:rPr>
                <w:szCs w:val="21"/>
              </w:rPr>
            </w:pPr>
          </w:p>
        </w:tc>
        <w:tc>
          <w:tcPr>
            <w:tcW w:w="738" w:type="pct"/>
            <w:vAlign w:val="center"/>
          </w:tcPr>
          <w:p>
            <w:pPr>
              <w:autoSpaceDE w:val="0"/>
              <w:autoSpaceDN w:val="0"/>
              <w:adjustRightInd w:val="0"/>
              <w:snapToGrid w:val="0"/>
              <w:spacing w:line="360" w:lineRule="auto"/>
              <w:jc w:val="center"/>
              <w:rPr>
                <w:szCs w:val="21"/>
              </w:rPr>
            </w:pPr>
          </w:p>
        </w:tc>
      </w:tr>
    </w:tbl>
    <w:p>
      <w:pPr>
        <w:pStyle w:val="43"/>
        <w:ind w:left="0" w:leftChars="0" w:firstLine="0"/>
      </w:pPr>
    </w:p>
    <w:p>
      <w:pPr>
        <w:adjustRightInd w:val="0"/>
        <w:snapToGrid w:val="0"/>
        <w:spacing w:after="120"/>
        <w:jc w:val="center"/>
        <w:rPr>
          <w:rFonts w:ascii="黑体" w:hAnsi="黑体" w:eastAsia="黑体" w:cs="黑体"/>
          <w:sz w:val="36"/>
          <w:szCs w:val="36"/>
          <w:lang w:eastAsia="zh-CN"/>
        </w:rPr>
      </w:pPr>
    </w:p>
    <w:p>
      <w:pPr>
        <w:pStyle w:val="2"/>
        <w:rPr>
          <w:rFonts w:ascii="黑体" w:hAnsi="黑体" w:eastAsia="黑体" w:cs="黑体"/>
          <w:sz w:val="36"/>
          <w:szCs w:val="36"/>
          <w:lang w:eastAsia="zh-CN"/>
        </w:rPr>
      </w:pPr>
    </w:p>
    <w:p>
      <w:pPr>
        <w:rPr>
          <w:rFonts w:ascii="黑体" w:hAnsi="黑体" w:eastAsia="黑体" w:cs="黑体"/>
          <w:sz w:val="36"/>
          <w:szCs w:val="36"/>
          <w:lang w:eastAsia="zh-CN"/>
        </w:rPr>
      </w:pPr>
    </w:p>
    <w:p>
      <w:pPr>
        <w:pStyle w:val="2"/>
        <w:rPr>
          <w:rFonts w:ascii="黑体" w:hAnsi="黑体" w:eastAsia="黑体" w:cs="黑体"/>
          <w:sz w:val="36"/>
          <w:szCs w:val="36"/>
          <w:lang w:eastAsia="zh-CN"/>
        </w:rPr>
      </w:pPr>
    </w:p>
    <w:p>
      <w:pPr>
        <w:rPr>
          <w:rFonts w:ascii="黑体" w:hAnsi="黑体" w:eastAsia="黑体" w:cs="黑体"/>
          <w:sz w:val="36"/>
          <w:szCs w:val="36"/>
          <w:lang w:eastAsia="zh-CN"/>
        </w:rPr>
      </w:pPr>
    </w:p>
    <w:p>
      <w:pPr>
        <w:pStyle w:val="2"/>
        <w:rPr>
          <w:rFonts w:ascii="黑体" w:hAnsi="黑体" w:eastAsia="黑体" w:cs="黑体"/>
          <w:sz w:val="36"/>
          <w:szCs w:val="36"/>
          <w:lang w:eastAsia="zh-CN"/>
        </w:rPr>
      </w:pPr>
    </w:p>
    <w:p>
      <w:pPr>
        <w:rPr>
          <w:rFonts w:ascii="黑体" w:hAnsi="黑体" w:eastAsia="黑体" w:cs="黑体"/>
          <w:sz w:val="36"/>
          <w:szCs w:val="36"/>
          <w:lang w:eastAsia="zh-CN"/>
        </w:rPr>
      </w:pPr>
    </w:p>
    <w:p>
      <w:pPr>
        <w:pStyle w:val="2"/>
        <w:rPr>
          <w:rFonts w:ascii="黑体" w:hAnsi="黑体" w:eastAsia="黑体" w:cs="黑体"/>
          <w:sz w:val="36"/>
          <w:szCs w:val="36"/>
          <w:lang w:eastAsia="zh-CN"/>
        </w:rPr>
      </w:pPr>
    </w:p>
    <w:p>
      <w:pPr>
        <w:rPr>
          <w:rFonts w:ascii="黑体" w:hAnsi="黑体" w:eastAsia="黑体" w:cs="黑体"/>
          <w:sz w:val="36"/>
          <w:szCs w:val="36"/>
          <w:lang w:eastAsia="zh-CN"/>
        </w:rPr>
      </w:pPr>
    </w:p>
    <w:p>
      <w:pPr>
        <w:pStyle w:val="2"/>
        <w:rPr>
          <w:rFonts w:ascii="黑体" w:hAnsi="黑体" w:eastAsia="黑体" w:cs="黑体"/>
          <w:sz w:val="36"/>
          <w:szCs w:val="36"/>
          <w:lang w:eastAsia="zh-CN"/>
        </w:rPr>
      </w:pPr>
    </w:p>
    <w:p>
      <w:pPr>
        <w:rPr>
          <w:rFonts w:ascii="黑体" w:hAnsi="黑体" w:eastAsia="黑体" w:cs="黑体"/>
          <w:sz w:val="36"/>
          <w:szCs w:val="36"/>
          <w:lang w:eastAsia="zh-CN"/>
        </w:rPr>
      </w:pPr>
    </w:p>
    <w:p>
      <w:pPr>
        <w:pStyle w:val="2"/>
        <w:rPr>
          <w:rFonts w:ascii="黑体" w:hAnsi="黑体" w:eastAsia="黑体" w:cs="黑体"/>
          <w:sz w:val="36"/>
          <w:szCs w:val="36"/>
          <w:lang w:eastAsia="zh-CN"/>
        </w:rPr>
      </w:pPr>
    </w:p>
    <w:p>
      <w:pPr>
        <w:rPr>
          <w:rFonts w:ascii="黑体" w:hAnsi="黑体" w:eastAsia="黑体" w:cs="黑体"/>
          <w:sz w:val="36"/>
          <w:szCs w:val="36"/>
          <w:lang w:eastAsia="zh-CN"/>
        </w:rPr>
      </w:pPr>
    </w:p>
    <w:p>
      <w:pPr>
        <w:rPr>
          <w:rFonts w:ascii="黑体" w:hAnsi="黑体" w:eastAsia="黑体" w:cs="黑体"/>
          <w:sz w:val="36"/>
          <w:szCs w:val="36"/>
          <w:lang w:eastAsia="zh-CN"/>
        </w:rPr>
      </w:pPr>
    </w:p>
    <w:p>
      <w:pPr>
        <w:pStyle w:val="2"/>
        <w:rPr>
          <w:lang w:eastAsia="zh-CN"/>
        </w:rPr>
      </w:pPr>
    </w:p>
    <w:p>
      <w:pPr>
        <w:adjustRightInd w:val="0"/>
        <w:snapToGrid w:val="0"/>
        <w:spacing w:after="120"/>
        <w:jc w:val="center"/>
        <w:rPr>
          <w:rFonts w:ascii="黑体" w:hAnsi="黑体" w:eastAsia="黑体" w:cs="黑体"/>
          <w:sz w:val="36"/>
          <w:szCs w:val="36"/>
          <w:lang w:eastAsia="zh-CN"/>
        </w:rPr>
      </w:pPr>
      <w:r>
        <w:rPr>
          <w:rFonts w:hint="eastAsia" w:ascii="黑体" w:hAnsi="黑体" w:eastAsia="黑体" w:cs="黑体"/>
          <w:sz w:val="36"/>
          <w:szCs w:val="36"/>
          <w:lang w:eastAsia="zh-CN"/>
        </w:rPr>
        <w:t>承诺书</w:t>
      </w:r>
    </w:p>
    <w:p>
      <w:pPr>
        <w:adjustRightInd w:val="0"/>
        <w:snapToGrid w:val="0"/>
        <w:spacing w:after="12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重庆双江航运发展有限公司</w:t>
      </w:r>
      <w:r>
        <w:rPr>
          <w:rFonts w:ascii="Times New Roman" w:hAnsi="Times New Roman" w:eastAsia="方正仿宋_GBK" w:cs="Times New Roman"/>
          <w:sz w:val="28"/>
          <w:szCs w:val="28"/>
          <w:lang w:eastAsia="zh-CN"/>
        </w:rPr>
        <w:t>：</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我公司（</w:t>
      </w:r>
      <w:r>
        <w:rPr>
          <w:rFonts w:ascii="Times New Roman" w:hAnsi="Times New Roman" w:eastAsia="方正仿宋_GBK" w:cs="Times New Roman"/>
          <w:sz w:val="28"/>
          <w:szCs w:val="28"/>
          <w:u w:val="single"/>
          <w:lang w:eastAsia="zh-CN"/>
        </w:rPr>
        <w:t>报价人名称</w:t>
      </w:r>
      <w:r>
        <w:rPr>
          <w:rFonts w:ascii="Times New Roman" w:hAnsi="Times New Roman" w:eastAsia="方正仿宋_GBK" w:cs="Times New Roman"/>
          <w:sz w:val="28"/>
          <w:szCs w:val="28"/>
          <w:lang w:eastAsia="zh-CN"/>
        </w:rPr>
        <w:t>）参加了贵单位</w:t>
      </w:r>
      <w:r>
        <w:rPr>
          <w:rFonts w:hint="eastAsia" w:ascii="Times New Roman" w:hAnsi="Times New Roman" w:eastAsia="方正仿宋_GBK" w:cs="Times New Roman"/>
          <w:sz w:val="28"/>
          <w:szCs w:val="28"/>
          <w:lang w:eastAsia="zh-CN"/>
        </w:rPr>
        <w:t>_______</w:t>
      </w:r>
      <w:r>
        <w:rPr>
          <w:rFonts w:ascii="Times New Roman" w:hAnsi="Times New Roman" w:eastAsia="方正仿宋_GBK" w:cs="Times New Roman"/>
          <w:sz w:val="28"/>
          <w:szCs w:val="28"/>
          <w:lang w:eastAsia="zh-CN"/>
        </w:rPr>
        <w:t>项目的询价，自愿作出以下承诺：</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1、询价截止日报价资格情况不存在下列情形之一：</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（1）被人民法院在“信用中国”网站（www.creditchina.gov.cn）列入失信被执行人名单且在被执行期内；</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（2）被列入《重庆市工程建设领域招标</w:t>
      </w:r>
      <w:r>
        <w:rPr>
          <w:rFonts w:hint="eastAsia" w:ascii="Times New Roman" w:hAnsi="Times New Roman" w:eastAsia="方正仿宋_GBK" w:cs="Times New Roman"/>
          <w:sz w:val="28"/>
          <w:szCs w:val="28"/>
          <w:lang w:eastAsia="zh-CN"/>
        </w:rPr>
        <w:t>报价</w:t>
      </w:r>
      <w:r>
        <w:rPr>
          <w:rFonts w:ascii="Times New Roman" w:hAnsi="Times New Roman" w:eastAsia="方正仿宋_GBK" w:cs="Times New Roman"/>
          <w:sz w:val="28"/>
          <w:szCs w:val="28"/>
          <w:lang w:eastAsia="zh-CN"/>
        </w:rPr>
        <w:t>信用管理暂行办法》规定的重点关注名单且记分达到12分且在记分有效期内；</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（3）被列入《重庆市工程建设领域招标</w:t>
      </w:r>
      <w:r>
        <w:rPr>
          <w:rFonts w:hint="eastAsia" w:ascii="Times New Roman" w:hAnsi="Times New Roman" w:eastAsia="方正仿宋_GBK" w:cs="Times New Roman"/>
          <w:sz w:val="28"/>
          <w:szCs w:val="28"/>
          <w:lang w:eastAsia="zh-CN"/>
        </w:rPr>
        <w:t>报价</w:t>
      </w:r>
      <w:r>
        <w:rPr>
          <w:rFonts w:ascii="Times New Roman" w:hAnsi="Times New Roman" w:eastAsia="方正仿宋_GBK" w:cs="Times New Roman"/>
          <w:sz w:val="28"/>
          <w:szCs w:val="28"/>
          <w:lang w:eastAsia="zh-CN"/>
        </w:rPr>
        <w:t>信用管理暂行办法》规定的黑名单且在有效期内；</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（4）被国家、重庆市（含市或任意区县）有关行政部门处以暂停</w:t>
      </w:r>
      <w:r>
        <w:rPr>
          <w:rFonts w:hint="eastAsia" w:ascii="Times New Roman" w:hAnsi="Times New Roman" w:eastAsia="方正仿宋_GBK" w:cs="Times New Roman"/>
          <w:sz w:val="28"/>
          <w:szCs w:val="28"/>
          <w:lang w:eastAsia="zh-CN"/>
        </w:rPr>
        <w:t>报价</w:t>
      </w:r>
      <w:r>
        <w:rPr>
          <w:rFonts w:ascii="Times New Roman" w:hAnsi="Times New Roman" w:eastAsia="方正仿宋_GBK" w:cs="Times New Roman"/>
          <w:sz w:val="28"/>
          <w:szCs w:val="28"/>
          <w:lang w:eastAsia="zh-CN"/>
        </w:rPr>
        <w:t>资格行政处罚，且在处罚期限内；</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（5）被重庆市相关行政主管部门暂停在渝承揽新业务且在暂停期内。</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2、</w:t>
      </w:r>
      <w:r>
        <w:rPr>
          <w:rFonts w:ascii="Times New Roman" w:hAnsi="Times New Roman" w:eastAsia="方正仿宋_GBK" w:cs="Times New Roman"/>
          <w:sz w:val="28"/>
          <w:szCs w:val="28"/>
          <w:lang w:eastAsia="zh-CN"/>
        </w:rPr>
        <w:t>我单位在本资格审查部分中的相关证明材料真实有效，不存在弄虚作假情形。</w:t>
      </w:r>
      <w:r>
        <w:rPr>
          <w:rFonts w:hint="eastAsia" w:ascii="Times New Roman" w:hAnsi="Times New Roman" w:eastAsia="方正仿宋_GBK" w:cs="Times New Roman"/>
          <w:sz w:val="28"/>
          <w:szCs w:val="28"/>
          <w:lang w:val="en-US" w:eastAsia="zh-CN"/>
        </w:rPr>
        <w:t>询价人</w:t>
      </w:r>
      <w:r>
        <w:rPr>
          <w:rFonts w:ascii="Times New Roman" w:hAnsi="Times New Roman" w:eastAsia="方正仿宋_GBK" w:cs="Times New Roman"/>
          <w:sz w:val="28"/>
          <w:szCs w:val="28"/>
          <w:lang w:eastAsia="zh-CN"/>
        </w:rPr>
        <w:t>在合同签订前均有权对我</w:t>
      </w:r>
      <w:r>
        <w:rPr>
          <w:rFonts w:hint="eastAsia" w:ascii="Times New Roman" w:hAnsi="Times New Roman" w:eastAsia="方正仿宋_GBK" w:cs="Times New Roman"/>
          <w:sz w:val="28"/>
          <w:szCs w:val="28"/>
          <w:lang w:eastAsia="zh-CN"/>
        </w:rPr>
        <w:t>单位</w:t>
      </w:r>
      <w:r>
        <w:rPr>
          <w:rFonts w:ascii="Times New Roman" w:hAnsi="Times New Roman" w:eastAsia="方正仿宋_GBK" w:cs="Times New Roman"/>
          <w:sz w:val="28"/>
          <w:szCs w:val="28"/>
          <w:lang w:eastAsia="zh-CN"/>
        </w:rPr>
        <w:t>提供的资料（如业绩截图信息等相关证明材料）进行核实，若发现弄虚作假</w:t>
      </w:r>
      <w:r>
        <w:rPr>
          <w:rFonts w:hint="default" w:ascii="Times New Roman" w:hAnsi="Times New Roman" w:eastAsia="方正仿宋_GBK" w:cs="Times New Roman"/>
          <w:sz w:val="28"/>
          <w:szCs w:val="28"/>
          <w:u w:val="none"/>
          <w:lang w:val="en-US" w:eastAsia="zh-CN"/>
        </w:rPr>
        <w:t>或不配合核实</w:t>
      </w:r>
      <w:r>
        <w:rPr>
          <w:rFonts w:ascii="Times New Roman" w:hAnsi="Times New Roman" w:eastAsia="方正仿宋_GBK" w:cs="Times New Roman"/>
          <w:sz w:val="28"/>
          <w:szCs w:val="28"/>
          <w:lang w:eastAsia="zh-CN"/>
        </w:rPr>
        <w:t>，取消中选资格，我</w:t>
      </w:r>
      <w:r>
        <w:rPr>
          <w:rFonts w:hint="eastAsia" w:ascii="Times New Roman" w:hAnsi="Times New Roman" w:eastAsia="方正仿宋_GBK" w:cs="Times New Roman"/>
          <w:sz w:val="28"/>
          <w:szCs w:val="28"/>
          <w:lang w:eastAsia="zh-CN"/>
        </w:rPr>
        <w:t>单位</w:t>
      </w:r>
      <w:r>
        <w:rPr>
          <w:rFonts w:ascii="Times New Roman" w:hAnsi="Times New Roman" w:eastAsia="方正仿宋_GBK" w:cs="Times New Roman"/>
          <w:sz w:val="28"/>
          <w:szCs w:val="28"/>
          <w:lang w:eastAsia="zh-CN"/>
        </w:rPr>
        <w:t>自愿承担因此造成的相关责任并赔偿相应损失。</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3</w:t>
      </w:r>
      <w:r>
        <w:rPr>
          <w:rFonts w:ascii="Times New Roman" w:hAnsi="Times New Roman" w:eastAsia="方正仿宋_GBK" w:cs="Times New Roman"/>
          <w:sz w:val="28"/>
          <w:szCs w:val="28"/>
          <w:lang w:eastAsia="zh-CN"/>
        </w:rPr>
        <w:t>、询价文件中没有</w:t>
      </w:r>
      <w:r>
        <w:rPr>
          <w:rFonts w:hint="eastAsia" w:ascii="Times New Roman" w:hAnsi="Times New Roman" w:eastAsia="方正仿宋_GBK" w:cs="Times New Roman"/>
          <w:sz w:val="28"/>
          <w:szCs w:val="28"/>
          <w:lang w:eastAsia="zh-CN"/>
        </w:rPr>
        <w:t>报价人</w:t>
      </w:r>
      <w:r>
        <w:rPr>
          <w:rFonts w:ascii="Times New Roman" w:hAnsi="Times New Roman" w:eastAsia="方正仿宋_GBK" w:cs="Times New Roman"/>
          <w:sz w:val="28"/>
          <w:szCs w:val="28"/>
          <w:lang w:eastAsia="zh-CN"/>
        </w:rPr>
        <w:t>不能接受的条件。</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4</w:t>
      </w:r>
      <w:r>
        <w:rPr>
          <w:rFonts w:ascii="Times New Roman" w:hAnsi="Times New Roman" w:eastAsia="方正仿宋_GBK" w:cs="Times New Roman"/>
          <w:sz w:val="28"/>
          <w:szCs w:val="28"/>
          <w:lang w:eastAsia="zh-CN"/>
        </w:rPr>
        <w:t>、</w:t>
      </w:r>
      <w:r>
        <w:rPr>
          <w:rFonts w:hint="eastAsia" w:ascii="Times New Roman" w:hAnsi="Times New Roman" w:eastAsia="方正仿宋_GBK" w:cs="Times New Roman"/>
          <w:sz w:val="28"/>
          <w:szCs w:val="28"/>
          <w:lang w:eastAsia="zh-CN"/>
        </w:rPr>
        <w:t>我公司承诺提供投标合同设备的三维建模服务，相关费用包含在投标报价中。</w:t>
      </w:r>
    </w:p>
    <w:p>
      <w:pPr>
        <w:adjustRightInd w:val="0"/>
        <w:snapToGrid w:val="0"/>
        <w:spacing w:after="120"/>
        <w:ind w:firstLine="560" w:firstLineChars="200"/>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特此承诺。</w:t>
      </w:r>
    </w:p>
    <w:p>
      <w:pPr>
        <w:adjustRightInd w:val="0"/>
        <w:snapToGrid w:val="0"/>
        <w:spacing w:after="120"/>
        <w:jc w:val="righ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报价人：         （盖单位法人章）</w:t>
      </w:r>
    </w:p>
    <w:p>
      <w:pPr>
        <w:adjustRightInd w:val="0"/>
        <w:snapToGrid w:val="0"/>
        <w:spacing w:after="120"/>
        <w:jc w:val="right"/>
        <w:rPr>
          <w:rFonts w:ascii="Times New Roman" w:hAnsi="Times New Roman" w:eastAsia="方正仿宋_GBK" w:cs="Times New Roman"/>
          <w:sz w:val="28"/>
          <w:szCs w:val="28"/>
          <w:lang w:eastAsia="zh-CN"/>
        </w:rPr>
      </w:pPr>
      <w:r>
        <w:rPr>
          <w:rFonts w:ascii="Times New Roman" w:hAnsi="Times New Roman" w:eastAsia="方正仿宋_GBK" w:cs="Times New Roman"/>
          <w:sz w:val="28"/>
          <w:szCs w:val="28"/>
          <w:lang w:eastAsia="zh-CN"/>
        </w:rPr>
        <w:t>法定代表人：       （签字或盖章）</w:t>
      </w:r>
    </w:p>
    <w:p>
      <w:pPr>
        <w:pStyle w:val="43"/>
        <w:ind w:left="440"/>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年    月    日</w:t>
      </w:r>
    </w:p>
    <w:p>
      <w:pPr>
        <w:pStyle w:val="43"/>
        <w:ind w:left="440"/>
        <w:rPr>
          <w:rFonts w:ascii="Times New Roman" w:hAnsi="Times New Roman" w:eastAsia="方正仿宋_GBK" w:cs="Times New Roman"/>
          <w:sz w:val="32"/>
          <w:szCs w:val="32"/>
        </w:rPr>
      </w:pPr>
      <w:r>
        <w:br w:type="page"/>
      </w:r>
    </w:p>
    <w:p>
      <w:pPr>
        <w:pStyle w:val="173"/>
        <w:shd w:val="clear" w:color="auto" w:fill="auto"/>
        <w:spacing w:before="0" w:after="476" w:line="510" w:lineRule="exact"/>
        <w:jc w:val="center"/>
        <w:rPr>
          <w:rFonts w:ascii="Times New Roman" w:hAnsi="Times New Roman" w:eastAsia="方正小标宋_GBK" w:cs="Times New Roman"/>
          <w:sz w:val="36"/>
          <w:szCs w:val="36"/>
        </w:rPr>
      </w:pPr>
      <w:bookmarkStart w:id="778" w:name="_Toc30363"/>
      <w:bookmarkStart w:id="779" w:name="_Toc31906"/>
      <w:bookmarkStart w:id="780" w:name="_Toc4024"/>
      <w:bookmarkStart w:id="781" w:name="_Toc3206"/>
      <w:r>
        <w:rPr>
          <w:rFonts w:hint="eastAsia" w:ascii="Times New Roman" w:hAnsi="Times New Roman" w:eastAsia="方正小标宋_GBK" w:cs="Times New Roman"/>
          <w:sz w:val="36"/>
          <w:szCs w:val="36"/>
        </w:rPr>
        <w:t>五、</w:t>
      </w:r>
      <w:r>
        <w:rPr>
          <w:rFonts w:ascii="Times New Roman" w:hAnsi="Times New Roman" w:eastAsia="方正小标宋_GBK" w:cs="Times New Roman"/>
          <w:sz w:val="36"/>
          <w:szCs w:val="36"/>
        </w:rPr>
        <w:t>项目方案</w:t>
      </w:r>
      <w:r>
        <w:rPr>
          <w:rFonts w:hint="eastAsia" w:ascii="Times New Roman" w:hAnsi="Times New Roman" w:eastAsia="方正小标宋_GBK" w:cs="Times New Roman"/>
          <w:sz w:val="36"/>
          <w:szCs w:val="36"/>
        </w:rPr>
        <w:t>及性能参数</w:t>
      </w:r>
      <w:bookmarkEnd w:id="778"/>
      <w:bookmarkEnd w:id="779"/>
      <w:bookmarkEnd w:id="780"/>
      <w:bookmarkEnd w:id="781"/>
    </w:p>
    <w:p>
      <w:pPr>
        <w:adjustRightInd/>
        <w:snapToGrid/>
        <w:spacing w:after="0" w:line="240" w:lineRule="auto"/>
        <w:ind w:firstLine="440" w:firstLineChars="200"/>
        <w:rPr>
          <w:rFonts w:ascii="宋体" w:hAnsi="宋体" w:eastAsia="宋体" w:cs="宋体"/>
          <w:i w:val="0"/>
          <w:iCs w:val="0"/>
          <w:sz w:val="22"/>
          <w:szCs w:val="22"/>
          <w:lang w:eastAsia="zh-CN"/>
        </w:rPr>
      </w:pPr>
      <w:r>
        <w:rPr>
          <w:rFonts w:hint="default" w:ascii="宋体" w:hAnsi="宋体" w:eastAsia="宋体" w:cs="宋体"/>
          <w:sz w:val="22"/>
          <w:szCs w:val="22"/>
          <w:lang w:eastAsia="zh-CN"/>
        </w:rPr>
        <w:t>1、项目方案</w:t>
      </w:r>
      <w:r>
        <w:rPr>
          <w:rFonts w:ascii="宋体" w:hAnsi="宋体" w:eastAsia="宋体" w:cs="宋体"/>
          <w:sz w:val="22"/>
          <w:szCs w:val="22"/>
          <w:lang w:eastAsia="zh-CN"/>
        </w:rPr>
        <w:t>包含但不限于对项目的认识（结合项目背景、区域概况、</w:t>
      </w:r>
      <w:r>
        <w:rPr>
          <w:rFonts w:hint="default" w:ascii="宋体" w:hAnsi="宋体" w:eastAsia="宋体" w:cs="宋体"/>
          <w:sz w:val="22"/>
          <w:szCs w:val="22"/>
          <w:lang w:eastAsia="zh-CN"/>
        </w:rPr>
        <w:t>等</w:t>
      </w:r>
      <w:r>
        <w:rPr>
          <w:rFonts w:ascii="宋体" w:hAnsi="宋体" w:eastAsia="宋体" w:cs="宋体"/>
          <w:sz w:val="22"/>
          <w:szCs w:val="22"/>
          <w:lang w:eastAsia="zh-CN"/>
        </w:rPr>
        <w:t>书面资料）、技术方案（结合项目需求，编制相应专项研究方案、工作程序等）、项目管理及质量保证措施、进度计划与措施</w:t>
      </w:r>
      <w:r>
        <w:rPr>
          <w:rFonts w:hint="default" w:ascii="宋体" w:hAnsi="宋体" w:eastAsia="宋体" w:cs="宋体"/>
          <w:sz w:val="22"/>
          <w:szCs w:val="22"/>
          <w:lang w:eastAsia="zh-CN"/>
        </w:rPr>
        <w:t>，拟投入的</w:t>
      </w:r>
      <w:r>
        <w:rPr>
          <w:rFonts w:ascii="宋体" w:hAnsi="宋体" w:eastAsia="宋体" w:cs="宋体"/>
          <w:sz w:val="22"/>
          <w:szCs w:val="22"/>
          <w:lang w:eastAsia="zh-CN"/>
        </w:rPr>
        <w:t>试验设备</w:t>
      </w:r>
      <w:r>
        <w:rPr>
          <w:rFonts w:hint="default" w:ascii="宋体" w:hAnsi="宋体" w:eastAsia="宋体" w:cs="宋体"/>
          <w:sz w:val="22"/>
          <w:szCs w:val="22"/>
          <w:lang w:eastAsia="zh-CN"/>
        </w:rPr>
        <w:t>、</w:t>
      </w:r>
      <w:r>
        <w:rPr>
          <w:rFonts w:ascii="宋体" w:hAnsi="宋体" w:eastAsia="宋体" w:cs="宋体"/>
          <w:sz w:val="22"/>
          <w:szCs w:val="22"/>
          <w:lang w:eastAsia="zh-CN"/>
        </w:rPr>
        <w:t>承诺</w:t>
      </w:r>
      <w:r>
        <w:rPr>
          <w:rFonts w:hint="default" w:ascii="宋体" w:hAnsi="宋体" w:eastAsia="宋体" w:cs="宋体"/>
          <w:sz w:val="22"/>
          <w:szCs w:val="22"/>
          <w:lang w:eastAsia="zh-CN"/>
        </w:rPr>
        <w:t>等。</w:t>
      </w:r>
    </w:p>
    <w:p>
      <w:pPr>
        <w:ind w:firstLine="440" w:firstLineChars="200"/>
        <w:rPr>
          <w:lang w:eastAsia="zh-CN"/>
        </w:rPr>
      </w:pPr>
      <w:r>
        <w:rPr>
          <w:rFonts w:hint="eastAsia"/>
          <w:lang w:eastAsia="zh-CN"/>
        </w:rPr>
        <w:t>2、</w:t>
      </w:r>
      <w:bookmarkStart w:id="782" w:name="_Toc120606715"/>
      <w:r>
        <w:rPr>
          <w:rFonts w:hint="eastAsia"/>
          <w:lang w:eastAsia="zh-CN"/>
        </w:rPr>
        <w:t>直流电源系统</w:t>
      </w:r>
      <w:r>
        <w:rPr>
          <w:lang w:eastAsia="zh-CN"/>
        </w:rPr>
        <w:t>性能保证表</w:t>
      </w:r>
      <w:bookmarkEnd w:id="782"/>
    </w:p>
    <w:tbl>
      <w:tblPr>
        <w:tblStyle w:val="44"/>
        <w:tblW w:w="8758" w:type="dxa"/>
        <w:tblInd w:w="0" w:type="dxa"/>
        <w:tblLayout w:type="fixed"/>
        <w:tblCellMar>
          <w:top w:w="0" w:type="dxa"/>
          <w:left w:w="30" w:type="dxa"/>
          <w:bottom w:w="0" w:type="dxa"/>
          <w:right w:w="30" w:type="dxa"/>
        </w:tblCellMar>
      </w:tblPr>
      <w:tblGrid>
        <w:gridCol w:w="1147"/>
        <w:gridCol w:w="3675"/>
        <w:gridCol w:w="1369"/>
        <w:gridCol w:w="1198"/>
        <w:gridCol w:w="1369"/>
      </w:tblGrid>
      <w:tr>
        <w:tblPrEx>
          <w:tblCellMar>
            <w:top w:w="0" w:type="dxa"/>
            <w:left w:w="30" w:type="dxa"/>
            <w:bottom w:w="0" w:type="dxa"/>
            <w:right w:w="30" w:type="dxa"/>
          </w:tblCellMar>
        </w:tblPrEx>
        <w:trPr>
          <w:trHeight w:val="306" w:hRule="atLeast"/>
          <w:tblHeader/>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项目序号</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内容</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单位</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保证值</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备注</w:t>
            </w: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直流电源系统</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1.1</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蓄电池</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电解液固定方式</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使用寿命</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年</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1.2</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充电装置</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稳流精度</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稳压精度</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（3）</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纹波系数</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（4）</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均流不平衡度</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（5）</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效率</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298"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（6）</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功率因数</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298"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r>
              <w:rPr>
                <w:rFonts w:cs="Arial"/>
                <w:color w:val="000000" w:themeColor="text1"/>
                <w:szCs w:val="21"/>
                <w14:textFill>
                  <w14:solidFill>
                    <w14:schemeClr w14:val="tx1"/>
                  </w14:solidFill>
                </w14:textFill>
              </w:rPr>
              <w:t>7</w:t>
            </w:r>
            <w:r>
              <w:rPr>
                <w:rFonts w:hint="eastAsia" w:cs="Arial"/>
                <w:color w:val="000000" w:themeColor="text1"/>
                <w:szCs w:val="21"/>
                <w14:textFill>
                  <w14:solidFill>
                    <w14:schemeClr w14:val="tx1"/>
                  </w14:solidFill>
                </w14:textFill>
              </w:rPr>
              <w:t>）</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lang w:eastAsia="zh-CN"/>
                <w14:textFill>
                  <w14:solidFill>
                    <w14:schemeClr w14:val="tx1"/>
                  </w14:solidFill>
                </w14:textFill>
              </w:rPr>
            </w:pPr>
            <w:r>
              <w:rPr>
                <w:rFonts w:hint="eastAsia" w:cs="Arial"/>
                <w:color w:val="000000" w:themeColor="text1"/>
                <w:szCs w:val="21"/>
                <w:lang w:eastAsia="zh-CN"/>
                <w14:textFill>
                  <w14:solidFill>
                    <w14:schemeClr w14:val="tx1"/>
                  </w14:solidFill>
                </w14:textFill>
              </w:rPr>
              <w:t>控制母线电压波动范围</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1.3</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放电装置</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额定电压</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V</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额定电流</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A</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（3）</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放电稳流精度</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（4）</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放电容量精度</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（5）</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放电电压精度</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（6）</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放电时间精度</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ms</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逆变电源系统</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输入电压</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V</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输出电压</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V</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（3）</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波形失真率</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（4）</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功率因数</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（5）</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过载能力</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（6）</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逆变效率</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35"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（7）</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谐波畸变率</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50" w:hRule="atLeast"/>
        </w:trPr>
        <w:tc>
          <w:tcPr>
            <w:tcW w:w="11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（8）</w:t>
            </w:r>
          </w:p>
        </w:tc>
        <w:tc>
          <w:tcPr>
            <w:tcW w:w="367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MTBF</w:t>
            </w: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小时</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36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bl>
    <w:p>
      <w:pPr>
        <w:pStyle w:val="2"/>
        <w:rPr>
          <w:rFonts w:hint="default" w:eastAsia="宋体"/>
          <w:lang w:val="en-US" w:eastAsia="zh-CN"/>
        </w:rPr>
      </w:pPr>
      <w:r>
        <w:rPr>
          <w:rFonts w:hint="eastAsia"/>
          <w:lang w:val="en-US" w:eastAsia="zh-CN"/>
        </w:rPr>
        <w:t>注：表中保证值由报价人填写。</w:t>
      </w:r>
    </w:p>
    <w:p>
      <w:pPr>
        <w:pStyle w:val="2"/>
        <w:rPr>
          <w:rFonts w:hint="eastAsia"/>
          <w:lang w:eastAsia="zh-CN"/>
        </w:rPr>
      </w:pPr>
      <w:bookmarkStart w:id="783" w:name="_Toc30164"/>
      <w:bookmarkStart w:id="784" w:name="_Toc20901"/>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ind w:firstLine="420" w:firstLineChars="200"/>
      </w:pPr>
      <w:r>
        <w:rPr>
          <w:rFonts w:hint="eastAsia"/>
          <w:lang w:eastAsia="zh-CN"/>
        </w:rPr>
        <w:t>3、</w:t>
      </w:r>
      <w:bookmarkStart w:id="785" w:name="_Toc120606716"/>
      <w:r>
        <w:rPr>
          <w:rFonts w:hint="eastAsia"/>
        </w:rPr>
        <w:t>设备技术参数表</w:t>
      </w:r>
      <w:bookmarkEnd w:id="783"/>
      <w:bookmarkEnd w:id="784"/>
      <w:bookmarkEnd w:id="785"/>
    </w:p>
    <w:tbl>
      <w:tblPr>
        <w:tblStyle w:val="44"/>
        <w:tblW w:w="8670" w:type="dxa"/>
        <w:tblInd w:w="0" w:type="dxa"/>
        <w:tblLayout w:type="fixed"/>
        <w:tblCellMar>
          <w:top w:w="0" w:type="dxa"/>
          <w:left w:w="30" w:type="dxa"/>
          <w:bottom w:w="0" w:type="dxa"/>
          <w:right w:w="30" w:type="dxa"/>
        </w:tblCellMar>
      </w:tblPr>
      <w:tblGrid>
        <w:gridCol w:w="750"/>
        <w:gridCol w:w="4140"/>
        <w:gridCol w:w="900"/>
        <w:gridCol w:w="1260"/>
        <w:gridCol w:w="1620"/>
      </w:tblGrid>
      <w:tr>
        <w:tblPrEx>
          <w:tblCellMar>
            <w:top w:w="0" w:type="dxa"/>
            <w:left w:w="30" w:type="dxa"/>
            <w:bottom w:w="0" w:type="dxa"/>
            <w:right w:w="30" w:type="dxa"/>
          </w:tblCellMar>
        </w:tblPrEx>
        <w:trPr>
          <w:trHeight w:val="340" w:hRule="exact"/>
          <w:tblHeader/>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序号</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内容</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单位</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数值</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备注</w:t>
            </w: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1</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直流电源系统</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1.1</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蓄电池</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外形尺寸</w:t>
            </w:r>
            <w:r>
              <w:rPr>
                <w:rFonts w:cs="Arial"/>
                <w:color w:val="000000" w:themeColor="text1"/>
                <w:szCs w:val="21"/>
                <w14:textFill>
                  <w14:solidFill>
                    <w14:schemeClr w14:val="tx1"/>
                  </w14:solidFill>
                </w14:textFill>
              </w:rPr>
              <w:t>(</w:t>
            </w:r>
            <w:r>
              <w:rPr>
                <w:rFonts w:hAnsi="Arial" w:cs="Arial"/>
                <w:color w:val="000000" w:themeColor="text1"/>
                <w:szCs w:val="21"/>
                <w14:textFill>
                  <w14:solidFill>
                    <w14:schemeClr w14:val="tx1"/>
                  </w14:solidFill>
                </w14:textFill>
              </w:rPr>
              <w:t>深</w:t>
            </w:r>
            <w:r>
              <w:rPr>
                <w:rFonts w:cs="Arial"/>
                <w:color w:val="000000" w:themeColor="text1"/>
                <w:szCs w:val="21"/>
                <w14:textFill>
                  <w14:solidFill>
                    <w14:schemeClr w14:val="tx1"/>
                  </w14:solidFill>
                </w14:textFill>
              </w:rPr>
              <w:t>×</w:t>
            </w:r>
            <w:r>
              <w:rPr>
                <w:rFonts w:hAnsi="Arial" w:cs="Arial"/>
                <w:color w:val="000000" w:themeColor="text1"/>
                <w:szCs w:val="21"/>
                <w14:textFill>
                  <w14:solidFill>
                    <w14:schemeClr w14:val="tx1"/>
                  </w14:solidFill>
                </w14:textFill>
              </w:rPr>
              <w:t>宽</w:t>
            </w:r>
            <w:r>
              <w:rPr>
                <w:rFonts w:cs="Arial"/>
                <w:color w:val="000000" w:themeColor="text1"/>
                <w:szCs w:val="21"/>
                <w14:textFill>
                  <w14:solidFill>
                    <w14:schemeClr w14:val="tx1"/>
                  </w14:solidFill>
                </w14:textFill>
              </w:rPr>
              <w:t>×</w:t>
            </w:r>
            <w:r>
              <w:rPr>
                <w:rFonts w:hAnsi="Arial" w:cs="Arial"/>
                <w:color w:val="000000" w:themeColor="text1"/>
                <w:szCs w:val="21"/>
                <w14:textFill>
                  <w14:solidFill>
                    <w14:schemeClr w14:val="tx1"/>
                  </w14:solidFill>
                </w14:textFill>
              </w:rPr>
              <w:t>高</w:t>
            </w:r>
            <w:r>
              <w:rPr>
                <w:rFonts w:cs="Arial"/>
                <w:color w:val="000000" w:themeColor="text1"/>
                <w:szCs w:val="21"/>
                <w14:textFill>
                  <w14:solidFill>
                    <w14:schemeClr w14:val="tx1"/>
                  </w14:solidFill>
                </w14:textFill>
              </w:rPr>
              <w:t>)</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mm</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(3)</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重量</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kg</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(4)</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浮充电压</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V</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(5)</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均充电压</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V</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6</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每月自放电率</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7</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工作温度范围</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8</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Ansi="Arial"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循环次数</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电池巡检装置</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测量误差</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1.3</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充电装置</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冷却方式</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(3)</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浮充电压稳定范围</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(4)</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充电电压调整范围</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(5)</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充电电流调整范围</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6</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负荷电流调整范围</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7</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MTBF</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1.4</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交流配电单元</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允许电压波动范围</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允许频率波动范围</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(3)</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lang w:eastAsia="zh-CN"/>
                <w14:textFill>
                  <w14:solidFill>
                    <w14:schemeClr w14:val="tx1"/>
                  </w14:solidFill>
                </w14:textFill>
              </w:rPr>
            </w:pPr>
            <w:r>
              <w:rPr>
                <w:rFonts w:hint="eastAsia" w:cs="Arial"/>
                <w:color w:val="000000" w:themeColor="text1"/>
                <w:szCs w:val="21"/>
                <w:lang w:eastAsia="zh-CN"/>
                <w14:textFill>
                  <w14:solidFill>
                    <w14:schemeClr w14:val="tx1"/>
                  </w14:solidFill>
                </w14:textFill>
              </w:rPr>
              <w:t>主要元器件</w:t>
            </w:r>
            <w:r>
              <w:rPr>
                <w:rFonts w:hint="eastAsia" w:hAnsi="Arial" w:cs="Arial"/>
                <w:color w:val="000000" w:themeColor="text1"/>
                <w:szCs w:val="21"/>
                <w:lang w:eastAsia="zh-CN"/>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lang w:eastAsia="zh-CN"/>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lang w:eastAsia="zh-CN"/>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lang w:eastAsia="zh-CN"/>
                <w14:textFill>
                  <w14:solidFill>
                    <w14:schemeClr w14:val="tx1"/>
                  </w14:solidFill>
                </w14:textFill>
              </w:rPr>
            </w:pPr>
          </w:p>
        </w:tc>
      </w:tr>
      <w:tr>
        <w:tblPrEx>
          <w:tblCellMar>
            <w:top w:w="0" w:type="dxa"/>
            <w:left w:w="30" w:type="dxa"/>
            <w:bottom w:w="0" w:type="dxa"/>
            <w:right w:w="30" w:type="dxa"/>
          </w:tblCellMar>
        </w:tblPrEx>
        <w:trPr>
          <w:trHeight w:val="368"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lang w:eastAsia="zh-CN"/>
                <w14:textFill>
                  <w14:solidFill>
                    <w14:schemeClr w14:val="tx1"/>
                  </w14:solidFill>
                </w14:textFill>
              </w:rPr>
            </w:pP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1.5</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lang w:eastAsia="zh-CN"/>
                <w14:textFill>
                  <w14:solidFill>
                    <w14:schemeClr w14:val="tx1"/>
                  </w14:solidFill>
                </w14:textFill>
              </w:rPr>
            </w:pPr>
            <w:r>
              <w:rPr>
                <w:rFonts w:hint="eastAsia" w:cs="Arial"/>
                <w:color w:val="000000" w:themeColor="text1"/>
                <w:szCs w:val="21"/>
                <w:lang w:eastAsia="zh-CN"/>
                <w14:textFill>
                  <w14:solidFill>
                    <w14:schemeClr w14:val="tx1"/>
                  </w14:solidFill>
                </w14:textFill>
              </w:rPr>
              <w:t>绝缘在线巡回检测装置</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lang w:eastAsia="zh-CN"/>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lang w:eastAsia="zh-CN"/>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lang w:eastAsia="zh-CN"/>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通信接口类型、数量</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1.6</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集中监控装置</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通信接口类型、数量</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1.7</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辅助电气设备</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1.7.1</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直流断路器</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1.7.2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熔断器</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1.7.3</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隔离开关</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1.8</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Ansi="Arial"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放电装置</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1.9</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Ansi="Arial"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柜体</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Ansi="Arial"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外形尺寸</w:t>
            </w:r>
            <w:r>
              <w:rPr>
                <w:rFonts w:cs="Arial"/>
                <w:color w:val="000000" w:themeColor="text1"/>
                <w:szCs w:val="21"/>
                <w14:textFill>
                  <w14:solidFill>
                    <w14:schemeClr w14:val="tx1"/>
                  </w14:solidFill>
                </w14:textFill>
              </w:rPr>
              <w:t>(</w:t>
            </w:r>
            <w:r>
              <w:rPr>
                <w:rFonts w:hAnsi="Arial" w:cs="Arial"/>
                <w:color w:val="000000" w:themeColor="text1"/>
                <w:szCs w:val="21"/>
                <w14:textFill>
                  <w14:solidFill>
                    <w14:schemeClr w14:val="tx1"/>
                  </w14:solidFill>
                </w14:textFill>
              </w:rPr>
              <w:t>深</w:t>
            </w:r>
            <w:r>
              <w:rPr>
                <w:rFonts w:cs="Arial"/>
                <w:color w:val="000000" w:themeColor="text1"/>
                <w:szCs w:val="21"/>
                <w14:textFill>
                  <w14:solidFill>
                    <w14:schemeClr w14:val="tx1"/>
                  </w14:solidFill>
                </w14:textFill>
              </w:rPr>
              <w:t>×</w:t>
            </w:r>
            <w:r>
              <w:rPr>
                <w:rFonts w:hAnsi="Arial" w:cs="Arial"/>
                <w:color w:val="000000" w:themeColor="text1"/>
                <w:szCs w:val="21"/>
                <w14:textFill>
                  <w14:solidFill>
                    <w14:schemeClr w14:val="tx1"/>
                  </w14:solidFill>
                </w14:textFill>
              </w:rPr>
              <w:t>宽</w:t>
            </w:r>
            <w:r>
              <w:rPr>
                <w:rFonts w:cs="Arial"/>
                <w:color w:val="000000" w:themeColor="text1"/>
                <w:szCs w:val="21"/>
                <w14:textFill>
                  <w14:solidFill>
                    <w14:schemeClr w14:val="tx1"/>
                  </w14:solidFill>
                </w14:textFill>
              </w:rPr>
              <w:t>×</w:t>
            </w:r>
            <w:r>
              <w:rPr>
                <w:rFonts w:hAnsi="Arial" w:cs="Arial"/>
                <w:color w:val="000000" w:themeColor="text1"/>
                <w:szCs w:val="21"/>
                <w14:textFill>
                  <w14:solidFill>
                    <w14:schemeClr w14:val="tx1"/>
                  </w14:solidFill>
                </w14:textFill>
              </w:rPr>
              <w:t>高</w:t>
            </w:r>
            <w:r>
              <w:rPr>
                <w:rFonts w:hint="eastAsia" w:hAnsi="Arial" w:cs="Arial"/>
                <w:color w:val="000000" w:themeColor="text1"/>
                <w:szCs w:val="21"/>
                <w14:textFill>
                  <w14:solidFill>
                    <w14:schemeClr w14:val="tx1"/>
                  </w14:solidFill>
                </w14:textFill>
              </w:rPr>
              <w:t>)</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mm</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Ansi="Arial"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防护等级</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交/直流配电系统</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2.1</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交流断路器</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直流断路器</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2.3</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lang w:eastAsia="zh-CN"/>
                <w14:textFill>
                  <w14:solidFill>
                    <w14:schemeClr w14:val="tx1"/>
                  </w14:solidFill>
                </w14:textFill>
              </w:rPr>
            </w:pPr>
            <w:r>
              <w:rPr>
                <w:rFonts w:hint="eastAsia" w:cs="Arial"/>
                <w:color w:val="000000" w:themeColor="text1"/>
                <w:szCs w:val="21"/>
                <w:lang w:eastAsia="zh-CN"/>
                <w14:textFill>
                  <w14:solidFill>
                    <w14:schemeClr w14:val="tx1"/>
                  </w14:solidFill>
                </w14:textFill>
              </w:rPr>
              <w:t>绝缘在线巡回检测装置</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lang w:eastAsia="zh-CN"/>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lang w:eastAsia="zh-CN"/>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lang w:eastAsia="zh-CN"/>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hAnsi="Arial" w:cs="Arial"/>
                <w:color w:val="000000" w:themeColor="text1"/>
                <w:szCs w:val="21"/>
                <w14:textFill>
                  <w14:solidFill>
                    <w14:schemeClr w14:val="tx1"/>
                  </w14:solidFill>
                </w14:textFill>
              </w:rPr>
              <w:t>生产厂家/型号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通信接口类型、数量</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3</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逆变电源系统</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1</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outlineLvl w:val="0"/>
              <w:rPr>
                <w:rFonts w:cs="Arial"/>
                <w:color w:val="000000" w:themeColor="text1"/>
                <w:szCs w:val="21"/>
                <w14:textFill>
                  <w14:solidFill>
                    <w14:schemeClr w14:val="tx1"/>
                  </w14:solidFill>
                </w14:textFill>
              </w:rPr>
            </w:pPr>
            <w:bookmarkStart w:id="786" w:name="_Toc11387"/>
            <w:bookmarkStart w:id="787" w:name="_Toc120606717"/>
            <w:bookmarkStart w:id="788" w:name="_Toc28373"/>
            <w:bookmarkStart w:id="789" w:name="_Toc14936"/>
            <w:bookmarkStart w:id="790" w:name="_Toc530661583"/>
            <w:bookmarkStart w:id="791" w:name="_Toc30830"/>
            <w:r>
              <w:rPr>
                <w:rFonts w:hint="eastAsia" w:hAnsi="Arial" w:cs="Arial"/>
                <w:color w:val="000000" w:themeColor="text1"/>
                <w:szCs w:val="21"/>
                <w14:textFill>
                  <w14:solidFill>
                    <w14:schemeClr w14:val="tx1"/>
                  </w14:solidFill>
                </w14:textFill>
              </w:rPr>
              <w:t>生产厂家/型号</w:t>
            </w:r>
            <w:bookmarkEnd w:id="786"/>
            <w:bookmarkEnd w:id="787"/>
            <w:bookmarkEnd w:id="788"/>
            <w:bookmarkEnd w:id="789"/>
            <w:bookmarkEnd w:id="790"/>
            <w:bookmarkEnd w:id="791"/>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lang w:eastAsia="zh-CN"/>
                <w14:textFill>
                  <w14:solidFill>
                    <w14:schemeClr w14:val="tx1"/>
                  </w14:solidFill>
                </w14:textFill>
              </w:rPr>
            </w:pPr>
            <w:r>
              <w:rPr>
                <w:rFonts w:hint="eastAsia" w:hAnsi="Arial" w:cs="Arial"/>
                <w:color w:val="000000" w:themeColor="text1"/>
                <w:szCs w:val="21"/>
                <w:lang w:eastAsia="zh-CN"/>
                <w14:textFill>
                  <w14:solidFill>
                    <w14:schemeClr w14:val="tx1"/>
                  </w14:solidFill>
                </w14:textFill>
              </w:rPr>
              <w:t>柜体</w:t>
            </w:r>
            <w:r>
              <w:rPr>
                <w:rFonts w:hAnsi="Arial" w:cs="Arial"/>
                <w:color w:val="000000" w:themeColor="text1"/>
                <w:szCs w:val="21"/>
                <w:lang w:eastAsia="zh-CN"/>
                <w14:textFill>
                  <w14:solidFill>
                    <w14:schemeClr w14:val="tx1"/>
                  </w14:solidFill>
                </w14:textFill>
              </w:rPr>
              <w:t>外形尺寸</w:t>
            </w:r>
            <w:r>
              <w:rPr>
                <w:rFonts w:cs="Arial"/>
                <w:color w:val="000000" w:themeColor="text1"/>
                <w:szCs w:val="21"/>
                <w:lang w:eastAsia="zh-CN"/>
                <w14:textFill>
                  <w14:solidFill>
                    <w14:schemeClr w14:val="tx1"/>
                  </w14:solidFill>
                </w14:textFill>
              </w:rPr>
              <w:t>(</w:t>
            </w:r>
            <w:r>
              <w:rPr>
                <w:rFonts w:hAnsi="Arial" w:cs="Arial"/>
                <w:color w:val="000000" w:themeColor="text1"/>
                <w:szCs w:val="21"/>
                <w:lang w:eastAsia="zh-CN"/>
                <w14:textFill>
                  <w14:solidFill>
                    <w14:schemeClr w14:val="tx1"/>
                  </w14:solidFill>
                </w14:textFill>
              </w:rPr>
              <w:t>深</w:t>
            </w:r>
            <w:r>
              <w:rPr>
                <w:rFonts w:cs="Arial"/>
                <w:color w:val="000000" w:themeColor="text1"/>
                <w:szCs w:val="21"/>
                <w:lang w:eastAsia="zh-CN"/>
                <w14:textFill>
                  <w14:solidFill>
                    <w14:schemeClr w14:val="tx1"/>
                  </w14:solidFill>
                </w14:textFill>
              </w:rPr>
              <w:t>×</w:t>
            </w:r>
            <w:r>
              <w:rPr>
                <w:rFonts w:hAnsi="Arial" w:cs="Arial"/>
                <w:color w:val="000000" w:themeColor="text1"/>
                <w:szCs w:val="21"/>
                <w:lang w:eastAsia="zh-CN"/>
                <w14:textFill>
                  <w14:solidFill>
                    <w14:schemeClr w14:val="tx1"/>
                  </w14:solidFill>
                </w14:textFill>
              </w:rPr>
              <w:t>宽</w:t>
            </w:r>
            <w:r>
              <w:rPr>
                <w:rFonts w:cs="Arial"/>
                <w:color w:val="000000" w:themeColor="text1"/>
                <w:szCs w:val="21"/>
                <w:lang w:eastAsia="zh-CN"/>
                <w14:textFill>
                  <w14:solidFill>
                    <w14:schemeClr w14:val="tx1"/>
                  </w14:solidFill>
                </w14:textFill>
              </w:rPr>
              <w:t>×</w:t>
            </w:r>
            <w:r>
              <w:rPr>
                <w:rFonts w:hAnsi="Arial" w:cs="Arial"/>
                <w:color w:val="000000" w:themeColor="text1"/>
                <w:szCs w:val="21"/>
                <w:lang w:eastAsia="zh-CN"/>
                <w14:textFill>
                  <w14:solidFill>
                    <w14:schemeClr w14:val="tx1"/>
                  </w14:solidFill>
                </w14:textFill>
              </w:rPr>
              <w:t>高</w:t>
            </w:r>
            <w:r>
              <w:rPr>
                <w:rFonts w:cs="Arial"/>
                <w:color w:val="000000" w:themeColor="text1"/>
                <w:szCs w:val="21"/>
                <w:lang w:eastAsia="zh-CN"/>
                <w14:textFill>
                  <w14:solidFill>
                    <w14:schemeClr w14:val="tx1"/>
                  </w14:solidFill>
                </w14:textFill>
              </w:rPr>
              <w:t>)</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mm</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(3)</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Ansi="Arial" w:cs="Arial"/>
                <w:color w:val="000000" w:themeColor="text1"/>
                <w:szCs w:val="21"/>
                <w14:textFill>
                  <w14:solidFill>
                    <w14:schemeClr w14:val="tx1"/>
                  </w14:solidFill>
                </w14:textFill>
              </w:rPr>
              <w:t>重量</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kg</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4</w:t>
            </w:r>
            <w:r>
              <w:rPr>
                <w:rFonts w:cs="Arial"/>
                <w:color w:val="000000" w:themeColor="text1"/>
                <w:szCs w:val="21"/>
                <w14:textFill>
                  <w14:solidFill>
                    <w14:schemeClr w14:val="tx1"/>
                  </w14:solidFill>
                </w14:textFill>
              </w:rPr>
              <w:t>)</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通信接口类型、数量</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r>
        <w:tblPrEx>
          <w:tblCellMar>
            <w:top w:w="0" w:type="dxa"/>
            <w:left w:w="30" w:type="dxa"/>
            <w:bottom w:w="0" w:type="dxa"/>
            <w:right w:w="30" w:type="dxa"/>
          </w:tblCellMar>
        </w:tblPrEx>
        <w:trPr>
          <w:trHeight w:val="340" w:hRule="exact"/>
        </w:trPr>
        <w:tc>
          <w:tcPr>
            <w:tcW w:w="75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（5）</w:t>
            </w:r>
          </w:p>
        </w:tc>
        <w:tc>
          <w:tcPr>
            <w:tcW w:w="4140"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待机损耗</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W</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color w:val="000000" w:themeColor="text1"/>
                <w:szCs w:val="21"/>
                <w14:textFill>
                  <w14:solidFill>
                    <w14:schemeClr w14:val="tx1"/>
                  </w14:solidFill>
                </w14:textFill>
              </w:rPr>
            </w:pPr>
          </w:p>
        </w:tc>
      </w:tr>
    </w:tbl>
    <w:p>
      <w:pPr>
        <w:pStyle w:val="2"/>
        <w:rPr>
          <w:lang w:eastAsia="zh-CN"/>
        </w:rPr>
      </w:pPr>
    </w:p>
    <w:p>
      <w:pPr>
        <w:pStyle w:val="2"/>
        <w:rPr>
          <w:rFonts w:hint="default" w:eastAsia="宋体"/>
          <w:lang w:val="en-US" w:eastAsia="zh-CN"/>
        </w:rPr>
      </w:pPr>
      <w:r>
        <w:rPr>
          <w:rFonts w:hint="eastAsia"/>
          <w:lang w:val="en-US" w:eastAsia="zh-CN"/>
        </w:rPr>
        <w:t>注：表中保证值由报价人填写。</w:t>
      </w: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ascii="Times New Roman" w:hAnsi="Times New Roman" w:eastAsia="方正仿宋_GBK" w:cs="Times New Roman"/>
          <w:i/>
          <w:iCs/>
          <w:sz w:val="32"/>
          <w:szCs w:val="32"/>
          <w:highlight w:val="yellow"/>
          <w:lang w:eastAsia="zh-CN"/>
        </w:rPr>
      </w:pPr>
    </w:p>
    <w:p>
      <w:pPr>
        <w:adjustRightInd w:val="0"/>
        <w:snapToGrid w:val="0"/>
        <w:spacing w:after="120" w:line="510" w:lineRule="exact"/>
        <w:rPr>
          <w:rFonts w:ascii="Times New Roman" w:hAnsi="Times New Roman" w:eastAsia="方正仿宋_GBK" w:cs="Times New Roman"/>
          <w:i/>
          <w:iCs/>
          <w:sz w:val="32"/>
          <w:szCs w:val="32"/>
          <w:highlight w:val="yellow"/>
          <w:lang w:eastAsia="zh-CN"/>
        </w:rPr>
      </w:pP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bookmarkStart w:id="792" w:name="_Toc80627904"/>
      <w:bookmarkStart w:id="793" w:name="_Toc29080"/>
      <w:bookmarkStart w:id="794" w:name="_Toc6834"/>
      <w:bookmarkStart w:id="795" w:name="_Toc15373"/>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bookmarkStart w:id="796" w:name="_Toc20296"/>
      <w:r>
        <w:rPr>
          <w:rFonts w:hint="eastAsia" w:ascii="Times New Roman" w:hAnsi="Times New Roman" w:eastAsia="方正小标宋_GBK" w:cs="Times New Roman"/>
          <w:bCs/>
          <w:sz w:val="44"/>
          <w:szCs w:val="44"/>
          <w:lang w:val="zh-CN" w:eastAsia="zh-CN"/>
        </w:rPr>
        <w:t>第五章</w:t>
      </w:r>
      <w:r>
        <w:rPr>
          <w:rFonts w:hint="eastAsia" w:ascii="Times New Roman" w:hAnsi="Times New Roman" w:eastAsia="方正小标宋_GBK" w:cs="Times New Roman"/>
          <w:bCs/>
          <w:sz w:val="44"/>
          <w:szCs w:val="44"/>
          <w:lang w:eastAsia="zh-CN"/>
        </w:rPr>
        <w:t xml:space="preserve"> </w:t>
      </w:r>
      <w:r>
        <w:rPr>
          <w:rFonts w:hint="eastAsia" w:ascii="Times New Roman" w:hAnsi="Times New Roman" w:eastAsia="方正小标宋_GBK" w:cs="Times New Roman"/>
          <w:bCs/>
          <w:sz w:val="44"/>
          <w:szCs w:val="44"/>
          <w:lang w:val="zh-CN" w:eastAsia="zh-CN"/>
        </w:rPr>
        <w:t>技术标准和要求</w:t>
      </w:r>
      <w:bookmarkEnd w:id="792"/>
      <w:bookmarkEnd w:id="793"/>
      <w:bookmarkEnd w:id="794"/>
      <w:bookmarkEnd w:id="795"/>
      <w:bookmarkEnd w:id="796"/>
    </w:p>
    <w:p>
      <w:pPr>
        <w:pStyle w:val="2"/>
        <w:numPr>
          <w:ilvl w:val="255"/>
          <w:numId w:val="0"/>
        </w:numPr>
        <w:rPr>
          <w:lang w:eastAsia="zh-CN"/>
        </w:rPr>
      </w:pPr>
    </w:p>
    <w:p>
      <w:pPr>
        <w:pStyle w:val="2"/>
        <w:numPr>
          <w:ilvl w:val="255"/>
          <w:numId w:val="0"/>
        </w:numPr>
        <w:rPr>
          <w:sz w:val="24"/>
          <w:szCs w:val="24"/>
          <w:lang w:eastAsia="zh-CN"/>
        </w:rPr>
      </w:pPr>
      <w:r>
        <w:rPr>
          <w:rFonts w:hint="eastAsia"/>
          <w:sz w:val="24"/>
          <w:szCs w:val="24"/>
          <w:lang w:eastAsia="zh-CN"/>
        </w:rPr>
        <w:t>附件：</w:t>
      </w:r>
    </w:p>
    <w:p>
      <w:pPr>
        <w:pStyle w:val="2"/>
        <w:numPr>
          <w:ilvl w:val="255"/>
          <w:numId w:val="0"/>
        </w:numPr>
        <w:rPr>
          <w:rFonts w:hint="eastAsia"/>
          <w:sz w:val="24"/>
          <w:szCs w:val="24"/>
          <w:lang w:eastAsia="zh-CN"/>
        </w:rPr>
      </w:pPr>
      <w:r>
        <w:rPr>
          <w:rFonts w:hint="eastAsia"/>
          <w:sz w:val="24"/>
          <w:szCs w:val="24"/>
          <w:lang w:eastAsia="zh-CN"/>
        </w:rPr>
        <w:t>《涪江干流梯级渠化双江航电枢纽工程直流系统及其附属设备采购技术文件》</w:t>
      </w:r>
    </w:p>
    <w:p>
      <w:pPr>
        <w:pStyle w:val="2"/>
        <w:numPr>
          <w:ilvl w:val="255"/>
          <w:numId w:val="0"/>
        </w:numPr>
        <w:rPr>
          <w:rFonts w:hint="eastAsia"/>
          <w:sz w:val="24"/>
          <w:szCs w:val="24"/>
          <w:lang w:val="en-US" w:eastAsia="zh-CN"/>
        </w:rPr>
      </w:pPr>
    </w:p>
    <w:p>
      <w:pPr>
        <w:pStyle w:val="2"/>
        <w:numPr>
          <w:ilvl w:val="255"/>
          <w:numId w:val="0"/>
        </w:numPr>
        <w:jc w:val="center"/>
        <w:rPr>
          <w:rFonts w:hint="eastAsia"/>
          <w:sz w:val="24"/>
          <w:szCs w:val="24"/>
          <w:lang w:val="en-US" w:eastAsia="zh-CN"/>
        </w:rPr>
      </w:pPr>
      <w:r>
        <w:rPr>
          <w:rFonts w:hint="eastAsia"/>
          <w:sz w:val="24"/>
          <w:szCs w:val="24"/>
          <w:lang w:val="en-US" w:eastAsia="zh-CN"/>
        </w:rPr>
        <w:t>主要技术指标表</w:t>
      </w:r>
    </w:p>
    <w:tbl>
      <w:tblPr>
        <w:tblStyle w:val="44"/>
        <w:tblW w:w="7770" w:type="dxa"/>
        <w:tblInd w:w="0" w:type="dxa"/>
        <w:tblLayout w:type="fixed"/>
        <w:tblCellMar>
          <w:top w:w="0" w:type="dxa"/>
          <w:left w:w="30" w:type="dxa"/>
          <w:bottom w:w="0" w:type="dxa"/>
          <w:right w:w="30" w:type="dxa"/>
        </w:tblCellMar>
      </w:tblPr>
      <w:tblGrid>
        <w:gridCol w:w="1206"/>
        <w:gridCol w:w="3864"/>
        <w:gridCol w:w="1440"/>
        <w:gridCol w:w="1260"/>
      </w:tblGrid>
      <w:tr>
        <w:tblPrEx>
          <w:tblCellMar>
            <w:top w:w="0" w:type="dxa"/>
            <w:left w:w="30" w:type="dxa"/>
            <w:bottom w:w="0" w:type="dxa"/>
            <w:right w:w="30" w:type="dxa"/>
          </w:tblCellMar>
        </w:tblPrEx>
        <w:trPr>
          <w:trHeight w:val="293" w:hRule="atLeast"/>
          <w:tblHeader/>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Ansi="Arial" w:cs="Arial"/>
                <w:szCs w:val="21"/>
              </w:rPr>
              <w:t>项目序号</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Ansi="Arial" w:cs="Arial"/>
                <w:szCs w:val="21"/>
              </w:rPr>
              <w:t>内容</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Ansi="Arial" w:cs="Arial"/>
                <w:szCs w:val="21"/>
              </w:rPr>
              <w:t>单位</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Ansi="Arial" w:cs="Arial"/>
                <w:szCs w:val="21"/>
              </w:rPr>
            </w:pPr>
            <w:r>
              <w:rPr>
                <w:rFonts w:hint="eastAsia" w:hAnsi="Arial" w:cs="Arial"/>
                <w:szCs w:val="21"/>
              </w:rPr>
              <w:t>规定值</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eastAsia="宋体" w:cs="Arial"/>
                <w:szCs w:val="21"/>
                <w:lang w:eastAsia="zh-CN"/>
              </w:rPr>
            </w:pPr>
            <w:r>
              <w:rPr>
                <w:rFonts w:hint="eastAsia" w:cs="Arial"/>
                <w:szCs w:val="21"/>
                <w:lang w:val="en-US" w:eastAsia="zh-CN"/>
              </w:rPr>
              <w:t>1</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hAnsi="宋体"/>
                <w:szCs w:val="21"/>
              </w:rPr>
              <w:t>使用寿命</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年</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cs="Arial"/>
                <w:szCs w:val="21"/>
              </w:rPr>
              <w:t>1</w:t>
            </w:r>
            <w:r>
              <w:rPr>
                <w:rFonts w:cs="Arial"/>
                <w:szCs w:val="21"/>
              </w:rPr>
              <w:t>8</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eastAsia="宋体" w:cs="Arial"/>
                <w:szCs w:val="21"/>
                <w:lang w:eastAsia="zh-CN"/>
              </w:rPr>
            </w:pPr>
            <w:r>
              <w:rPr>
                <w:rFonts w:hint="eastAsia" w:cs="Arial"/>
                <w:szCs w:val="21"/>
                <w:lang w:val="en-US" w:eastAsia="zh-CN"/>
              </w:rPr>
              <w:t>2</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稳流精度</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sz w:val="22"/>
                <w:szCs w:val="22"/>
              </w:rPr>
              <w:t>－</w:t>
            </w:r>
            <w:r>
              <w:rPr>
                <w:sz w:val="22"/>
                <w:szCs w:val="22"/>
              </w:rPr>
              <w:t>1</w:t>
            </w:r>
            <w:r>
              <w:rPr>
                <w:rFonts w:hint="eastAsia"/>
                <w:sz w:val="22"/>
                <w:szCs w:val="22"/>
              </w:rPr>
              <w:t>％</w:t>
            </w:r>
            <w:r>
              <w:rPr>
                <w:sz w:val="22"/>
                <w:szCs w:val="22"/>
              </w:rPr>
              <w:t>~+1%</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eastAsia="宋体" w:cs="Arial"/>
                <w:szCs w:val="21"/>
                <w:lang w:eastAsia="zh-CN"/>
              </w:rPr>
            </w:pPr>
            <w:r>
              <w:rPr>
                <w:rFonts w:hint="eastAsia" w:cs="Arial"/>
                <w:szCs w:val="21"/>
                <w:lang w:val="en-US" w:eastAsia="zh-CN"/>
              </w:rPr>
              <w:t>3</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Ansi="宋体"/>
                <w:szCs w:val="21"/>
              </w:rPr>
            </w:pPr>
            <w:r>
              <w:rPr>
                <w:rFonts w:hint="eastAsia" w:hAnsi="宋体"/>
                <w:szCs w:val="21"/>
              </w:rPr>
              <w:t>稳压精度</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sz w:val="22"/>
                <w:szCs w:val="22"/>
              </w:rPr>
              <w:t>－</w:t>
            </w:r>
            <w:r>
              <w:rPr>
                <w:sz w:val="22"/>
                <w:szCs w:val="22"/>
              </w:rPr>
              <w:t>0.5</w:t>
            </w:r>
            <w:r>
              <w:rPr>
                <w:rFonts w:hint="eastAsia"/>
                <w:sz w:val="22"/>
                <w:szCs w:val="22"/>
              </w:rPr>
              <w:t>％</w:t>
            </w:r>
            <w:r>
              <w:rPr>
                <w:sz w:val="22"/>
                <w:szCs w:val="22"/>
              </w:rPr>
              <w:t>~</w:t>
            </w:r>
            <w:r>
              <w:rPr>
                <w:rFonts w:hint="eastAsia"/>
                <w:sz w:val="22"/>
                <w:szCs w:val="22"/>
              </w:rPr>
              <w:t>＋</w:t>
            </w:r>
            <w:r>
              <w:rPr>
                <w:sz w:val="22"/>
                <w:szCs w:val="22"/>
              </w:rPr>
              <w:t>0.5%</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eastAsia="宋体" w:cs="Arial"/>
                <w:szCs w:val="21"/>
                <w:lang w:eastAsia="zh-CN"/>
              </w:rPr>
            </w:pPr>
            <w:r>
              <w:rPr>
                <w:rFonts w:hint="eastAsia" w:cs="Arial"/>
                <w:szCs w:val="21"/>
                <w:lang w:val="en-US" w:eastAsia="zh-CN"/>
              </w:rPr>
              <w:t>4</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纹波系数</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sz w:val="22"/>
                <w:szCs w:val="22"/>
              </w:rPr>
              <w:t>≤±</w:t>
            </w:r>
            <w:r>
              <w:rPr>
                <w:sz w:val="22"/>
                <w:szCs w:val="22"/>
              </w:rPr>
              <w:t>0.5%</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eastAsia="宋体" w:cs="Arial"/>
                <w:szCs w:val="21"/>
                <w:lang w:eastAsia="zh-CN"/>
              </w:rPr>
            </w:pPr>
            <w:r>
              <w:rPr>
                <w:rFonts w:hint="eastAsia" w:cs="Arial"/>
                <w:szCs w:val="21"/>
                <w:lang w:val="en-US" w:eastAsia="zh-CN"/>
              </w:rPr>
              <w:t>5</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效率</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sz w:val="22"/>
                <w:szCs w:val="22"/>
              </w:rPr>
              <w:t>≥</w:t>
            </w:r>
            <w:r>
              <w:rPr>
                <w:sz w:val="22"/>
                <w:szCs w:val="22"/>
              </w:rPr>
              <w:t>0.94</w:t>
            </w:r>
          </w:p>
        </w:tc>
      </w:tr>
      <w:tr>
        <w:tblPrEx>
          <w:tblCellMar>
            <w:top w:w="0" w:type="dxa"/>
            <w:left w:w="30" w:type="dxa"/>
            <w:bottom w:w="0" w:type="dxa"/>
            <w:right w:w="30" w:type="dxa"/>
          </w:tblCellMar>
        </w:tblPrEx>
        <w:trPr>
          <w:trHeight w:val="146"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eastAsia="宋体" w:cs="Arial"/>
                <w:szCs w:val="21"/>
                <w:lang w:eastAsia="zh-CN"/>
              </w:rPr>
            </w:pPr>
            <w:r>
              <w:rPr>
                <w:rFonts w:hint="eastAsia" w:cs="Arial"/>
                <w:szCs w:val="21"/>
                <w:lang w:val="en-US" w:eastAsia="zh-CN"/>
              </w:rPr>
              <w:t>6</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功率因数</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sz w:val="22"/>
                <w:szCs w:val="22"/>
              </w:rPr>
              <w:t>≥</w:t>
            </w:r>
            <w:r>
              <w:rPr>
                <w:sz w:val="22"/>
                <w:szCs w:val="22"/>
              </w:rPr>
              <w:t>0.9</w:t>
            </w:r>
          </w:p>
        </w:tc>
      </w:tr>
      <w:tr>
        <w:tblPrEx>
          <w:tblCellMar>
            <w:top w:w="0" w:type="dxa"/>
            <w:left w:w="30" w:type="dxa"/>
            <w:bottom w:w="0" w:type="dxa"/>
            <w:right w:w="30" w:type="dxa"/>
          </w:tblCellMar>
        </w:tblPrEx>
        <w:trPr>
          <w:trHeight w:val="296"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eastAsia="宋体" w:cs="Arial"/>
                <w:szCs w:val="21"/>
                <w:lang w:eastAsia="zh-CN"/>
              </w:rPr>
            </w:pPr>
            <w:r>
              <w:rPr>
                <w:rFonts w:hint="eastAsia" w:cs="Arial"/>
                <w:szCs w:val="21"/>
                <w:lang w:val="en-US" w:eastAsia="zh-CN"/>
              </w:rPr>
              <w:t>7</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额定电压</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V</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szCs w:val="21"/>
              </w:rPr>
              <w:t>220V</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eastAsia="宋体" w:cs="Arial"/>
                <w:szCs w:val="21"/>
                <w:lang w:eastAsia="zh-CN"/>
              </w:rPr>
            </w:pPr>
            <w:r>
              <w:rPr>
                <w:rFonts w:hint="eastAsia" w:cs="Arial"/>
                <w:szCs w:val="21"/>
                <w:lang w:val="en-US" w:eastAsia="zh-CN"/>
              </w:rPr>
              <w:t>8</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额定电流</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A</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szCs w:val="21"/>
              </w:rPr>
              <w:t>0</w:t>
            </w:r>
            <w:r>
              <w:rPr>
                <w:rFonts w:hint="eastAsia"/>
                <w:szCs w:val="21"/>
              </w:rPr>
              <w:t>-</w:t>
            </w:r>
            <w:r>
              <w:rPr>
                <w:szCs w:val="21"/>
              </w:rPr>
              <w:t>20</w:t>
            </w:r>
            <w:r>
              <w:rPr>
                <w:rFonts w:hint="eastAsia"/>
                <w:szCs w:val="21"/>
              </w:rPr>
              <w:t>0</w:t>
            </w:r>
            <w:r>
              <w:rPr>
                <w:szCs w:val="21"/>
              </w:rPr>
              <w:t>A</w:t>
            </w:r>
            <w:r>
              <w:rPr>
                <w:rFonts w:hint="eastAsia"/>
                <w:szCs w:val="21"/>
              </w:rPr>
              <w:t>，连续可调</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eastAsia="宋体" w:cs="Arial"/>
                <w:szCs w:val="21"/>
                <w:lang w:eastAsia="zh-CN"/>
              </w:rPr>
            </w:pPr>
            <w:r>
              <w:rPr>
                <w:rFonts w:hint="eastAsia" w:cs="Arial"/>
                <w:szCs w:val="21"/>
                <w:lang w:val="en-US" w:eastAsia="zh-CN"/>
              </w:rPr>
              <w:t>9</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放电稳流精度</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szCs w:val="21"/>
              </w:rPr>
              <w:t>≤</w:t>
            </w:r>
            <w:r>
              <w:rPr>
                <w:szCs w:val="21"/>
              </w:rPr>
              <w:t>0</w:t>
            </w:r>
            <w:r>
              <w:rPr>
                <w:rFonts w:hint="eastAsia"/>
                <w:szCs w:val="21"/>
              </w:rPr>
              <w:t>.2％</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eastAsia="宋体" w:cs="Arial"/>
                <w:szCs w:val="21"/>
                <w:lang w:val="en-US" w:eastAsia="zh-CN"/>
              </w:rPr>
            </w:pPr>
            <w:r>
              <w:rPr>
                <w:rFonts w:hint="eastAsia" w:cs="Arial"/>
                <w:szCs w:val="21"/>
                <w:lang w:val="en-US" w:eastAsia="zh-CN"/>
              </w:rPr>
              <w:t>10</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放电容量精度</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szCs w:val="21"/>
              </w:rPr>
              <w:t>≤</w:t>
            </w:r>
            <w:r>
              <w:rPr>
                <w:szCs w:val="21"/>
              </w:rPr>
              <w:t>0</w:t>
            </w:r>
            <w:r>
              <w:rPr>
                <w:rFonts w:hint="eastAsia"/>
                <w:szCs w:val="21"/>
              </w:rPr>
              <w:t>.2％</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eastAsia="宋体" w:cs="Arial"/>
                <w:szCs w:val="21"/>
                <w:lang w:val="en-US" w:eastAsia="zh-CN"/>
              </w:rPr>
            </w:pPr>
            <w:r>
              <w:rPr>
                <w:rFonts w:hint="eastAsia" w:cs="Arial"/>
                <w:szCs w:val="21"/>
                <w:lang w:val="en-US" w:eastAsia="zh-CN"/>
              </w:rPr>
              <w:t>11</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放电电压精度</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szCs w:val="21"/>
              </w:rPr>
              <w:t>≤</w:t>
            </w:r>
            <w:r>
              <w:rPr>
                <w:szCs w:val="21"/>
              </w:rPr>
              <w:t>0</w:t>
            </w:r>
            <w:r>
              <w:rPr>
                <w:rFonts w:hint="eastAsia"/>
                <w:szCs w:val="21"/>
              </w:rPr>
              <w:t>.2％</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eastAsia="宋体" w:cs="Arial"/>
                <w:szCs w:val="21"/>
                <w:lang w:val="en-US" w:eastAsia="zh-CN"/>
              </w:rPr>
            </w:pPr>
            <w:r>
              <w:rPr>
                <w:rFonts w:hint="eastAsia" w:cs="Arial"/>
                <w:szCs w:val="21"/>
                <w:lang w:val="en-US" w:eastAsia="zh-CN"/>
              </w:rPr>
              <w:t>12</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放电时间精度</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ms</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szCs w:val="21"/>
              </w:rPr>
              <w:t>≤10ms</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eastAsia="宋体" w:cs="Arial"/>
                <w:szCs w:val="21"/>
                <w:lang w:val="en-US" w:eastAsia="zh-CN"/>
              </w:rPr>
            </w:pPr>
            <w:r>
              <w:rPr>
                <w:rFonts w:hint="eastAsia" w:cs="Arial"/>
                <w:szCs w:val="21"/>
                <w:lang w:val="en-US" w:eastAsia="zh-CN"/>
              </w:rPr>
              <w:t>13</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输入电压</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V</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spacing w:val="5"/>
                <w:kern w:val="0"/>
                <w:szCs w:val="21"/>
              </w:rPr>
              <w:t>2</w:t>
            </w:r>
            <w:r>
              <w:rPr>
                <w:rFonts w:hint="eastAsia"/>
                <w:spacing w:val="5"/>
                <w:kern w:val="0"/>
                <w:szCs w:val="21"/>
              </w:rPr>
              <w:t>回DC220V，1回AV380V</w:t>
            </w:r>
          </w:p>
        </w:tc>
      </w:tr>
      <w:tr>
        <w:tblPrEx>
          <w:tblCellMar>
            <w:top w:w="0" w:type="dxa"/>
            <w:left w:w="30" w:type="dxa"/>
            <w:bottom w:w="0" w:type="dxa"/>
            <w:right w:w="30" w:type="dxa"/>
          </w:tblCellMar>
        </w:tblPrEx>
        <w:trPr>
          <w:trHeight w:val="322" w:hRule="atLeast"/>
        </w:trPr>
        <w:tc>
          <w:tcPr>
            <w:tcW w:w="120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eastAsia="宋体" w:cs="Arial"/>
                <w:szCs w:val="21"/>
                <w:lang w:val="en-US" w:eastAsia="zh-CN"/>
              </w:rPr>
            </w:pPr>
            <w:r>
              <w:rPr>
                <w:rFonts w:hint="eastAsia" w:cs="Arial"/>
                <w:szCs w:val="21"/>
                <w:lang w:val="en-US" w:eastAsia="zh-CN"/>
              </w:rPr>
              <w:t>14</w:t>
            </w:r>
          </w:p>
        </w:tc>
        <w:tc>
          <w:tcPr>
            <w:tcW w:w="386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cs="Arial"/>
                <w:szCs w:val="21"/>
              </w:rPr>
            </w:pPr>
            <w:r>
              <w:rPr>
                <w:rFonts w:hint="eastAsia" w:cs="Arial"/>
                <w:szCs w:val="21"/>
              </w:rPr>
              <w:t>输出电压</w:t>
            </w: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cs="Arial"/>
                <w:szCs w:val="21"/>
              </w:rPr>
            </w:pPr>
            <w:r>
              <w:rPr>
                <w:rFonts w:hint="eastAsia" w:cs="Arial"/>
                <w:szCs w:val="21"/>
              </w:rPr>
              <w:t>V</w:t>
            </w: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cs="Arial"/>
                <w:szCs w:val="21"/>
              </w:rPr>
            </w:pPr>
            <w:r>
              <w:rPr>
                <w:rFonts w:hint="eastAsia"/>
                <w:spacing w:val="5"/>
                <w:kern w:val="0"/>
                <w:szCs w:val="21"/>
              </w:rPr>
              <w:t>AC</w:t>
            </w:r>
            <w:r>
              <w:rPr>
                <w:spacing w:val="5"/>
                <w:kern w:val="0"/>
                <w:szCs w:val="21"/>
              </w:rPr>
              <w:t>38</w:t>
            </w:r>
            <w:r>
              <w:rPr>
                <w:rFonts w:hint="eastAsia"/>
                <w:spacing w:val="5"/>
                <w:kern w:val="0"/>
                <w:szCs w:val="21"/>
              </w:rPr>
              <w:t>0V</w:t>
            </w:r>
          </w:p>
        </w:tc>
      </w:tr>
    </w:tbl>
    <w:p>
      <w:pPr>
        <w:pStyle w:val="2"/>
        <w:numPr>
          <w:ilvl w:val="255"/>
          <w:numId w:val="0"/>
        </w:numPr>
        <w:jc w:val="center"/>
        <w:rPr>
          <w:rFonts w:hint="default"/>
          <w:sz w:val="24"/>
          <w:szCs w:val="24"/>
          <w:lang w:val="en-US" w:eastAsia="zh-CN"/>
        </w:rPr>
      </w:pPr>
    </w:p>
    <w:sectPr>
      <w:headerReference r:id="rId5" w:type="default"/>
      <w:footerReference r:id="rId6" w:type="default"/>
      <w:pgSz w:w="11907" w:h="16840"/>
      <w:pgMar w:top="1440" w:right="1797" w:bottom="1440" w:left="1797" w:header="851" w:footer="992" w:gutter="0"/>
      <w:pgNumType w:start="1"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21474"/>
    <w:multiLevelType w:val="singleLevel"/>
    <w:tmpl w:val="9F021474"/>
    <w:lvl w:ilvl="0" w:tentative="0">
      <w:start w:val="1"/>
      <w:numFmt w:val="chineseCounting"/>
      <w:suff w:val="nothing"/>
      <w:lvlText w:val="%1、"/>
      <w:lvlJc w:val="left"/>
      <w:rPr>
        <w:rFonts w:hint="eastAsia"/>
      </w:rPr>
    </w:lvl>
  </w:abstractNum>
  <w:abstractNum w:abstractNumId="1">
    <w:nsid w:val="E9877E0E"/>
    <w:multiLevelType w:val="singleLevel"/>
    <w:tmpl w:val="E9877E0E"/>
    <w:lvl w:ilvl="0" w:tentative="0">
      <w:start w:val="3"/>
      <w:numFmt w:val="chineseCounting"/>
      <w:suff w:val="nothing"/>
      <w:lvlText w:val="%1、"/>
      <w:lvlJc w:val="left"/>
      <w:rPr>
        <w:rFonts w:hint="eastAsia"/>
      </w:rPr>
    </w:lvl>
  </w:abstractNum>
  <w:abstractNum w:abstractNumId="2">
    <w:nsid w:val="0B851F9A"/>
    <w:multiLevelType w:val="multilevel"/>
    <w:tmpl w:val="0B851F9A"/>
    <w:lvl w:ilvl="0" w:tentative="0">
      <w:start w:val="1"/>
      <w:numFmt w:val="decimal"/>
      <w:lvlText w:val="1.%1."/>
      <w:lvlJc w:val="left"/>
      <w:pPr>
        <w:ind w:left="360" w:hanging="36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60DA8213"/>
    <w:multiLevelType w:val="singleLevel"/>
    <w:tmpl w:val="60DA8213"/>
    <w:lvl w:ilvl="0" w:tentative="0">
      <w:start w:val="1"/>
      <w:numFmt w:val="decimal"/>
      <w:suff w:val="nothing"/>
      <w:lvlText w:val="%1）"/>
      <w:lvlJc w:val="left"/>
    </w:lvl>
  </w:abstractNum>
  <w:abstractNum w:abstractNumId="4">
    <w:nsid w:val="610B5B92"/>
    <w:multiLevelType w:val="singleLevel"/>
    <w:tmpl w:val="610B5B92"/>
    <w:lvl w:ilvl="0" w:tentative="0">
      <w:start w:val="1"/>
      <w:numFmt w:val="decimal"/>
      <w:suff w:val="nothing"/>
      <w:lvlText w:val="%1）"/>
      <w:lvlJc w:val="left"/>
    </w:lvl>
  </w:abstractNum>
  <w:abstractNum w:abstractNumId="5">
    <w:nsid w:val="6141B84E"/>
    <w:multiLevelType w:val="singleLevel"/>
    <w:tmpl w:val="6141B84E"/>
    <w:lvl w:ilvl="0" w:tentative="0">
      <w:start w:val="2"/>
      <w:numFmt w:val="decimal"/>
      <w:suff w:val="nothing"/>
      <w:lvlText w:val="%1."/>
      <w:lvlJc w:val="left"/>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ZTkxOGJkYjFkZGIzZDQ4ZjE4OTZjZTY4M2I2MDQifQ=="/>
  </w:docVars>
  <w:rsids>
    <w:rsidRoot w:val="00F03D31"/>
    <w:rsid w:val="000038E9"/>
    <w:rsid w:val="0001753D"/>
    <w:rsid w:val="0002442F"/>
    <w:rsid w:val="000251A1"/>
    <w:rsid w:val="000331F9"/>
    <w:rsid w:val="00057F05"/>
    <w:rsid w:val="00062D78"/>
    <w:rsid w:val="0006682E"/>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D35BA"/>
    <w:rsid w:val="002F11A2"/>
    <w:rsid w:val="0030195D"/>
    <w:rsid w:val="003318FF"/>
    <w:rsid w:val="0034245D"/>
    <w:rsid w:val="00347BB9"/>
    <w:rsid w:val="00363759"/>
    <w:rsid w:val="003653E6"/>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B6445"/>
    <w:rsid w:val="004C2A3A"/>
    <w:rsid w:val="004C31A4"/>
    <w:rsid w:val="004C3627"/>
    <w:rsid w:val="004C7BEC"/>
    <w:rsid w:val="004E164E"/>
    <w:rsid w:val="004E25DC"/>
    <w:rsid w:val="004E2FC4"/>
    <w:rsid w:val="004E3153"/>
    <w:rsid w:val="004E71E2"/>
    <w:rsid w:val="004F395A"/>
    <w:rsid w:val="004F6EF2"/>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7317D"/>
    <w:rsid w:val="007774A1"/>
    <w:rsid w:val="007824B9"/>
    <w:rsid w:val="007A26AB"/>
    <w:rsid w:val="007A55C4"/>
    <w:rsid w:val="007B06B2"/>
    <w:rsid w:val="007C56A4"/>
    <w:rsid w:val="00824248"/>
    <w:rsid w:val="00827C85"/>
    <w:rsid w:val="008408C8"/>
    <w:rsid w:val="00846809"/>
    <w:rsid w:val="008529C1"/>
    <w:rsid w:val="00854BAB"/>
    <w:rsid w:val="00860362"/>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55A1B"/>
    <w:rsid w:val="00964B91"/>
    <w:rsid w:val="00972AA1"/>
    <w:rsid w:val="009768C4"/>
    <w:rsid w:val="00996613"/>
    <w:rsid w:val="009B2376"/>
    <w:rsid w:val="009C11BB"/>
    <w:rsid w:val="009C1DD9"/>
    <w:rsid w:val="009C523E"/>
    <w:rsid w:val="009D1FF4"/>
    <w:rsid w:val="009D6466"/>
    <w:rsid w:val="009E1C9D"/>
    <w:rsid w:val="009E5716"/>
    <w:rsid w:val="00A16B71"/>
    <w:rsid w:val="00A302F4"/>
    <w:rsid w:val="00A3706B"/>
    <w:rsid w:val="00A6325C"/>
    <w:rsid w:val="00A668FA"/>
    <w:rsid w:val="00A71465"/>
    <w:rsid w:val="00A92441"/>
    <w:rsid w:val="00AA5ADC"/>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05B9"/>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67E17"/>
    <w:rsid w:val="00C806ED"/>
    <w:rsid w:val="00C92D4B"/>
    <w:rsid w:val="00C952A5"/>
    <w:rsid w:val="00CB7A77"/>
    <w:rsid w:val="00CC2029"/>
    <w:rsid w:val="00CD4332"/>
    <w:rsid w:val="00D01E4D"/>
    <w:rsid w:val="00D07B97"/>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1878"/>
    <w:rsid w:val="00DB2961"/>
    <w:rsid w:val="00DB5738"/>
    <w:rsid w:val="00DB75D4"/>
    <w:rsid w:val="00DE0187"/>
    <w:rsid w:val="00DF3BA8"/>
    <w:rsid w:val="00E02256"/>
    <w:rsid w:val="00E03378"/>
    <w:rsid w:val="00E24418"/>
    <w:rsid w:val="00E31E5B"/>
    <w:rsid w:val="00E32EFF"/>
    <w:rsid w:val="00E436D5"/>
    <w:rsid w:val="00E6238E"/>
    <w:rsid w:val="00E63C9C"/>
    <w:rsid w:val="00E73EC9"/>
    <w:rsid w:val="00E85A17"/>
    <w:rsid w:val="00E86E95"/>
    <w:rsid w:val="00E937CA"/>
    <w:rsid w:val="00EA037A"/>
    <w:rsid w:val="00EB055F"/>
    <w:rsid w:val="00EC443B"/>
    <w:rsid w:val="00EC7F6D"/>
    <w:rsid w:val="00ED1A94"/>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3E172C5"/>
    <w:rsid w:val="048A3FA3"/>
    <w:rsid w:val="04BE7047"/>
    <w:rsid w:val="04C75BA9"/>
    <w:rsid w:val="05046843"/>
    <w:rsid w:val="0636605F"/>
    <w:rsid w:val="067A2C61"/>
    <w:rsid w:val="06E217E8"/>
    <w:rsid w:val="06ED263D"/>
    <w:rsid w:val="073A59CF"/>
    <w:rsid w:val="07501833"/>
    <w:rsid w:val="07854C3A"/>
    <w:rsid w:val="082C3C8D"/>
    <w:rsid w:val="08651193"/>
    <w:rsid w:val="08F93D5B"/>
    <w:rsid w:val="09CD7F8F"/>
    <w:rsid w:val="09F50B90"/>
    <w:rsid w:val="0A95138C"/>
    <w:rsid w:val="0BB95CD2"/>
    <w:rsid w:val="0BFE4292"/>
    <w:rsid w:val="0C292867"/>
    <w:rsid w:val="0CD07E15"/>
    <w:rsid w:val="0CFA4A65"/>
    <w:rsid w:val="0F2B61D1"/>
    <w:rsid w:val="0F805784"/>
    <w:rsid w:val="0FB66909"/>
    <w:rsid w:val="10505E44"/>
    <w:rsid w:val="106815E3"/>
    <w:rsid w:val="10A81391"/>
    <w:rsid w:val="117A6EEF"/>
    <w:rsid w:val="12B33874"/>
    <w:rsid w:val="13B86C2F"/>
    <w:rsid w:val="14295DAF"/>
    <w:rsid w:val="142A7E51"/>
    <w:rsid w:val="147026FF"/>
    <w:rsid w:val="14A4636B"/>
    <w:rsid w:val="159E24E8"/>
    <w:rsid w:val="162417DF"/>
    <w:rsid w:val="16A76DEE"/>
    <w:rsid w:val="176048E7"/>
    <w:rsid w:val="179D0805"/>
    <w:rsid w:val="17AC5B95"/>
    <w:rsid w:val="19421CE6"/>
    <w:rsid w:val="198130EF"/>
    <w:rsid w:val="19AE416C"/>
    <w:rsid w:val="19DD43BA"/>
    <w:rsid w:val="1A4B45F5"/>
    <w:rsid w:val="1AEB3291"/>
    <w:rsid w:val="1CEB3111"/>
    <w:rsid w:val="1D1E25DF"/>
    <w:rsid w:val="1D652848"/>
    <w:rsid w:val="1DD736C3"/>
    <w:rsid w:val="1E5C3BAD"/>
    <w:rsid w:val="1E8D365E"/>
    <w:rsid w:val="21CC3BA7"/>
    <w:rsid w:val="21D35E63"/>
    <w:rsid w:val="21E3769E"/>
    <w:rsid w:val="22102401"/>
    <w:rsid w:val="228765EB"/>
    <w:rsid w:val="22DE7BF2"/>
    <w:rsid w:val="23347A4B"/>
    <w:rsid w:val="241174C5"/>
    <w:rsid w:val="24304B96"/>
    <w:rsid w:val="24430E72"/>
    <w:rsid w:val="24B738C2"/>
    <w:rsid w:val="24CA5E5B"/>
    <w:rsid w:val="255178E6"/>
    <w:rsid w:val="255E1927"/>
    <w:rsid w:val="25F14B98"/>
    <w:rsid w:val="26710645"/>
    <w:rsid w:val="26A91696"/>
    <w:rsid w:val="272F2851"/>
    <w:rsid w:val="274F3DB2"/>
    <w:rsid w:val="279C6923"/>
    <w:rsid w:val="27BD1AEB"/>
    <w:rsid w:val="27DD647C"/>
    <w:rsid w:val="288C5814"/>
    <w:rsid w:val="28A84365"/>
    <w:rsid w:val="28FC289D"/>
    <w:rsid w:val="2914405B"/>
    <w:rsid w:val="29156EF2"/>
    <w:rsid w:val="2B004385"/>
    <w:rsid w:val="2B052B73"/>
    <w:rsid w:val="2B6948BD"/>
    <w:rsid w:val="2BF539B5"/>
    <w:rsid w:val="2C61237F"/>
    <w:rsid w:val="2D280A7E"/>
    <w:rsid w:val="2F2146E2"/>
    <w:rsid w:val="2F640A4E"/>
    <w:rsid w:val="30664E0D"/>
    <w:rsid w:val="319A23E2"/>
    <w:rsid w:val="322723F2"/>
    <w:rsid w:val="328937F3"/>
    <w:rsid w:val="32F017EB"/>
    <w:rsid w:val="32F077A2"/>
    <w:rsid w:val="3360067F"/>
    <w:rsid w:val="33C83BC3"/>
    <w:rsid w:val="35142961"/>
    <w:rsid w:val="35153592"/>
    <w:rsid w:val="35276BCD"/>
    <w:rsid w:val="35996867"/>
    <w:rsid w:val="35E95710"/>
    <w:rsid w:val="380F0377"/>
    <w:rsid w:val="387B5356"/>
    <w:rsid w:val="389F0583"/>
    <w:rsid w:val="39F85D10"/>
    <w:rsid w:val="3A921DEF"/>
    <w:rsid w:val="3B3B1938"/>
    <w:rsid w:val="3B536115"/>
    <w:rsid w:val="3B896557"/>
    <w:rsid w:val="3C51675B"/>
    <w:rsid w:val="3CD81731"/>
    <w:rsid w:val="3D12686E"/>
    <w:rsid w:val="3D18578A"/>
    <w:rsid w:val="3DA55E6C"/>
    <w:rsid w:val="3DB11BE6"/>
    <w:rsid w:val="3DC654EF"/>
    <w:rsid w:val="3E0A4684"/>
    <w:rsid w:val="3E415AC4"/>
    <w:rsid w:val="3EC066EC"/>
    <w:rsid w:val="3ED20001"/>
    <w:rsid w:val="3EE322BE"/>
    <w:rsid w:val="3EED6A2E"/>
    <w:rsid w:val="3EF25A32"/>
    <w:rsid w:val="3F794D8F"/>
    <w:rsid w:val="408814E1"/>
    <w:rsid w:val="418D49B0"/>
    <w:rsid w:val="41DC2462"/>
    <w:rsid w:val="42615AA3"/>
    <w:rsid w:val="426A5D19"/>
    <w:rsid w:val="42A713D5"/>
    <w:rsid w:val="42EE0B57"/>
    <w:rsid w:val="42FC2B26"/>
    <w:rsid w:val="43EF3495"/>
    <w:rsid w:val="440C4C65"/>
    <w:rsid w:val="453756CC"/>
    <w:rsid w:val="455255E8"/>
    <w:rsid w:val="46E4318C"/>
    <w:rsid w:val="471F4D88"/>
    <w:rsid w:val="4766336A"/>
    <w:rsid w:val="479E3A47"/>
    <w:rsid w:val="47D87266"/>
    <w:rsid w:val="48324764"/>
    <w:rsid w:val="48B41639"/>
    <w:rsid w:val="49222A1C"/>
    <w:rsid w:val="49254707"/>
    <w:rsid w:val="49266648"/>
    <w:rsid w:val="49A2577D"/>
    <w:rsid w:val="4A321E22"/>
    <w:rsid w:val="4A3546F1"/>
    <w:rsid w:val="4A6F152E"/>
    <w:rsid w:val="4AF40C8C"/>
    <w:rsid w:val="4B106456"/>
    <w:rsid w:val="4C330E81"/>
    <w:rsid w:val="4C6F2EDA"/>
    <w:rsid w:val="4E03626B"/>
    <w:rsid w:val="4F7B2533"/>
    <w:rsid w:val="508711A9"/>
    <w:rsid w:val="50FD0077"/>
    <w:rsid w:val="510E35CE"/>
    <w:rsid w:val="517B4EC0"/>
    <w:rsid w:val="51B322DA"/>
    <w:rsid w:val="51CC3CA7"/>
    <w:rsid w:val="51F850A8"/>
    <w:rsid w:val="526D2EBF"/>
    <w:rsid w:val="52735300"/>
    <w:rsid w:val="53366EE7"/>
    <w:rsid w:val="54271112"/>
    <w:rsid w:val="54523A5C"/>
    <w:rsid w:val="555C3065"/>
    <w:rsid w:val="55816D64"/>
    <w:rsid w:val="55987088"/>
    <w:rsid w:val="56420695"/>
    <w:rsid w:val="56936838"/>
    <w:rsid w:val="56A32E66"/>
    <w:rsid w:val="56EF6751"/>
    <w:rsid w:val="576A2A78"/>
    <w:rsid w:val="577747A6"/>
    <w:rsid w:val="577A27D6"/>
    <w:rsid w:val="59374B66"/>
    <w:rsid w:val="593C56D0"/>
    <w:rsid w:val="593F171A"/>
    <w:rsid w:val="59E454CF"/>
    <w:rsid w:val="59F726F3"/>
    <w:rsid w:val="5B052582"/>
    <w:rsid w:val="5B297B8D"/>
    <w:rsid w:val="5B57543C"/>
    <w:rsid w:val="5BE066C1"/>
    <w:rsid w:val="5C1726A7"/>
    <w:rsid w:val="5C1B578B"/>
    <w:rsid w:val="5C5309A2"/>
    <w:rsid w:val="5CA00DF1"/>
    <w:rsid w:val="5CFD0956"/>
    <w:rsid w:val="5D313A8F"/>
    <w:rsid w:val="5D32446E"/>
    <w:rsid w:val="5DA1040B"/>
    <w:rsid w:val="5DA77392"/>
    <w:rsid w:val="5DBD4136"/>
    <w:rsid w:val="5E7D7B12"/>
    <w:rsid w:val="5E96017E"/>
    <w:rsid w:val="5EB934BF"/>
    <w:rsid w:val="5ED271F1"/>
    <w:rsid w:val="5EF2527F"/>
    <w:rsid w:val="5F4768A1"/>
    <w:rsid w:val="5F500C15"/>
    <w:rsid w:val="5F8B1768"/>
    <w:rsid w:val="5FA74DF5"/>
    <w:rsid w:val="60895210"/>
    <w:rsid w:val="60DC0379"/>
    <w:rsid w:val="60F91A9B"/>
    <w:rsid w:val="61681DAA"/>
    <w:rsid w:val="62137647"/>
    <w:rsid w:val="6263707C"/>
    <w:rsid w:val="635E4CE4"/>
    <w:rsid w:val="639B71E8"/>
    <w:rsid w:val="64761A1E"/>
    <w:rsid w:val="64BD6456"/>
    <w:rsid w:val="6551561A"/>
    <w:rsid w:val="65585085"/>
    <w:rsid w:val="656F7D88"/>
    <w:rsid w:val="67015D83"/>
    <w:rsid w:val="676C3643"/>
    <w:rsid w:val="67B30A70"/>
    <w:rsid w:val="68466749"/>
    <w:rsid w:val="68562C5D"/>
    <w:rsid w:val="689313CC"/>
    <w:rsid w:val="693C4933"/>
    <w:rsid w:val="69E81028"/>
    <w:rsid w:val="6C492150"/>
    <w:rsid w:val="6C88401A"/>
    <w:rsid w:val="6D541C74"/>
    <w:rsid w:val="6DAD722E"/>
    <w:rsid w:val="6DE06576"/>
    <w:rsid w:val="6F4D4C8B"/>
    <w:rsid w:val="7030198C"/>
    <w:rsid w:val="705E0D4E"/>
    <w:rsid w:val="70656815"/>
    <w:rsid w:val="70833368"/>
    <w:rsid w:val="709655A9"/>
    <w:rsid w:val="70D83866"/>
    <w:rsid w:val="710D7515"/>
    <w:rsid w:val="7139605B"/>
    <w:rsid w:val="717D2521"/>
    <w:rsid w:val="71B25E42"/>
    <w:rsid w:val="72B14FD5"/>
    <w:rsid w:val="72F14EE1"/>
    <w:rsid w:val="734E5331"/>
    <w:rsid w:val="737F3A69"/>
    <w:rsid w:val="73D05A96"/>
    <w:rsid w:val="74181201"/>
    <w:rsid w:val="743D400A"/>
    <w:rsid w:val="74590E55"/>
    <w:rsid w:val="74AF7F45"/>
    <w:rsid w:val="755A6876"/>
    <w:rsid w:val="755F3CFE"/>
    <w:rsid w:val="756555F5"/>
    <w:rsid w:val="760D0BC5"/>
    <w:rsid w:val="762D6621"/>
    <w:rsid w:val="76575395"/>
    <w:rsid w:val="76B36603"/>
    <w:rsid w:val="77700525"/>
    <w:rsid w:val="77AD20AE"/>
    <w:rsid w:val="78286988"/>
    <w:rsid w:val="78290889"/>
    <w:rsid w:val="7861167A"/>
    <w:rsid w:val="78E04108"/>
    <w:rsid w:val="796E0C91"/>
    <w:rsid w:val="7A3E4002"/>
    <w:rsid w:val="7AAF6562"/>
    <w:rsid w:val="7C103FC8"/>
    <w:rsid w:val="7C4D729D"/>
    <w:rsid w:val="7D100213"/>
    <w:rsid w:val="7D5A1439"/>
    <w:rsid w:val="7DCC7838"/>
    <w:rsid w:val="7EBD184F"/>
    <w:rsid w:val="7F49148B"/>
    <w:rsid w:val="7F533772"/>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字符"/>
    <w:basedOn w:val="46"/>
    <w:link w:val="2"/>
    <w:qFormat/>
    <w:uiPriority w:val="1"/>
    <w:rPr>
      <w:rFonts w:ascii="宋体" w:hAnsi="宋体" w:eastAsia="宋体" w:cs="宋体"/>
      <w:kern w:val="0"/>
      <w:szCs w:val="21"/>
      <w:lang w:eastAsia="en-US"/>
    </w:rPr>
  </w:style>
  <w:style w:type="character" w:customStyle="1" w:styleId="56">
    <w:name w:val="页脚 字符"/>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字符"/>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字符1"/>
    <w:basedOn w:val="46"/>
    <w:link w:val="7"/>
    <w:qFormat/>
    <w:uiPriority w:val="0"/>
    <w:rPr>
      <w:rFonts w:ascii="Times New Roman" w:hAnsi="Times New Roman" w:eastAsia="宋体" w:cs="Times New Roman"/>
      <w:b/>
      <w:bCs/>
      <w:sz w:val="28"/>
      <w:szCs w:val="28"/>
    </w:rPr>
  </w:style>
  <w:style w:type="character" w:customStyle="1" w:styleId="65">
    <w:name w:val="标题 6 字符1"/>
    <w:basedOn w:val="46"/>
    <w:link w:val="8"/>
    <w:qFormat/>
    <w:uiPriority w:val="0"/>
    <w:rPr>
      <w:rFonts w:ascii="Arial" w:hAnsi="Arial" w:eastAsia="黑体" w:cs="Times New Roman"/>
      <w:b/>
      <w:bCs/>
      <w:kern w:val="0"/>
      <w:sz w:val="24"/>
      <w:szCs w:val="24"/>
    </w:rPr>
  </w:style>
  <w:style w:type="character" w:customStyle="1" w:styleId="66">
    <w:name w:val="标题 7 字符1"/>
    <w:basedOn w:val="46"/>
    <w:link w:val="9"/>
    <w:qFormat/>
    <w:uiPriority w:val="0"/>
    <w:rPr>
      <w:rFonts w:ascii="Times New Roman" w:hAnsi="Times New Roman" w:eastAsia="宋体" w:cs="Times New Roman"/>
      <w:b/>
      <w:bCs/>
      <w:kern w:val="0"/>
      <w:sz w:val="24"/>
      <w:szCs w:val="24"/>
    </w:rPr>
  </w:style>
  <w:style w:type="character" w:customStyle="1" w:styleId="67">
    <w:name w:val="标题 8 字符1"/>
    <w:basedOn w:val="46"/>
    <w:link w:val="10"/>
    <w:qFormat/>
    <w:uiPriority w:val="0"/>
    <w:rPr>
      <w:rFonts w:ascii="Arial" w:hAnsi="Arial" w:eastAsia="黑体" w:cs="Times New Roman"/>
      <w:kern w:val="0"/>
      <w:sz w:val="24"/>
      <w:szCs w:val="24"/>
    </w:rPr>
  </w:style>
  <w:style w:type="character" w:customStyle="1" w:styleId="68">
    <w:name w:val="标题 9 字符1"/>
    <w:basedOn w:val="46"/>
    <w:link w:val="11"/>
    <w:qFormat/>
    <w:uiPriority w:val="0"/>
    <w:rPr>
      <w:rFonts w:ascii="Arial" w:hAnsi="Arial" w:eastAsia="黑体" w:cs="Times New Roman"/>
      <w:kern w:val="0"/>
      <w:szCs w:val="21"/>
    </w:rPr>
  </w:style>
  <w:style w:type="character" w:customStyle="1" w:styleId="69">
    <w:name w:val="标题 1 字符"/>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字符"/>
    <w:basedOn w:val="46"/>
    <w:link w:val="5"/>
    <w:qFormat/>
    <w:uiPriority w:val="0"/>
    <w:rPr>
      <w:rFonts w:ascii="宋体" w:hAnsi="宋体" w:eastAsia="宋体" w:cs="宋体"/>
      <w:kern w:val="0"/>
      <w:sz w:val="28"/>
      <w:szCs w:val="28"/>
      <w:lang w:eastAsia="en-US"/>
    </w:rPr>
  </w:style>
  <w:style w:type="character" w:customStyle="1" w:styleId="71">
    <w:name w:val="标题 4 字符"/>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字符"/>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字符"/>
    <w:basedOn w:val="46"/>
    <w:link w:val="26"/>
    <w:semiHidden/>
    <w:qFormat/>
    <w:uiPriority w:val="0"/>
    <w:rPr>
      <w:rFonts w:ascii="宋体" w:hAnsi="宋体" w:eastAsia="宋体" w:cs="宋体"/>
      <w:kern w:val="0"/>
      <w:sz w:val="18"/>
      <w:szCs w:val="18"/>
      <w:lang w:eastAsia="en-US"/>
    </w:rPr>
  </w:style>
  <w:style w:type="paragraph" w:customStyle="1" w:styleId="81">
    <w:name w:val="TOC 标题1"/>
    <w:basedOn w:val="3"/>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字符"/>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字符"/>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字符"/>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字符"/>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字符1"/>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字符1"/>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字符1"/>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文本首行缩进 字符"/>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字符1"/>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字符1"/>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字符1"/>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字符1"/>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字符1"/>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next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字符"/>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字符"/>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 w:type="paragraph" w:customStyle="1" w:styleId="194">
    <w:name w:val="Revision"/>
    <w:hidden/>
    <w:unhideWhenUsed/>
    <w:qFormat/>
    <w:uiPriority w:val="99"/>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6155</Words>
  <Characters>35090</Characters>
  <Lines>292</Lines>
  <Paragraphs>82</Paragraphs>
  <TotalTime>12</TotalTime>
  <ScaleCrop>false</ScaleCrop>
  <LinksUpToDate>false</LinksUpToDate>
  <CharactersWithSpaces>41163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支佩</cp:lastModifiedBy>
  <cp:lastPrinted>2023-04-11T06:19:00Z</cp:lastPrinted>
  <dcterms:modified xsi:type="dcterms:W3CDTF">2023-09-04T03:24:26Z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148A5EF00A9F4B25A0DAA744E2E3E483</vt:lpwstr>
  </property>
</Properties>
</file>