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outlineLvl w:val="2"/>
        <w:rPr>
          <w:rFonts w:ascii="宋体"/>
          <w:b/>
          <w:bCs/>
          <w:snapToGrid w:val="0"/>
          <w:color w:val="auto"/>
          <w:kern w:val="0"/>
          <w:sz w:val="28"/>
          <w:szCs w:val="28"/>
          <w:highlight w:val="none"/>
        </w:rPr>
      </w:pPr>
      <w:bookmarkStart w:id="0" w:name="OLE_LINK4"/>
      <w:r>
        <w:rPr>
          <w:rFonts w:hint="eastAsia" w:ascii="宋体"/>
          <w:b/>
          <w:bCs/>
          <w:snapToGrid w:val="0"/>
          <w:color w:val="auto"/>
          <w:kern w:val="0"/>
          <w:sz w:val="28"/>
          <w:szCs w:val="28"/>
          <w:highlight w:val="none"/>
        </w:rPr>
        <w:t>巫溪至开州高速公路科研项</w:t>
      </w:r>
      <w:r>
        <w:rPr>
          <w:rFonts w:hint="eastAsia" w:ascii="宋体"/>
          <w:b/>
          <w:bCs/>
          <w:snapToGrid w:val="0"/>
          <w:color w:val="auto"/>
          <w:kern w:val="0"/>
          <w:sz w:val="28"/>
          <w:szCs w:val="28"/>
          <w:highlight w:val="none"/>
          <w:lang w:val="en-US" w:eastAsia="zh-CN"/>
        </w:rPr>
        <w:t>目WYKKY2</w:t>
      </w:r>
      <w:bookmarkStart w:id="1" w:name="_Toc14305"/>
      <w:r>
        <w:rPr>
          <w:rFonts w:hint="eastAsia" w:ascii="宋体"/>
          <w:b/>
          <w:bCs/>
          <w:snapToGrid w:val="0"/>
          <w:color w:val="auto"/>
          <w:kern w:val="0"/>
          <w:sz w:val="28"/>
          <w:szCs w:val="28"/>
          <w:highlight w:val="none"/>
          <w:lang w:val="en-US" w:eastAsia="zh-CN"/>
        </w:rPr>
        <w:t>（第二次）</w:t>
      </w:r>
      <w:r>
        <w:rPr>
          <w:rFonts w:ascii="宋体"/>
          <w:b/>
          <w:bCs/>
          <w:snapToGrid w:val="0"/>
          <w:color w:val="auto"/>
          <w:w w:val="99"/>
          <w:kern w:val="0"/>
          <w:sz w:val="28"/>
          <w:szCs w:val="28"/>
          <w:highlight w:val="none"/>
        </w:rPr>
        <w:t>招标公告</w:t>
      </w:r>
      <w:bookmarkEnd w:id="1"/>
    </w:p>
    <w:p>
      <w:pPr>
        <w:pStyle w:val="3"/>
        <w:spacing w:before="100" w:after="100" w:line="460" w:lineRule="exact"/>
        <w:outlineLvl w:val="2"/>
        <w:rPr>
          <w:rFonts w:ascii="宋体"/>
          <w:snapToGrid w:val="0"/>
          <w:color w:val="auto"/>
          <w:sz w:val="28"/>
          <w:szCs w:val="28"/>
          <w:highlight w:val="none"/>
        </w:rPr>
      </w:pPr>
      <w:bookmarkStart w:id="2" w:name="_Toc200359238"/>
      <w:bookmarkStart w:id="3" w:name="_Toc200359427"/>
      <w:bookmarkStart w:id="4" w:name="_Toc430530416"/>
      <w:bookmarkStart w:id="5" w:name="_Toc287607728"/>
      <w:bookmarkStart w:id="6" w:name="_Toc509218692"/>
      <w:bookmarkStart w:id="7" w:name="_Toc287620667"/>
      <w:bookmarkStart w:id="8" w:name="_Toc277082536"/>
      <w:bookmarkStart w:id="9" w:name="_Toc224103299"/>
      <w:r>
        <w:rPr>
          <w:rFonts w:ascii="宋体"/>
          <w:snapToGrid w:val="0"/>
          <w:color w:val="auto"/>
          <w:sz w:val="28"/>
          <w:szCs w:val="28"/>
          <w:highlight w:val="none"/>
        </w:rPr>
        <w:t>1. 招标条件</w:t>
      </w:r>
      <w:bookmarkEnd w:id="2"/>
      <w:bookmarkEnd w:id="3"/>
      <w:bookmarkEnd w:id="4"/>
      <w:bookmarkEnd w:id="5"/>
      <w:bookmarkEnd w:id="6"/>
      <w:bookmarkEnd w:id="7"/>
      <w:bookmarkEnd w:id="8"/>
      <w:bookmarkEnd w:id="9"/>
    </w:p>
    <w:p>
      <w:pPr>
        <w:tabs>
          <w:tab w:val="left" w:pos="480"/>
        </w:tabs>
        <w:adjustRightInd w:val="0"/>
        <w:spacing w:line="360" w:lineRule="auto"/>
        <w:ind w:firstLine="352" w:firstLineChars="168"/>
        <w:jc w:val="left"/>
        <w:rPr>
          <w:rFonts w:ascii="宋体"/>
          <w:color w:val="auto"/>
          <w:szCs w:val="21"/>
          <w:highlight w:val="none"/>
        </w:rPr>
      </w:pPr>
      <w:bookmarkStart w:id="10" w:name="OLE_LINK1"/>
      <w:r>
        <w:rPr>
          <w:rFonts w:hint="eastAsia" w:ascii="宋体"/>
          <w:color w:val="auto"/>
          <w:szCs w:val="21"/>
          <w:highlight w:val="none"/>
        </w:rPr>
        <w:t>巫溪至开州高速公路项目科研资金已纳入了概算，资金已落实</w:t>
      </w:r>
      <w:r>
        <w:rPr>
          <w:rFonts w:hint="eastAsia" w:ascii="宋体" w:hAnsi="宋体"/>
          <w:color w:val="auto"/>
          <w:szCs w:val="21"/>
          <w:highlight w:val="none"/>
        </w:rPr>
        <w:t>，《巴东组高速公路软岩隧道围岩变形控制与结构全寿命期监测预警技术》科研课题已由重庆高速巫云开建设有限公司在重庆市交通局立项，</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color w:val="auto"/>
          <w:szCs w:val="21"/>
          <w:highlight w:val="none"/>
        </w:rPr>
        <w:t>重庆高速巫云开建设有限公司</w:t>
      </w:r>
      <w:r>
        <w:rPr>
          <w:rFonts w:ascii="宋体" w:hAnsi="宋体"/>
          <w:snapToGrid w:val="0"/>
          <w:color w:val="auto"/>
          <w:kern w:val="0"/>
          <w:position w:val="-2"/>
          <w:szCs w:val="21"/>
          <w:highlight w:val="none"/>
        </w:rPr>
        <w:t>。</w:t>
      </w:r>
      <w:r>
        <w:rPr>
          <w:rFonts w:hint="eastAsia" w:ascii="宋体" w:hAnsi="宋体"/>
          <w:color w:val="auto"/>
          <w:szCs w:val="21"/>
          <w:highlight w:val="none"/>
        </w:rPr>
        <w:t>项目已具备招标条件，现对以上科研项目进行公开招标。</w:t>
      </w:r>
    </w:p>
    <w:bookmarkEnd w:id="10"/>
    <w:p>
      <w:pPr>
        <w:pStyle w:val="3"/>
        <w:spacing w:before="100" w:after="100" w:line="460" w:lineRule="exact"/>
        <w:outlineLvl w:val="2"/>
        <w:rPr>
          <w:rFonts w:ascii="宋体"/>
          <w:snapToGrid w:val="0"/>
          <w:color w:val="auto"/>
          <w:sz w:val="28"/>
          <w:szCs w:val="28"/>
          <w:highlight w:val="none"/>
        </w:rPr>
      </w:pPr>
      <w:bookmarkStart w:id="11" w:name="_Toc287620668"/>
      <w:bookmarkStart w:id="12" w:name="_Toc200359428"/>
      <w:bookmarkStart w:id="13" w:name="_Toc509218693"/>
      <w:bookmarkStart w:id="14" w:name="_Toc277082537"/>
      <w:bookmarkStart w:id="15" w:name="_Toc200359239"/>
      <w:bookmarkStart w:id="16" w:name="_Toc287607729"/>
      <w:bookmarkStart w:id="17" w:name="_Toc430530417"/>
      <w:bookmarkStart w:id="18" w:name="_Toc224103300"/>
      <w:r>
        <w:rPr>
          <w:rFonts w:ascii="宋体"/>
          <w:snapToGrid w:val="0"/>
          <w:color w:val="auto"/>
          <w:sz w:val="28"/>
          <w:szCs w:val="28"/>
          <w:highlight w:val="none"/>
        </w:rPr>
        <w:t>2. 项目概况与招标范围</w:t>
      </w:r>
      <w:bookmarkEnd w:id="11"/>
      <w:bookmarkEnd w:id="12"/>
      <w:bookmarkEnd w:id="13"/>
      <w:bookmarkEnd w:id="14"/>
      <w:bookmarkEnd w:id="15"/>
      <w:bookmarkEnd w:id="16"/>
      <w:bookmarkEnd w:id="17"/>
      <w:bookmarkEnd w:id="18"/>
    </w:p>
    <w:p>
      <w:pPr>
        <w:tabs>
          <w:tab w:val="left" w:pos="480"/>
        </w:tabs>
        <w:adjustRightInd w:val="0"/>
        <w:spacing w:line="360" w:lineRule="auto"/>
        <w:ind w:firstLine="352" w:firstLineChars="168"/>
        <w:jc w:val="left"/>
        <w:rPr>
          <w:rFonts w:ascii="宋体"/>
          <w:color w:val="auto"/>
          <w:szCs w:val="21"/>
          <w:highlight w:val="none"/>
        </w:rPr>
      </w:pPr>
      <w:bookmarkStart w:id="19" w:name="OLE_LINK2"/>
      <w:r>
        <w:rPr>
          <w:rFonts w:hint="eastAsia" w:ascii="宋体"/>
          <w:color w:val="auto"/>
          <w:szCs w:val="21"/>
          <w:highlight w:val="none"/>
        </w:rPr>
        <w:t>2.1建设地点：巫溪</w:t>
      </w:r>
      <w:r>
        <w:rPr>
          <w:rFonts w:ascii="宋体"/>
          <w:color w:val="auto"/>
          <w:szCs w:val="21"/>
          <w:highlight w:val="none"/>
        </w:rPr>
        <w:t>、云阳、</w:t>
      </w:r>
      <w:r>
        <w:rPr>
          <w:rFonts w:hint="eastAsia" w:ascii="宋体"/>
          <w:color w:val="auto"/>
          <w:szCs w:val="21"/>
          <w:highlight w:val="none"/>
        </w:rPr>
        <w:t>开州。</w:t>
      </w:r>
    </w:p>
    <w:p>
      <w:pPr>
        <w:tabs>
          <w:tab w:val="left" w:pos="480"/>
        </w:tabs>
        <w:adjustRightInd w:val="0"/>
        <w:spacing w:line="360" w:lineRule="auto"/>
        <w:ind w:firstLine="352" w:firstLineChars="168"/>
        <w:jc w:val="left"/>
        <w:rPr>
          <w:rFonts w:ascii="宋体"/>
          <w:color w:val="auto"/>
          <w:szCs w:val="21"/>
          <w:highlight w:val="none"/>
        </w:rPr>
      </w:pPr>
      <w:r>
        <w:rPr>
          <w:rFonts w:hint="eastAsia" w:ascii="宋体"/>
          <w:color w:val="auto"/>
          <w:szCs w:val="21"/>
          <w:highlight w:val="none"/>
        </w:rPr>
        <w:t>2.2项目概况：</w:t>
      </w:r>
    </w:p>
    <w:p>
      <w:pPr>
        <w:tabs>
          <w:tab w:val="left" w:pos="480"/>
        </w:tabs>
        <w:adjustRightInd w:val="0"/>
        <w:spacing w:line="360" w:lineRule="auto"/>
        <w:ind w:firstLine="352" w:firstLineChars="168"/>
        <w:jc w:val="left"/>
        <w:rPr>
          <w:rFonts w:ascii="宋体"/>
          <w:color w:val="auto"/>
          <w:szCs w:val="21"/>
          <w:highlight w:val="none"/>
        </w:rPr>
      </w:pPr>
      <w:r>
        <w:rPr>
          <w:rFonts w:hint="eastAsia" w:ascii="宋体"/>
          <w:color w:val="auto"/>
          <w:szCs w:val="21"/>
          <w:highlight w:val="none"/>
        </w:rPr>
        <w:t>巫溪至开州高速公路属重庆市高速公路网规划（2019-2035）“三环十八射多联线”中的第三十三联，项目总里程约118公里。为攻克巫溪至开州高速公路建设的一系列难题，项目以科技引领，助力工程建设的顺利开展，大力推动重点项目攻关。</w:t>
      </w:r>
    </w:p>
    <w:p>
      <w:pPr>
        <w:tabs>
          <w:tab w:val="left" w:pos="480"/>
        </w:tabs>
        <w:adjustRightInd w:val="0"/>
        <w:spacing w:line="360" w:lineRule="auto"/>
        <w:ind w:firstLine="352" w:firstLineChars="168"/>
        <w:jc w:val="left"/>
        <w:rPr>
          <w:rFonts w:ascii="宋体"/>
          <w:color w:val="auto"/>
          <w:szCs w:val="21"/>
          <w:highlight w:val="none"/>
        </w:rPr>
      </w:pPr>
      <w:r>
        <w:rPr>
          <w:rFonts w:hint="eastAsia" w:ascii="宋体"/>
          <w:color w:val="auto"/>
          <w:szCs w:val="21"/>
          <w:highlight w:val="none"/>
        </w:rPr>
        <w:t>《巴东组高速公路软岩隧道围岩变形控制与结构全寿命期监测预警技术》拟通过研究攻克巴东组地层隧道地质灾害及其灾害链致灾机理、公路隧道施工及运营相互影响机制等核心科学问题，突破巴东组软岩隧道地质灾害风险评估、综合防治及长效支挡加固、健康监测预警等关键技术，实现巴东组软岩高速公路隧道全过程风险评估、韧性提升及长效监测、有效预警及防治，解决巴东组软岩高速公路隧道长期安全防控与智能监管技术，保障渝东北交通基础设施建设与运营安全，为公路建设与运营安全提供科技支撑，促进高速公路安全综合防控能力的提升与行业进步。</w:t>
      </w:r>
    </w:p>
    <w:p>
      <w:pPr>
        <w:tabs>
          <w:tab w:val="left" w:pos="305"/>
          <w:tab w:val="left" w:pos="480"/>
        </w:tabs>
        <w:adjustRightInd w:val="0"/>
        <w:spacing w:line="360" w:lineRule="auto"/>
        <w:ind w:firstLine="420" w:firstLineChars="200"/>
        <w:jc w:val="left"/>
        <w:rPr>
          <w:rFonts w:ascii="宋体"/>
          <w:snapToGrid w:val="0"/>
          <w:color w:val="auto"/>
          <w:kern w:val="0"/>
          <w:szCs w:val="21"/>
          <w:highlight w:val="none"/>
        </w:rPr>
      </w:pPr>
      <w:r>
        <w:rPr>
          <w:rFonts w:hint="eastAsia"/>
          <w:color w:val="auto"/>
          <w:kern w:val="0"/>
          <w:highlight w:val="none"/>
        </w:rPr>
        <w:t xml:space="preserve">2.3 </w:t>
      </w:r>
      <w:r>
        <w:rPr>
          <w:rFonts w:hint="eastAsia" w:ascii="宋体"/>
          <w:snapToGrid w:val="0"/>
          <w:color w:val="auto"/>
          <w:kern w:val="0"/>
          <w:szCs w:val="21"/>
          <w:highlight w:val="none"/>
        </w:rPr>
        <w:t>本次招标</w:t>
      </w:r>
      <w:r>
        <w:rPr>
          <w:rFonts w:hint="eastAsia" w:ascii="宋体"/>
          <w:snapToGrid w:val="0"/>
          <w:color w:val="auto"/>
          <w:kern w:val="0"/>
          <w:szCs w:val="21"/>
          <w:highlight w:val="none"/>
          <w:lang w:eastAsia="zh-CN"/>
        </w:rPr>
        <w:t>为</w:t>
      </w:r>
      <w:r>
        <w:rPr>
          <w:rFonts w:hint="eastAsia" w:ascii="宋体"/>
          <w:snapToGrid w:val="0"/>
          <w:color w:val="auto"/>
          <w:kern w:val="0"/>
          <w:szCs w:val="21"/>
          <w:highlight w:val="none"/>
        </w:rPr>
        <w:t>WYKKY2</w:t>
      </w:r>
      <w:r>
        <w:rPr>
          <w:rFonts w:hint="eastAsia" w:ascii="宋体"/>
          <w:snapToGrid w:val="0"/>
          <w:color w:val="auto"/>
          <w:kern w:val="0"/>
          <w:szCs w:val="21"/>
          <w:highlight w:val="none"/>
          <w:lang w:eastAsia="zh-CN"/>
        </w:rPr>
        <w:t>标段，</w:t>
      </w:r>
      <w:r>
        <w:rPr>
          <w:rFonts w:hint="eastAsia" w:ascii="宋体"/>
          <w:snapToGrid w:val="0"/>
          <w:color w:val="auto"/>
          <w:kern w:val="0"/>
          <w:szCs w:val="21"/>
          <w:highlight w:val="none"/>
        </w:rPr>
        <w:t>具体如下：</w:t>
      </w:r>
    </w:p>
    <w:tbl>
      <w:tblPr>
        <w:tblStyle w:val="5"/>
        <w:tblW w:w="834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90"/>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3" w:hRule="exact"/>
        </w:trPr>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cs="方正仿宋_GBK"/>
                <w:color w:val="auto"/>
                <w:kern w:val="0"/>
                <w:szCs w:val="21"/>
                <w:highlight w:val="none"/>
              </w:rPr>
            </w:pPr>
            <w:r>
              <w:rPr>
                <w:rFonts w:hint="eastAsia"/>
                <w:color w:val="auto"/>
                <w:highlight w:val="none"/>
              </w:rPr>
              <w:t>标段</w:t>
            </w:r>
          </w:p>
        </w:tc>
        <w:tc>
          <w:tcPr>
            <w:tcW w:w="6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cs="方正仿宋_GBK"/>
                <w:color w:val="auto"/>
                <w:kern w:val="0"/>
                <w:szCs w:val="21"/>
                <w:highlight w:val="none"/>
              </w:rPr>
            </w:pPr>
            <w:r>
              <w:rPr>
                <w:rFonts w:hint="eastAsia" w:ascii="宋体" w:cs="方正仿宋_GBK"/>
                <w:color w:val="auto"/>
                <w:kern w:val="0"/>
                <w:szCs w:val="21"/>
                <w:highlight w:val="none"/>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exact"/>
        </w:trPr>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cs="方正仿宋_GBK"/>
                <w:color w:val="auto"/>
                <w:kern w:val="0"/>
                <w:szCs w:val="21"/>
                <w:highlight w:val="none"/>
              </w:rPr>
            </w:pPr>
            <w:r>
              <w:rPr>
                <w:rFonts w:hint="eastAsia" w:ascii="宋体" w:cs="方正仿宋_GBK"/>
                <w:color w:val="auto"/>
                <w:kern w:val="0"/>
                <w:szCs w:val="21"/>
                <w:highlight w:val="none"/>
              </w:rPr>
              <w:t>WYKKY2</w:t>
            </w:r>
          </w:p>
        </w:tc>
        <w:tc>
          <w:tcPr>
            <w:tcW w:w="68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cs="方正仿宋_GBK"/>
                <w:color w:val="auto"/>
                <w:kern w:val="0"/>
                <w:szCs w:val="21"/>
                <w:highlight w:val="none"/>
              </w:rPr>
            </w:pPr>
            <w:r>
              <w:rPr>
                <w:rFonts w:hint="eastAsia" w:ascii="宋体" w:cs="方正仿宋_GBK"/>
                <w:color w:val="auto"/>
                <w:kern w:val="0"/>
                <w:szCs w:val="21"/>
                <w:highlight w:val="none"/>
              </w:rPr>
              <w:t>巴东组高速公路软岩隧道围岩变形控制与结构全寿命期监测预警技术研究</w:t>
            </w:r>
          </w:p>
        </w:tc>
      </w:tr>
    </w:tbl>
    <w:p>
      <w:pPr>
        <w:tabs>
          <w:tab w:val="left" w:pos="480"/>
        </w:tabs>
        <w:adjustRightInd w:val="0"/>
        <w:spacing w:line="360" w:lineRule="auto"/>
        <w:ind w:firstLine="352" w:firstLineChars="168"/>
        <w:jc w:val="left"/>
        <w:rPr>
          <w:color w:val="auto"/>
          <w:highlight w:val="none"/>
        </w:rPr>
      </w:pPr>
      <w:r>
        <w:rPr>
          <w:rFonts w:ascii="宋体"/>
          <w:snapToGrid w:val="0"/>
          <w:color w:val="auto"/>
          <w:kern w:val="0"/>
          <w:szCs w:val="21"/>
          <w:highlight w:val="none"/>
        </w:rPr>
        <w:t xml:space="preserve">2.4 </w:t>
      </w:r>
      <w:r>
        <w:rPr>
          <w:rFonts w:hint="eastAsia" w:ascii="宋体"/>
          <w:snapToGrid w:val="0"/>
          <w:color w:val="auto"/>
          <w:kern w:val="0"/>
          <w:szCs w:val="21"/>
          <w:highlight w:val="none"/>
        </w:rPr>
        <w:t>招标范围：完成本次招标对应科研课题研究工作内容，并达到考核指标要求。</w:t>
      </w:r>
      <w:r>
        <w:rPr>
          <w:rFonts w:hint="eastAsia"/>
          <w:color w:val="auto"/>
          <w:highlight w:val="none"/>
        </w:rPr>
        <w:t>课题及主要研究内容如下：</w:t>
      </w:r>
    </w:p>
    <w:tbl>
      <w:tblPr>
        <w:tblStyle w:val="5"/>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15"/>
        <w:gridCol w:w="4280"/>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9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cs="方正仿宋_GBK"/>
                <w:bCs/>
                <w:color w:val="auto"/>
                <w:sz w:val="18"/>
                <w:szCs w:val="18"/>
                <w:highlight w:val="none"/>
              </w:rPr>
            </w:pPr>
            <w:r>
              <w:rPr>
                <w:rFonts w:hint="eastAsia" w:ascii="宋体" w:cs="方正仿宋_GBK"/>
                <w:bCs/>
                <w:color w:val="auto"/>
                <w:sz w:val="18"/>
                <w:szCs w:val="18"/>
                <w:highlight w:val="none"/>
              </w:rPr>
              <w:t>标段</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方正仿宋_GBK"/>
                <w:bCs/>
                <w:color w:val="auto"/>
                <w:sz w:val="18"/>
                <w:szCs w:val="18"/>
                <w:highlight w:val="none"/>
              </w:rPr>
            </w:pPr>
            <w:r>
              <w:rPr>
                <w:rFonts w:hint="eastAsia" w:ascii="宋体" w:cs="方正仿宋_GBK"/>
                <w:bCs/>
                <w:color w:val="auto"/>
                <w:sz w:val="18"/>
                <w:szCs w:val="18"/>
                <w:highlight w:val="none"/>
              </w:rPr>
              <w:t>课题名称</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方正仿宋_GBK"/>
                <w:bCs/>
                <w:color w:val="auto"/>
                <w:szCs w:val="21"/>
                <w:highlight w:val="none"/>
              </w:rPr>
            </w:pPr>
            <w:r>
              <w:rPr>
                <w:rFonts w:hint="eastAsia" w:ascii="宋体" w:cs="方正仿宋_GBK"/>
                <w:bCs/>
                <w:color w:val="auto"/>
                <w:szCs w:val="21"/>
                <w:highlight w:val="none"/>
              </w:rPr>
              <w:t>主要研究内容</w:t>
            </w:r>
          </w:p>
        </w:tc>
        <w:tc>
          <w:tcPr>
            <w:tcW w:w="3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方正仿宋_GBK"/>
                <w:bCs/>
                <w:color w:val="auto"/>
                <w:szCs w:val="21"/>
                <w:highlight w:val="none"/>
              </w:rPr>
            </w:pPr>
            <w:r>
              <w:rPr>
                <w:rFonts w:hint="eastAsia" w:ascii="宋体" w:cs="方正仿宋_GBK"/>
                <w:bCs/>
                <w:color w:val="auto"/>
                <w:szCs w:val="21"/>
                <w:highlight w:val="none"/>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方正仿宋_GBK"/>
                <w:bCs/>
                <w:color w:val="auto"/>
                <w:sz w:val="18"/>
                <w:szCs w:val="18"/>
                <w:highlight w:val="none"/>
              </w:rPr>
            </w:pPr>
            <w:r>
              <w:rPr>
                <w:rFonts w:hint="eastAsia" w:ascii="宋体" w:cs="方正仿宋_GBK"/>
                <w:bCs/>
                <w:color w:val="auto"/>
                <w:sz w:val="18"/>
                <w:szCs w:val="18"/>
                <w:highlight w:val="none"/>
              </w:rPr>
              <w:t>WYKKY2</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巴东组高速公路软岩隧道围岩变形控制与结构全寿命期监测预警技术研究</w:t>
            </w:r>
          </w:p>
        </w:tc>
        <w:tc>
          <w:tcPr>
            <w:tcW w:w="4280"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一、巴东组软弱围岩大变形机理研究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（1）巴东组软弱围岩水理性质和力学特性试验研究；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（2）巴东组软弱围岩损伤及流变本构模型；</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（3）巴东组软弱围岩大变形损伤演化特征；</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（4）巴东组软岩隧道衬砌结构支护参数优化。</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二、隧道软岩高压水射流辅助切割技术</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（1）软弱围岩高压水射流割缝辅助爆破裂缝定向断裂的力学机制；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（2）高压水射流割缝导向作用下爆生裂缝分布及定向扩展规律；</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（3）开发隧道软岩高压水射流割缝辅助爆破预裂控制爆破技术；</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（4）优化高压水射流导向割缝工艺及爆破参数；</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（5）研发高压水射流导向割缝装备。</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三、巴东组软岩隧道围岩大变形主动支护技术研究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（1）巴东组软岩地层隧道预应力锚索支护理论研究；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（2）巴东组软岩地层隧道预应力锚索支护设计研究；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（3）巴东组软岩地层支护自适应锚索结构开发；</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（4）隧道预应力锚索快速施工与快速承载技术研究；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（5）隧道预应力锚索施工质量控制技术研究。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四、腐蚀地层隧道耐久性提升技术研究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（1)巴东组地层水对隧道衬砌腐蚀机理研究；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（2）腐蚀地层隧道混凝土材料优化研究；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（3）腐蚀地层隧道防排水技术研究。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五、巴东组软岩隧道结构全寿命期监测预警系统研发</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（1）巴东组软岩隧道施工运营期结构健康易损关键部位特征分析与测点优化；</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（2）巴东组软岩隧道分阶段典型损伤致灾机理与分级诊断评价方法研究；</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（3）隧道结构安全可视化远程实时监测装备研发；</w:t>
            </w:r>
          </w:p>
          <w:p>
            <w:pPr>
              <w:widowControl/>
              <w:spacing w:line="240" w:lineRule="exact"/>
              <w:textAlignment w:val="center"/>
              <w:rPr>
                <w:rFonts w:ascii="宋体" w:cs="方正仿宋_GBK"/>
                <w:color w:val="auto"/>
                <w:kern w:val="0"/>
                <w:sz w:val="18"/>
                <w:szCs w:val="18"/>
                <w:highlight w:val="none"/>
              </w:rPr>
            </w:pPr>
            <w:r>
              <w:rPr>
                <w:rFonts w:hint="eastAsia" w:ascii="宋体" w:cs="方正仿宋_GBK"/>
                <w:color w:val="auto"/>
                <w:kern w:val="0"/>
                <w:sz w:val="18"/>
                <w:szCs w:val="18"/>
                <w:highlight w:val="none"/>
              </w:rPr>
              <w:t>（4）隧道施工运营期结构健康大数据管理平台研发与应用。</w:t>
            </w:r>
          </w:p>
        </w:tc>
        <w:tc>
          <w:tcPr>
            <w:tcW w:w="3914"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宋体" w:cs="宋体"/>
                <w:color w:val="auto"/>
                <w:kern w:val="0"/>
                <w:sz w:val="18"/>
                <w:szCs w:val="18"/>
                <w:highlight w:val="none"/>
              </w:rPr>
            </w:pPr>
            <w:r>
              <w:rPr>
                <w:rFonts w:hint="eastAsia" w:ascii="宋体" w:cs="宋体"/>
                <w:color w:val="auto"/>
                <w:kern w:val="0"/>
                <w:sz w:val="18"/>
                <w:szCs w:val="18"/>
                <w:highlight w:val="none"/>
              </w:rPr>
              <w:t>（1）实体性成果：</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①理论1套：巴东组软弱围岩隧道流变大变形机理；</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②技术4项：隧道软弱围岩高水射流割缝辅助预裂控制爆破、软岩隧道预应力锚索主动支护、软弱腐蚀性地层结构耐久性提升、软岩隧道结构损伤评价预警等4项技术，形成对应技术手册；</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③装备2</w:t>
            </w:r>
            <w:r>
              <w:rPr>
                <w:rFonts w:hint="eastAsia" w:ascii="宋体" w:cs="宋体"/>
                <w:color w:val="auto"/>
                <w:kern w:val="0"/>
                <w:sz w:val="18"/>
                <w:szCs w:val="18"/>
                <w:highlight w:val="none"/>
                <w:lang w:val="en-US" w:eastAsia="zh-CN"/>
              </w:rPr>
              <w:t>套</w:t>
            </w:r>
            <w:r>
              <w:rPr>
                <w:rFonts w:hint="eastAsia" w:ascii="宋体" w:cs="宋体"/>
                <w:color w:val="auto"/>
                <w:kern w:val="0"/>
                <w:sz w:val="18"/>
                <w:szCs w:val="18"/>
                <w:highlight w:val="none"/>
              </w:rPr>
              <w:t>：隧道软岩高水射流导向割缝装备</w:t>
            </w:r>
            <w:r>
              <w:rPr>
                <w:rFonts w:hint="eastAsia" w:ascii="宋体" w:cs="宋体"/>
                <w:color w:val="auto"/>
                <w:kern w:val="0"/>
                <w:sz w:val="18"/>
                <w:szCs w:val="18"/>
                <w:highlight w:val="none"/>
                <w:lang w:val="en-US" w:eastAsia="zh-CN"/>
              </w:rPr>
              <w:t>1套</w:t>
            </w:r>
            <w:r>
              <w:rPr>
                <w:rFonts w:hint="eastAsia" w:ascii="宋体" w:cs="宋体"/>
                <w:color w:val="auto"/>
                <w:kern w:val="0"/>
                <w:sz w:val="18"/>
                <w:szCs w:val="18"/>
                <w:highlight w:val="none"/>
                <w:lang w:eastAsia="zh-CN"/>
              </w:rPr>
              <w:t>，</w:t>
            </w:r>
            <w:r>
              <w:rPr>
                <w:rFonts w:hint="eastAsia" w:ascii="宋体" w:cs="宋体"/>
                <w:color w:val="auto"/>
                <w:kern w:val="0"/>
                <w:sz w:val="18"/>
                <w:szCs w:val="18"/>
                <w:highlight w:val="none"/>
              </w:rPr>
              <w:t>软弱围岩大变形隧道衬砌结构高精度监测装备</w:t>
            </w:r>
            <w:r>
              <w:rPr>
                <w:rFonts w:hint="eastAsia" w:ascii="宋体" w:cs="宋体"/>
                <w:color w:val="auto"/>
                <w:kern w:val="0"/>
                <w:sz w:val="18"/>
                <w:szCs w:val="18"/>
                <w:highlight w:val="none"/>
                <w:lang w:val="en-US" w:eastAsia="zh-CN"/>
              </w:rPr>
              <w:t>1套</w:t>
            </w:r>
            <w:r>
              <w:rPr>
                <w:rFonts w:hint="eastAsia" w:ascii="宋体" w:cs="宋体"/>
                <w:color w:val="auto"/>
                <w:kern w:val="0"/>
                <w:sz w:val="18"/>
                <w:szCs w:val="18"/>
                <w:highlight w:val="none"/>
              </w:rPr>
              <w:t>；</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④软件平台1个：隧道施工运营期结构健康大数据管理系统，并获得软件著作权；</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⑤技术指南2项：《重庆市巴东组软岩大变形隧道标准化设计指南》《大变形隧道预应力锚索支护技术指南》；</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⑥知识产权1批：申请发明专利3项，发表SCI/EI论文2篇。</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（2）其他成果：</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①培养人才1批：培养博士或硕士研究生4人；</w:t>
            </w:r>
          </w:p>
          <w:p>
            <w:pPr>
              <w:widowControl/>
              <w:rPr>
                <w:rFonts w:ascii="宋体" w:cs="宋体"/>
                <w:color w:val="auto"/>
                <w:kern w:val="0"/>
                <w:sz w:val="18"/>
                <w:szCs w:val="18"/>
                <w:highlight w:val="none"/>
              </w:rPr>
            </w:pPr>
            <w:r>
              <w:rPr>
                <w:rFonts w:hint="eastAsia" w:ascii="宋体" w:cs="宋体"/>
                <w:color w:val="auto"/>
                <w:kern w:val="0"/>
                <w:sz w:val="18"/>
                <w:szCs w:val="18"/>
                <w:highlight w:val="none"/>
              </w:rPr>
              <w:t>②示范工程1处：巴东组软岩隧道大变形控制应用示范工程；</w:t>
            </w:r>
          </w:p>
          <w:p>
            <w:pPr>
              <w:widowControl/>
              <w:spacing w:line="240" w:lineRule="exact"/>
              <w:textAlignment w:val="center"/>
              <w:rPr>
                <w:rFonts w:ascii="宋体" w:cs="宋体"/>
                <w:color w:val="auto"/>
                <w:kern w:val="0"/>
                <w:sz w:val="18"/>
                <w:szCs w:val="18"/>
                <w:highlight w:val="none"/>
              </w:rPr>
            </w:pPr>
            <w:r>
              <w:rPr>
                <w:rFonts w:hint="eastAsia" w:ascii="宋体" w:cs="宋体"/>
                <w:color w:val="auto"/>
                <w:kern w:val="0"/>
                <w:sz w:val="18"/>
                <w:szCs w:val="18"/>
                <w:highlight w:val="none"/>
              </w:rPr>
              <w:t>③开展省级技术交流或培训活动至少2期，培训至少200人次。</w:t>
            </w:r>
          </w:p>
          <w:p>
            <w:pPr>
              <w:pStyle w:val="2"/>
              <w:widowControl/>
              <w:spacing w:line="240" w:lineRule="exact"/>
              <w:textAlignment w:val="center"/>
              <w:rPr>
                <w:rFonts w:ascii="宋体" w:cs="方正仿宋_GBK"/>
                <w:bCs/>
                <w:color w:val="auto"/>
                <w:sz w:val="18"/>
                <w:szCs w:val="18"/>
                <w:highlight w:val="none"/>
              </w:rPr>
            </w:pPr>
            <w:r>
              <w:rPr>
                <w:rFonts w:hint="eastAsia" w:ascii="宋体" w:cs="宋体"/>
                <w:color w:val="auto"/>
                <w:kern w:val="0"/>
                <w:sz w:val="18"/>
                <w:szCs w:val="18"/>
                <w:highlight w:val="none"/>
              </w:rPr>
              <w:t>（3）获得奖项：获得省部级（含</w:t>
            </w:r>
            <w:r>
              <w:rPr>
                <w:rFonts w:hint="eastAsia" w:ascii="宋体" w:cs="方正仿宋_GBK"/>
                <w:bCs/>
                <w:color w:val="auto"/>
                <w:sz w:val="18"/>
                <w:szCs w:val="18"/>
                <w:highlight w:val="none"/>
              </w:rPr>
              <w:t>国家</w:t>
            </w:r>
            <w:r>
              <w:rPr>
                <w:rFonts w:hint="eastAsia" w:ascii="宋体" w:cs="宋体"/>
                <w:color w:val="auto"/>
                <w:kern w:val="0"/>
                <w:sz w:val="18"/>
                <w:szCs w:val="18"/>
                <w:highlight w:val="none"/>
              </w:rPr>
              <w:t>一级协会/学会）奖项。</w:t>
            </w:r>
          </w:p>
        </w:tc>
      </w:tr>
    </w:tbl>
    <w:p>
      <w:pPr>
        <w:tabs>
          <w:tab w:val="left" w:pos="480"/>
        </w:tabs>
        <w:adjustRightInd w:val="0"/>
        <w:spacing w:line="360" w:lineRule="auto"/>
        <w:ind w:firstLine="352" w:firstLineChars="168"/>
        <w:jc w:val="left"/>
        <w:rPr>
          <w:rFonts w:ascii="宋体"/>
          <w:snapToGrid w:val="0"/>
          <w:color w:val="auto"/>
          <w:kern w:val="0"/>
          <w:szCs w:val="21"/>
          <w:highlight w:val="none"/>
        </w:rPr>
      </w:pPr>
      <w:r>
        <w:rPr>
          <w:rFonts w:hint="eastAsia" w:ascii="宋体"/>
          <w:snapToGrid w:val="0"/>
          <w:color w:val="auto"/>
          <w:kern w:val="0"/>
          <w:szCs w:val="21"/>
          <w:highlight w:val="none"/>
        </w:rPr>
        <w:t>2.5 服务期限：</w:t>
      </w:r>
    </w:p>
    <w:p>
      <w:pPr>
        <w:pStyle w:val="2"/>
        <w:ind w:firstLine="420" w:firstLineChars="200"/>
        <w:rPr>
          <w:color w:val="auto"/>
          <w:highlight w:val="none"/>
        </w:rPr>
      </w:pPr>
      <w:r>
        <w:rPr>
          <w:rFonts w:hint="eastAsia" w:ascii="宋体"/>
          <w:snapToGrid w:val="0"/>
          <w:color w:val="auto"/>
          <w:kern w:val="0"/>
          <w:szCs w:val="21"/>
          <w:highlight w:val="none"/>
        </w:rPr>
        <w:t>WYKKY2标段服务期限：</w:t>
      </w:r>
      <w:r>
        <w:rPr>
          <w:rFonts w:hint="eastAsia" w:ascii="宋体"/>
          <w:color w:val="auto"/>
          <w:szCs w:val="21"/>
          <w:highlight w:val="none"/>
          <w:lang w:val="en-US" w:eastAsia="zh-CN"/>
        </w:rPr>
        <w:t>截止2024年6月</w:t>
      </w:r>
      <w:r>
        <w:rPr>
          <w:rFonts w:ascii="宋体"/>
          <w:color w:val="auto"/>
          <w:szCs w:val="21"/>
          <w:highlight w:val="none"/>
        </w:rPr>
        <w:t>，乙方须按甲方要求完成项目研究内容以及考核指标（除获奖及延长服务期工作外），达到结题验收条件。</w:t>
      </w:r>
    </w:p>
    <w:bookmarkEnd w:id="19"/>
    <w:p>
      <w:pPr>
        <w:pStyle w:val="3"/>
        <w:spacing w:before="100" w:after="100" w:line="460" w:lineRule="exact"/>
        <w:outlineLvl w:val="2"/>
        <w:rPr>
          <w:rFonts w:ascii="宋体"/>
          <w:snapToGrid w:val="0"/>
          <w:color w:val="auto"/>
          <w:sz w:val="28"/>
          <w:szCs w:val="28"/>
          <w:highlight w:val="none"/>
        </w:rPr>
      </w:pPr>
      <w:bookmarkStart w:id="20" w:name="_Toc277082538"/>
      <w:bookmarkStart w:id="21" w:name="_Toc509218694"/>
      <w:bookmarkStart w:id="22" w:name="_Toc200359429"/>
      <w:bookmarkStart w:id="23" w:name="_Toc224103301"/>
      <w:bookmarkStart w:id="24" w:name="_Toc430530418"/>
      <w:bookmarkStart w:id="25" w:name="_Toc200359240"/>
      <w:bookmarkStart w:id="26" w:name="_Toc287620669"/>
      <w:bookmarkStart w:id="27" w:name="_Toc287607730"/>
      <w:r>
        <w:rPr>
          <w:rFonts w:ascii="宋体"/>
          <w:snapToGrid w:val="0"/>
          <w:color w:val="auto"/>
          <w:sz w:val="28"/>
          <w:szCs w:val="28"/>
          <w:highlight w:val="none"/>
        </w:rPr>
        <w:t>3. 投标人资格要求</w:t>
      </w:r>
      <w:bookmarkEnd w:id="20"/>
      <w:bookmarkEnd w:id="21"/>
      <w:bookmarkEnd w:id="22"/>
      <w:bookmarkEnd w:id="23"/>
      <w:bookmarkEnd w:id="24"/>
      <w:bookmarkEnd w:id="25"/>
      <w:bookmarkEnd w:id="26"/>
      <w:bookmarkEnd w:id="27"/>
    </w:p>
    <w:p>
      <w:pPr>
        <w:tabs>
          <w:tab w:val="left" w:pos="2420"/>
          <w:tab w:val="left" w:pos="5445"/>
        </w:tabs>
        <w:autoSpaceDE w:val="0"/>
        <w:autoSpaceDN w:val="0"/>
        <w:adjustRightInd w:val="0"/>
        <w:snapToGrid w:val="0"/>
        <w:spacing w:line="450" w:lineRule="exact"/>
        <w:ind w:firstLine="420"/>
        <w:rPr>
          <w:rFonts w:ascii="宋体"/>
          <w:snapToGrid w:val="0"/>
          <w:color w:val="auto"/>
          <w:kern w:val="0"/>
          <w:szCs w:val="21"/>
          <w:highlight w:val="none"/>
        </w:rPr>
      </w:pPr>
      <w:bookmarkStart w:id="28" w:name="OLE_LINK3"/>
      <w:r>
        <w:rPr>
          <w:rFonts w:ascii="宋体"/>
          <w:snapToGrid w:val="0"/>
          <w:color w:val="auto"/>
          <w:kern w:val="0"/>
          <w:szCs w:val="21"/>
          <w:highlight w:val="none"/>
        </w:rPr>
        <w:t>3.1  本次招标要求投标人须具备</w:t>
      </w:r>
      <w:r>
        <w:rPr>
          <w:rFonts w:hint="eastAsia" w:ascii="宋体"/>
          <w:snapToGrid w:val="0"/>
          <w:color w:val="auto"/>
          <w:kern w:val="0"/>
          <w:szCs w:val="21"/>
          <w:highlight w:val="none"/>
        </w:rPr>
        <w:t>以下条件：</w:t>
      </w:r>
    </w:p>
    <w:p>
      <w:pPr>
        <w:tabs>
          <w:tab w:val="left" w:pos="2420"/>
          <w:tab w:val="left" w:pos="5445"/>
        </w:tabs>
        <w:autoSpaceDE w:val="0"/>
        <w:autoSpaceDN w:val="0"/>
        <w:adjustRightInd w:val="0"/>
        <w:snapToGrid w:val="0"/>
        <w:spacing w:line="450" w:lineRule="exact"/>
        <w:ind w:firstLine="420"/>
        <w:rPr>
          <w:rFonts w:ascii="宋体"/>
          <w:snapToGrid w:val="0"/>
          <w:color w:val="auto"/>
          <w:kern w:val="0"/>
          <w:szCs w:val="21"/>
          <w:highlight w:val="none"/>
        </w:rPr>
      </w:pPr>
      <w:r>
        <w:rPr>
          <w:rFonts w:hint="eastAsia" w:ascii="宋体"/>
          <w:snapToGrid w:val="0"/>
          <w:color w:val="auto"/>
          <w:kern w:val="0"/>
          <w:szCs w:val="21"/>
          <w:highlight w:val="none"/>
        </w:rPr>
        <w:t>3.1.1 投标人应具有以下资质条件：</w:t>
      </w:r>
    </w:p>
    <w:p>
      <w:pPr>
        <w:autoSpaceDE w:val="0"/>
        <w:autoSpaceDN w:val="0"/>
        <w:adjustRightInd w:val="0"/>
        <w:snapToGrid w:val="0"/>
        <w:spacing w:line="400" w:lineRule="exact"/>
        <w:ind w:firstLine="420" w:firstLineChars="200"/>
        <w:rPr>
          <w:rFonts w:ascii="宋体"/>
          <w:snapToGrid w:val="0"/>
          <w:color w:val="auto"/>
          <w:kern w:val="0"/>
          <w:szCs w:val="21"/>
          <w:highlight w:val="none"/>
        </w:rPr>
      </w:pPr>
      <w:r>
        <w:rPr>
          <w:rFonts w:hint="eastAsia"/>
          <w:color w:val="auto"/>
          <w:highlight w:val="none"/>
        </w:rPr>
        <w:t>投标人须具有独立法人资格。</w:t>
      </w:r>
    </w:p>
    <w:p>
      <w:pPr>
        <w:autoSpaceDE w:val="0"/>
        <w:autoSpaceDN w:val="0"/>
        <w:adjustRightInd w:val="0"/>
        <w:snapToGrid w:val="0"/>
        <w:spacing w:line="400" w:lineRule="exact"/>
        <w:ind w:firstLine="420" w:firstLineChars="200"/>
        <w:rPr>
          <w:rFonts w:ascii="宋体"/>
          <w:snapToGrid w:val="0"/>
          <w:color w:val="auto"/>
          <w:kern w:val="0"/>
          <w:szCs w:val="21"/>
          <w:highlight w:val="none"/>
        </w:rPr>
      </w:pPr>
      <w:r>
        <w:rPr>
          <w:rFonts w:ascii="宋体"/>
          <w:snapToGrid w:val="0"/>
          <w:color w:val="auto"/>
          <w:kern w:val="0"/>
          <w:szCs w:val="21"/>
          <w:highlight w:val="none"/>
        </w:rPr>
        <w:t xml:space="preserve">3.1.2 </w:t>
      </w:r>
      <w:r>
        <w:rPr>
          <w:rFonts w:hint="eastAsia" w:ascii="宋体"/>
          <w:snapToGrid w:val="0"/>
          <w:color w:val="auto"/>
          <w:kern w:val="0"/>
          <w:szCs w:val="21"/>
          <w:highlight w:val="none"/>
        </w:rPr>
        <w:t>本次招标要求投标人应具备下列条件：</w:t>
      </w:r>
    </w:p>
    <w:p>
      <w:pPr>
        <w:tabs>
          <w:tab w:val="left" w:pos="2420"/>
          <w:tab w:val="left" w:pos="5445"/>
        </w:tabs>
        <w:autoSpaceDE w:val="0"/>
        <w:autoSpaceDN w:val="0"/>
        <w:adjustRightInd w:val="0"/>
        <w:snapToGrid w:val="0"/>
        <w:spacing w:line="450" w:lineRule="exact"/>
        <w:ind w:firstLine="420"/>
        <w:rPr>
          <w:rFonts w:hint="eastAsia" w:eastAsia="宋体"/>
          <w:color w:val="auto"/>
          <w:highlight w:val="none"/>
          <w:lang w:eastAsia="zh-CN"/>
        </w:rPr>
      </w:pPr>
      <w:r>
        <w:rPr>
          <w:rFonts w:hint="eastAsia"/>
          <w:color w:val="auto"/>
          <w:highlight w:val="none"/>
        </w:rPr>
        <w:t>（1）投标人</w:t>
      </w:r>
      <w:r>
        <w:rPr>
          <w:color w:val="auto"/>
          <w:highlight w:val="none"/>
        </w:rPr>
        <w:t>2018</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日至投标截止日</w:t>
      </w:r>
      <w:r>
        <w:rPr>
          <w:color w:val="auto"/>
          <w:highlight w:val="none"/>
        </w:rPr>
        <w:t>(</w:t>
      </w:r>
      <w:r>
        <w:rPr>
          <w:rFonts w:hint="eastAsia"/>
          <w:color w:val="auto"/>
          <w:highlight w:val="none"/>
        </w:rPr>
        <w:t>以课题结题时间或课题验收时间为准)</w:t>
      </w:r>
      <w:r>
        <w:rPr>
          <w:color w:val="auto"/>
          <w:highlight w:val="none"/>
        </w:rPr>
        <w:t>完成</w:t>
      </w:r>
      <w:r>
        <w:rPr>
          <w:rFonts w:hint="eastAsia"/>
          <w:color w:val="auto"/>
          <w:highlight w:val="none"/>
        </w:rPr>
        <w:t>1项公路工程方向的省部级及以上科研项目</w:t>
      </w:r>
      <w:r>
        <w:rPr>
          <w:rFonts w:hint="eastAsia"/>
          <w:color w:val="auto"/>
          <w:highlight w:val="none"/>
          <w:lang w:eastAsia="zh-CN"/>
        </w:rPr>
        <w:t>。</w:t>
      </w:r>
    </w:p>
    <w:p>
      <w:pPr>
        <w:tabs>
          <w:tab w:val="left" w:pos="2420"/>
          <w:tab w:val="left" w:pos="5445"/>
        </w:tabs>
        <w:autoSpaceDE w:val="0"/>
        <w:autoSpaceDN w:val="0"/>
        <w:adjustRightInd w:val="0"/>
        <w:snapToGrid w:val="0"/>
        <w:spacing w:line="450" w:lineRule="exact"/>
        <w:ind w:firstLine="420"/>
        <w:rPr>
          <w:color w:val="auto"/>
          <w:highlight w:val="none"/>
        </w:rPr>
      </w:pPr>
      <w:r>
        <w:rPr>
          <w:rFonts w:hint="eastAsia"/>
          <w:color w:val="auto"/>
          <w:highlight w:val="none"/>
          <w:lang w:val="en-US" w:eastAsia="zh-CN"/>
        </w:rPr>
        <w:t>注：</w:t>
      </w:r>
      <w:r>
        <w:rPr>
          <w:rFonts w:hint="eastAsia"/>
          <w:color w:val="auto"/>
          <w:highlight w:val="none"/>
        </w:rPr>
        <w:t>联合体</w:t>
      </w:r>
      <w:r>
        <w:rPr>
          <w:rFonts w:hint="eastAsia"/>
          <w:color w:val="auto"/>
          <w:highlight w:val="none"/>
          <w:lang w:val="en-US" w:eastAsia="zh-CN"/>
        </w:rPr>
        <w:t>投标的</w:t>
      </w:r>
      <w:r>
        <w:rPr>
          <w:rFonts w:hint="eastAsia"/>
          <w:color w:val="auto"/>
          <w:highlight w:val="none"/>
        </w:rPr>
        <w:t>，该业绩由联合体牵头人提供。</w:t>
      </w:r>
    </w:p>
    <w:p>
      <w:pPr>
        <w:tabs>
          <w:tab w:val="left" w:pos="3840"/>
          <w:tab w:val="left" w:pos="5300"/>
        </w:tabs>
        <w:autoSpaceDE w:val="0"/>
        <w:autoSpaceDN w:val="0"/>
        <w:adjustRightInd w:val="0"/>
        <w:snapToGrid w:val="0"/>
        <w:spacing w:line="460" w:lineRule="exact"/>
        <w:ind w:firstLine="420" w:firstLineChars="200"/>
        <w:jc w:val="left"/>
        <w:rPr>
          <w:rFonts w:ascii="宋体"/>
          <w:color w:val="auto"/>
          <w:szCs w:val="21"/>
          <w:highlight w:val="none"/>
        </w:rPr>
      </w:pPr>
      <w:r>
        <w:rPr>
          <w:rFonts w:hint="eastAsia" w:ascii="宋体"/>
          <w:snapToGrid w:val="0"/>
          <w:color w:val="auto"/>
          <w:kern w:val="0"/>
          <w:szCs w:val="21"/>
          <w:highlight w:val="none"/>
        </w:rPr>
        <w:t>3.1.3 投标人还应在人员、设备、资金等方面具有相应的服务能力，详见招标文件第二章投标人须知前附表第1.4.1项内容。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color w:val="auto"/>
          <w:highlight w:val="none"/>
        </w:rPr>
      </w:pPr>
      <w:r>
        <w:rPr>
          <w:rFonts w:hint="eastAsia" w:ascii="宋体"/>
          <w:snapToGrid w:val="0"/>
          <w:color w:val="auto"/>
          <w:kern w:val="0"/>
          <w:szCs w:val="21"/>
          <w:highlight w:val="none"/>
        </w:rPr>
        <w:t>3.2 本次招标接受联合体投标，</w:t>
      </w:r>
      <w:r>
        <w:rPr>
          <w:rFonts w:hint="eastAsia"/>
          <w:color w:val="auto"/>
          <w:highlight w:val="none"/>
        </w:rPr>
        <w:t>联合体投标应满足下列要求：</w:t>
      </w:r>
    </w:p>
    <w:p>
      <w:pPr>
        <w:tabs>
          <w:tab w:val="left" w:pos="3045"/>
          <w:tab w:val="left" w:pos="8310"/>
        </w:tabs>
        <w:autoSpaceDE w:val="0"/>
        <w:autoSpaceDN w:val="0"/>
        <w:adjustRightInd w:val="0"/>
        <w:snapToGrid w:val="0"/>
        <w:spacing w:line="460" w:lineRule="exact"/>
        <w:ind w:firstLine="420" w:firstLineChars="200"/>
        <w:rPr>
          <w:color w:val="auto"/>
          <w:highlight w:val="none"/>
        </w:rPr>
      </w:pPr>
      <w:r>
        <w:rPr>
          <w:rFonts w:hint="eastAsia"/>
          <w:color w:val="auto"/>
          <w:highlight w:val="none"/>
        </w:rPr>
        <w:t>（1）若为联合体投标，须签署联合体协议书</w:t>
      </w:r>
      <w:r>
        <w:rPr>
          <w:rFonts w:hint="eastAsia" w:ascii="宋体"/>
          <w:color w:val="auto"/>
          <w:szCs w:val="21"/>
          <w:highlight w:val="none"/>
        </w:rPr>
        <w:t>（联合体格式见第六章投标文件格式）</w:t>
      </w:r>
      <w:r>
        <w:rPr>
          <w:rFonts w:hint="eastAsia"/>
          <w:color w:val="auto"/>
          <w:highlight w:val="none"/>
        </w:rPr>
        <w:t>，明确联合体牵头人，联合体中各成员单位及其分别承担工作范围（工作内容及考核指标）、以及联合体各成员单位报价中各自分配的金额等相关权益和责任义务；</w:t>
      </w:r>
    </w:p>
    <w:p>
      <w:pPr>
        <w:tabs>
          <w:tab w:val="left" w:pos="3045"/>
          <w:tab w:val="left" w:pos="8310"/>
        </w:tabs>
        <w:autoSpaceDE w:val="0"/>
        <w:autoSpaceDN w:val="0"/>
        <w:adjustRightInd w:val="0"/>
        <w:snapToGrid w:val="0"/>
        <w:spacing w:line="460" w:lineRule="exact"/>
        <w:ind w:firstLine="420" w:firstLineChars="200"/>
        <w:rPr>
          <w:color w:val="auto"/>
          <w:highlight w:val="none"/>
        </w:rPr>
      </w:pPr>
      <w:r>
        <w:rPr>
          <w:rFonts w:hint="eastAsia"/>
          <w:color w:val="auto"/>
          <w:highlight w:val="none"/>
        </w:rPr>
        <w:t>（2）联合体成员单位均为独立法人；</w:t>
      </w:r>
    </w:p>
    <w:p>
      <w:pPr>
        <w:tabs>
          <w:tab w:val="left" w:pos="3045"/>
          <w:tab w:val="left" w:pos="8310"/>
        </w:tabs>
        <w:autoSpaceDE w:val="0"/>
        <w:autoSpaceDN w:val="0"/>
        <w:adjustRightInd w:val="0"/>
        <w:snapToGrid w:val="0"/>
        <w:spacing w:line="460" w:lineRule="exact"/>
        <w:ind w:firstLine="420" w:firstLineChars="200"/>
        <w:rPr>
          <w:color w:val="auto"/>
          <w:highlight w:val="none"/>
        </w:rPr>
      </w:pPr>
      <w:r>
        <w:rPr>
          <w:rFonts w:hint="eastAsia"/>
          <w:color w:val="auto"/>
          <w:highlight w:val="none"/>
        </w:rPr>
        <w:t>（3）联合体成员的数量（含牵头单位）不得超过</w:t>
      </w:r>
      <w:r>
        <w:rPr>
          <w:color w:val="auto"/>
          <w:highlight w:val="none"/>
        </w:rPr>
        <w:t>3</w:t>
      </w:r>
      <w:r>
        <w:rPr>
          <w:rFonts w:hint="eastAsia"/>
          <w:color w:val="auto"/>
          <w:highlight w:val="none"/>
        </w:rPr>
        <w:t>家。</w:t>
      </w:r>
    </w:p>
    <w:p>
      <w:pPr>
        <w:tabs>
          <w:tab w:val="left" w:pos="2420"/>
          <w:tab w:val="left" w:pos="5445"/>
        </w:tabs>
        <w:autoSpaceDE w:val="0"/>
        <w:autoSpaceDN w:val="0"/>
        <w:adjustRightInd w:val="0"/>
        <w:snapToGrid w:val="0"/>
        <w:spacing w:line="450" w:lineRule="exact"/>
        <w:ind w:firstLine="420" w:firstLineChars="0"/>
        <w:rPr>
          <w:rFonts w:hint="default"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3</w:t>
      </w:r>
      <w:r>
        <w:rPr>
          <w:rFonts w:hint="eastAsia" w:ascii="宋体" w:hAnsi="宋体"/>
          <w:snapToGrid w:val="0"/>
          <w:color w:val="auto"/>
          <w:kern w:val="0"/>
          <w:szCs w:val="21"/>
          <w:highlight w:val="none"/>
          <w:lang w:val="en-US" w:eastAsia="zh-CN"/>
        </w:rPr>
        <w:t>投标人以联合体形式参与投标的，不能再以独立形式或组建新的联合体参与投标。</w:t>
      </w:r>
    </w:p>
    <w:bookmarkEnd w:id="28"/>
    <w:p>
      <w:pPr>
        <w:pStyle w:val="3"/>
        <w:spacing w:before="100" w:after="100" w:line="460" w:lineRule="exact"/>
        <w:outlineLvl w:val="2"/>
        <w:rPr>
          <w:rFonts w:ascii="宋体"/>
          <w:snapToGrid w:val="0"/>
          <w:color w:val="auto"/>
          <w:sz w:val="28"/>
          <w:szCs w:val="28"/>
          <w:highlight w:val="none"/>
        </w:rPr>
      </w:pPr>
      <w:bookmarkStart w:id="29" w:name="_Toc287607731"/>
      <w:bookmarkStart w:id="30" w:name="_Toc287620670"/>
      <w:bookmarkStart w:id="31" w:name="_Toc200359241"/>
      <w:bookmarkStart w:id="32" w:name="_Toc200359430"/>
      <w:bookmarkStart w:id="33" w:name="_Toc430530419"/>
      <w:bookmarkStart w:id="34" w:name="_Toc509218695"/>
      <w:bookmarkStart w:id="35" w:name="_Toc277082539"/>
      <w:bookmarkStart w:id="36" w:name="_Toc224103302"/>
      <w:r>
        <w:rPr>
          <w:rFonts w:ascii="宋体"/>
          <w:snapToGrid w:val="0"/>
          <w:color w:val="auto"/>
          <w:sz w:val="28"/>
          <w:szCs w:val="28"/>
          <w:highlight w:val="none"/>
        </w:rPr>
        <w:t>4. 招标文件的获取</w:t>
      </w:r>
      <w:bookmarkEnd w:id="29"/>
      <w:bookmarkEnd w:id="30"/>
      <w:bookmarkEnd w:id="31"/>
      <w:bookmarkEnd w:id="32"/>
      <w:bookmarkEnd w:id="33"/>
      <w:bookmarkEnd w:id="34"/>
      <w:bookmarkEnd w:id="35"/>
      <w:bookmarkEnd w:id="36"/>
    </w:p>
    <w:p>
      <w:pPr>
        <w:tabs>
          <w:tab w:val="left" w:pos="2420"/>
          <w:tab w:val="left" w:pos="5445"/>
        </w:tabs>
        <w:autoSpaceDE w:val="0"/>
        <w:autoSpaceDN w:val="0"/>
        <w:adjustRightInd w:val="0"/>
        <w:snapToGrid w:val="0"/>
        <w:spacing w:line="450" w:lineRule="exact"/>
        <w:ind w:firstLine="420"/>
        <w:rPr>
          <w:rFonts w:ascii="宋体"/>
          <w:snapToGrid w:val="0"/>
          <w:color w:val="auto"/>
          <w:kern w:val="0"/>
          <w:szCs w:val="21"/>
          <w:highlight w:val="none"/>
        </w:rPr>
      </w:pPr>
      <w:bookmarkStart w:id="37" w:name="_Toc509218696"/>
      <w:bookmarkStart w:id="38" w:name="_Toc200359242"/>
      <w:bookmarkStart w:id="39" w:name="_Toc430530420"/>
      <w:bookmarkStart w:id="40" w:name="_Toc224103303"/>
      <w:bookmarkStart w:id="41" w:name="_Toc277082540"/>
      <w:bookmarkStart w:id="42" w:name="_Toc200359431"/>
      <w:bookmarkStart w:id="43" w:name="_Toc287607732"/>
      <w:bookmarkStart w:id="44" w:name="_Toc287620671"/>
      <w:r>
        <w:rPr>
          <w:rFonts w:hint="eastAsia" w:ascii="宋体"/>
          <w:snapToGrid w:val="0"/>
          <w:color w:val="auto"/>
          <w:kern w:val="0"/>
          <w:szCs w:val="21"/>
          <w:highlight w:val="none"/>
        </w:rPr>
        <w:t xml:space="preserve">4.1  </w:t>
      </w:r>
      <w:r>
        <w:rPr>
          <w:rFonts w:ascii="宋体"/>
          <w:snapToGrid w:val="0"/>
          <w:color w:val="auto"/>
          <w:kern w:val="0"/>
          <w:szCs w:val="21"/>
          <w:highlight w:val="none"/>
        </w:rPr>
        <w:t>本招标项目采用</w:t>
      </w:r>
      <w:r>
        <w:rPr>
          <w:rFonts w:hint="eastAsia" w:ascii="宋体"/>
          <w:snapToGrid w:val="0"/>
          <w:color w:val="auto"/>
          <w:kern w:val="0"/>
          <w:szCs w:val="21"/>
          <w:highlight w:val="none"/>
        </w:rPr>
        <w:t>全流程电子</w:t>
      </w:r>
      <w:r>
        <w:rPr>
          <w:rFonts w:ascii="宋体"/>
          <w:snapToGrid w:val="0"/>
          <w:color w:val="auto"/>
          <w:kern w:val="0"/>
          <w:szCs w:val="21"/>
          <w:highlight w:val="none"/>
        </w:rPr>
        <w:t>招投标，投标人在投标前可在</w:t>
      </w:r>
      <w:r>
        <w:rPr>
          <w:rFonts w:hint="eastAsia" w:ascii="宋体"/>
          <w:snapToGrid w:val="0"/>
          <w:color w:val="auto"/>
          <w:kern w:val="0"/>
          <w:szCs w:val="21"/>
          <w:highlight w:val="none"/>
          <w:u w:val="single"/>
        </w:rPr>
        <w:t>重庆市公共资源交易网（www.cqggzy.com）</w:t>
      </w:r>
      <w:r>
        <w:rPr>
          <w:rFonts w:ascii="宋体"/>
          <w:snapToGrid w:val="0"/>
          <w:color w:val="auto"/>
          <w:kern w:val="0"/>
          <w:szCs w:val="21"/>
          <w:highlight w:val="none"/>
        </w:rPr>
        <w:t>下载招标文件</w:t>
      </w:r>
      <w:r>
        <w:rPr>
          <w:rFonts w:hint="eastAsia" w:ascii="宋体"/>
          <w:snapToGrid w:val="0"/>
          <w:color w:val="auto"/>
          <w:kern w:val="0"/>
          <w:szCs w:val="21"/>
          <w:highlight w:val="none"/>
        </w:rPr>
        <w:t>及其</w:t>
      </w:r>
      <w:r>
        <w:rPr>
          <w:rFonts w:ascii="宋体"/>
          <w:snapToGrid w:val="0"/>
          <w:color w:val="auto"/>
          <w:kern w:val="0"/>
          <w:szCs w:val="21"/>
          <w:highlight w:val="none"/>
        </w:rPr>
        <w:t>附件、澄清、修改、补充通知、最高限价通知等资料。参与投标的投标人</w:t>
      </w:r>
      <w:r>
        <w:rPr>
          <w:rFonts w:hint="eastAsia" w:ascii="宋体"/>
          <w:snapToGrid w:val="0"/>
          <w:color w:val="auto"/>
          <w:kern w:val="0"/>
          <w:szCs w:val="21"/>
          <w:highlight w:val="none"/>
        </w:rPr>
        <w:t>需在</w:t>
      </w:r>
      <w:r>
        <w:rPr>
          <w:rFonts w:hint="eastAsia" w:ascii="宋体"/>
          <w:snapToGrid w:val="0"/>
          <w:color w:val="auto"/>
          <w:kern w:val="0"/>
          <w:szCs w:val="21"/>
          <w:highlight w:val="none"/>
          <w:u w:val="single"/>
        </w:rPr>
        <w:t>重庆市公共资源交易网（www.cqggzy.com）</w:t>
      </w:r>
      <w:r>
        <w:rPr>
          <w:rFonts w:hint="eastAsia" w:ascii="宋体"/>
          <w:snapToGrid w:val="0"/>
          <w:color w:val="auto"/>
          <w:kern w:val="0"/>
          <w:szCs w:val="21"/>
          <w:highlight w:val="none"/>
        </w:rPr>
        <w:t>完成市场主体信息登记以及 CA 数字证书办理，办理方式请参见</w:t>
      </w:r>
      <w:r>
        <w:rPr>
          <w:rFonts w:hint="eastAsia" w:ascii="宋体"/>
          <w:snapToGrid w:val="0"/>
          <w:color w:val="auto"/>
          <w:kern w:val="0"/>
          <w:szCs w:val="21"/>
          <w:highlight w:val="none"/>
          <w:u w:val="single"/>
        </w:rPr>
        <w:t>重庆市公共资源交易网（www.cqggzy.com）</w:t>
      </w:r>
      <w:r>
        <w:rPr>
          <w:rFonts w:hint="eastAsia" w:ascii="宋体"/>
          <w:snapToGrid w:val="0"/>
          <w:color w:val="auto"/>
          <w:kern w:val="0"/>
          <w:szCs w:val="21"/>
          <w:highlight w:val="none"/>
        </w:rPr>
        <w:t>导航栏“主体信息”页面中“市场主体信息登记”“CA 数字证书办理”。若投标人未及时完成市场主体信息登记和 CA 数字证书办理导致无法完成全流程电子招投标的，责任自负</w:t>
      </w:r>
      <w:r>
        <w:rPr>
          <w:rFonts w:ascii="宋体"/>
          <w:snapToGrid w:val="0"/>
          <w:color w:val="auto"/>
          <w:kern w:val="0"/>
          <w:szCs w:val="21"/>
          <w:highlight w:val="none"/>
        </w:rPr>
        <w:t>。</w:t>
      </w:r>
    </w:p>
    <w:p>
      <w:pPr>
        <w:tabs>
          <w:tab w:val="left" w:pos="2420"/>
          <w:tab w:val="left" w:pos="5445"/>
        </w:tabs>
        <w:autoSpaceDE w:val="0"/>
        <w:autoSpaceDN w:val="0"/>
        <w:adjustRightInd w:val="0"/>
        <w:snapToGrid w:val="0"/>
        <w:spacing w:line="450" w:lineRule="exact"/>
        <w:ind w:firstLine="420"/>
        <w:rPr>
          <w:rFonts w:ascii="宋体"/>
          <w:snapToGrid w:val="0"/>
          <w:color w:val="auto"/>
          <w:kern w:val="0"/>
          <w:szCs w:val="21"/>
          <w:highlight w:val="none"/>
        </w:rPr>
      </w:pPr>
      <w:r>
        <w:rPr>
          <w:rFonts w:hint="eastAsia" w:ascii="宋体"/>
          <w:snapToGrid w:val="0"/>
          <w:color w:val="auto"/>
          <w:kern w:val="0"/>
          <w:szCs w:val="21"/>
          <w:highlight w:val="none"/>
        </w:rPr>
        <w:t>4.2  投标人可在</w:t>
      </w:r>
      <w:r>
        <w:rPr>
          <w:rFonts w:hint="eastAsia" w:ascii="宋体" w:cs="宋体"/>
          <w:snapToGrid w:val="0"/>
          <w:color w:val="auto"/>
          <w:kern w:val="0"/>
          <w:szCs w:val="21"/>
          <w:highlight w:val="none"/>
        </w:rPr>
        <w:t>附件招标公告规定的时限内在</w:t>
      </w:r>
      <w:r>
        <w:rPr>
          <w:rFonts w:hint="eastAsia" w:ascii="宋体"/>
          <w:snapToGrid w:val="0"/>
          <w:color w:val="auto"/>
          <w:kern w:val="0"/>
          <w:szCs w:val="21"/>
          <w:highlight w:val="none"/>
          <w:u w:val="single"/>
        </w:rPr>
        <w:t>重庆市公共资源交易网（www.cqggzy.com）</w:t>
      </w:r>
      <w:r>
        <w:rPr>
          <w:rFonts w:hint="eastAsia" w:ascii="宋体"/>
          <w:snapToGrid w:val="0"/>
          <w:color w:val="auto"/>
          <w:kern w:val="0"/>
          <w:szCs w:val="21"/>
          <w:highlight w:val="none"/>
        </w:rPr>
        <w:t>本项目招标公告网页下方“我要提问”栏提出疑问。</w:t>
      </w:r>
    </w:p>
    <w:p>
      <w:pPr>
        <w:tabs>
          <w:tab w:val="left" w:pos="2420"/>
          <w:tab w:val="left" w:pos="5445"/>
        </w:tabs>
        <w:autoSpaceDE w:val="0"/>
        <w:autoSpaceDN w:val="0"/>
        <w:adjustRightInd w:val="0"/>
        <w:snapToGrid w:val="0"/>
        <w:spacing w:line="450" w:lineRule="exact"/>
        <w:ind w:firstLine="420"/>
        <w:jc w:val="left"/>
        <w:rPr>
          <w:rFonts w:ascii="宋体"/>
          <w:snapToGrid w:val="0"/>
          <w:color w:val="auto"/>
          <w:kern w:val="0"/>
          <w:szCs w:val="21"/>
          <w:highlight w:val="none"/>
        </w:rPr>
      </w:pPr>
      <w:r>
        <w:rPr>
          <w:rFonts w:hint="eastAsia" w:ascii="宋体"/>
          <w:snapToGrid w:val="0"/>
          <w:color w:val="auto"/>
          <w:kern w:val="0"/>
          <w:szCs w:val="21"/>
          <w:highlight w:val="none"/>
        </w:rPr>
        <w:t>4.3  招标人应</w:t>
      </w:r>
      <w:r>
        <w:rPr>
          <w:rFonts w:hint="eastAsia" w:ascii="宋体" w:cs="宋体"/>
          <w:snapToGrid w:val="0"/>
          <w:color w:val="auto"/>
          <w:kern w:val="0"/>
          <w:szCs w:val="21"/>
          <w:highlight w:val="none"/>
        </w:rPr>
        <w:t>在附件招标公告规定的时限内</w:t>
      </w:r>
      <w:r>
        <w:rPr>
          <w:rFonts w:hint="eastAsia" w:ascii="宋体"/>
          <w:snapToGrid w:val="0"/>
          <w:color w:val="auto"/>
          <w:kern w:val="0"/>
          <w:szCs w:val="21"/>
          <w:highlight w:val="none"/>
        </w:rPr>
        <w:t>在</w:t>
      </w:r>
      <w:r>
        <w:rPr>
          <w:rFonts w:hint="eastAsia" w:ascii="宋体"/>
          <w:snapToGrid w:val="0"/>
          <w:color w:val="auto"/>
          <w:kern w:val="0"/>
          <w:szCs w:val="21"/>
          <w:highlight w:val="none"/>
          <w:u w:val="single"/>
        </w:rPr>
        <w:t>重庆市公共资源交易网（www.cqggzy.com）</w:t>
      </w:r>
      <w:r>
        <w:rPr>
          <w:rFonts w:hint="eastAsia" w:ascii="宋体"/>
          <w:snapToGrid w:val="0"/>
          <w:color w:val="auto"/>
          <w:kern w:val="0"/>
          <w:szCs w:val="21"/>
          <w:highlight w:val="none"/>
        </w:rPr>
        <w:t>发布澄清或修改。</w:t>
      </w:r>
    </w:p>
    <w:p>
      <w:pPr>
        <w:pStyle w:val="3"/>
        <w:spacing w:before="100" w:after="100" w:line="460" w:lineRule="exact"/>
        <w:outlineLvl w:val="2"/>
        <w:rPr>
          <w:rFonts w:ascii="宋体"/>
          <w:snapToGrid w:val="0"/>
          <w:color w:val="auto"/>
          <w:sz w:val="28"/>
          <w:szCs w:val="28"/>
          <w:highlight w:val="none"/>
        </w:rPr>
      </w:pPr>
      <w:r>
        <w:rPr>
          <w:rFonts w:ascii="宋体"/>
          <w:snapToGrid w:val="0"/>
          <w:color w:val="auto"/>
          <w:sz w:val="28"/>
          <w:szCs w:val="28"/>
          <w:highlight w:val="none"/>
        </w:rPr>
        <w:t>5. 投标文件的递交</w:t>
      </w:r>
      <w:bookmarkEnd w:id="37"/>
      <w:bookmarkEnd w:id="38"/>
      <w:bookmarkEnd w:id="39"/>
      <w:bookmarkEnd w:id="40"/>
      <w:bookmarkEnd w:id="41"/>
      <w:bookmarkEnd w:id="42"/>
      <w:bookmarkEnd w:id="43"/>
      <w:bookmarkEnd w:id="44"/>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snapToGrid w:val="0"/>
          <w:color w:val="auto"/>
          <w:kern w:val="0"/>
          <w:szCs w:val="21"/>
          <w:highlight w:val="none"/>
        </w:rPr>
      </w:pPr>
      <w:bookmarkStart w:id="45" w:name="_Hlk101516861"/>
      <w:r>
        <w:rPr>
          <w:rFonts w:hint="eastAsia" w:ascii="宋体"/>
          <w:snapToGrid w:val="0"/>
          <w:color w:val="auto"/>
          <w:kern w:val="0"/>
          <w:szCs w:val="21"/>
          <w:highlight w:val="none"/>
        </w:rPr>
        <w:t>5.1  投标文件递交的截止时间（投标截止时间，下同）</w:t>
      </w:r>
      <w:r>
        <w:rPr>
          <w:rFonts w:hint="eastAsia" w:ascii="宋体" w:cs="宋体"/>
          <w:snapToGrid w:val="0"/>
          <w:color w:val="auto"/>
          <w:kern w:val="0"/>
          <w:szCs w:val="21"/>
          <w:highlight w:val="none"/>
        </w:rPr>
        <w:t>详见附件招标公告规定的投标截止时间</w:t>
      </w:r>
      <w:r>
        <w:rPr>
          <w:rFonts w:hint="eastAsia" w:ascii="宋体"/>
          <w:snapToGrid w:val="0"/>
          <w:color w:val="auto"/>
          <w:kern w:val="0"/>
          <w:szCs w:val="21"/>
          <w:highlight w:val="none"/>
        </w:rPr>
        <w:t>，投标人应当在投标截止时间前，通过互联网使用CA数字证书登录重庆市电子招投标系统，将加密的电子投标文件上传。</w:t>
      </w:r>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snapToGrid w:val="0"/>
          <w:color w:val="auto"/>
          <w:kern w:val="0"/>
          <w:szCs w:val="21"/>
          <w:highlight w:val="none"/>
        </w:rPr>
      </w:pPr>
      <w:r>
        <w:rPr>
          <w:rFonts w:hint="eastAsia" w:ascii="宋体"/>
          <w:snapToGrid w:val="0"/>
          <w:color w:val="auto"/>
          <w:kern w:val="0"/>
          <w:szCs w:val="21"/>
          <w:highlight w:val="none"/>
        </w:rPr>
        <w:t>5.2  未按要求加密的电子投标文件，将无法上传至重庆市电子招投标系统，逾期未完成上传投标文件的，视为撤回投标文件。</w:t>
      </w:r>
    </w:p>
    <w:bookmarkEnd w:id="45"/>
    <w:p>
      <w:pPr>
        <w:pStyle w:val="3"/>
        <w:spacing w:before="100" w:after="100" w:line="460" w:lineRule="exact"/>
        <w:outlineLvl w:val="2"/>
        <w:rPr>
          <w:rFonts w:ascii="宋体"/>
          <w:snapToGrid w:val="0"/>
          <w:color w:val="auto"/>
          <w:sz w:val="28"/>
          <w:szCs w:val="28"/>
          <w:highlight w:val="none"/>
        </w:rPr>
      </w:pPr>
      <w:bookmarkStart w:id="46" w:name="_Toc200359243"/>
      <w:bookmarkStart w:id="47" w:name="_Toc509218697"/>
      <w:bookmarkStart w:id="48" w:name="_Toc200359432"/>
      <w:bookmarkStart w:id="49" w:name="_Toc287607733"/>
      <w:bookmarkStart w:id="50" w:name="_Toc287620672"/>
      <w:bookmarkStart w:id="51" w:name="_Toc277082541"/>
      <w:bookmarkStart w:id="52" w:name="_Toc430530421"/>
      <w:bookmarkStart w:id="53" w:name="_Toc224103304"/>
      <w:r>
        <w:rPr>
          <w:rFonts w:ascii="宋体"/>
          <w:snapToGrid w:val="0"/>
          <w:color w:val="auto"/>
          <w:sz w:val="28"/>
          <w:szCs w:val="28"/>
          <w:highlight w:val="none"/>
        </w:rPr>
        <w:t>6. 发布公告的媒介</w:t>
      </w:r>
      <w:bookmarkEnd w:id="46"/>
      <w:bookmarkEnd w:id="47"/>
      <w:bookmarkEnd w:id="48"/>
      <w:bookmarkEnd w:id="49"/>
      <w:bookmarkEnd w:id="50"/>
      <w:bookmarkEnd w:id="51"/>
      <w:bookmarkEnd w:id="52"/>
      <w:bookmarkEnd w:id="53"/>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snapToGrid w:val="0"/>
          <w:color w:val="auto"/>
          <w:kern w:val="0"/>
          <w:szCs w:val="21"/>
          <w:highlight w:val="none"/>
        </w:rPr>
      </w:pPr>
      <w:r>
        <w:rPr>
          <w:rFonts w:ascii="宋体"/>
          <w:snapToGrid w:val="0"/>
          <w:color w:val="auto"/>
          <w:kern w:val="0"/>
          <w:szCs w:val="21"/>
          <w:highlight w:val="none"/>
        </w:rPr>
        <w:t>本次招标公告同时在</w:t>
      </w:r>
      <w:r>
        <w:rPr>
          <w:rFonts w:hint="eastAsia" w:ascii="宋体"/>
          <w:snapToGrid w:val="0"/>
          <w:color w:val="auto"/>
          <w:kern w:val="0"/>
          <w:szCs w:val="21"/>
          <w:highlight w:val="none"/>
        </w:rPr>
        <w:t>重庆市公共资源交易网（https://www.cqggzy.com/）、重庆高速公路集团有限公司官网（http://www.cegc.com.cn/gw）和重庆高速公路集团有限公司招投标管理平台（http://219.152.86.11:8088/pms/jsp/business/cccc/login.jsp）上发布。</w:t>
      </w:r>
    </w:p>
    <w:p>
      <w:pPr>
        <w:pStyle w:val="3"/>
        <w:spacing w:before="100" w:after="100" w:line="460" w:lineRule="exact"/>
        <w:outlineLvl w:val="2"/>
        <w:rPr>
          <w:rFonts w:ascii="宋体"/>
          <w:snapToGrid w:val="0"/>
          <w:color w:val="auto"/>
          <w:sz w:val="28"/>
          <w:szCs w:val="28"/>
          <w:highlight w:val="none"/>
        </w:rPr>
      </w:pPr>
      <w:bookmarkStart w:id="54" w:name="_Toc224103305"/>
      <w:bookmarkStart w:id="55" w:name="_Toc509218698"/>
      <w:bookmarkStart w:id="56" w:name="_Toc277082542"/>
      <w:bookmarkStart w:id="57" w:name="_Toc430530422"/>
      <w:bookmarkStart w:id="58" w:name="_Toc287607734"/>
      <w:bookmarkStart w:id="59" w:name="_Toc287620673"/>
      <w:r>
        <w:rPr>
          <w:rFonts w:ascii="宋体"/>
          <w:snapToGrid w:val="0"/>
          <w:color w:val="auto"/>
          <w:sz w:val="28"/>
          <w:szCs w:val="28"/>
          <w:highlight w:val="none"/>
        </w:rPr>
        <w:t>7. 联系方式</w:t>
      </w:r>
      <w:bookmarkEnd w:id="54"/>
      <w:bookmarkEnd w:id="55"/>
      <w:bookmarkEnd w:id="56"/>
      <w:bookmarkEnd w:id="57"/>
      <w:bookmarkEnd w:id="58"/>
      <w:bookmarkEnd w:id="59"/>
    </w:p>
    <w:p>
      <w:pPr>
        <w:spacing w:line="440" w:lineRule="atLeast"/>
        <w:ind w:firstLine="420" w:firstLineChars="200"/>
        <w:rPr>
          <w:color w:val="auto"/>
          <w:szCs w:val="21"/>
          <w:highlight w:val="none"/>
        </w:rPr>
      </w:pPr>
      <w:r>
        <w:rPr>
          <w:rFonts w:hint="eastAsia"/>
          <w:color w:val="auto"/>
          <w:szCs w:val="21"/>
          <w:highlight w:val="none"/>
        </w:rPr>
        <w:t xml:space="preserve">招标人：重庆高速巫云开建设有限公司  </w:t>
      </w:r>
    </w:p>
    <w:p>
      <w:pPr>
        <w:spacing w:line="440" w:lineRule="atLeast"/>
        <w:ind w:firstLine="420" w:firstLineChars="200"/>
        <w:rPr>
          <w:color w:val="auto"/>
          <w:szCs w:val="21"/>
          <w:highlight w:val="none"/>
        </w:rPr>
      </w:pPr>
      <w:r>
        <w:rPr>
          <w:rFonts w:hint="eastAsia"/>
          <w:color w:val="auto"/>
          <w:szCs w:val="21"/>
          <w:highlight w:val="none"/>
        </w:rPr>
        <w:t>地  址：重庆市渝北区银杉路66号</w:t>
      </w:r>
    </w:p>
    <w:p>
      <w:pPr>
        <w:spacing w:line="440" w:lineRule="atLeast"/>
        <w:ind w:firstLine="420" w:firstLineChars="200"/>
        <w:rPr>
          <w:color w:val="auto"/>
          <w:szCs w:val="21"/>
          <w:highlight w:val="none"/>
        </w:rPr>
      </w:pPr>
      <w:r>
        <w:rPr>
          <w:rFonts w:hint="eastAsia"/>
          <w:color w:val="auto"/>
          <w:szCs w:val="21"/>
          <w:highlight w:val="none"/>
        </w:rPr>
        <w:t>联系人：郝老师</w:t>
      </w:r>
    </w:p>
    <w:p>
      <w:pPr>
        <w:spacing w:line="440" w:lineRule="atLeast"/>
        <w:ind w:firstLine="420" w:firstLineChars="200"/>
        <w:rPr>
          <w:color w:val="auto"/>
          <w:szCs w:val="21"/>
          <w:highlight w:val="none"/>
        </w:rPr>
      </w:pPr>
      <w:r>
        <w:rPr>
          <w:rFonts w:hint="eastAsia"/>
          <w:color w:val="auto"/>
          <w:szCs w:val="21"/>
          <w:highlight w:val="none"/>
        </w:rPr>
        <w:t>电  话：023-89136374</w:t>
      </w:r>
    </w:p>
    <w:p>
      <w:pPr>
        <w:spacing w:line="440" w:lineRule="atLeast"/>
        <w:ind w:firstLine="420" w:firstLineChars="200"/>
        <w:rPr>
          <w:color w:val="auto"/>
          <w:szCs w:val="21"/>
          <w:highlight w:val="none"/>
        </w:rPr>
      </w:pPr>
      <w:r>
        <w:rPr>
          <w:rFonts w:hint="eastAsia"/>
          <w:color w:val="auto"/>
          <w:szCs w:val="21"/>
          <w:highlight w:val="none"/>
        </w:rPr>
        <w:t>招标代理机构：重庆国际投资咨询集团有限公司</w:t>
      </w:r>
    </w:p>
    <w:p>
      <w:pPr>
        <w:spacing w:line="440" w:lineRule="atLeast"/>
        <w:ind w:firstLine="420" w:firstLineChars="200"/>
        <w:rPr>
          <w:color w:val="auto"/>
          <w:szCs w:val="21"/>
          <w:highlight w:val="none"/>
        </w:rPr>
      </w:pPr>
      <w:r>
        <w:rPr>
          <w:rFonts w:hint="eastAsia"/>
          <w:color w:val="auto"/>
          <w:szCs w:val="21"/>
          <w:highlight w:val="none"/>
        </w:rPr>
        <w:t>地址：重庆市江北区五简路2号重庆咨询大厦A座</w:t>
      </w:r>
    </w:p>
    <w:p>
      <w:pPr>
        <w:spacing w:line="440" w:lineRule="atLeast"/>
        <w:ind w:firstLine="420" w:firstLineChars="200"/>
        <w:rPr>
          <w:color w:val="auto"/>
          <w:szCs w:val="21"/>
          <w:highlight w:val="none"/>
        </w:rPr>
      </w:pPr>
      <w:r>
        <w:rPr>
          <w:rFonts w:hint="eastAsia"/>
          <w:color w:val="auto"/>
          <w:szCs w:val="21"/>
          <w:highlight w:val="none"/>
        </w:rPr>
        <w:t>联系人：刘老师</w:t>
      </w:r>
    </w:p>
    <w:p>
      <w:pPr>
        <w:snapToGrid w:val="0"/>
        <w:spacing w:line="440" w:lineRule="atLeast"/>
        <w:ind w:firstLine="420" w:firstLineChars="200"/>
        <w:jc w:val="left"/>
        <w:rPr>
          <w:color w:val="auto"/>
          <w:highlight w:val="none"/>
        </w:rPr>
      </w:pPr>
      <w:r>
        <w:rPr>
          <w:rFonts w:hint="eastAsia"/>
          <w:color w:val="auto"/>
          <w:szCs w:val="21"/>
          <w:highlight w:val="none"/>
        </w:rPr>
        <w:t>电话：023-67107374</w:t>
      </w:r>
    </w:p>
    <w:bookmarkEnd w:id="0"/>
    <w:p>
      <w:bookmarkStart w:id="60" w:name="_GoBack"/>
      <w:bookmarkEnd w:id="6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13EAA"/>
    <w:rsid w:val="4D21680F"/>
    <w:rsid w:val="643F3874"/>
    <w:rsid w:val="69C1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2023-04-17T09:04:00Z</dcterms:created>
  <dc:creator>Administrator</dc:creator>
  <cp:lastModifiedBy>刘道红</cp:lastModifiedBy>
  <dcterms:modified xsi:type="dcterms:W3CDTF">2023-09-27T07:22:11Z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