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360" w:lineRule="auto"/>
        <w:jc w:val="left"/>
        <w:rPr>
          <w:rFonts w:hint="eastAsia" w:eastAsia="宋体" w:cs="宋体"/>
          <w:b/>
          <w:color w:val="auto"/>
          <w:kern w:val="2"/>
          <w:sz w:val="32"/>
          <w:szCs w:val="32"/>
          <w:highlight w:val="none"/>
          <w:lang w:eastAsia="zh-CN"/>
        </w:rPr>
      </w:pPr>
      <w:r>
        <w:rPr>
          <w:rFonts w:hint="eastAsia" w:cs="宋体"/>
          <w:b/>
          <w:color w:val="auto"/>
          <w:kern w:val="2"/>
          <w:sz w:val="32"/>
          <w:szCs w:val="32"/>
          <w:highlight w:val="none"/>
        </w:rPr>
        <w:t>项目名称：</w:t>
      </w:r>
      <w:r>
        <w:rPr>
          <w:rFonts w:hint="eastAsia" w:cs="宋体"/>
          <w:b/>
          <w:color w:val="auto"/>
          <w:kern w:val="2"/>
          <w:sz w:val="32"/>
          <w:szCs w:val="32"/>
          <w:highlight w:val="none"/>
          <w:lang w:eastAsia="zh-CN"/>
        </w:rPr>
        <w:t>2023年重庆渝广梁忠高速公路有限公司交通车驾驶员业务外包服务项目（第二次）</w:t>
      </w:r>
    </w:p>
    <w:p>
      <w:pPr>
        <w:pStyle w:val="7"/>
        <w:spacing w:line="360" w:lineRule="auto"/>
        <w:jc w:val="left"/>
        <w:rPr>
          <w:rFonts w:cs="宋体"/>
          <w:b/>
          <w:color w:val="auto"/>
          <w:kern w:val="2"/>
          <w:sz w:val="32"/>
          <w:szCs w:val="32"/>
          <w:highlight w:val="none"/>
          <w:u w:val="single"/>
        </w:rPr>
      </w:pPr>
      <w:r>
        <w:rPr>
          <w:rFonts w:hint="eastAsia" w:cs="宋体"/>
          <w:b/>
          <w:color w:val="auto"/>
          <w:kern w:val="2"/>
          <w:sz w:val="32"/>
          <w:szCs w:val="32"/>
          <w:highlight w:val="none"/>
        </w:rPr>
        <w:t>招标编号：SF20230020019</w:t>
      </w:r>
    </w:p>
    <w:p>
      <w:pPr>
        <w:spacing w:line="360" w:lineRule="auto"/>
        <w:ind w:left="1195" w:hanging="1195" w:hangingChars="496"/>
        <w:rPr>
          <w:rFonts w:ascii="宋体" w:hAnsi="宋体" w:cs="宋体"/>
          <w:b/>
          <w:color w:val="auto"/>
          <w:kern w:val="0"/>
          <w:sz w:val="24"/>
          <w:highlight w:val="none"/>
        </w:rPr>
      </w:pPr>
    </w:p>
    <w:p>
      <w:pPr>
        <w:spacing w:line="360" w:lineRule="auto"/>
        <w:jc w:val="center"/>
        <w:rPr>
          <w:rFonts w:ascii="宋体" w:hAnsi="宋体" w:cs="宋体"/>
          <w:color w:val="auto"/>
          <w:kern w:val="0"/>
          <w:sz w:val="32"/>
          <w:szCs w:val="32"/>
          <w:highlight w:val="none"/>
        </w:rPr>
      </w:pPr>
    </w:p>
    <w:p>
      <w:pPr>
        <w:pStyle w:val="33"/>
        <w:rPr>
          <w:rFonts w:ascii="宋体" w:hAnsi="宋体" w:eastAsia="宋体" w:cs="宋体"/>
          <w:color w:val="auto"/>
          <w:sz w:val="32"/>
          <w:szCs w:val="32"/>
          <w:highlight w:val="none"/>
        </w:rPr>
      </w:pPr>
    </w:p>
    <w:p>
      <w:pPr>
        <w:pStyle w:val="33"/>
        <w:rPr>
          <w:rFonts w:ascii="宋体" w:hAnsi="宋体" w:eastAsia="宋体" w:cs="宋体"/>
          <w:color w:val="auto"/>
          <w:sz w:val="32"/>
          <w:szCs w:val="32"/>
          <w:highlight w:val="none"/>
        </w:rPr>
      </w:pPr>
    </w:p>
    <w:p>
      <w:pPr>
        <w:spacing w:line="360" w:lineRule="auto"/>
        <w:rPr>
          <w:rFonts w:ascii="宋体" w:hAnsi="宋体" w:cs="宋体"/>
          <w:color w:val="auto"/>
          <w:kern w:val="0"/>
          <w:sz w:val="32"/>
          <w:szCs w:val="32"/>
          <w:highlight w:val="none"/>
        </w:rPr>
      </w:pPr>
    </w:p>
    <w:p>
      <w:pPr>
        <w:pStyle w:val="33"/>
        <w:rPr>
          <w:rFonts w:ascii="宋体" w:hAnsi="宋体" w:eastAsia="宋体" w:cs="宋体"/>
          <w:color w:val="auto"/>
          <w:highlight w:val="none"/>
        </w:rPr>
      </w:pPr>
    </w:p>
    <w:p>
      <w:pPr>
        <w:autoSpaceDE w:val="0"/>
        <w:autoSpaceDN w:val="0"/>
        <w:adjustRightInd w:val="0"/>
        <w:snapToGrid w:val="0"/>
        <w:spacing w:line="360" w:lineRule="auto"/>
        <w:jc w:val="center"/>
        <w:rPr>
          <w:rFonts w:ascii="宋体" w:hAnsi="宋体" w:cs="宋体"/>
          <w:b/>
          <w:color w:val="auto"/>
          <w:kern w:val="0"/>
          <w:sz w:val="84"/>
          <w:szCs w:val="44"/>
          <w:highlight w:val="none"/>
        </w:rPr>
      </w:pPr>
      <w:r>
        <w:rPr>
          <w:rFonts w:hint="eastAsia" w:ascii="宋体" w:hAnsi="宋体" w:cs="宋体"/>
          <w:b/>
          <w:color w:val="auto"/>
          <w:kern w:val="0"/>
          <w:sz w:val="84"/>
          <w:szCs w:val="44"/>
          <w:highlight w:val="none"/>
        </w:rPr>
        <w:t xml:space="preserve"> 招  标  文  件</w:t>
      </w:r>
    </w:p>
    <w:p>
      <w:pPr>
        <w:autoSpaceDE w:val="0"/>
        <w:autoSpaceDN w:val="0"/>
        <w:adjustRightInd w:val="0"/>
        <w:snapToGrid w:val="0"/>
        <w:spacing w:line="360" w:lineRule="auto"/>
        <w:jc w:val="center"/>
        <w:rPr>
          <w:rFonts w:ascii="宋体" w:hAnsi="宋体" w:cs="宋体"/>
          <w:color w:val="auto"/>
          <w:kern w:val="0"/>
          <w:sz w:val="28"/>
          <w:szCs w:val="28"/>
          <w:highlight w:val="none"/>
        </w:rPr>
      </w:pPr>
      <w:r>
        <w:rPr>
          <w:rFonts w:hint="eastAsia" w:ascii="宋体" w:hAnsi="宋体" w:cs="宋体"/>
          <w:b/>
          <w:color w:val="auto"/>
          <w:kern w:val="0"/>
          <w:sz w:val="28"/>
          <w:szCs w:val="28"/>
          <w:highlight w:val="none"/>
        </w:rPr>
        <w:t xml:space="preserve">  </w:t>
      </w:r>
    </w:p>
    <w:p>
      <w:pPr>
        <w:widowControl/>
        <w:jc w:val="center"/>
        <w:rPr>
          <w:rFonts w:ascii="宋体" w:hAnsi="宋体" w:cs="宋体"/>
          <w:b/>
          <w:color w:val="auto"/>
          <w:kern w:val="0"/>
          <w:sz w:val="28"/>
          <w:szCs w:val="28"/>
          <w:highlight w:val="none"/>
        </w:rPr>
      </w:pPr>
    </w:p>
    <w:p>
      <w:pPr>
        <w:autoSpaceDE w:val="0"/>
        <w:autoSpaceDN w:val="0"/>
        <w:spacing w:line="360" w:lineRule="auto"/>
        <w:rPr>
          <w:rFonts w:ascii="宋体" w:hAnsi="宋体" w:cs="宋体"/>
          <w:b/>
          <w:color w:val="auto"/>
          <w:kern w:val="0"/>
          <w:sz w:val="44"/>
          <w:szCs w:val="44"/>
          <w:highlight w:val="none"/>
        </w:rPr>
      </w:pPr>
    </w:p>
    <w:p>
      <w:pPr>
        <w:autoSpaceDE w:val="0"/>
        <w:autoSpaceDN w:val="0"/>
        <w:spacing w:line="360" w:lineRule="auto"/>
        <w:rPr>
          <w:rFonts w:ascii="宋体" w:hAnsi="宋体" w:cs="宋体"/>
          <w:b/>
          <w:color w:val="auto"/>
          <w:kern w:val="0"/>
          <w:sz w:val="44"/>
          <w:szCs w:val="44"/>
          <w:highlight w:val="none"/>
        </w:rPr>
      </w:pPr>
    </w:p>
    <w:p>
      <w:pPr>
        <w:autoSpaceDE w:val="0"/>
        <w:autoSpaceDN w:val="0"/>
        <w:spacing w:line="360" w:lineRule="auto"/>
        <w:rPr>
          <w:rFonts w:ascii="宋体" w:hAnsi="宋体" w:cs="宋体"/>
          <w:b/>
          <w:color w:val="auto"/>
          <w:kern w:val="0"/>
          <w:sz w:val="44"/>
          <w:szCs w:val="44"/>
          <w:highlight w:val="none"/>
        </w:rPr>
      </w:pPr>
    </w:p>
    <w:p>
      <w:pPr>
        <w:pStyle w:val="33"/>
        <w:rPr>
          <w:rFonts w:ascii="宋体" w:hAnsi="宋体" w:eastAsia="宋体" w:cs="宋体"/>
          <w:color w:val="auto"/>
          <w:highlight w:val="none"/>
        </w:rPr>
      </w:pPr>
    </w:p>
    <w:p>
      <w:pPr>
        <w:spacing w:after="120"/>
        <w:jc w:val="center"/>
        <w:rPr>
          <w:rFonts w:ascii="宋体" w:hAnsi="宋体" w:cs="宋体"/>
          <w:color w:val="auto"/>
          <w:highlight w:val="none"/>
        </w:rPr>
      </w:pPr>
      <w:r>
        <w:rPr>
          <w:rFonts w:hint="eastAsia" w:ascii="宋体" w:hAnsi="宋体" w:cs="宋体"/>
          <w:color w:val="auto"/>
          <w:highlight w:val="none"/>
        </w:rPr>
        <w:t xml:space="preserve"> </w:t>
      </w:r>
    </w:p>
    <w:p>
      <w:pPr>
        <w:autoSpaceDE w:val="0"/>
        <w:autoSpaceDN w:val="0"/>
        <w:spacing w:line="800" w:lineRule="exac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招 标 人：</w:t>
      </w:r>
      <w:r>
        <w:rPr>
          <w:rFonts w:hint="eastAsia" w:ascii="宋体" w:hAnsi="宋体" w:cs="宋体"/>
          <w:b/>
          <w:color w:val="auto"/>
          <w:kern w:val="0"/>
          <w:sz w:val="32"/>
          <w:szCs w:val="32"/>
          <w:highlight w:val="none"/>
          <w:u w:val="single"/>
          <w:lang w:val="zh-CN"/>
        </w:rPr>
        <w:t>重庆渝广梁忠高速公路有限公司</w:t>
      </w:r>
      <w:r>
        <w:rPr>
          <w:rFonts w:hint="eastAsia" w:ascii="宋体" w:hAnsi="宋体" w:cs="宋体"/>
          <w:b/>
          <w:color w:val="auto"/>
          <w:kern w:val="0"/>
          <w:sz w:val="32"/>
          <w:szCs w:val="32"/>
          <w:highlight w:val="none"/>
          <w:u w:val="single"/>
        </w:rPr>
        <w:t xml:space="preserve"> </w:t>
      </w:r>
      <w:r>
        <w:rPr>
          <w:rFonts w:hint="eastAsia" w:ascii="宋体" w:hAnsi="宋体" w:cs="宋体"/>
          <w:b/>
          <w:color w:val="auto"/>
          <w:kern w:val="0"/>
          <w:sz w:val="32"/>
          <w:szCs w:val="32"/>
          <w:highlight w:val="none"/>
        </w:rPr>
        <w:t>(盖单位法人章）</w:t>
      </w:r>
    </w:p>
    <w:p>
      <w:pPr>
        <w:autoSpaceDE w:val="0"/>
        <w:autoSpaceDN w:val="0"/>
        <w:spacing w:line="800" w:lineRule="exact"/>
        <w:rPr>
          <w:rFonts w:ascii="宋体" w:hAnsi="宋体" w:cs="宋体"/>
          <w:b/>
          <w:color w:val="auto"/>
          <w:sz w:val="30"/>
          <w:szCs w:val="30"/>
          <w:highlight w:val="none"/>
        </w:rPr>
      </w:pPr>
      <w:r>
        <w:rPr>
          <w:rFonts w:hint="eastAsia" w:ascii="宋体" w:hAnsi="宋体" w:cs="宋体"/>
          <w:b/>
          <w:color w:val="auto"/>
          <w:kern w:val="0"/>
          <w:sz w:val="32"/>
          <w:szCs w:val="32"/>
          <w:highlight w:val="none"/>
        </w:rPr>
        <w:t>招标代理机构：</w:t>
      </w:r>
      <w:r>
        <w:rPr>
          <w:rFonts w:hint="eastAsia" w:ascii="宋体" w:hAnsi="宋体" w:cs="宋体"/>
          <w:b/>
          <w:color w:val="auto"/>
          <w:kern w:val="0"/>
          <w:sz w:val="32"/>
          <w:szCs w:val="32"/>
          <w:highlight w:val="none"/>
          <w:u w:val="single"/>
        </w:rPr>
        <w:t>重庆市投资咨询有限公司</w:t>
      </w:r>
      <w:r>
        <w:rPr>
          <w:rFonts w:hint="eastAsia" w:ascii="宋体" w:hAnsi="宋体" w:cs="宋体"/>
          <w:b/>
          <w:color w:val="auto"/>
          <w:kern w:val="0"/>
          <w:sz w:val="32"/>
          <w:szCs w:val="32"/>
          <w:highlight w:val="none"/>
        </w:rPr>
        <w:t>(盖单位法人章）</w:t>
      </w:r>
    </w:p>
    <w:p>
      <w:pPr>
        <w:spacing w:line="360" w:lineRule="auto"/>
        <w:rPr>
          <w:rFonts w:ascii="宋体" w:hAnsi="宋体" w:cs="宋体"/>
          <w:b/>
          <w:color w:val="auto"/>
          <w:sz w:val="28"/>
          <w:szCs w:val="28"/>
          <w:highlight w:val="none"/>
        </w:rPr>
      </w:pPr>
    </w:p>
    <w:p>
      <w:pPr>
        <w:spacing w:line="360" w:lineRule="auto"/>
        <w:jc w:val="center"/>
        <w:rPr>
          <w:rFonts w:ascii="宋体" w:hAnsi="宋体" w:cs="宋体"/>
          <w:b/>
          <w:color w:val="auto"/>
          <w:kern w:val="0"/>
          <w:sz w:val="32"/>
          <w:szCs w:val="32"/>
          <w:highlight w:val="none"/>
        </w:rPr>
      </w:pPr>
      <w:r>
        <w:rPr>
          <w:rFonts w:hint="eastAsia" w:ascii="宋体" w:hAnsi="宋体" w:cs="宋体"/>
          <w:b/>
          <w:color w:val="auto"/>
          <w:sz w:val="28"/>
          <w:szCs w:val="28"/>
          <w:highlight w:val="none"/>
        </w:rPr>
        <w:t>2023年</w:t>
      </w:r>
      <w:r>
        <w:rPr>
          <w:rFonts w:hint="eastAsia" w:ascii="宋体" w:hAnsi="宋体" w:cs="宋体"/>
          <w:b/>
          <w:color w:val="auto"/>
          <w:sz w:val="28"/>
          <w:szCs w:val="28"/>
          <w:highlight w:val="none"/>
          <w:lang w:val="en-US" w:eastAsia="zh-CN"/>
        </w:rPr>
        <w:t>9</w:t>
      </w:r>
      <w:r>
        <w:rPr>
          <w:rFonts w:hint="eastAsia" w:ascii="宋体" w:hAnsi="宋体" w:cs="宋体"/>
          <w:b/>
          <w:color w:val="auto"/>
          <w:sz w:val="28"/>
          <w:szCs w:val="28"/>
          <w:highlight w:val="none"/>
        </w:rPr>
        <w:t>月</w:t>
      </w:r>
    </w:p>
    <w:p>
      <w:pPr>
        <w:autoSpaceDE w:val="0"/>
        <w:autoSpaceDN w:val="0"/>
        <w:spacing w:line="360" w:lineRule="auto"/>
        <w:rPr>
          <w:rFonts w:ascii="宋体" w:hAnsi="宋体" w:cs="宋体"/>
          <w:b/>
          <w:color w:val="auto"/>
          <w:kern w:val="0"/>
          <w:sz w:val="32"/>
          <w:szCs w:val="32"/>
          <w:highlight w:val="none"/>
        </w:rPr>
        <w:sectPr>
          <w:footerReference r:id="rId3" w:type="default"/>
          <w:pgSz w:w="11906" w:h="16838"/>
          <w:pgMar w:top="1474" w:right="1304" w:bottom="1247" w:left="1418" w:header="851" w:footer="992" w:gutter="0"/>
          <w:pgNumType w:start="1"/>
          <w:cols w:space="720" w:num="1"/>
        </w:sectPr>
      </w:pPr>
    </w:p>
    <w:p>
      <w:pPr>
        <w:pStyle w:val="3"/>
        <w:spacing w:before="0" w:after="0" w:line="360" w:lineRule="auto"/>
        <w:jc w:val="center"/>
        <w:rPr>
          <w:rFonts w:ascii="宋体" w:hAnsi="宋体" w:cs="宋体"/>
          <w:caps/>
          <w:snapToGrid w:val="0"/>
          <w:color w:val="auto"/>
          <w:kern w:val="44"/>
          <w:sz w:val="32"/>
          <w:szCs w:val="32"/>
          <w:highlight w:val="none"/>
        </w:rPr>
      </w:pPr>
      <w:bookmarkStart w:id="0" w:name="_Toc17833"/>
      <w:bookmarkStart w:id="1" w:name="_Toc20083"/>
      <w:bookmarkStart w:id="2" w:name="_Toc27514"/>
      <w:bookmarkStart w:id="3" w:name="_Toc23828"/>
      <w:bookmarkStart w:id="4" w:name="_Toc10908"/>
      <w:bookmarkStart w:id="5" w:name="_Toc2856"/>
      <w:bookmarkStart w:id="6" w:name="_Toc20196"/>
      <w:bookmarkStart w:id="7" w:name="_Toc7566"/>
      <w:bookmarkStart w:id="8" w:name="_Toc38297045"/>
      <w:bookmarkStart w:id="9" w:name="_Toc43455564"/>
      <w:bookmarkStart w:id="10" w:name="_Toc32255"/>
      <w:bookmarkStart w:id="11" w:name="_Toc19815"/>
      <w:bookmarkStart w:id="12" w:name="_Toc12836"/>
      <w:bookmarkStart w:id="13" w:name="_Toc25955"/>
      <w:r>
        <w:rPr>
          <w:rFonts w:hint="eastAsia" w:ascii="宋体" w:hAnsi="宋体" w:cs="宋体"/>
          <w:caps/>
          <w:snapToGrid w:val="0"/>
          <w:color w:val="auto"/>
          <w:kern w:val="44"/>
          <w:sz w:val="32"/>
          <w:szCs w:val="32"/>
          <w:highlight w:val="none"/>
        </w:rPr>
        <w:t>目   录</w:t>
      </w:r>
      <w:bookmarkEnd w:id="0"/>
      <w:bookmarkEnd w:id="1"/>
      <w:bookmarkEnd w:id="2"/>
      <w:bookmarkEnd w:id="3"/>
      <w:bookmarkEnd w:id="4"/>
      <w:bookmarkEnd w:id="5"/>
      <w:bookmarkEnd w:id="6"/>
      <w:bookmarkEnd w:id="7"/>
      <w:bookmarkEnd w:id="8"/>
      <w:bookmarkEnd w:id="9"/>
      <w:bookmarkEnd w:id="10"/>
      <w:bookmarkEnd w:id="11"/>
      <w:bookmarkEnd w:id="12"/>
      <w:bookmarkEnd w:id="13"/>
      <w:bookmarkStart w:id="14" w:name="_Toc152045511"/>
      <w:bookmarkEnd w:id="14"/>
      <w:bookmarkStart w:id="15" w:name="_Toc144974479"/>
      <w:bookmarkEnd w:id="15"/>
      <w:bookmarkStart w:id="16" w:name="_Toc152042287"/>
      <w:bookmarkEnd w:id="16"/>
      <w:bookmarkStart w:id="17" w:name="_Toc28828"/>
    </w:p>
    <w:p>
      <w:pPr>
        <w:pStyle w:val="13"/>
        <w:tabs>
          <w:tab w:val="right" w:leader="dot" w:pos="8920"/>
          <w:tab w:val="clear" w:pos="9174"/>
        </w:tabs>
        <w:rPr>
          <w:color w:val="auto"/>
          <w:highlight w:val="none"/>
        </w:rPr>
      </w:pPr>
      <w:r>
        <w:rPr>
          <w:rFonts w:hint="eastAsia"/>
          <w:b w:val="0"/>
          <w:bCs w:val="0"/>
          <w:color w:val="auto"/>
          <w:sz w:val="24"/>
          <w:szCs w:val="24"/>
          <w:highlight w:val="none"/>
        </w:rPr>
        <w:fldChar w:fldCharType="begin"/>
      </w:r>
      <w:r>
        <w:rPr>
          <w:rFonts w:hint="eastAsia"/>
          <w:b w:val="0"/>
          <w:bCs w:val="0"/>
          <w:color w:val="auto"/>
          <w:sz w:val="24"/>
          <w:szCs w:val="24"/>
          <w:highlight w:val="none"/>
        </w:rPr>
        <w:instrText xml:space="preserve">TOC \o "1-1" \h \u </w:instrText>
      </w:r>
      <w:r>
        <w:rPr>
          <w:rFonts w:hint="eastAsia"/>
          <w:b w:val="0"/>
          <w:bCs w:val="0"/>
          <w:color w:val="auto"/>
          <w:sz w:val="24"/>
          <w:szCs w:val="24"/>
          <w:highlight w:val="none"/>
        </w:rPr>
        <w:fldChar w:fldCharType="separate"/>
      </w:r>
      <w:r>
        <w:rPr>
          <w:color w:val="auto"/>
          <w:highlight w:val="none"/>
        </w:rPr>
        <w:fldChar w:fldCharType="begin"/>
      </w:r>
      <w:r>
        <w:rPr>
          <w:color w:val="auto"/>
          <w:highlight w:val="none"/>
        </w:rPr>
        <w:instrText xml:space="preserve"> HYPERLINK \l "_Toc18027" </w:instrText>
      </w:r>
      <w:r>
        <w:rPr>
          <w:color w:val="auto"/>
          <w:highlight w:val="none"/>
        </w:rPr>
        <w:fldChar w:fldCharType="separate"/>
      </w:r>
      <w:r>
        <w:rPr>
          <w:rFonts w:hint="eastAsia"/>
          <w:color w:val="auto"/>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_Toc18027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13"/>
        <w:tabs>
          <w:tab w:val="right" w:leader="dot" w:pos="8920"/>
          <w:tab w:val="clear" w:pos="9174"/>
        </w:tabs>
        <w:rPr>
          <w:color w:val="auto"/>
          <w:highlight w:val="none"/>
        </w:rPr>
      </w:pPr>
      <w:r>
        <w:rPr>
          <w:color w:val="auto"/>
          <w:highlight w:val="none"/>
        </w:rPr>
        <w:fldChar w:fldCharType="begin"/>
      </w:r>
      <w:r>
        <w:rPr>
          <w:color w:val="auto"/>
          <w:highlight w:val="none"/>
        </w:rPr>
        <w:instrText xml:space="preserve"> HYPERLINK \l "_Toc30738" </w:instrText>
      </w:r>
      <w:r>
        <w:rPr>
          <w:color w:val="auto"/>
          <w:highlight w:val="none"/>
        </w:rPr>
        <w:fldChar w:fldCharType="separate"/>
      </w:r>
      <w:r>
        <w:rPr>
          <w:rFonts w:hint="eastAsia"/>
          <w:color w:val="auto"/>
          <w:highlight w:val="none"/>
        </w:rPr>
        <w:t>第二章</w:t>
      </w:r>
      <w:r>
        <w:rPr>
          <w:color w:val="auto"/>
          <w:highlight w:val="none"/>
        </w:rPr>
        <w:t xml:space="preserve"> </w:t>
      </w:r>
      <w:r>
        <w:rPr>
          <w:rFonts w:hint="eastAsia"/>
          <w:color w:val="auto"/>
          <w:highlight w:val="none"/>
        </w:rPr>
        <w:t>投标人须知</w:t>
      </w:r>
      <w:r>
        <w:rPr>
          <w:color w:val="auto"/>
          <w:highlight w:val="none"/>
        </w:rPr>
        <w:tab/>
      </w:r>
      <w:r>
        <w:rPr>
          <w:color w:val="auto"/>
          <w:highlight w:val="none"/>
        </w:rPr>
        <w:fldChar w:fldCharType="begin"/>
      </w:r>
      <w:r>
        <w:rPr>
          <w:color w:val="auto"/>
          <w:highlight w:val="none"/>
        </w:rPr>
        <w:instrText xml:space="preserve"> PAGEREF _Toc30738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13"/>
        <w:tabs>
          <w:tab w:val="right" w:leader="dot" w:pos="8920"/>
          <w:tab w:val="clear" w:pos="9174"/>
        </w:tabs>
        <w:rPr>
          <w:color w:val="auto"/>
          <w:highlight w:val="none"/>
        </w:rPr>
      </w:pPr>
      <w:r>
        <w:rPr>
          <w:color w:val="auto"/>
          <w:highlight w:val="none"/>
        </w:rPr>
        <w:fldChar w:fldCharType="begin"/>
      </w:r>
      <w:r>
        <w:rPr>
          <w:color w:val="auto"/>
          <w:highlight w:val="none"/>
        </w:rPr>
        <w:instrText xml:space="preserve"> HYPERLINK \l "_Toc29650" </w:instrText>
      </w:r>
      <w:r>
        <w:rPr>
          <w:color w:val="auto"/>
          <w:highlight w:val="none"/>
        </w:rPr>
        <w:fldChar w:fldCharType="separate"/>
      </w:r>
      <w:r>
        <w:rPr>
          <w:rFonts w:hint="eastAsia"/>
          <w:color w:val="auto"/>
          <w:kern w:val="0"/>
          <w:szCs w:val="44"/>
          <w:highlight w:val="none"/>
        </w:rPr>
        <w:t>第三章</w:t>
      </w:r>
      <w:r>
        <w:rPr>
          <w:color w:val="auto"/>
          <w:kern w:val="0"/>
          <w:szCs w:val="44"/>
          <w:highlight w:val="none"/>
        </w:rPr>
        <w:t xml:space="preserve"> </w:t>
      </w:r>
      <w:r>
        <w:rPr>
          <w:rFonts w:hint="eastAsia"/>
          <w:color w:val="auto"/>
          <w:kern w:val="0"/>
          <w:szCs w:val="44"/>
          <w:highlight w:val="none"/>
        </w:rPr>
        <w:t>评标办法（经评审的最低投标价法）</w:t>
      </w:r>
      <w:r>
        <w:rPr>
          <w:color w:val="auto"/>
          <w:highlight w:val="none"/>
        </w:rPr>
        <w:tab/>
      </w:r>
      <w:r>
        <w:rPr>
          <w:color w:val="auto"/>
          <w:highlight w:val="none"/>
        </w:rPr>
        <w:t>2</w:t>
      </w:r>
      <w:r>
        <w:rPr>
          <w:color w:val="auto"/>
          <w:highlight w:val="none"/>
        </w:rPr>
        <w:fldChar w:fldCharType="end"/>
      </w:r>
      <w:r>
        <w:rPr>
          <w:rFonts w:hint="eastAsia"/>
          <w:bCs w:val="0"/>
          <w:color w:val="auto"/>
          <w:szCs w:val="24"/>
          <w:highlight w:val="none"/>
        </w:rPr>
        <w:t>7</w:t>
      </w:r>
    </w:p>
    <w:p>
      <w:pPr>
        <w:pStyle w:val="13"/>
        <w:tabs>
          <w:tab w:val="right" w:leader="dot" w:pos="8920"/>
          <w:tab w:val="clear" w:pos="9174"/>
        </w:tabs>
        <w:rPr>
          <w:color w:val="auto"/>
          <w:highlight w:val="none"/>
        </w:rPr>
      </w:pPr>
      <w:r>
        <w:rPr>
          <w:color w:val="auto"/>
          <w:highlight w:val="none"/>
        </w:rPr>
        <w:fldChar w:fldCharType="begin"/>
      </w:r>
      <w:r>
        <w:rPr>
          <w:color w:val="auto"/>
          <w:highlight w:val="none"/>
        </w:rPr>
        <w:instrText xml:space="preserve"> HYPERLINK \l "_Toc7546" </w:instrText>
      </w:r>
      <w:r>
        <w:rPr>
          <w:color w:val="auto"/>
          <w:highlight w:val="none"/>
        </w:rPr>
        <w:fldChar w:fldCharType="separate"/>
      </w:r>
      <w:r>
        <w:rPr>
          <w:rFonts w:hint="eastAsia"/>
          <w:color w:val="auto"/>
          <w:highlight w:val="none"/>
        </w:rPr>
        <w:t>第四章 合同条款及格式</w:t>
      </w:r>
      <w:r>
        <w:rPr>
          <w:color w:val="auto"/>
          <w:highlight w:val="none"/>
        </w:rPr>
        <w:tab/>
      </w:r>
      <w:r>
        <w:rPr>
          <w:color w:val="auto"/>
          <w:highlight w:val="none"/>
        </w:rPr>
        <w:fldChar w:fldCharType="begin"/>
      </w:r>
      <w:r>
        <w:rPr>
          <w:color w:val="auto"/>
          <w:highlight w:val="none"/>
        </w:rPr>
        <w:instrText xml:space="preserve"> PAGEREF _Toc7546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13"/>
        <w:tabs>
          <w:tab w:val="right" w:leader="dot" w:pos="8920"/>
          <w:tab w:val="clear" w:pos="9174"/>
        </w:tabs>
        <w:rPr>
          <w:color w:val="auto"/>
          <w:highlight w:val="none"/>
        </w:rPr>
      </w:pPr>
      <w:r>
        <w:rPr>
          <w:color w:val="auto"/>
          <w:highlight w:val="none"/>
        </w:rPr>
        <w:fldChar w:fldCharType="begin"/>
      </w:r>
      <w:r>
        <w:rPr>
          <w:color w:val="auto"/>
          <w:highlight w:val="none"/>
        </w:rPr>
        <w:instrText xml:space="preserve"> HYPERLINK \l "_Toc31741" </w:instrText>
      </w:r>
      <w:r>
        <w:rPr>
          <w:color w:val="auto"/>
          <w:highlight w:val="none"/>
        </w:rPr>
        <w:fldChar w:fldCharType="separate"/>
      </w:r>
      <w:r>
        <w:rPr>
          <w:rFonts w:hint="eastAsia"/>
          <w:color w:val="auto"/>
          <w:highlight w:val="none"/>
        </w:rPr>
        <w:t>第五章 投标文件格式</w:t>
      </w:r>
      <w:r>
        <w:rPr>
          <w:color w:val="auto"/>
          <w:highlight w:val="none"/>
        </w:rPr>
        <w:tab/>
      </w:r>
      <w:r>
        <w:rPr>
          <w:color w:val="auto"/>
          <w:highlight w:val="none"/>
        </w:rPr>
        <w:fldChar w:fldCharType="end"/>
      </w:r>
    </w:p>
    <w:p>
      <w:pPr>
        <w:pStyle w:val="3"/>
        <w:spacing w:line="360" w:lineRule="auto"/>
        <w:rPr>
          <w:rFonts w:ascii="宋体" w:hAnsi="宋体"/>
          <w:color w:val="auto"/>
          <w:sz w:val="24"/>
          <w:szCs w:val="24"/>
          <w:highlight w:val="none"/>
        </w:rPr>
        <w:sectPr>
          <w:headerReference r:id="rId4" w:type="default"/>
          <w:footerReference r:id="rId5" w:type="default"/>
          <w:pgSz w:w="11900" w:h="16841"/>
          <w:pgMar w:top="851" w:right="1400" w:bottom="579" w:left="1580" w:header="720" w:footer="720" w:gutter="0"/>
          <w:cols w:space="720" w:num="1"/>
        </w:sectPr>
      </w:pPr>
      <w:r>
        <w:rPr>
          <w:rFonts w:hint="eastAsia" w:ascii="宋体" w:hAnsi="宋体"/>
          <w:bCs w:val="0"/>
          <w:color w:val="auto"/>
          <w:szCs w:val="24"/>
          <w:highlight w:val="none"/>
        </w:rPr>
        <w:fldChar w:fldCharType="end"/>
      </w:r>
    </w:p>
    <w:p>
      <w:pPr>
        <w:pStyle w:val="3"/>
        <w:spacing w:before="0" w:after="0" w:line="240" w:lineRule="auto"/>
        <w:jc w:val="center"/>
        <w:rPr>
          <w:rFonts w:ascii="宋体" w:hAnsi="宋体" w:cs="宋体"/>
          <w:snapToGrid w:val="0"/>
          <w:color w:val="auto"/>
          <w:highlight w:val="none"/>
        </w:rPr>
      </w:pPr>
      <w:bookmarkStart w:id="18" w:name="_Toc9552"/>
      <w:bookmarkStart w:id="19" w:name="_Toc9740"/>
      <w:bookmarkStart w:id="20" w:name="_Toc17153"/>
      <w:bookmarkStart w:id="21" w:name="_Toc30593"/>
      <w:bookmarkStart w:id="22" w:name="_Toc19976"/>
      <w:bookmarkStart w:id="23" w:name="_Toc1700"/>
      <w:bookmarkStart w:id="24" w:name="_Toc43455565"/>
      <w:bookmarkStart w:id="25" w:name="_Toc18027"/>
      <w:bookmarkStart w:id="26" w:name="_Toc16812"/>
      <w:r>
        <w:rPr>
          <w:rFonts w:hint="eastAsia" w:ascii="宋体" w:hAnsi="宋体" w:cs="宋体"/>
          <w:snapToGrid w:val="0"/>
          <w:color w:val="auto"/>
          <w:highlight w:val="none"/>
        </w:rPr>
        <w:t xml:space="preserve">第一章 </w:t>
      </w:r>
      <w:bookmarkStart w:id="27" w:name="_Toc152042303"/>
      <w:bookmarkEnd w:id="27"/>
      <w:bookmarkStart w:id="28" w:name="_Toc144974495"/>
      <w:bookmarkEnd w:id="28"/>
      <w:bookmarkStart w:id="29" w:name="_Toc152045527"/>
      <w:bookmarkEnd w:id="29"/>
      <w:bookmarkStart w:id="30" w:name="OLE_LINK2"/>
      <w:r>
        <w:rPr>
          <w:rFonts w:hint="eastAsia" w:ascii="宋体" w:hAnsi="宋体" w:cs="宋体"/>
          <w:snapToGrid w:val="0"/>
          <w:color w:val="auto"/>
          <w:highlight w:val="none"/>
        </w:rPr>
        <w:t>招标公告</w:t>
      </w:r>
      <w:bookmarkEnd w:id="17"/>
      <w:bookmarkEnd w:id="18"/>
      <w:bookmarkEnd w:id="19"/>
      <w:bookmarkEnd w:id="20"/>
      <w:bookmarkEnd w:id="21"/>
      <w:bookmarkEnd w:id="22"/>
      <w:bookmarkEnd w:id="23"/>
      <w:bookmarkEnd w:id="24"/>
      <w:bookmarkEnd w:id="25"/>
      <w:bookmarkEnd w:id="26"/>
      <w:bookmarkStart w:id="31" w:name="_Toc27902"/>
      <w:bookmarkStart w:id="32" w:name="_Toc496363842"/>
      <w:bookmarkStart w:id="33" w:name="_Toc28498"/>
      <w:bookmarkStart w:id="34" w:name="_Toc19361"/>
      <w:bookmarkStart w:id="35" w:name="_Toc31561"/>
      <w:bookmarkStart w:id="36" w:name="_Toc27089"/>
      <w:bookmarkStart w:id="37" w:name="OLE_LINK1"/>
      <w:bookmarkStart w:id="38" w:name="OLE_LINK3"/>
    </w:p>
    <w:bookmarkEnd w:id="31"/>
    <w:p>
      <w:pPr>
        <w:spacing w:line="440" w:lineRule="exact"/>
        <w:jc w:val="center"/>
        <w:outlineLvl w:val="1"/>
        <w:rPr>
          <w:rFonts w:hint="eastAsia" w:ascii="宋体" w:hAnsi="宋体" w:cs="宋体"/>
          <w:b/>
          <w:bCs/>
          <w:color w:val="auto"/>
          <w:sz w:val="32"/>
          <w:szCs w:val="32"/>
          <w:highlight w:val="none"/>
          <w:lang w:eastAsia="zh-CN"/>
        </w:rPr>
      </w:pPr>
      <w:bookmarkStart w:id="39" w:name="_Toc9503"/>
      <w:r>
        <w:rPr>
          <w:rFonts w:hint="eastAsia" w:ascii="宋体" w:hAnsi="宋体" w:cs="宋体"/>
          <w:b/>
          <w:bCs/>
          <w:color w:val="auto"/>
          <w:sz w:val="32"/>
          <w:szCs w:val="32"/>
          <w:highlight w:val="none"/>
        </w:rPr>
        <w:t>2023年重庆渝广梁忠高速公路有限公司交通车驾驶员业务外包服务项目</w:t>
      </w:r>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lang w:val="en-US" w:eastAsia="zh-CN"/>
        </w:rPr>
        <w:t>第二次</w:t>
      </w:r>
      <w:r>
        <w:rPr>
          <w:rFonts w:hint="eastAsia" w:ascii="宋体" w:hAnsi="宋体" w:cs="宋体"/>
          <w:b/>
          <w:bCs/>
          <w:color w:val="auto"/>
          <w:sz w:val="32"/>
          <w:szCs w:val="32"/>
          <w:highlight w:val="none"/>
          <w:lang w:eastAsia="zh-CN"/>
        </w:rPr>
        <w:t>）</w:t>
      </w:r>
    </w:p>
    <w:p>
      <w:pPr>
        <w:spacing w:line="440" w:lineRule="exact"/>
        <w:jc w:val="center"/>
        <w:outlineLvl w:val="1"/>
        <w:rPr>
          <w:rFonts w:ascii="宋体" w:hAnsi="宋体" w:cs="宋体"/>
          <w:b/>
          <w:bCs/>
          <w:color w:val="auto"/>
          <w:sz w:val="32"/>
          <w:szCs w:val="32"/>
          <w:highlight w:val="none"/>
        </w:rPr>
      </w:pPr>
      <w:r>
        <w:rPr>
          <w:rFonts w:hint="eastAsia" w:ascii="宋体" w:hAnsi="宋体" w:cs="宋体"/>
          <w:b/>
          <w:bCs/>
          <w:color w:val="auto"/>
          <w:sz w:val="32"/>
          <w:szCs w:val="32"/>
          <w:highlight w:val="none"/>
        </w:rPr>
        <w:t>招标公告</w:t>
      </w:r>
      <w:bookmarkEnd w:id="39"/>
    </w:p>
    <w:p>
      <w:pPr>
        <w:pStyle w:val="4"/>
        <w:spacing w:before="0" w:after="0" w:line="420" w:lineRule="exact"/>
        <w:rPr>
          <w:rFonts w:ascii="宋体" w:hAnsi="宋体" w:eastAsia="宋体" w:cs="宋体"/>
          <w:snapToGrid w:val="0"/>
          <w:color w:val="auto"/>
          <w:kern w:val="2"/>
          <w:sz w:val="21"/>
          <w:szCs w:val="21"/>
          <w:highlight w:val="none"/>
        </w:rPr>
      </w:pPr>
      <w:bookmarkStart w:id="40" w:name="_Toc43455566"/>
      <w:bookmarkStart w:id="41" w:name="_Toc7841"/>
      <w:r>
        <w:rPr>
          <w:rFonts w:hint="eastAsia" w:ascii="宋体" w:hAnsi="宋体" w:eastAsia="宋体" w:cs="宋体"/>
          <w:snapToGrid w:val="0"/>
          <w:color w:val="auto"/>
          <w:kern w:val="2"/>
          <w:sz w:val="21"/>
          <w:szCs w:val="21"/>
          <w:highlight w:val="none"/>
        </w:rPr>
        <w:t>1.招标条件</w:t>
      </w:r>
      <w:bookmarkEnd w:id="32"/>
      <w:bookmarkEnd w:id="33"/>
      <w:bookmarkEnd w:id="34"/>
      <w:bookmarkEnd w:id="35"/>
      <w:bookmarkEnd w:id="36"/>
      <w:bookmarkEnd w:id="40"/>
      <w:bookmarkEnd w:id="41"/>
    </w:p>
    <w:p>
      <w:pPr>
        <w:spacing w:line="360" w:lineRule="exact"/>
        <w:ind w:firstLine="420" w:firstLineChars="200"/>
        <w:rPr>
          <w:rFonts w:ascii="宋体" w:hAnsi="宋体" w:cs="宋体"/>
          <w:snapToGrid w:val="0"/>
          <w:color w:val="auto"/>
          <w:kern w:val="0"/>
          <w:highlight w:val="none"/>
        </w:rPr>
      </w:pPr>
      <w:bookmarkStart w:id="42" w:name="_Toc234910008"/>
      <w:bookmarkStart w:id="43" w:name="_Toc234909640"/>
      <w:bookmarkStart w:id="44" w:name="_Toc232836819"/>
      <w:bookmarkStart w:id="45" w:name="_Toc496363843"/>
      <w:bookmarkStart w:id="46" w:name="_Toc31749"/>
      <w:r>
        <w:rPr>
          <w:rFonts w:hint="eastAsia" w:ascii="宋体" w:hAnsi="宋体" w:cs="宋体"/>
          <w:color w:val="auto"/>
          <w:highlight w:val="none"/>
        </w:rPr>
        <w:t>本招标项目为“2023年重庆渝广梁忠高速公路有限公司交通车驾驶员业务外包服务项目</w:t>
      </w:r>
      <w:r>
        <w:rPr>
          <w:rFonts w:hint="eastAsia" w:ascii="宋体" w:hAnsi="宋体" w:cs="宋体"/>
          <w:color w:val="auto"/>
          <w:highlight w:val="none"/>
          <w:lang w:eastAsia="zh-CN"/>
        </w:rPr>
        <w:t>（</w:t>
      </w:r>
      <w:r>
        <w:rPr>
          <w:rFonts w:hint="eastAsia" w:ascii="宋体" w:hAnsi="宋体" w:cs="宋体"/>
          <w:color w:val="auto"/>
          <w:highlight w:val="none"/>
          <w:lang w:val="en-US" w:eastAsia="zh-CN"/>
        </w:rPr>
        <w:t>第二次</w:t>
      </w:r>
      <w:r>
        <w:rPr>
          <w:rFonts w:hint="eastAsia" w:ascii="宋体" w:hAnsi="宋体" w:cs="宋体"/>
          <w:color w:val="auto"/>
          <w:highlight w:val="none"/>
          <w:lang w:eastAsia="zh-CN"/>
        </w:rPr>
        <w:t>）</w:t>
      </w:r>
      <w:r>
        <w:rPr>
          <w:rFonts w:hint="eastAsia" w:ascii="宋体" w:hAnsi="宋体" w:cs="宋体"/>
          <w:color w:val="auto"/>
          <w:highlight w:val="none"/>
        </w:rPr>
        <w:t>”，项目资金来自企业自筹，出资比例为100% ，招标人为重庆渝广梁忠高速公路有限公司，签订合同主体为重庆渝广梁忠高速公路有限公司，项目已具备招标条件，现对交通车驾驶员业务外包服务项目进行公开招标。</w:t>
      </w:r>
    </w:p>
    <w:bookmarkEnd w:id="42"/>
    <w:bookmarkEnd w:id="43"/>
    <w:bookmarkEnd w:id="44"/>
    <w:p>
      <w:pPr>
        <w:pStyle w:val="4"/>
        <w:spacing w:before="0" w:after="0" w:line="420" w:lineRule="exact"/>
        <w:rPr>
          <w:rFonts w:ascii="宋体" w:hAnsi="宋体" w:eastAsia="宋体" w:cs="宋体"/>
          <w:snapToGrid w:val="0"/>
          <w:color w:val="auto"/>
          <w:kern w:val="2"/>
          <w:sz w:val="21"/>
          <w:szCs w:val="21"/>
          <w:highlight w:val="none"/>
        </w:rPr>
      </w:pPr>
      <w:bookmarkStart w:id="47" w:name="_Toc27035"/>
      <w:bookmarkStart w:id="48" w:name="_Toc43455567"/>
      <w:r>
        <w:rPr>
          <w:rFonts w:hint="eastAsia" w:ascii="宋体" w:hAnsi="宋体" w:eastAsia="宋体" w:cs="宋体"/>
          <w:snapToGrid w:val="0"/>
          <w:color w:val="auto"/>
          <w:kern w:val="2"/>
          <w:sz w:val="21"/>
          <w:szCs w:val="21"/>
          <w:highlight w:val="none"/>
        </w:rPr>
        <w:t>2.项目概况与招标</w:t>
      </w:r>
      <w:bookmarkEnd w:id="45"/>
      <w:bookmarkEnd w:id="46"/>
      <w:r>
        <w:rPr>
          <w:rFonts w:hint="eastAsia" w:ascii="宋体" w:hAnsi="宋体" w:eastAsia="宋体" w:cs="宋体"/>
          <w:snapToGrid w:val="0"/>
          <w:color w:val="auto"/>
          <w:kern w:val="2"/>
          <w:sz w:val="21"/>
          <w:szCs w:val="21"/>
          <w:highlight w:val="none"/>
        </w:rPr>
        <w:t>内容</w:t>
      </w:r>
      <w:bookmarkEnd w:id="47"/>
      <w:bookmarkEnd w:id="48"/>
      <w:r>
        <w:rPr>
          <w:rFonts w:hint="eastAsia" w:ascii="宋体" w:hAnsi="宋体" w:eastAsia="宋体" w:cs="宋体"/>
          <w:snapToGrid w:val="0"/>
          <w:color w:val="auto"/>
          <w:kern w:val="2"/>
          <w:sz w:val="21"/>
          <w:szCs w:val="21"/>
          <w:highlight w:val="none"/>
        </w:rPr>
        <w:t xml:space="preserve"> </w:t>
      </w:r>
    </w:p>
    <w:p>
      <w:pPr>
        <w:tabs>
          <w:tab w:val="left" w:pos="480"/>
        </w:tabs>
        <w:spacing w:line="360" w:lineRule="exact"/>
        <w:ind w:firstLine="420" w:firstLineChars="200"/>
        <w:rPr>
          <w:color w:val="auto"/>
          <w:highlight w:val="none"/>
        </w:rPr>
      </w:pPr>
      <w:bookmarkStart w:id="49" w:name="_Toc357592800"/>
      <w:bookmarkStart w:id="50" w:name="_Toc350362734"/>
      <w:bookmarkStart w:id="51" w:name="_Toc336263500"/>
      <w:bookmarkStart w:id="52" w:name="_Toc336351173"/>
      <w:bookmarkStart w:id="53" w:name="_Toc434242040"/>
      <w:bookmarkStart w:id="54" w:name="_Toc25513"/>
      <w:bookmarkStart w:id="55" w:name="_Toc356323397"/>
      <w:bookmarkStart w:id="56" w:name="_Toc19411"/>
      <w:bookmarkStart w:id="57" w:name="_Toc496363844"/>
      <w:r>
        <w:rPr>
          <w:rFonts w:hint="eastAsia" w:ascii="宋体" w:hAnsi="宋体" w:cs="宋体"/>
          <w:color w:val="auto"/>
          <w:highlight w:val="none"/>
        </w:rPr>
        <w:t>2.1项目概况与招标范围：为规范公司管理工作程序，满足我司工作要求，需</w:t>
      </w:r>
      <w:r>
        <w:rPr>
          <w:rFonts w:hint="eastAsia" w:ascii="宋体" w:hAnsi="宋体" w:cs="宋体"/>
          <w:color w:val="auto"/>
          <w:highlight w:val="none"/>
          <w:lang w:eastAsia="zh-CN"/>
        </w:rPr>
        <w:t>9</w:t>
      </w:r>
      <w:r>
        <w:rPr>
          <w:rFonts w:hint="eastAsia" w:ascii="宋体" w:hAnsi="宋体" w:cs="宋体"/>
          <w:color w:val="auto"/>
          <w:highlight w:val="none"/>
        </w:rPr>
        <w:t>名A1驾照</w:t>
      </w:r>
      <w:r>
        <w:rPr>
          <w:rFonts w:hint="eastAsia" w:ascii="宋体" w:hAnsi="宋体" w:cs="宋体"/>
          <w:color w:val="auto"/>
          <w:highlight w:val="none"/>
          <w:lang w:val="en-US" w:eastAsia="zh-CN"/>
        </w:rPr>
        <w:t>驾驶员，</w:t>
      </w:r>
      <w:r>
        <w:rPr>
          <w:rFonts w:hint="eastAsia" w:ascii="宋体" w:hAnsi="宋体" w:cs="宋体"/>
          <w:color w:val="auto"/>
          <w:highlight w:val="none"/>
        </w:rPr>
        <w:t>驾驶经验丰富安全意识强</w:t>
      </w:r>
      <w:r>
        <w:rPr>
          <w:rFonts w:hint="eastAsia" w:ascii="宋体" w:hAnsi="宋体" w:cs="宋体"/>
          <w:color w:val="auto"/>
          <w:highlight w:val="none"/>
          <w:lang w:val="en-US" w:eastAsia="zh-CN"/>
        </w:rPr>
        <w:t>无重大交通事故</w:t>
      </w:r>
      <w:r>
        <w:rPr>
          <w:rFonts w:hint="eastAsia" w:ascii="宋体" w:hAnsi="宋体" w:cs="宋体"/>
          <w:color w:val="auto"/>
          <w:highlight w:val="none"/>
        </w:rPr>
        <w:t>的驾驶员(含替班驾驶员）渝广</w:t>
      </w:r>
      <w:r>
        <w:rPr>
          <w:rFonts w:hint="eastAsia" w:ascii="宋体" w:hAnsi="宋体" w:cs="宋体"/>
          <w:color w:val="auto"/>
          <w:highlight w:val="none"/>
          <w:lang w:eastAsia="zh-CN"/>
        </w:rPr>
        <w:t>5</w:t>
      </w:r>
      <w:r>
        <w:rPr>
          <w:rFonts w:hint="eastAsia" w:ascii="宋体" w:hAnsi="宋体" w:cs="宋体"/>
          <w:color w:val="auto"/>
          <w:highlight w:val="none"/>
        </w:rPr>
        <w:t>人、梁忠4人，负责公司</w:t>
      </w:r>
      <w:r>
        <w:rPr>
          <w:rFonts w:hint="eastAsia" w:ascii="宋体" w:hAnsi="宋体" w:cs="宋体"/>
          <w:color w:val="auto"/>
          <w:highlight w:val="none"/>
          <w:lang w:eastAsia="zh-CN"/>
        </w:rPr>
        <w:t>七</w:t>
      </w:r>
      <w:r>
        <w:rPr>
          <w:rFonts w:hint="eastAsia" w:ascii="宋体" w:hAnsi="宋体" w:cs="宋体"/>
          <w:color w:val="auto"/>
          <w:highlight w:val="none"/>
        </w:rPr>
        <w:t>条员工交通线路（渝广路</w:t>
      </w:r>
      <w:r>
        <w:rPr>
          <w:rFonts w:hint="eastAsia" w:ascii="宋体" w:hAnsi="宋体" w:cs="宋体"/>
          <w:color w:val="auto"/>
          <w:highlight w:val="none"/>
          <w:lang w:eastAsia="zh-CN"/>
        </w:rPr>
        <w:t>四</w:t>
      </w:r>
      <w:r>
        <w:rPr>
          <w:rFonts w:hint="eastAsia" w:ascii="宋体" w:hAnsi="宋体" w:cs="宋体"/>
          <w:color w:val="auto"/>
          <w:highlight w:val="none"/>
        </w:rPr>
        <w:t>条、梁忠路三条）的交通车及正常公务活动的驾驶服务。承担合川城区、</w:t>
      </w:r>
      <w:r>
        <w:rPr>
          <w:rFonts w:hint="eastAsia" w:ascii="宋体" w:hAnsi="宋体" w:cs="宋体"/>
          <w:color w:val="auto"/>
          <w:highlight w:val="none"/>
          <w:lang w:val="en-US" w:eastAsia="zh-CN"/>
        </w:rPr>
        <w:t>主城至渝广、</w:t>
      </w:r>
      <w:r>
        <w:rPr>
          <w:rFonts w:hint="eastAsia" w:ascii="宋体" w:hAnsi="宋体" w:cs="宋体"/>
          <w:color w:val="auto"/>
          <w:highlight w:val="none"/>
        </w:rPr>
        <w:t>梁平至忠县</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忠县至梁平</w:t>
      </w:r>
      <w:r>
        <w:rPr>
          <w:rFonts w:hint="eastAsia" w:ascii="宋体" w:hAnsi="宋体" w:cs="宋体"/>
          <w:color w:val="auto"/>
          <w:highlight w:val="none"/>
        </w:rPr>
        <w:t>线路，如遇上级要求或突发情况，根据甲方要求调增或调减线路。</w:t>
      </w:r>
    </w:p>
    <w:p>
      <w:pPr>
        <w:tabs>
          <w:tab w:val="left" w:pos="480"/>
        </w:tabs>
        <w:spacing w:line="360" w:lineRule="exact"/>
        <w:ind w:firstLine="420" w:firstLineChars="200"/>
        <w:rPr>
          <w:rFonts w:hAnsi="宋体" w:cs="仿宋_GB2312"/>
          <w:bCs/>
          <w:color w:val="auto"/>
          <w:highlight w:val="none"/>
        </w:rPr>
      </w:pPr>
      <w:r>
        <w:rPr>
          <w:rFonts w:hint="eastAsia" w:hAnsi="宋体" w:cs="仿宋_GB2312"/>
          <w:bCs/>
          <w:color w:val="auto"/>
          <w:highlight w:val="none"/>
        </w:rPr>
        <w:t>2.2 服务地点：重庆渝广梁忠高速公路有限公司渝广路、梁忠路。</w:t>
      </w:r>
    </w:p>
    <w:p>
      <w:pPr>
        <w:tabs>
          <w:tab w:val="left" w:pos="480"/>
        </w:tabs>
        <w:spacing w:line="360" w:lineRule="exact"/>
        <w:ind w:firstLine="420" w:firstLineChars="200"/>
        <w:rPr>
          <w:rFonts w:hAnsi="宋体" w:cs="仿宋_GB2312"/>
          <w:bCs/>
          <w:color w:val="auto"/>
          <w:highlight w:val="none"/>
        </w:rPr>
      </w:pPr>
      <w:r>
        <w:rPr>
          <w:rFonts w:hint="eastAsia" w:hAnsi="宋体" w:cs="仿宋_GB2312"/>
          <w:bCs/>
          <w:color w:val="auto"/>
          <w:highlight w:val="none"/>
        </w:rPr>
        <w:t>2.3服务期限：3年</w:t>
      </w:r>
      <w:r>
        <w:rPr>
          <w:rFonts w:hint="eastAsia" w:hAnsi="宋体" w:cs="仿宋_GB2312"/>
          <w:bCs/>
          <w:color w:val="auto"/>
          <w:highlight w:val="none"/>
          <w:lang w:val="en-US" w:eastAsia="zh-CN"/>
        </w:rPr>
        <w:t>2</w:t>
      </w:r>
      <w:r>
        <w:rPr>
          <w:rFonts w:hint="eastAsia" w:hAnsi="宋体" w:cs="仿宋_GB2312"/>
          <w:bCs/>
          <w:color w:val="auto"/>
          <w:highlight w:val="none"/>
        </w:rPr>
        <w:t>个月（合同签订时间以招标人通知为准，中标单位若在履约期间出现较严重的工作错误、服务不配合或年度考核不合格等不良情况，给招标人造成工作开展困难和不便或不利影响，招标人有权随时终止合作。）</w:t>
      </w:r>
    </w:p>
    <w:p>
      <w:pPr>
        <w:tabs>
          <w:tab w:val="left" w:pos="480"/>
        </w:tabs>
        <w:spacing w:line="360" w:lineRule="exact"/>
        <w:ind w:firstLine="420" w:firstLineChars="200"/>
        <w:rPr>
          <w:rFonts w:ascii="宋体" w:hAnsi="宋体" w:cs="宋体"/>
          <w:bCs/>
          <w:color w:val="auto"/>
          <w:highlight w:val="none"/>
        </w:rPr>
      </w:pPr>
      <w:r>
        <w:rPr>
          <w:rFonts w:hint="eastAsia" w:hAnsi="宋体" w:cs="仿宋_GB2312"/>
          <w:bCs/>
          <w:color w:val="auto"/>
          <w:highlight w:val="none"/>
        </w:rPr>
        <w:t>2.4标段划分：本次招标分为1个合同段</w:t>
      </w:r>
      <w:r>
        <w:rPr>
          <w:rFonts w:hint="eastAsia" w:ascii="宋体" w:hAnsi="宋体" w:cs="宋体"/>
          <w:bCs/>
          <w:color w:val="auto"/>
          <w:highlight w:val="none"/>
        </w:rPr>
        <w:t xml:space="preserve">。   </w:t>
      </w:r>
    </w:p>
    <w:bookmarkEnd w:id="49"/>
    <w:bookmarkEnd w:id="50"/>
    <w:bookmarkEnd w:id="51"/>
    <w:bookmarkEnd w:id="52"/>
    <w:bookmarkEnd w:id="53"/>
    <w:bookmarkEnd w:id="54"/>
    <w:bookmarkEnd w:id="55"/>
    <w:p>
      <w:pPr>
        <w:pStyle w:val="4"/>
        <w:spacing w:before="0" w:after="0" w:line="420" w:lineRule="exact"/>
        <w:rPr>
          <w:rFonts w:ascii="宋体" w:hAnsi="宋体" w:eastAsia="宋体" w:cs="宋体"/>
          <w:snapToGrid w:val="0"/>
          <w:color w:val="auto"/>
          <w:kern w:val="2"/>
          <w:sz w:val="21"/>
          <w:szCs w:val="21"/>
          <w:highlight w:val="none"/>
        </w:rPr>
      </w:pPr>
      <w:bookmarkStart w:id="58" w:name="_Toc31737"/>
      <w:bookmarkStart w:id="59" w:name="_Toc19103"/>
      <w:bookmarkStart w:id="60" w:name="_Toc17953"/>
      <w:bookmarkStart w:id="61" w:name="_Toc43455568"/>
      <w:bookmarkStart w:id="62" w:name="_Toc1392"/>
      <w:r>
        <w:rPr>
          <w:rFonts w:hint="eastAsia" w:ascii="宋体" w:hAnsi="宋体" w:eastAsia="宋体" w:cs="宋体"/>
          <w:snapToGrid w:val="0"/>
          <w:color w:val="auto"/>
          <w:kern w:val="2"/>
          <w:sz w:val="21"/>
          <w:szCs w:val="21"/>
          <w:highlight w:val="none"/>
        </w:rPr>
        <w:t>3.投标人资格要求</w:t>
      </w:r>
      <w:bookmarkEnd w:id="56"/>
      <w:bookmarkEnd w:id="57"/>
      <w:bookmarkEnd w:id="58"/>
      <w:bookmarkEnd w:id="59"/>
      <w:bookmarkEnd w:id="60"/>
      <w:bookmarkEnd w:id="61"/>
      <w:bookmarkEnd w:id="62"/>
    </w:p>
    <w:p>
      <w:pPr>
        <w:spacing w:line="42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3.1本次招标要求投标人须具备以下条件：</w:t>
      </w:r>
    </w:p>
    <w:p>
      <w:pPr>
        <w:spacing w:line="42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3.1.1本次招标要求投标人同时具备的资质条件：</w:t>
      </w:r>
    </w:p>
    <w:p>
      <w:pPr>
        <w:spacing w:line="42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w:t>
      </w:r>
      <w:r>
        <w:rPr>
          <w:rFonts w:hint="eastAsia" w:hAnsi="宋体" w:cs="宋体"/>
          <w:snapToGrid w:val="0"/>
          <w:color w:val="auto"/>
          <w:highlight w:val="none"/>
        </w:rPr>
        <w:t>具有独立法人资格，具有有效的营业执照，并具有增值税一般纳税人资格</w:t>
      </w:r>
      <w:r>
        <w:rPr>
          <w:rFonts w:hint="eastAsia" w:ascii="宋体" w:hAnsi="宋体" w:cs="宋体"/>
          <w:color w:val="auto"/>
          <w:kern w:val="0"/>
          <w:highlight w:val="none"/>
        </w:rPr>
        <w:t>。</w:t>
      </w:r>
    </w:p>
    <w:p>
      <w:pPr>
        <w:spacing w:line="420" w:lineRule="exact"/>
        <w:ind w:firstLine="420" w:firstLineChars="200"/>
        <w:rPr>
          <w:rFonts w:ascii="宋体" w:hAnsi="宋体" w:cs="宋体"/>
          <w:color w:val="auto"/>
          <w:kern w:val="0"/>
          <w:highlight w:val="none"/>
        </w:rPr>
      </w:pPr>
      <w:r>
        <w:rPr>
          <w:rFonts w:hint="eastAsia" w:ascii="宋体" w:hAnsi="宋体" w:cs="宋体"/>
          <w:snapToGrid w:val="0"/>
          <w:color w:val="auto"/>
          <w:kern w:val="0"/>
          <w:highlight w:val="none"/>
        </w:rPr>
        <w:t>3.1.2本次招标要求投标人具备的业绩条件：近2年（2021年1月1日至投标截止日止，以合同签订时间为准），具有累计合同金额不低于</w:t>
      </w:r>
      <w:r>
        <w:rPr>
          <w:rFonts w:hint="eastAsia" w:ascii="宋体" w:hAnsi="宋体" w:cs="宋体"/>
          <w:snapToGrid w:val="0"/>
          <w:color w:val="auto"/>
          <w:kern w:val="0"/>
          <w:highlight w:val="none"/>
          <w:lang w:val="en-US" w:eastAsia="zh-CN"/>
        </w:rPr>
        <w:t>50</w:t>
      </w:r>
      <w:r>
        <w:rPr>
          <w:rFonts w:hint="eastAsia" w:ascii="宋体" w:hAnsi="宋体" w:cs="宋体"/>
          <w:snapToGrid w:val="0"/>
          <w:color w:val="auto"/>
          <w:kern w:val="0"/>
          <w:highlight w:val="none"/>
        </w:rPr>
        <w:t>万元的</w:t>
      </w:r>
      <w:r>
        <w:rPr>
          <w:rFonts w:hint="eastAsia" w:ascii="宋体" w:hAnsi="宋体" w:cs="宋体"/>
          <w:color w:val="auto"/>
          <w:highlight w:val="none"/>
        </w:rPr>
        <w:t>业务外包服务</w:t>
      </w:r>
      <w:r>
        <w:rPr>
          <w:rFonts w:hint="eastAsia" w:ascii="宋体" w:hAnsi="宋体" w:cs="宋体"/>
          <w:snapToGrid w:val="0"/>
          <w:color w:val="auto"/>
          <w:kern w:val="0"/>
          <w:highlight w:val="none"/>
        </w:rPr>
        <w:t>项目业绩。</w:t>
      </w:r>
    </w:p>
    <w:p>
      <w:pPr>
        <w:spacing w:line="42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3.1.3 投标人还应在财务、信誉等方面具有相应的能力，详见招标文件第二章投标人须知前附表第1.4.1项内容。</w:t>
      </w:r>
    </w:p>
    <w:p>
      <w:pPr>
        <w:spacing w:line="420" w:lineRule="exact"/>
        <w:ind w:firstLine="420" w:firstLineChars="200"/>
        <w:outlineLvl w:val="2"/>
        <w:rPr>
          <w:rFonts w:ascii="宋体" w:hAnsi="宋体" w:cs="宋体"/>
          <w:color w:val="auto"/>
          <w:kern w:val="0"/>
          <w:highlight w:val="none"/>
        </w:rPr>
      </w:pPr>
      <w:bookmarkStart w:id="63" w:name="_Toc30817"/>
      <w:r>
        <w:rPr>
          <w:rFonts w:hint="eastAsia" w:ascii="宋体" w:hAnsi="宋体" w:cs="宋体"/>
          <w:color w:val="auto"/>
          <w:kern w:val="0"/>
          <w:highlight w:val="none"/>
        </w:rPr>
        <w:t>3.2本次招标不接受联合体投标。</w:t>
      </w:r>
      <w:bookmarkEnd w:id="63"/>
    </w:p>
    <w:p>
      <w:pPr>
        <w:spacing w:line="42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3.3与招标人存在利害关系可能影响招标公正性的法人、其他组织或者个人，不得参加投标。单位负责人为同一人或者存在控股、管理关系的不同单位，不得参加同一标段投标或者未划分标段的同一招标项目投标。否则，相关投标均无效。</w:t>
      </w:r>
    </w:p>
    <w:p>
      <w:pPr>
        <w:pStyle w:val="4"/>
        <w:spacing w:before="0" w:after="0" w:line="420" w:lineRule="exact"/>
        <w:rPr>
          <w:rFonts w:ascii="宋体" w:hAnsi="宋体" w:eastAsia="宋体" w:cs="宋体"/>
          <w:snapToGrid w:val="0"/>
          <w:color w:val="auto"/>
          <w:kern w:val="2"/>
          <w:sz w:val="21"/>
          <w:szCs w:val="21"/>
          <w:highlight w:val="none"/>
        </w:rPr>
      </w:pPr>
      <w:bookmarkStart w:id="64" w:name="_Toc43455569"/>
      <w:bookmarkStart w:id="65" w:name="_Toc496363845"/>
      <w:bookmarkStart w:id="66" w:name="_Toc28620"/>
      <w:bookmarkStart w:id="67" w:name="_Toc19986"/>
      <w:bookmarkStart w:id="68" w:name="_Toc30233"/>
      <w:bookmarkStart w:id="69" w:name="_Toc18580"/>
      <w:bookmarkStart w:id="70" w:name="_Toc32344"/>
      <w:r>
        <w:rPr>
          <w:rFonts w:hint="eastAsia" w:ascii="宋体" w:hAnsi="宋体" w:eastAsia="宋体" w:cs="宋体"/>
          <w:snapToGrid w:val="0"/>
          <w:color w:val="auto"/>
          <w:kern w:val="2"/>
          <w:sz w:val="21"/>
          <w:szCs w:val="21"/>
          <w:highlight w:val="none"/>
        </w:rPr>
        <w:t>4.招标文件的获取</w:t>
      </w:r>
      <w:bookmarkEnd w:id="64"/>
      <w:bookmarkEnd w:id="65"/>
      <w:bookmarkEnd w:id="66"/>
      <w:bookmarkEnd w:id="67"/>
      <w:bookmarkEnd w:id="68"/>
      <w:bookmarkEnd w:id="69"/>
      <w:bookmarkEnd w:id="70"/>
    </w:p>
    <w:p>
      <w:pPr>
        <w:spacing w:line="420" w:lineRule="exact"/>
        <w:ind w:firstLine="420" w:firstLineChars="200"/>
        <w:rPr>
          <w:rFonts w:ascii="宋体" w:hAnsi="宋体" w:cs="宋体"/>
          <w:color w:val="auto"/>
          <w:highlight w:val="none"/>
        </w:rPr>
      </w:pPr>
      <w:bookmarkStart w:id="71" w:name="_Toc25997"/>
      <w:bookmarkStart w:id="72" w:name="_Toc16563"/>
      <w:bookmarkStart w:id="73" w:name="_Toc9397"/>
      <w:bookmarkStart w:id="74" w:name="_Toc24568"/>
      <w:bookmarkStart w:id="75" w:name="_Toc22216"/>
      <w:bookmarkStart w:id="76" w:name="_Toc24099"/>
      <w:bookmarkStart w:id="77" w:name="_Toc8561"/>
      <w:bookmarkStart w:id="78" w:name="_Toc496363846"/>
      <w:r>
        <w:rPr>
          <w:rFonts w:hint="eastAsia" w:ascii="宋体" w:hAnsi="宋体" w:cs="宋体"/>
          <w:color w:val="auto"/>
          <w:highlight w:val="none"/>
        </w:rPr>
        <w:t>4.1凡有意参加投标者，请于2023年</w:t>
      </w:r>
      <w:r>
        <w:rPr>
          <w:rFonts w:hint="eastAsia" w:ascii="宋体" w:hAnsi="宋体" w:cs="宋体"/>
          <w:color w:val="auto"/>
          <w:highlight w:val="none"/>
          <w:lang w:val="en-US" w:eastAsia="zh-CN"/>
        </w:rPr>
        <w:t>9</w:t>
      </w:r>
      <w:r>
        <w:rPr>
          <w:rFonts w:hint="eastAsia" w:ascii="宋体" w:hAnsi="宋体" w:cs="宋体"/>
          <w:color w:val="auto"/>
          <w:highlight w:val="none"/>
        </w:rPr>
        <w:t xml:space="preserve">月 </w:t>
      </w:r>
      <w:r>
        <w:rPr>
          <w:rFonts w:hint="eastAsia" w:ascii="宋体" w:hAnsi="宋体" w:cs="宋体"/>
          <w:color w:val="auto"/>
          <w:highlight w:val="none"/>
          <w:lang w:val="en-US" w:eastAsia="zh-CN"/>
        </w:rPr>
        <w:t xml:space="preserve">5 </w:t>
      </w:r>
      <w:r>
        <w:rPr>
          <w:rFonts w:hint="eastAsia" w:ascii="宋体" w:hAnsi="宋体" w:cs="宋体"/>
          <w:color w:val="auto"/>
          <w:highlight w:val="none"/>
        </w:rPr>
        <w:t xml:space="preserve">日（北京时间，下同）起在重庆市公共资源交易网（www.cqggzy.com）下载招标文件、澄清、修改、补充通知、最高限价通知等全部内容。不管下载与否都视为潜在投标人全部知晓有关招投标过程和全部内容。 </w:t>
      </w:r>
    </w:p>
    <w:p>
      <w:pPr>
        <w:spacing w:line="420" w:lineRule="exact"/>
        <w:ind w:firstLine="420" w:firstLineChars="200"/>
        <w:rPr>
          <w:rFonts w:ascii="宋体" w:hAnsi="宋体" w:cs="宋体"/>
          <w:color w:val="auto"/>
          <w:highlight w:val="none"/>
        </w:rPr>
      </w:pPr>
      <w:r>
        <w:rPr>
          <w:rFonts w:hint="eastAsia" w:ascii="宋体" w:hAnsi="宋体" w:cs="宋体"/>
          <w:color w:val="auto"/>
          <w:highlight w:val="none"/>
        </w:rPr>
        <w:t>4.2投标人可在重庆市公共资源交易网（www.cqggzy.com）本项目招标公告网页下方“我要提问”栏提出疑问，提问时间从本公告发布至2023年</w:t>
      </w:r>
      <w:r>
        <w:rPr>
          <w:rFonts w:hint="eastAsia" w:ascii="宋体" w:hAnsi="宋体" w:cs="宋体"/>
          <w:color w:val="auto"/>
          <w:highlight w:val="none"/>
          <w:lang w:val="en-US" w:eastAsia="zh-CN"/>
        </w:rPr>
        <w:t>9</w:t>
      </w:r>
      <w:r>
        <w:rPr>
          <w:rFonts w:hint="eastAsia" w:ascii="宋体" w:hAnsi="宋体" w:cs="宋体"/>
          <w:color w:val="auto"/>
          <w:highlight w:val="none"/>
        </w:rPr>
        <w:t>月</w:t>
      </w:r>
      <w:r>
        <w:rPr>
          <w:rFonts w:hint="eastAsia" w:ascii="宋体" w:hAnsi="宋体" w:cs="宋体"/>
          <w:color w:val="auto"/>
          <w:highlight w:val="none"/>
          <w:lang w:val="en-US" w:eastAsia="zh-CN"/>
        </w:rPr>
        <w:t>11</w:t>
      </w:r>
      <w:r>
        <w:rPr>
          <w:rFonts w:hint="eastAsia" w:ascii="宋体" w:hAnsi="宋体" w:cs="宋体"/>
          <w:color w:val="auto"/>
          <w:highlight w:val="none"/>
        </w:rPr>
        <w:t>日</w:t>
      </w:r>
      <w:r>
        <w:rPr>
          <w:rFonts w:hint="eastAsia" w:ascii="宋体" w:hAnsi="宋体" w:cs="宋体"/>
          <w:color w:val="auto"/>
          <w:highlight w:val="none"/>
          <w:lang w:val="en-US" w:eastAsia="zh-CN"/>
        </w:rPr>
        <w:t xml:space="preserve"> 9</w:t>
      </w:r>
      <w:r>
        <w:rPr>
          <w:rFonts w:hint="eastAsia" w:ascii="宋体" w:hAnsi="宋体" w:cs="宋体"/>
          <w:color w:val="auto"/>
          <w:highlight w:val="none"/>
        </w:rPr>
        <w:t xml:space="preserve"> 时</w:t>
      </w:r>
      <w:r>
        <w:rPr>
          <w:rFonts w:hint="eastAsia" w:ascii="宋体" w:hAnsi="宋体" w:cs="宋体"/>
          <w:color w:val="auto"/>
          <w:highlight w:val="none"/>
          <w:lang w:val="en-US" w:eastAsia="zh-CN"/>
        </w:rPr>
        <w:t xml:space="preserve"> 00 </w:t>
      </w:r>
      <w:r>
        <w:rPr>
          <w:rFonts w:hint="eastAsia" w:ascii="宋体" w:hAnsi="宋体" w:cs="宋体"/>
          <w:color w:val="auto"/>
          <w:highlight w:val="none"/>
        </w:rPr>
        <w:t>分（北京时间）前。</w:t>
      </w:r>
    </w:p>
    <w:p>
      <w:pPr>
        <w:spacing w:line="420" w:lineRule="exact"/>
        <w:ind w:firstLine="420" w:firstLineChars="200"/>
        <w:rPr>
          <w:rFonts w:ascii="宋体" w:hAnsi="宋体" w:cs="宋体"/>
          <w:color w:val="auto"/>
          <w:highlight w:val="none"/>
        </w:rPr>
      </w:pPr>
      <w:r>
        <w:rPr>
          <w:rFonts w:hint="eastAsia" w:ascii="宋体" w:hAnsi="宋体" w:cs="宋体"/>
          <w:color w:val="auto"/>
          <w:highlight w:val="none"/>
        </w:rPr>
        <w:t>4.3招标人应于2023年</w:t>
      </w:r>
      <w:r>
        <w:rPr>
          <w:rFonts w:hint="eastAsia" w:ascii="宋体" w:hAnsi="宋体" w:cs="宋体"/>
          <w:color w:val="auto"/>
          <w:highlight w:val="none"/>
          <w:lang w:val="en-US" w:eastAsia="zh-CN"/>
        </w:rPr>
        <w:t>9</w:t>
      </w:r>
      <w:r>
        <w:rPr>
          <w:rFonts w:hint="eastAsia" w:ascii="宋体" w:hAnsi="宋体" w:cs="宋体"/>
          <w:color w:val="auto"/>
          <w:highlight w:val="none"/>
        </w:rPr>
        <w:t>月</w:t>
      </w:r>
      <w:r>
        <w:rPr>
          <w:rFonts w:hint="eastAsia" w:ascii="宋体" w:hAnsi="宋体" w:cs="宋体"/>
          <w:color w:val="auto"/>
          <w:highlight w:val="none"/>
          <w:lang w:val="en-US" w:eastAsia="zh-CN"/>
        </w:rPr>
        <w:t>12</w:t>
      </w:r>
      <w:r>
        <w:rPr>
          <w:rFonts w:hint="eastAsia" w:ascii="宋体" w:hAnsi="宋体" w:cs="宋体"/>
          <w:color w:val="auto"/>
          <w:highlight w:val="none"/>
        </w:rPr>
        <w:t>日</w:t>
      </w:r>
      <w:r>
        <w:rPr>
          <w:rFonts w:hint="eastAsia" w:ascii="宋体" w:hAnsi="宋体" w:cs="宋体"/>
          <w:color w:val="auto"/>
          <w:highlight w:val="none"/>
          <w:lang w:val="en-US" w:eastAsia="zh-CN"/>
        </w:rPr>
        <w:t>17</w:t>
      </w:r>
      <w:r>
        <w:rPr>
          <w:rFonts w:hint="eastAsia" w:ascii="宋体" w:hAnsi="宋体" w:cs="宋体"/>
          <w:color w:val="auto"/>
          <w:highlight w:val="none"/>
        </w:rPr>
        <w:t>时</w:t>
      </w:r>
      <w:r>
        <w:rPr>
          <w:rFonts w:hint="eastAsia" w:ascii="宋体" w:hAnsi="宋体" w:cs="宋体"/>
          <w:color w:val="auto"/>
          <w:highlight w:val="none"/>
          <w:lang w:val="en-US" w:eastAsia="zh-CN"/>
        </w:rPr>
        <w:t>30</w:t>
      </w:r>
      <w:r>
        <w:rPr>
          <w:rFonts w:hint="eastAsia" w:ascii="宋体" w:hAnsi="宋体" w:cs="宋体"/>
          <w:color w:val="auto"/>
          <w:highlight w:val="none"/>
        </w:rPr>
        <w:t>分（北京时间）前在重庆市公共资源交易网（www.cqggzy.com）发布澄清。</w:t>
      </w:r>
    </w:p>
    <w:p>
      <w:pPr>
        <w:pStyle w:val="4"/>
        <w:spacing w:before="0" w:after="0" w:line="420" w:lineRule="exact"/>
        <w:rPr>
          <w:rFonts w:ascii="宋体" w:hAnsi="宋体" w:eastAsia="宋体" w:cs="宋体"/>
          <w:snapToGrid w:val="0"/>
          <w:color w:val="auto"/>
          <w:kern w:val="2"/>
          <w:sz w:val="21"/>
          <w:szCs w:val="21"/>
          <w:highlight w:val="none"/>
        </w:rPr>
      </w:pPr>
      <w:bookmarkStart w:id="79" w:name="_Toc25414"/>
      <w:bookmarkStart w:id="80" w:name="_Toc43455570"/>
      <w:r>
        <w:rPr>
          <w:rFonts w:hint="eastAsia" w:ascii="宋体" w:hAnsi="宋体" w:eastAsia="宋体" w:cs="宋体"/>
          <w:snapToGrid w:val="0"/>
          <w:color w:val="auto"/>
          <w:kern w:val="2"/>
          <w:sz w:val="21"/>
          <w:szCs w:val="21"/>
          <w:highlight w:val="none"/>
        </w:rPr>
        <w:t>5.投标文件的递交</w:t>
      </w:r>
      <w:bookmarkEnd w:id="71"/>
      <w:bookmarkEnd w:id="72"/>
      <w:bookmarkEnd w:id="73"/>
      <w:bookmarkEnd w:id="74"/>
      <w:bookmarkEnd w:id="75"/>
      <w:bookmarkEnd w:id="76"/>
      <w:bookmarkEnd w:id="79"/>
      <w:bookmarkEnd w:id="80"/>
    </w:p>
    <w:p>
      <w:pPr>
        <w:tabs>
          <w:tab w:val="left" w:pos="945"/>
        </w:tabs>
        <w:autoSpaceDE w:val="0"/>
        <w:autoSpaceDN w:val="0"/>
        <w:spacing w:line="420" w:lineRule="exact"/>
        <w:ind w:firstLine="420" w:firstLineChars="200"/>
        <w:rPr>
          <w:rFonts w:ascii="宋体" w:hAnsi="宋体" w:cs="宋体"/>
          <w:snapToGrid w:val="0"/>
          <w:color w:val="auto"/>
          <w:highlight w:val="none"/>
        </w:rPr>
      </w:pPr>
      <w:r>
        <w:rPr>
          <w:rFonts w:hint="eastAsia" w:ascii="宋体" w:hAnsi="宋体" w:cs="宋体"/>
          <w:snapToGrid w:val="0"/>
          <w:color w:val="auto"/>
          <w:highlight w:val="none"/>
        </w:rPr>
        <w:t>5.1投标文件递交的截止时间（投标截止时间，下同）为2023年</w:t>
      </w:r>
      <w:r>
        <w:rPr>
          <w:rFonts w:hint="eastAsia" w:ascii="宋体" w:hAnsi="宋体" w:cs="宋体"/>
          <w:snapToGrid w:val="0"/>
          <w:color w:val="auto"/>
          <w:highlight w:val="none"/>
          <w:lang w:val="en-US" w:eastAsia="zh-CN"/>
        </w:rPr>
        <w:t xml:space="preserve"> </w:t>
      </w:r>
      <w:bookmarkStart w:id="524" w:name="_GoBack"/>
      <w:bookmarkEnd w:id="524"/>
      <w:r>
        <w:rPr>
          <w:rFonts w:hint="eastAsia" w:ascii="宋体" w:hAnsi="宋体" w:cs="宋体"/>
          <w:snapToGrid w:val="0"/>
          <w:color w:val="auto"/>
          <w:highlight w:val="none"/>
          <w:lang w:val="en-US" w:eastAsia="zh-CN"/>
        </w:rPr>
        <w:t>9</w:t>
      </w:r>
      <w:r>
        <w:rPr>
          <w:rFonts w:hint="eastAsia" w:ascii="宋体" w:hAnsi="宋体" w:cs="宋体"/>
          <w:snapToGrid w:val="0"/>
          <w:color w:val="auto"/>
          <w:highlight w:val="none"/>
        </w:rPr>
        <w:t xml:space="preserve"> 月</w:t>
      </w:r>
      <w:r>
        <w:rPr>
          <w:rFonts w:hint="eastAsia" w:ascii="宋体" w:hAnsi="宋体" w:cs="宋体"/>
          <w:snapToGrid w:val="0"/>
          <w:color w:val="auto"/>
          <w:highlight w:val="none"/>
          <w:lang w:val="en-US" w:eastAsia="zh-CN"/>
        </w:rPr>
        <w:t xml:space="preserve"> 28 </w:t>
      </w:r>
      <w:r>
        <w:rPr>
          <w:rFonts w:hint="eastAsia" w:ascii="宋体" w:hAnsi="宋体" w:cs="宋体"/>
          <w:snapToGrid w:val="0"/>
          <w:color w:val="auto"/>
          <w:highlight w:val="none"/>
        </w:rPr>
        <w:t>日</w:t>
      </w:r>
      <w:r>
        <w:rPr>
          <w:rFonts w:hint="eastAsia" w:ascii="宋体" w:hAnsi="宋体" w:cs="宋体"/>
          <w:snapToGrid w:val="0"/>
          <w:color w:val="auto"/>
          <w:highlight w:val="none"/>
          <w:lang w:val="en-US" w:eastAsia="zh-CN"/>
        </w:rPr>
        <w:t xml:space="preserve"> 10 </w:t>
      </w:r>
      <w:r>
        <w:rPr>
          <w:rFonts w:hint="eastAsia" w:ascii="宋体" w:hAnsi="宋体" w:cs="宋体"/>
          <w:snapToGrid w:val="0"/>
          <w:color w:val="auto"/>
          <w:highlight w:val="none"/>
        </w:rPr>
        <w:t>时</w:t>
      </w:r>
      <w:r>
        <w:rPr>
          <w:rFonts w:hint="eastAsia" w:ascii="宋体" w:hAnsi="宋体" w:cs="宋体"/>
          <w:snapToGrid w:val="0"/>
          <w:color w:val="auto"/>
          <w:highlight w:val="none"/>
          <w:lang w:val="en-US" w:eastAsia="zh-CN"/>
        </w:rPr>
        <w:t xml:space="preserve"> 30 </w:t>
      </w:r>
      <w:r>
        <w:rPr>
          <w:rFonts w:hint="eastAsia" w:ascii="宋体" w:hAnsi="宋体" w:cs="宋体"/>
          <w:snapToGrid w:val="0"/>
          <w:color w:val="auto"/>
          <w:highlight w:val="none"/>
        </w:rPr>
        <w:t>分，地点为重庆市公共资源交易中心开标室（具体请登陆重庆市公共资源交易网（www.cqggzy.com）查询或递交文件当日见交易中心大厅电子显示屏）。</w:t>
      </w:r>
    </w:p>
    <w:p>
      <w:pPr>
        <w:tabs>
          <w:tab w:val="left" w:pos="945"/>
        </w:tabs>
        <w:autoSpaceDE w:val="0"/>
        <w:autoSpaceDN w:val="0"/>
        <w:spacing w:line="420" w:lineRule="exact"/>
        <w:ind w:firstLine="420" w:firstLineChars="200"/>
        <w:rPr>
          <w:rFonts w:ascii="宋体" w:hAnsi="宋体" w:cs="宋体"/>
          <w:snapToGrid w:val="0"/>
          <w:color w:val="auto"/>
          <w:highlight w:val="none"/>
        </w:rPr>
      </w:pPr>
      <w:r>
        <w:rPr>
          <w:rFonts w:hint="eastAsia" w:ascii="宋体" w:hAnsi="宋体" w:cs="宋体"/>
          <w:snapToGrid w:val="0"/>
          <w:color w:val="auto"/>
          <w:highlight w:val="none"/>
        </w:rPr>
        <w:t>5.2逾期送达的或者未送达指定地点的投标文件，招标人不予受理。</w:t>
      </w:r>
    </w:p>
    <w:bookmarkEnd w:id="77"/>
    <w:bookmarkEnd w:id="78"/>
    <w:p>
      <w:pPr>
        <w:pStyle w:val="4"/>
        <w:spacing w:before="0" w:after="0" w:line="420" w:lineRule="exact"/>
        <w:rPr>
          <w:rFonts w:ascii="宋体" w:hAnsi="宋体" w:eastAsia="宋体" w:cs="宋体"/>
          <w:color w:val="auto"/>
          <w:kern w:val="1"/>
          <w:sz w:val="21"/>
          <w:szCs w:val="21"/>
          <w:highlight w:val="none"/>
        </w:rPr>
      </w:pPr>
      <w:bookmarkStart w:id="81" w:name="_Toc3837"/>
      <w:bookmarkStart w:id="82" w:name="_Toc496363847"/>
      <w:bookmarkStart w:id="83" w:name="_Toc27767"/>
      <w:bookmarkStart w:id="84" w:name="_Toc26333"/>
      <w:bookmarkStart w:id="85" w:name="_Toc43455571"/>
      <w:bookmarkStart w:id="86" w:name="_Toc16050"/>
      <w:bookmarkStart w:id="87" w:name="_Toc18967"/>
      <w:r>
        <w:rPr>
          <w:rFonts w:hint="eastAsia" w:ascii="宋体" w:hAnsi="宋体" w:eastAsia="宋体" w:cs="宋体"/>
          <w:snapToGrid w:val="0"/>
          <w:color w:val="auto"/>
          <w:kern w:val="2"/>
          <w:sz w:val="21"/>
          <w:szCs w:val="21"/>
          <w:highlight w:val="none"/>
        </w:rPr>
        <w:t>6.发布公告的媒介</w:t>
      </w:r>
      <w:bookmarkEnd w:id="81"/>
      <w:bookmarkEnd w:id="82"/>
      <w:bookmarkEnd w:id="83"/>
      <w:bookmarkEnd w:id="84"/>
      <w:bookmarkEnd w:id="85"/>
      <w:bookmarkEnd w:id="86"/>
      <w:bookmarkEnd w:id="87"/>
    </w:p>
    <w:bookmarkEnd w:id="30"/>
    <w:p>
      <w:pPr>
        <w:spacing w:line="420" w:lineRule="exact"/>
        <w:ind w:firstLine="420" w:firstLineChars="200"/>
        <w:jc w:val="left"/>
        <w:rPr>
          <w:rFonts w:ascii="宋体" w:hAnsi="宋体" w:cs="宋体"/>
          <w:color w:val="auto"/>
          <w:highlight w:val="none"/>
        </w:rPr>
      </w:pPr>
      <w:bookmarkStart w:id="88" w:name="_Toc144974496"/>
      <w:bookmarkEnd w:id="88"/>
      <w:bookmarkStart w:id="89" w:name="_Toc152045528"/>
      <w:bookmarkEnd w:id="89"/>
      <w:bookmarkStart w:id="90" w:name="_Toc152042304"/>
      <w:bookmarkEnd w:id="90"/>
      <w:bookmarkStart w:id="91" w:name="_Toc18564"/>
      <w:bookmarkStart w:id="92" w:name="_Toc19397"/>
      <w:bookmarkStart w:id="93" w:name="_Toc26761"/>
      <w:bookmarkStart w:id="94" w:name="_Toc602"/>
      <w:r>
        <w:rPr>
          <w:rFonts w:hint="eastAsia" w:ascii="宋体" w:hAnsi="宋体" w:cs="宋体"/>
          <w:color w:val="auto"/>
          <w:highlight w:val="none"/>
        </w:rPr>
        <w:t>本次招标公告同时在重庆市公共资源交易网（www.cqggzy.com）、重庆高速集团官网（http://www.cegc.com.cn/gw/newsInfoMenu.html?id=41&amp;key=2）、重庆高速公路集团有限公司招投标管理平台（http://43.240.249.108:8088）上发布。</w:t>
      </w:r>
    </w:p>
    <w:p>
      <w:pPr>
        <w:pStyle w:val="4"/>
        <w:spacing w:before="0" w:after="0" w:line="420" w:lineRule="exact"/>
        <w:rPr>
          <w:rFonts w:ascii="宋体" w:hAnsi="宋体" w:eastAsia="宋体" w:cs="宋体"/>
          <w:snapToGrid w:val="0"/>
          <w:color w:val="auto"/>
          <w:sz w:val="21"/>
          <w:szCs w:val="21"/>
          <w:highlight w:val="none"/>
        </w:rPr>
      </w:pPr>
      <w:bookmarkStart w:id="95" w:name="_Toc43455572"/>
      <w:bookmarkStart w:id="96" w:name="_Toc32611"/>
      <w:r>
        <w:rPr>
          <w:rFonts w:hint="eastAsia" w:ascii="宋体" w:hAnsi="宋体" w:eastAsia="宋体" w:cs="宋体"/>
          <w:snapToGrid w:val="0"/>
          <w:color w:val="auto"/>
          <w:sz w:val="21"/>
          <w:szCs w:val="21"/>
          <w:highlight w:val="none"/>
        </w:rPr>
        <w:t>7.联系方式</w:t>
      </w:r>
      <w:bookmarkEnd w:id="91"/>
      <w:bookmarkEnd w:id="92"/>
      <w:bookmarkEnd w:id="93"/>
      <w:bookmarkEnd w:id="94"/>
      <w:bookmarkEnd w:id="95"/>
      <w:bookmarkEnd w:id="96"/>
    </w:p>
    <w:p>
      <w:pPr>
        <w:spacing w:line="42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招标人：重庆渝广梁忠高速公路有限公司</w:t>
      </w:r>
    </w:p>
    <w:p>
      <w:pPr>
        <w:spacing w:line="42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lang w:val="zh-CN"/>
        </w:rPr>
        <w:t xml:space="preserve">地  </w:t>
      </w:r>
      <w:r>
        <w:rPr>
          <w:rFonts w:hint="eastAsia" w:ascii="宋体" w:hAnsi="宋体" w:cs="宋体"/>
          <w:snapToGrid w:val="0"/>
          <w:color w:val="auto"/>
          <w:kern w:val="0"/>
          <w:highlight w:val="none"/>
        </w:rPr>
        <w:t>址：渝广高速G85两江收费站旁</w:t>
      </w:r>
    </w:p>
    <w:p>
      <w:pPr>
        <w:spacing w:line="42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 xml:space="preserve">联系人：覃老师   </w:t>
      </w:r>
    </w:p>
    <w:p>
      <w:pPr>
        <w:spacing w:line="42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电  话：023-68317987</w:t>
      </w:r>
    </w:p>
    <w:p>
      <w:pPr>
        <w:spacing w:line="42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招标代理机构：重庆市投资咨询有限公司</w:t>
      </w:r>
    </w:p>
    <w:p>
      <w:pPr>
        <w:spacing w:line="42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地  址：重庆市江北区五简路2号重咨大厦A座</w:t>
      </w:r>
    </w:p>
    <w:p>
      <w:pPr>
        <w:spacing w:line="420" w:lineRule="exact"/>
        <w:ind w:firstLine="420" w:firstLineChars="200"/>
        <w:rPr>
          <w:rFonts w:ascii="宋体" w:hAnsi="宋体" w:cs="宋体"/>
          <w:snapToGrid w:val="0"/>
          <w:color w:val="auto"/>
          <w:highlight w:val="none"/>
        </w:rPr>
      </w:pPr>
      <w:r>
        <w:rPr>
          <w:rFonts w:hint="eastAsia" w:ascii="宋体" w:hAnsi="宋体" w:cs="宋体"/>
          <w:snapToGrid w:val="0"/>
          <w:color w:val="auto"/>
          <w:highlight w:val="none"/>
        </w:rPr>
        <w:t xml:space="preserve">联系人：张老师    </w:t>
      </w:r>
    </w:p>
    <w:p>
      <w:pPr>
        <w:spacing w:line="420" w:lineRule="exact"/>
        <w:ind w:firstLine="420" w:firstLineChars="200"/>
        <w:rPr>
          <w:rFonts w:ascii="宋体" w:hAnsi="宋体" w:cs="宋体"/>
          <w:snapToGrid w:val="0"/>
          <w:color w:val="auto"/>
          <w:highlight w:val="none"/>
        </w:rPr>
      </w:pPr>
      <w:r>
        <w:rPr>
          <w:rFonts w:hint="eastAsia" w:ascii="宋体" w:hAnsi="宋体" w:cs="宋体"/>
          <w:snapToGrid w:val="0"/>
          <w:color w:val="auto"/>
          <w:highlight w:val="none"/>
        </w:rPr>
        <w:t>电话：023-67790068</w:t>
      </w:r>
    </w:p>
    <w:bookmarkEnd w:id="37"/>
    <w:p>
      <w:pPr>
        <w:pStyle w:val="3"/>
        <w:numPr>
          <w:ilvl w:val="0"/>
          <w:numId w:val="1"/>
        </w:numPr>
        <w:spacing w:before="0" w:after="0" w:line="360" w:lineRule="auto"/>
        <w:jc w:val="center"/>
        <w:rPr>
          <w:rFonts w:ascii="宋体" w:hAnsi="宋体" w:cs="宋体"/>
          <w:snapToGrid w:val="0"/>
          <w:color w:val="auto"/>
          <w:highlight w:val="none"/>
        </w:rPr>
      </w:pPr>
      <w:r>
        <w:rPr>
          <w:rFonts w:hint="eastAsia" w:ascii="宋体" w:hAnsi="宋体" w:cs="宋体"/>
          <w:snapToGrid w:val="0"/>
          <w:color w:val="auto"/>
          <w:sz w:val="21"/>
          <w:szCs w:val="21"/>
          <w:highlight w:val="none"/>
        </w:rPr>
        <w:br w:type="page"/>
      </w:r>
      <w:bookmarkEnd w:id="38"/>
      <w:bookmarkStart w:id="97" w:name="_Toc4044"/>
      <w:bookmarkStart w:id="98" w:name="_Toc31474"/>
      <w:bookmarkStart w:id="99" w:name="_Toc24261"/>
      <w:bookmarkStart w:id="100" w:name="_Toc4844"/>
      <w:bookmarkStart w:id="101" w:name="_Toc517"/>
      <w:bookmarkStart w:id="102" w:name="_Toc43455573"/>
      <w:bookmarkStart w:id="103" w:name="_Toc30738"/>
      <w:bookmarkStart w:id="104" w:name="_Toc16500"/>
      <w:bookmarkStart w:id="105" w:name="_Toc20064"/>
      <w:bookmarkStart w:id="106" w:name="_Toc11190"/>
      <w:r>
        <w:rPr>
          <w:rFonts w:hint="eastAsia" w:ascii="宋体" w:hAnsi="宋体" w:cs="宋体"/>
          <w:snapToGrid w:val="0"/>
          <w:color w:val="auto"/>
          <w:highlight w:val="none"/>
        </w:rPr>
        <w:t>投标人须知</w:t>
      </w:r>
      <w:bookmarkEnd w:id="97"/>
      <w:bookmarkEnd w:id="98"/>
      <w:bookmarkEnd w:id="99"/>
      <w:bookmarkEnd w:id="100"/>
      <w:bookmarkEnd w:id="101"/>
      <w:bookmarkEnd w:id="102"/>
      <w:bookmarkEnd w:id="103"/>
      <w:bookmarkEnd w:id="104"/>
      <w:bookmarkEnd w:id="105"/>
      <w:bookmarkEnd w:id="106"/>
    </w:p>
    <w:p>
      <w:pPr>
        <w:rPr>
          <w:b/>
          <w:bCs/>
          <w:color w:val="auto"/>
          <w:highlight w:val="none"/>
        </w:rPr>
      </w:pPr>
      <w:bookmarkStart w:id="107" w:name="_Toc43455574"/>
      <w:bookmarkStart w:id="108" w:name="_Toc4673"/>
      <w:bookmarkStart w:id="109" w:name="_Toc32070"/>
      <w:bookmarkStart w:id="110" w:name="_Toc9534"/>
      <w:bookmarkStart w:id="111" w:name="_Toc8483"/>
      <w:bookmarkStart w:id="112" w:name="_Toc10443"/>
      <w:r>
        <w:rPr>
          <w:rFonts w:hint="eastAsia"/>
          <w:b/>
          <w:bCs/>
          <w:color w:val="auto"/>
          <w:highlight w:val="none"/>
        </w:rPr>
        <w:t>投标人须知前附表</w:t>
      </w:r>
      <w:bookmarkEnd w:id="107"/>
    </w:p>
    <w:p>
      <w:pPr>
        <w:rPr>
          <w:b/>
          <w:bCs/>
          <w:color w:val="auto"/>
          <w:highlight w:val="none"/>
        </w:rPr>
      </w:pPr>
      <w:bookmarkStart w:id="113" w:name="_Toc38297056"/>
      <w:bookmarkStart w:id="114" w:name="_Toc43455575"/>
      <w:r>
        <w:rPr>
          <w:rFonts w:hint="eastAsia"/>
          <w:b/>
          <w:bCs/>
          <w:color w:val="auto"/>
          <w:highlight w:val="none"/>
        </w:rPr>
        <w:t>投标人须知前附表与正文不一致的地方以投标人须知前附表为准（附表附录为投标人须知前附表的组成部分）。</w:t>
      </w:r>
      <w:bookmarkEnd w:id="108"/>
      <w:bookmarkEnd w:id="109"/>
      <w:bookmarkEnd w:id="110"/>
      <w:bookmarkEnd w:id="111"/>
      <w:bookmarkEnd w:id="112"/>
      <w:bookmarkEnd w:id="113"/>
      <w:bookmarkEnd w:id="114"/>
    </w:p>
    <w:tbl>
      <w:tblPr>
        <w:tblStyle w:val="19"/>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567"/>
        <w:gridCol w:w="6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blHeader/>
          <w:jc w:val="center"/>
        </w:trPr>
        <w:tc>
          <w:tcPr>
            <w:tcW w:w="872" w:type="dxa"/>
            <w:vAlign w:val="center"/>
          </w:tcPr>
          <w:p>
            <w:pPr>
              <w:spacing w:line="400" w:lineRule="exact"/>
              <w:jc w:val="center"/>
              <w:rPr>
                <w:rFonts w:ascii="宋体" w:hAnsi="宋体" w:cs="宋体"/>
                <w:b/>
                <w:color w:val="auto"/>
                <w:kern w:val="0"/>
                <w:highlight w:val="none"/>
              </w:rPr>
            </w:pPr>
            <w:bookmarkStart w:id="115" w:name="_Toc523382492"/>
            <w:bookmarkStart w:id="116" w:name="_Toc24229"/>
            <w:r>
              <w:rPr>
                <w:rFonts w:hint="eastAsia" w:ascii="宋体" w:hAnsi="宋体" w:cs="宋体"/>
                <w:b/>
                <w:color w:val="auto"/>
                <w:kern w:val="0"/>
                <w:highlight w:val="none"/>
              </w:rPr>
              <w:t>条款号</w:t>
            </w:r>
          </w:p>
        </w:tc>
        <w:tc>
          <w:tcPr>
            <w:tcW w:w="1567" w:type="dxa"/>
            <w:vAlign w:val="center"/>
          </w:tcPr>
          <w:p>
            <w:pPr>
              <w:spacing w:line="400" w:lineRule="exact"/>
              <w:jc w:val="center"/>
              <w:rPr>
                <w:rFonts w:ascii="宋体" w:hAnsi="宋体" w:cs="宋体"/>
                <w:b/>
                <w:color w:val="auto"/>
                <w:kern w:val="0"/>
                <w:highlight w:val="none"/>
              </w:rPr>
            </w:pPr>
            <w:r>
              <w:rPr>
                <w:rFonts w:hint="eastAsia" w:ascii="宋体" w:hAnsi="宋体" w:cs="宋体"/>
                <w:b/>
                <w:color w:val="auto"/>
                <w:kern w:val="0"/>
                <w:highlight w:val="none"/>
              </w:rPr>
              <w:t>条款名称</w:t>
            </w:r>
          </w:p>
        </w:tc>
        <w:tc>
          <w:tcPr>
            <w:tcW w:w="6718" w:type="dxa"/>
            <w:vAlign w:val="center"/>
          </w:tcPr>
          <w:p>
            <w:pPr>
              <w:spacing w:line="400" w:lineRule="exact"/>
              <w:jc w:val="center"/>
              <w:rPr>
                <w:rFonts w:ascii="宋体" w:hAnsi="宋体" w:cs="宋体"/>
                <w:b/>
                <w:color w:val="auto"/>
                <w:kern w:val="0"/>
                <w:highlight w:val="none"/>
              </w:rPr>
            </w:pPr>
            <w:r>
              <w:rPr>
                <w:rFonts w:hint="eastAsia" w:ascii="宋体" w:hAnsi="宋体" w:cs="宋体"/>
                <w:b/>
                <w:color w:val="auto"/>
                <w:kern w:val="0"/>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72" w:type="dxa"/>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1.1.2</w:t>
            </w:r>
          </w:p>
        </w:tc>
        <w:tc>
          <w:tcPr>
            <w:tcW w:w="1567" w:type="dxa"/>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招标人</w:t>
            </w:r>
          </w:p>
        </w:tc>
        <w:tc>
          <w:tcPr>
            <w:tcW w:w="6718" w:type="dxa"/>
            <w:vAlign w:val="center"/>
          </w:tcPr>
          <w:p>
            <w:pPr>
              <w:tabs>
                <w:tab w:val="left" w:pos="945"/>
              </w:tabs>
              <w:autoSpaceDE w:val="0"/>
              <w:autoSpaceDN w:val="0"/>
              <w:spacing w:line="400" w:lineRule="exact"/>
              <w:rPr>
                <w:rFonts w:ascii="宋体" w:hAnsi="宋体" w:cs="宋体"/>
                <w:snapToGrid w:val="0"/>
                <w:color w:val="auto"/>
                <w:highlight w:val="none"/>
                <w:lang w:val="zh-CN"/>
              </w:rPr>
            </w:pPr>
            <w:r>
              <w:rPr>
                <w:rFonts w:hint="eastAsia" w:ascii="宋体" w:hAnsi="宋体" w:cs="宋体"/>
                <w:snapToGrid w:val="0"/>
                <w:color w:val="auto"/>
                <w:highlight w:val="none"/>
                <w:lang w:val="zh-CN"/>
              </w:rPr>
              <w:t>招标人： 重庆渝广梁忠高速公路有限公司</w:t>
            </w:r>
          </w:p>
          <w:p>
            <w:pPr>
              <w:spacing w:line="420" w:lineRule="exact"/>
              <w:rPr>
                <w:rFonts w:ascii="宋体" w:hAnsi="宋体" w:cs="宋体"/>
                <w:snapToGrid w:val="0"/>
                <w:color w:val="auto"/>
                <w:highlight w:val="none"/>
              </w:rPr>
            </w:pPr>
            <w:r>
              <w:rPr>
                <w:rFonts w:hint="eastAsia" w:ascii="宋体" w:hAnsi="宋体" w:cs="宋体"/>
                <w:snapToGrid w:val="0"/>
                <w:color w:val="auto"/>
                <w:highlight w:val="none"/>
              </w:rPr>
              <w:t>地  址：渝广高速G85两江收费站旁</w:t>
            </w:r>
          </w:p>
          <w:p>
            <w:pPr>
              <w:spacing w:line="420" w:lineRule="exact"/>
              <w:rPr>
                <w:rFonts w:ascii="宋体" w:hAnsi="宋体" w:cs="宋体"/>
                <w:snapToGrid w:val="0"/>
                <w:color w:val="auto"/>
                <w:highlight w:val="none"/>
              </w:rPr>
            </w:pPr>
            <w:r>
              <w:rPr>
                <w:rFonts w:hint="eastAsia" w:ascii="宋体" w:hAnsi="宋体" w:cs="宋体"/>
                <w:snapToGrid w:val="0"/>
                <w:color w:val="auto"/>
                <w:highlight w:val="none"/>
              </w:rPr>
              <w:t xml:space="preserve">联系人：覃老师   </w:t>
            </w:r>
          </w:p>
          <w:p>
            <w:pPr>
              <w:spacing w:line="420" w:lineRule="exact"/>
              <w:rPr>
                <w:rFonts w:ascii="宋体" w:hAnsi="宋体" w:cs="宋体"/>
                <w:snapToGrid w:val="0"/>
                <w:color w:val="auto"/>
                <w:highlight w:val="none"/>
              </w:rPr>
            </w:pPr>
            <w:r>
              <w:rPr>
                <w:rFonts w:hint="eastAsia" w:ascii="宋体" w:hAnsi="宋体" w:cs="宋体"/>
                <w:snapToGrid w:val="0"/>
                <w:color w:val="auto"/>
                <w:highlight w:val="none"/>
              </w:rPr>
              <w:t>电  话：023-68317987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72" w:type="dxa"/>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1.1.3</w:t>
            </w:r>
          </w:p>
        </w:tc>
        <w:tc>
          <w:tcPr>
            <w:tcW w:w="1567" w:type="dxa"/>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招标代理机构</w:t>
            </w:r>
          </w:p>
        </w:tc>
        <w:tc>
          <w:tcPr>
            <w:tcW w:w="6718" w:type="dxa"/>
            <w:vAlign w:val="bottom"/>
          </w:tcPr>
          <w:p>
            <w:pPr>
              <w:spacing w:line="420" w:lineRule="exact"/>
              <w:rPr>
                <w:rFonts w:ascii="宋体" w:hAnsi="宋体" w:cs="宋体"/>
                <w:snapToGrid w:val="0"/>
                <w:color w:val="auto"/>
                <w:kern w:val="0"/>
                <w:highlight w:val="none"/>
              </w:rPr>
            </w:pPr>
            <w:r>
              <w:rPr>
                <w:rFonts w:hint="eastAsia" w:ascii="宋体" w:hAnsi="宋体" w:cs="宋体"/>
                <w:snapToGrid w:val="0"/>
                <w:color w:val="auto"/>
                <w:kern w:val="0"/>
                <w:highlight w:val="none"/>
              </w:rPr>
              <w:t>招标代理机构：重庆市投资咨询有限公司</w:t>
            </w:r>
          </w:p>
          <w:p>
            <w:pPr>
              <w:spacing w:line="420" w:lineRule="exact"/>
              <w:rPr>
                <w:rFonts w:ascii="宋体" w:hAnsi="宋体" w:cs="宋体"/>
                <w:snapToGrid w:val="0"/>
                <w:color w:val="auto"/>
                <w:kern w:val="0"/>
                <w:highlight w:val="none"/>
              </w:rPr>
            </w:pPr>
            <w:r>
              <w:rPr>
                <w:rFonts w:hint="eastAsia" w:ascii="宋体" w:hAnsi="宋体" w:cs="宋体"/>
                <w:snapToGrid w:val="0"/>
                <w:color w:val="auto"/>
                <w:kern w:val="0"/>
                <w:highlight w:val="none"/>
              </w:rPr>
              <w:t>地  址：重庆市江北区五简路2号重咨大厦A座</w:t>
            </w:r>
          </w:p>
          <w:p>
            <w:pPr>
              <w:tabs>
                <w:tab w:val="left" w:pos="945"/>
              </w:tabs>
              <w:autoSpaceDE w:val="0"/>
              <w:autoSpaceDN w:val="0"/>
              <w:spacing w:line="400" w:lineRule="exact"/>
              <w:rPr>
                <w:rFonts w:ascii="宋体" w:hAnsi="宋体" w:cs="宋体"/>
                <w:snapToGrid w:val="0"/>
                <w:color w:val="auto"/>
                <w:highlight w:val="none"/>
                <w:lang w:val="zh-CN"/>
              </w:rPr>
            </w:pPr>
            <w:r>
              <w:rPr>
                <w:rFonts w:hint="eastAsia" w:ascii="宋体" w:hAnsi="宋体" w:cs="宋体"/>
                <w:snapToGrid w:val="0"/>
                <w:color w:val="auto"/>
                <w:highlight w:val="none"/>
                <w:lang w:val="zh-CN"/>
              </w:rPr>
              <w:t>联系人：</w:t>
            </w:r>
            <w:r>
              <w:rPr>
                <w:rFonts w:hint="eastAsia" w:ascii="宋体" w:hAnsi="宋体" w:cs="宋体"/>
                <w:snapToGrid w:val="0"/>
                <w:color w:val="auto"/>
                <w:highlight w:val="none"/>
              </w:rPr>
              <w:t>张</w:t>
            </w:r>
            <w:r>
              <w:rPr>
                <w:rFonts w:hint="eastAsia" w:ascii="宋体" w:hAnsi="宋体" w:cs="宋体"/>
                <w:snapToGrid w:val="0"/>
                <w:color w:val="auto"/>
                <w:highlight w:val="none"/>
                <w:lang w:val="zh-CN"/>
              </w:rPr>
              <w:t xml:space="preserve">老师 </w:t>
            </w:r>
          </w:p>
          <w:p>
            <w:pPr>
              <w:tabs>
                <w:tab w:val="left" w:pos="945"/>
              </w:tabs>
              <w:autoSpaceDE w:val="0"/>
              <w:autoSpaceDN w:val="0"/>
              <w:spacing w:line="400" w:lineRule="exact"/>
              <w:rPr>
                <w:rFonts w:ascii="宋体" w:hAnsi="宋体" w:cs="宋体"/>
                <w:snapToGrid w:val="0"/>
                <w:color w:val="auto"/>
                <w:highlight w:val="none"/>
              </w:rPr>
            </w:pPr>
            <w:r>
              <w:rPr>
                <w:rFonts w:hint="eastAsia" w:ascii="宋体" w:hAnsi="宋体" w:cs="宋体"/>
                <w:snapToGrid w:val="0"/>
                <w:color w:val="auto"/>
                <w:highlight w:val="none"/>
                <w:lang w:val="zh-CN"/>
              </w:rPr>
              <w:t>电话：</w:t>
            </w:r>
            <w:r>
              <w:rPr>
                <w:rFonts w:hint="eastAsia" w:ascii="宋体" w:hAnsi="宋体" w:cs="宋体"/>
                <w:snapToGrid w:val="0"/>
                <w:color w:val="auto"/>
                <w:highlight w:val="none"/>
              </w:rPr>
              <w:t>023-67790068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72" w:type="dxa"/>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1.1.4</w:t>
            </w:r>
          </w:p>
        </w:tc>
        <w:tc>
          <w:tcPr>
            <w:tcW w:w="1567" w:type="dxa"/>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招标项目名称</w:t>
            </w:r>
          </w:p>
        </w:tc>
        <w:tc>
          <w:tcPr>
            <w:tcW w:w="6718" w:type="dxa"/>
            <w:vAlign w:val="center"/>
          </w:tcPr>
          <w:p>
            <w:pPr>
              <w:spacing w:line="400" w:lineRule="exact"/>
              <w:rPr>
                <w:rFonts w:hint="eastAsia" w:ascii="宋体" w:hAnsi="宋体" w:eastAsia="宋体" w:cs="宋体"/>
                <w:color w:val="auto"/>
                <w:kern w:val="1"/>
                <w:highlight w:val="none"/>
                <w:lang w:eastAsia="zh-CN"/>
              </w:rPr>
            </w:pPr>
            <w:r>
              <w:rPr>
                <w:rFonts w:hint="eastAsia" w:ascii="宋体" w:hAnsi="宋体" w:cs="宋体"/>
                <w:color w:val="auto"/>
                <w:kern w:val="1"/>
                <w:highlight w:val="none"/>
              </w:rPr>
              <w:t>2023年重庆渝广梁忠高速公路有限公司交通车驾驶员业务外包服务项目</w:t>
            </w:r>
            <w:r>
              <w:rPr>
                <w:rFonts w:hint="eastAsia" w:ascii="宋体" w:hAnsi="宋体" w:cs="宋体"/>
                <w:color w:val="auto"/>
                <w:kern w:val="1"/>
                <w:highlight w:val="none"/>
                <w:lang w:eastAsia="zh-CN"/>
              </w:rPr>
              <w:t>（</w:t>
            </w:r>
            <w:r>
              <w:rPr>
                <w:rFonts w:hint="eastAsia" w:ascii="宋体" w:hAnsi="宋体" w:cs="宋体"/>
                <w:color w:val="auto"/>
                <w:kern w:val="1"/>
                <w:highlight w:val="none"/>
                <w:lang w:val="en-US" w:eastAsia="zh-CN"/>
              </w:rPr>
              <w:t>第二次</w:t>
            </w:r>
            <w:r>
              <w:rPr>
                <w:rFonts w:hint="eastAsia" w:ascii="宋体" w:hAnsi="宋体" w:cs="宋体"/>
                <w:color w:val="auto"/>
                <w:kern w:val="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72" w:type="dxa"/>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1.2.1</w:t>
            </w:r>
          </w:p>
        </w:tc>
        <w:tc>
          <w:tcPr>
            <w:tcW w:w="1567" w:type="dxa"/>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资金来源及比例</w:t>
            </w:r>
          </w:p>
        </w:tc>
        <w:tc>
          <w:tcPr>
            <w:tcW w:w="6718" w:type="dxa"/>
            <w:vAlign w:val="center"/>
          </w:tcPr>
          <w:p>
            <w:pPr>
              <w:spacing w:line="400" w:lineRule="exact"/>
              <w:rPr>
                <w:rFonts w:ascii="宋体" w:hAnsi="宋体" w:cs="宋体"/>
                <w:color w:val="auto"/>
                <w:highlight w:val="none"/>
              </w:rPr>
            </w:pPr>
            <w:r>
              <w:rPr>
                <w:rFonts w:hint="eastAsia" w:ascii="宋体" w:hAnsi="宋体" w:cs="宋体"/>
                <w:color w:val="auto"/>
                <w:highlight w:val="none"/>
              </w:rPr>
              <w:t>资金来源：企业自筹</w:t>
            </w:r>
          </w:p>
          <w:p>
            <w:pPr>
              <w:spacing w:line="400" w:lineRule="exact"/>
              <w:rPr>
                <w:rFonts w:ascii="宋体" w:hAnsi="宋体" w:cs="宋体"/>
                <w:color w:val="auto"/>
                <w:highlight w:val="none"/>
              </w:rPr>
            </w:pPr>
            <w:r>
              <w:rPr>
                <w:rFonts w:hint="eastAsia" w:ascii="宋体" w:hAnsi="宋体" w:cs="宋体"/>
                <w:color w:val="auto"/>
                <w:highlight w:val="none"/>
              </w:rPr>
              <w:t>出资比例：</w:t>
            </w:r>
            <w:r>
              <w:rPr>
                <w:rFonts w:hint="eastAsia" w:ascii="宋体" w:hAnsi="宋体" w:cs="宋体"/>
                <w:snapToGrid w:val="0"/>
                <w:color w:val="auto"/>
                <w:kern w:val="0"/>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72" w:type="dxa"/>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1.2.2</w:t>
            </w:r>
          </w:p>
        </w:tc>
        <w:tc>
          <w:tcPr>
            <w:tcW w:w="1567" w:type="dxa"/>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资金落实情况</w:t>
            </w:r>
          </w:p>
        </w:tc>
        <w:tc>
          <w:tcPr>
            <w:tcW w:w="6718" w:type="dxa"/>
            <w:vAlign w:val="center"/>
          </w:tcPr>
          <w:p>
            <w:pPr>
              <w:spacing w:line="400" w:lineRule="exact"/>
              <w:rPr>
                <w:rFonts w:ascii="宋体" w:hAnsi="宋体" w:cs="宋体"/>
                <w:color w:val="auto"/>
                <w:kern w:val="1"/>
                <w:highlight w:val="none"/>
                <w:lang w:val="zh-CN"/>
              </w:rPr>
            </w:pPr>
            <w:r>
              <w:rPr>
                <w:rFonts w:hint="eastAsia" w:ascii="宋体" w:hAnsi="宋体" w:cs="宋体"/>
                <w:color w:val="auto"/>
                <w:kern w:val="1"/>
                <w:highlight w:val="none"/>
                <w:lang w:val="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872" w:type="dxa"/>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1.3.1</w:t>
            </w:r>
          </w:p>
        </w:tc>
        <w:tc>
          <w:tcPr>
            <w:tcW w:w="1567" w:type="dxa"/>
            <w:vAlign w:val="center"/>
          </w:tcPr>
          <w:p>
            <w:pPr>
              <w:spacing w:line="400" w:lineRule="exact"/>
              <w:jc w:val="center"/>
              <w:rPr>
                <w:rFonts w:ascii="宋体" w:hAnsi="宋体" w:cs="宋体"/>
                <w:color w:val="auto"/>
                <w:kern w:val="0"/>
                <w:highlight w:val="none"/>
              </w:rPr>
            </w:pPr>
            <w:r>
              <w:rPr>
                <w:rFonts w:hint="eastAsia" w:ascii="宋体" w:hAnsi="宋体" w:cs="宋体"/>
                <w:color w:val="auto"/>
                <w:highlight w:val="none"/>
              </w:rPr>
              <w:t>招标范围</w:t>
            </w:r>
          </w:p>
        </w:tc>
        <w:tc>
          <w:tcPr>
            <w:tcW w:w="6718" w:type="dxa"/>
            <w:vAlign w:val="center"/>
          </w:tcPr>
          <w:p>
            <w:pPr>
              <w:spacing w:line="400" w:lineRule="exact"/>
              <w:rPr>
                <w:rFonts w:ascii="宋体" w:hAnsi="宋体" w:eastAsia="Calibri" w:cs="宋体"/>
                <w:color w:val="auto"/>
                <w:spacing w:val="-6"/>
                <w:highlight w:val="none"/>
              </w:rPr>
            </w:pPr>
            <w:r>
              <w:rPr>
                <w:rFonts w:hint="eastAsia" w:ascii="宋体" w:hAnsi="宋体" w:cs="宋体"/>
                <w:color w:val="auto"/>
                <w:spacing w:val="-6"/>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72" w:type="dxa"/>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1.3.2</w:t>
            </w:r>
          </w:p>
        </w:tc>
        <w:tc>
          <w:tcPr>
            <w:tcW w:w="1567" w:type="dxa"/>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服务期限</w:t>
            </w:r>
          </w:p>
        </w:tc>
        <w:tc>
          <w:tcPr>
            <w:tcW w:w="6718" w:type="dxa"/>
            <w:vAlign w:val="center"/>
          </w:tcPr>
          <w:p>
            <w:pPr>
              <w:spacing w:line="400" w:lineRule="exact"/>
              <w:rPr>
                <w:rFonts w:ascii="宋体" w:hAnsi="宋体" w:cs="宋体"/>
                <w:color w:val="auto"/>
                <w:kern w:val="0"/>
                <w:highlight w:val="none"/>
              </w:rPr>
            </w:pPr>
            <w:r>
              <w:rPr>
                <w:rFonts w:hint="eastAsia" w:ascii="宋体" w:hAnsi="宋体" w:cs="宋体"/>
                <w:color w:val="auto"/>
                <w:spacing w:val="-6"/>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872"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1.3.3</w:t>
            </w:r>
          </w:p>
        </w:tc>
        <w:tc>
          <w:tcPr>
            <w:tcW w:w="1567" w:type="dxa"/>
            <w:vAlign w:val="center"/>
          </w:tcPr>
          <w:p>
            <w:pPr>
              <w:spacing w:line="400" w:lineRule="exact"/>
              <w:jc w:val="center"/>
              <w:rPr>
                <w:rFonts w:ascii="宋体" w:hAnsi="宋体" w:cs="宋体"/>
                <w:color w:val="auto"/>
                <w:highlight w:val="none"/>
              </w:rPr>
            </w:pPr>
            <w:r>
              <w:rPr>
                <w:rFonts w:hint="eastAsia" w:ascii="宋体" w:hAnsi="宋体" w:cs="宋体"/>
                <w:color w:val="auto"/>
                <w:kern w:val="0"/>
                <w:highlight w:val="none"/>
              </w:rPr>
              <w:t>服务要求</w:t>
            </w:r>
          </w:p>
        </w:tc>
        <w:tc>
          <w:tcPr>
            <w:tcW w:w="6718" w:type="dxa"/>
            <w:vAlign w:val="center"/>
          </w:tcPr>
          <w:p>
            <w:pPr>
              <w:spacing w:line="400" w:lineRule="exact"/>
              <w:rPr>
                <w:rFonts w:ascii="宋体" w:hAnsi="宋体" w:cs="宋体"/>
                <w:color w:val="auto"/>
                <w:highlight w:val="none"/>
              </w:rPr>
            </w:pP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1.4.1</w:t>
            </w:r>
          </w:p>
        </w:tc>
        <w:tc>
          <w:tcPr>
            <w:tcW w:w="1567" w:type="dxa"/>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投标人资质条件、能力和信誉</w:t>
            </w:r>
          </w:p>
        </w:tc>
        <w:tc>
          <w:tcPr>
            <w:tcW w:w="6718" w:type="dxa"/>
            <w:vAlign w:val="center"/>
          </w:tcPr>
          <w:p>
            <w:pPr>
              <w:tabs>
                <w:tab w:val="left" w:pos="480"/>
              </w:tabs>
              <w:adjustRightInd w:val="0"/>
              <w:spacing w:line="360" w:lineRule="exact"/>
              <w:rPr>
                <w:rFonts w:hAnsi="宋体" w:cs="宋体"/>
                <w:snapToGrid w:val="0"/>
                <w:color w:val="auto"/>
                <w:highlight w:val="none"/>
              </w:rPr>
            </w:pPr>
            <w:r>
              <w:rPr>
                <w:rFonts w:hint="eastAsia" w:hAnsi="宋体" w:cs="宋体"/>
                <w:snapToGrid w:val="0"/>
                <w:color w:val="auto"/>
                <w:highlight w:val="none"/>
              </w:rPr>
              <w:t>本招标项目实行资格后审，投标人应具备以下资格条件：</w:t>
            </w:r>
          </w:p>
          <w:p>
            <w:pPr>
              <w:tabs>
                <w:tab w:val="left" w:pos="480"/>
              </w:tabs>
              <w:adjustRightInd w:val="0"/>
              <w:spacing w:line="360" w:lineRule="exact"/>
              <w:rPr>
                <w:rFonts w:hAnsi="宋体" w:cs="宋体"/>
                <w:snapToGrid w:val="0"/>
                <w:color w:val="auto"/>
                <w:highlight w:val="none"/>
              </w:rPr>
            </w:pPr>
            <w:r>
              <w:rPr>
                <w:rFonts w:hint="eastAsia" w:hAnsi="宋体" w:cs="宋体"/>
                <w:snapToGrid w:val="0"/>
                <w:color w:val="auto"/>
                <w:highlight w:val="none"/>
              </w:rPr>
              <w:t>1、营业执照及资质要求：</w:t>
            </w:r>
          </w:p>
          <w:p>
            <w:pPr>
              <w:tabs>
                <w:tab w:val="left" w:pos="480"/>
              </w:tabs>
              <w:spacing w:line="360" w:lineRule="exact"/>
              <w:ind w:firstLine="420" w:firstLineChars="200"/>
              <w:rPr>
                <w:rFonts w:hAnsi="宋体" w:cs="宋体"/>
                <w:snapToGrid w:val="0"/>
                <w:color w:val="auto"/>
                <w:highlight w:val="none"/>
              </w:rPr>
            </w:pPr>
            <w:r>
              <w:rPr>
                <w:rFonts w:hint="eastAsia" w:hAnsi="宋体" w:cs="宋体"/>
                <w:snapToGrid w:val="0"/>
                <w:color w:val="auto"/>
                <w:highlight w:val="none"/>
              </w:rPr>
              <w:t>具有独立法人资格，具有有效的营业执照，并具有增值税一般纳税人资格。</w:t>
            </w:r>
          </w:p>
          <w:p>
            <w:pPr>
              <w:tabs>
                <w:tab w:val="left" w:pos="480"/>
              </w:tabs>
              <w:adjustRightInd w:val="0"/>
              <w:spacing w:line="360" w:lineRule="exact"/>
              <w:ind w:firstLine="420" w:firstLineChars="200"/>
              <w:rPr>
                <w:rFonts w:hAnsi="宋体" w:cs="宋体"/>
                <w:snapToGrid w:val="0"/>
                <w:color w:val="auto"/>
                <w:highlight w:val="none"/>
              </w:rPr>
            </w:pPr>
            <w:r>
              <w:rPr>
                <w:rFonts w:hint="eastAsia" w:hAnsi="宋体" w:cs="宋体"/>
                <w:snapToGrid w:val="0"/>
                <w:color w:val="auto"/>
                <w:highlight w:val="none"/>
              </w:rPr>
              <w:t>注：投标人须提供有效的营业执照、增值税一般纳税人资格的证明材料复印件或扫描件（增值税一般纳税人资格的证明材料指一般纳税人税务事项通知书或者税务机关官网网站上查询到的结果截图或者税务机关出具的其他证明材料），并加盖单位法人章。</w:t>
            </w:r>
          </w:p>
          <w:p>
            <w:pPr>
              <w:numPr>
                <w:ilvl w:val="0"/>
                <w:numId w:val="2"/>
              </w:numPr>
              <w:tabs>
                <w:tab w:val="left" w:pos="480"/>
              </w:tabs>
              <w:adjustRightInd w:val="0"/>
              <w:spacing w:line="360" w:lineRule="exact"/>
              <w:rPr>
                <w:rFonts w:hAnsi="宋体" w:cs="宋体"/>
                <w:snapToGrid w:val="0"/>
                <w:color w:val="auto"/>
                <w:highlight w:val="none"/>
              </w:rPr>
            </w:pPr>
            <w:r>
              <w:rPr>
                <w:rFonts w:hint="eastAsia" w:hAnsi="宋体" w:cs="宋体"/>
                <w:snapToGrid w:val="0"/>
                <w:color w:val="auto"/>
                <w:highlight w:val="none"/>
              </w:rPr>
              <w:t>业绩要求：</w:t>
            </w:r>
          </w:p>
          <w:p>
            <w:pPr>
              <w:tabs>
                <w:tab w:val="left" w:pos="480"/>
              </w:tabs>
              <w:adjustRightInd w:val="0"/>
              <w:spacing w:line="360" w:lineRule="exact"/>
              <w:ind w:firstLine="420" w:firstLineChars="200"/>
              <w:rPr>
                <w:color w:val="auto"/>
                <w:highlight w:val="none"/>
              </w:rPr>
            </w:pPr>
            <w:r>
              <w:rPr>
                <w:rFonts w:hint="eastAsia"/>
                <w:color w:val="auto"/>
                <w:highlight w:val="none"/>
              </w:rPr>
              <w:t>近2年（2021年1月1日至投标截止日止，以合同签订时间为准），具有累计合同金额不低于</w:t>
            </w:r>
            <w:r>
              <w:rPr>
                <w:rFonts w:hint="eastAsia"/>
                <w:color w:val="auto"/>
                <w:highlight w:val="none"/>
                <w:lang w:val="en-US" w:eastAsia="zh-CN"/>
              </w:rPr>
              <w:t>50</w:t>
            </w:r>
            <w:r>
              <w:rPr>
                <w:rFonts w:hint="eastAsia"/>
                <w:color w:val="auto"/>
                <w:highlight w:val="none"/>
              </w:rPr>
              <w:t>万元的业务外包服务项目业绩。</w:t>
            </w:r>
          </w:p>
          <w:p>
            <w:pPr>
              <w:tabs>
                <w:tab w:val="left" w:pos="480"/>
              </w:tabs>
              <w:adjustRightInd w:val="0"/>
              <w:spacing w:line="360" w:lineRule="exact"/>
              <w:ind w:firstLine="420" w:firstLineChars="200"/>
              <w:rPr>
                <w:rFonts w:hAnsi="宋体" w:cs="宋体"/>
                <w:snapToGrid w:val="0"/>
                <w:color w:val="auto"/>
                <w:highlight w:val="none"/>
              </w:rPr>
            </w:pPr>
            <w:r>
              <w:rPr>
                <w:rFonts w:hint="eastAsia" w:hAnsi="宋体" w:cs="宋体"/>
                <w:snapToGrid w:val="0"/>
                <w:color w:val="auto"/>
                <w:highlight w:val="none"/>
              </w:rPr>
              <w:t>注：投标人须提供合同扫描件或复印件（合同签章齐全，须清晰反映该业绩要求中的内容），若上述资料无法体现业绩内容的，还须提供由业主出具的证明，并加盖单位法人章。</w:t>
            </w:r>
          </w:p>
          <w:p>
            <w:pPr>
              <w:numPr>
                <w:ilvl w:val="0"/>
                <w:numId w:val="2"/>
              </w:numPr>
              <w:tabs>
                <w:tab w:val="left" w:pos="480"/>
              </w:tabs>
              <w:adjustRightInd w:val="0"/>
              <w:spacing w:line="360" w:lineRule="exact"/>
              <w:rPr>
                <w:rFonts w:hAnsi="宋体" w:cs="宋体"/>
                <w:snapToGrid w:val="0"/>
                <w:color w:val="auto"/>
                <w:highlight w:val="none"/>
              </w:rPr>
            </w:pPr>
            <w:r>
              <w:rPr>
                <w:rFonts w:hint="eastAsia" w:hAnsi="宋体" w:cs="宋体"/>
                <w:snapToGrid w:val="0"/>
                <w:color w:val="auto"/>
                <w:highlight w:val="none"/>
              </w:rPr>
              <w:t>人员要求：</w:t>
            </w:r>
          </w:p>
          <w:p>
            <w:pPr>
              <w:tabs>
                <w:tab w:val="left" w:pos="480"/>
              </w:tabs>
              <w:adjustRightInd w:val="0"/>
              <w:spacing w:line="360" w:lineRule="exact"/>
              <w:ind w:firstLine="420" w:firstLineChars="200"/>
              <w:rPr>
                <w:rFonts w:hAnsi="宋体" w:cs="仿宋_GB2312"/>
                <w:color w:val="auto"/>
                <w:highlight w:val="none"/>
              </w:rPr>
            </w:pPr>
            <w:r>
              <w:rPr>
                <w:rFonts w:hint="eastAsia" w:hAnsi="宋体" w:cs="仿宋_GB2312"/>
                <w:color w:val="auto"/>
                <w:highlight w:val="none"/>
              </w:rPr>
              <w:t>本项目投标人派遣</w:t>
            </w:r>
            <w:r>
              <w:rPr>
                <w:rFonts w:hAnsi="宋体" w:cs="仿宋_GB2312"/>
                <w:color w:val="auto"/>
                <w:highlight w:val="none"/>
              </w:rPr>
              <w:t>人员总人数</w:t>
            </w:r>
            <w:r>
              <w:rPr>
                <w:rFonts w:hint="eastAsia" w:hAnsi="宋体" w:cs="仿宋_GB2312"/>
                <w:color w:val="auto"/>
                <w:highlight w:val="none"/>
                <w:lang w:val="en-US" w:eastAsia="zh-CN"/>
              </w:rPr>
              <w:t>9名</w:t>
            </w:r>
            <w:r>
              <w:rPr>
                <w:rFonts w:hint="eastAsia" w:hAnsi="宋体" w:cs="仿宋_GB2312"/>
                <w:color w:val="auto"/>
                <w:highlight w:val="none"/>
              </w:rPr>
              <w:t>A1</w:t>
            </w:r>
            <w:r>
              <w:rPr>
                <w:rFonts w:hint="eastAsia" w:hAnsi="宋体" w:cs="仿宋_GB2312"/>
                <w:color w:val="auto"/>
                <w:highlight w:val="none"/>
                <w:lang w:val="en-US" w:eastAsia="zh-CN"/>
              </w:rPr>
              <w:t>驾照驾驶员，</w:t>
            </w:r>
            <w:r>
              <w:rPr>
                <w:rFonts w:hint="eastAsia" w:hAnsi="宋体" w:cs="仿宋_GB2312"/>
                <w:color w:val="auto"/>
                <w:highlight w:val="none"/>
              </w:rPr>
              <w:t>驾驶经验丰富安全意识强的驾驶员(含替班驾驶员）具备丰富的行业管理、运营经验和能力，并配备经验丰富的技术人员和管理人员。</w:t>
            </w:r>
          </w:p>
          <w:p>
            <w:pPr>
              <w:tabs>
                <w:tab w:val="left" w:pos="480"/>
              </w:tabs>
              <w:adjustRightInd w:val="0"/>
              <w:spacing w:line="360" w:lineRule="exact"/>
              <w:ind w:firstLine="420" w:firstLineChars="200"/>
              <w:rPr>
                <w:rFonts w:hAnsi="宋体" w:cs="宋体"/>
                <w:snapToGrid w:val="0"/>
                <w:color w:val="auto"/>
                <w:highlight w:val="none"/>
              </w:rPr>
            </w:pPr>
            <w:r>
              <w:rPr>
                <w:rFonts w:hint="eastAsia" w:hAnsi="宋体" w:cs="宋体"/>
                <w:snapToGrid w:val="0"/>
                <w:color w:val="auto"/>
                <w:highlight w:val="none"/>
              </w:rPr>
              <w:t>注：（1）投标人须对上述派遣人员总人数数量作出承诺（承诺书格式详见投标文件格式），并加盖单位法人章；</w:t>
            </w:r>
          </w:p>
          <w:p>
            <w:pPr>
              <w:tabs>
                <w:tab w:val="left" w:pos="480"/>
              </w:tabs>
              <w:adjustRightInd w:val="0"/>
              <w:spacing w:line="360" w:lineRule="exact"/>
              <w:ind w:firstLine="420" w:firstLineChars="200"/>
              <w:rPr>
                <w:rFonts w:hAnsi="宋体" w:cs="宋体"/>
                <w:color w:val="auto"/>
                <w:highlight w:val="none"/>
              </w:rPr>
            </w:pPr>
            <w:r>
              <w:rPr>
                <w:rFonts w:hint="eastAsia" w:hAnsi="宋体" w:cs="宋体"/>
                <w:snapToGrid w:val="0"/>
                <w:color w:val="auto"/>
                <w:highlight w:val="none"/>
              </w:rPr>
              <w:t xml:space="preserve">    （2）投标人须提供上述</w:t>
            </w:r>
            <w:r>
              <w:rPr>
                <w:rFonts w:hint="eastAsia" w:hAnsi="宋体" w:cs="宋体"/>
                <w:color w:val="auto"/>
                <w:highlight w:val="none"/>
              </w:rPr>
              <w:t>主要人员的职业资格证和由本单位为其主要人员</w:t>
            </w:r>
            <w:r>
              <w:rPr>
                <w:rFonts w:hAnsi="宋体" w:cs="宋体"/>
                <w:color w:val="auto"/>
                <w:highlight w:val="none"/>
              </w:rPr>
              <w:t>缴纳</w:t>
            </w:r>
            <w:r>
              <w:rPr>
                <w:rFonts w:hint="eastAsia" w:hAnsi="宋体" w:cs="宋体"/>
                <w:color w:val="auto"/>
                <w:highlight w:val="none"/>
              </w:rPr>
              <w:t>的连续养老保险证明（期限为：202</w:t>
            </w:r>
            <w:r>
              <w:rPr>
                <w:rFonts w:hint="eastAsia" w:hAnsi="宋体" w:cs="宋体"/>
                <w:color w:val="auto"/>
                <w:highlight w:val="none"/>
                <w:lang w:val="en-US" w:eastAsia="zh-CN"/>
              </w:rPr>
              <w:t>3</w:t>
            </w:r>
            <w:r>
              <w:rPr>
                <w:rFonts w:hint="eastAsia" w:hAnsi="宋体" w:cs="宋体"/>
                <w:color w:val="auto"/>
                <w:highlight w:val="none"/>
              </w:rPr>
              <w:t>年</w:t>
            </w:r>
            <w:r>
              <w:rPr>
                <w:rFonts w:hint="eastAsia" w:hAnsi="宋体" w:cs="宋体"/>
                <w:color w:val="auto"/>
                <w:highlight w:val="none"/>
                <w:lang w:val="en-US" w:eastAsia="zh-CN"/>
              </w:rPr>
              <w:t>1</w:t>
            </w:r>
            <w:r>
              <w:rPr>
                <w:rFonts w:hint="eastAsia" w:hAnsi="宋体" w:cs="宋体"/>
                <w:color w:val="auto"/>
                <w:highlight w:val="none"/>
              </w:rPr>
              <w:t>月-2023年</w:t>
            </w:r>
            <w:r>
              <w:rPr>
                <w:rFonts w:hint="eastAsia" w:hAnsi="宋体" w:cs="宋体"/>
                <w:color w:val="auto"/>
                <w:highlight w:val="none"/>
                <w:lang w:val="en-US" w:eastAsia="zh-CN"/>
              </w:rPr>
              <w:t>6</w:t>
            </w:r>
            <w:r>
              <w:rPr>
                <w:rFonts w:hint="eastAsia" w:hAnsi="宋体" w:cs="宋体"/>
                <w:color w:val="auto"/>
                <w:highlight w:val="none"/>
              </w:rPr>
              <w:t>月）复印件或扫描件，</w:t>
            </w:r>
            <w:r>
              <w:rPr>
                <w:rFonts w:hint="eastAsia" w:hAnsi="宋体" w:cs="宋体"/>
                <w:snapToGrid w:val="0"/>
                <w:color w:val="auto"/>
                <w:highlight w:val="none"/>
              </w:rPr>
              <w:t>并加盖单位法人章</w:t>
            </w:r>
            <w:r>
              <w:rPr>
                <w:rFonts w:hint="eastAsia" w:hAnsi="宋体" w:cs="宋体"/>
                <w:color w:val="auto"/>
                <w:highlight w:val="none"/>
              </w:rPr>
              <w:t>。</w:t>
            </w:r>
            <w:r>
              <w:rPr>
                <w:rFonts w:hint="eastAsia" w:ascii="宋体" w:hAnsi="宋体"/>
                <w:bCs/>
                <w:color w:val="auto"/>
                <w:highlight w:val="none"/>
              </w:rPr>
              <w:t>提供的养老保险参保证明须体现上述人员的姓名、身份证号（或社保号）、单位名称、本单位参保时间（或起始参保时间）。并承诺主要人员中标后须与实际派驻现场人员一致，且1年内不得随意变更（除招标人要求外）。</w:t>
            </w:r>
          </w:p>
          <w:p>
            <w:pPr>
              <w:tabs>
                <w:tab w:val="left" w:pos="480"/>
              </w:tabs>
              <w:adjustRightInd w:val="0"/>
              <w:spacing w:line="360" w:lineRule="exact"/>
              <w:rPr>
                <w:rFonts w:hAnsi="宋体" w:cs="宋体"/>
                <w:snapToGrid w:val="0"/>
                <w:color w:val="auto"/>
                <w:highlight w:val="none"/>
              </w:rPr>
            </w:pPr>
            <w:r>
              <w:rPr>
                <w:rFonts w:hint="eastAsia" w:hAnsi="宋体" w:cs="宋体"/>
                <w:snapToGrid w:val="0"/>
                <w:color w:val="auto"/>
                <w:highlight w:val="none"/>
              </w:rPr>
              <w:t>4、信誉要求：</w:t>
            </w:r>
          </w:p>
          <w:p>
            <w:pPr>
              <w:tabs>
                <w:tab w:val="left" w:pos="480"/>
              </w:tabs>
              <w:adjustRightInd w:val="0"/>
              <w:spacing w:line="360" w:lineRule="exact"/>
              <w:ind w:firstLine="420" w:firstLineChars="200"/>
              <w:rPr>
                <w:rFonts w:hAnsi="宋体" w:cs="宋体"/>
                <w:snapToGrid w:val="0"/>
                <w:color w:val="auto"/>
                <w:highlight w:val="none"/>
              </w:rPr>
            </w:pPr>
            <w:r>
              <w:rPr>
                <w:rFonts w:hint="eastAsia" w:hAnsi="宋体" w:cs="宋体"/>
                <w:snapToGrid w:val="0"/>
                <w:color w:val="auto"/>
                <w:highlight w:val="none"/>
              </w:rPr>
              <w:t>投标人自行承诺（格式见第五章 投标文件格式）不得存在下列情形之一：</w:t>
            </w:r>
          </w:p>
          <w:p>
            <w:pPr>
              <w:tabs>
                <w:tab w:val="left" w:pos="480"/>
              </w:tabs>
              <w:adjustRightInd w:val="0"/>
              <w:spacing w:line="360" w:lineRule="exact"/>
              <w:ind w:firstLine="420" w:firstLineChars="200"/>
              <w:rPr>
                <w:rFonts w:hAnsi="宋体" w:cs="宋体"/>
                <w:snapToGrid w:val="0"/>
                <w:color w:val="auto"/>
                <w:highlight w:val="none"/>
              </w:rPr>
            </w:pPr>
            <w:r>
              <w:rPr>
                <w:rFonts w:hint="eastAsia" w:hAnsi="宋体" w:cs="宋体"/>
                <w:snapToGrid w:val="0"/>
                <w:color w:val="auto"/>
                <w:highlight w:val="none"/>
              </w:rPr>
              <w:t>（1）被人民法院列入失信被执行人名单且在被执行期内；</w:t>
            </w:r>
          </w:p>
          <w:p>
            <w:pPr>
              <w:tabs>
                <w:tab w:val="left" w:pos="480"/>
              </w:tabs>
              <w:adjustRightInd w:val="0"/>
              <w:spacing w:line="360" w:lineRule="exact"/>
              <w:ind w:firstLine="420" w:firstLineChars="200"/>
              <w:rPr>
                <w:rFonts w:hAnsi="宋体" w:cs="宋体"/>
                <w:snapToGrid w:val="0"/>
                <w:color w:val="auto"/>
                <w:highlight w:val="none"/>
              </w:rPr>
            </w:pPr>
            <w:r>
              <w:rPr>
                <w:rFonts w:hint="eastAsia" w:hAnsi="宋体" w:cs="宋体"/>
                <w:snapToGrid w:val="0"/>
                <w:color w:val="auto"/>
                <w:highlight w:val="none"/>
              </w:rPr>
              <w:t>（2）被责令停业，暂扣或吊销执照，或吊销资质证书；</w:t>
            </w:r>
          </w:p>
          <w:p>
            <w:pPr>
              <w:tabs>
                <w:tab w:val="left" w:pos="480"/>
              </w:tabs>
              <w:adjustRightInd w:val="0"/>
              <w:spacing w:line="360" w:lineRule="exact"/>
              <w:ind w:firstLine="420" w:firstLineChars="200"/>
              <w:rPr>
                <w:rFonts w:hAnsi="宋体" w:cs="宋体"/>
                <w:snapToGrid w:val="0"/>
                <w:color w:val="auto"/>
                <w:highlight w:val="none"/>
              </w:rPr>
            </w:pPr>
            <w:r>
              <w:rPr>
                <w:rFonts w:hint="eastAsia" w:hAnsi="宋体" w:cs="宋体"/>
                <w:snapToGrid w:val="0"/>
                <w:color w:val="auto"/>
                <w:highlight w:val="none"/>
              </w:rPr>
              <w:t>（3）进入清算程序，或被宣告破产，或其他丧失履约能力的情形；</w:t>
            </w:r>
          </w:p>
          <w:p>
            <w:pPr>
              <w:tabs>
                <w:tab w:val="left" w:pos="480"/>
              </w:tabs>
              <w:adjustRightInd w:val="0"/>
              <w:spacing w:line="360" w:lineRule="exact"/>
              <w:ind w:firstLine="420" w:firstLineChars="200"/>
              <w:rPr>
                <w:rFonts w:hAnsi="宋体" w:cs="宋体"/>
                <w:snapToGrid w:val="0"/>
                <w:color w:val="auto"/>
                <w:highlight w:val="none"/>
              </w:rPr>
            </w:pPr>
            <w:r>
              <w:rPr>
                <w:rFonts w:hint="eastAsia" w:hAnsi="宋体" w:cs="宋体"/>
                <w:snapToGrid w:val="0"/>
                <w:color w:val="auto"/>
                <w:highlight w:val="none"/>
              </w:rPr>
              <w:t>（4）被国家、重庆市（含市或任意区县）有关行政部门处以暂停投标资格行政处罚，且在处罚期限内；</w:t>
            </w:r>
          </w:p>
          <w:p>
            <w:pPr>
              <w:tabs>
                <w:tab w:val="left" w:pos="480"/>
              </w:tabs>
              <w:adjustRightInd w:val="0"/>
              <w:spacing w:line="360" w:lineRule="exact"/>
              <w:ind w:firstLine="420" w:firstLineChars="200"/>
              <w:rPr>
                <w:rFonts w:hAnsi="宋体" w:cs="宋体"/>
                <w:snapToGrid w:val="0"/>
                <w:color w:val="auto"/>
                <w:highlight w:val="none"/>
              </w:rPr>
            </w:pPr>
            <w:r>
              <w:rPr>
                <w:rFonts w:hint="eastAsia" w:hAnsi="宋体" w:cs="宋体"/>
                <w:snapToGrid w:val="0"/>
                <w:color w:val="auto"/>
                <w:highlight w:val="none"/>
              </w:rPr>
              <w:t>（5）投标人或其法定代表人、拟委任的项目负责人在近三年内有行贿犯罪行为的；</w:t>
            </w:r>
          </w:p>
          <w:p>
            <w:pPr>
              <w:tabs>
                <w:tab w:val="left" w:pos="480"/>
              </w:tabs>
              <w:adjustRightInd w:val="0"/>
              <w:spacing w:line="360" w:lineRule="exact"/>
              <w:ind w:firstLine="420" w:firstLineChars="200"/>
              <w:rPr>
                <w:rFonts w:hAnsi="宋体" w:cs="宋体"/>
                <w:snapToGrid w:val="0"/>
                <w:color w:val="auto"/>
                <w:highlight w:val="none"/>
              </w:rPr>
            </w:pPr>
            <w:r>
              <w:rPr>
                <w:rFonts w:hint="eastAsia" w:hAnsi="宋体" w:cs="宋体"/>
                <w:snapToGrid w:val="0"/>
                <w:color w:val="auto"/>
                <w:highlight w:val="none"/>
              </w:rPr>
              <w:t>（6）2018年至投标截止日止，无重大安全事故和其他安全事故发生；</w:t>
            </w:r>
          </w:p>
          <w:p>
            <w:pPr>
              <w:tabs>
                <w:tab w:val="left" w:pos="480"/>
              </w:tabs>
              <w:adjustRightInd w:val="0"/>
              <w:spacing w:line="360" w:lineRule="exact"/>
              <w:ind w:firstLine="420" w:firstLineChars="200"/>
              <w:rPr>
                <w:rFonts w:hAnsi="宋体" w:cs="宋体"/>
                <w:snapToGrid w:val="0"/>
                <w:color w:val="auto"/>
                <w:highlight w:val="none"/>
              </w:rPr>
            </w:pPr>
            <w:r>
              <w:rPr>
                <w:rFonts w:hint="eastAsia" w:hAnsi="宋体" w:cs="宋体"/>
                <w:snapToGrid w:val="0"/>
                <w:color w:val="auto"/>
                <w:highlight w:val="none"/>
              </w:rPr>
              <w:t>（7）法律法规或投标人须知前附表规定的其他情形。</w:t>
            </w:r>
          </w:p>
          <w:p>
            <w:pPr>
              <w:spacing w:line="400" w:lineRule="exact"/>
              <w:ind w:firstLine="420" w:firstLineChars="200"/>
              <w:rPr>
                <w:color w:val="auto"/>
                <w:highlight w:val="none"/>
              </w:rPr>
            </w:pPr>
            <w:r>
              <w:rPr>
                <w:rFonts w:hint="eastAsia" w:cs="宋体"/>
                <w:snapToGrid w:val="0"/>
                <w:color w:val="auto"/>
                <w:highlight w:val="none"/>
              </w:rPr>
              <w:t>注</w:t>
            </w:r>
            <w:r>
              <w:rPr>
                <w:rFonts w:cs="宋体"/>
                <w:snapToGrid w:val="0"/>
                <w:color w:val="auto"/>
                <w:highlight w:val="none"/>
              </w:rPr>
              <w:t>：</w:t>
            </w:r>
            <w:r>
              <w:rPr>
                <w:rFonts w:hint="eastAsia" w:cs="宋体"/>
                <w:snapToGrid w:val="0"/>
                <w:color w:val="auto"/>
                <w:highlight w:val="none"/>
              </w:rPr>
              <w:t>投标人须提供承诺书即可，并加盖单位法人章。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72" w:type="dxa"/>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1.4.2</w:t>
            </w:r>
          </w:p>
        </w:tc>
        <w:tc>
          <w:tcPr>
            <w:tcW w:w="1567" w:type="dxa"/>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是否接受联合体投标</w:t>
            </w:r>
          </w:p>
        </w:tc>
        <w:tc>
          <w:tcPr>
            <w:tcW w:w="6718" w:type="dxa"/>
            <w:vAlign w:val="center"/>
          </w:tcPr>
          <w:p>
            <w:pPr>
              <w:spacing w:line="400" w:lineRule="exact"/>
              <w:rPr>
                <w:rFonts w:ascii="宋体" w:hAnsi="宋体" w:cs="宋体"/>
                <w:color w:val="auto"/>
                <w:kern w:val="0"/>
                <w:highlight w:val="none"/>
              </w:rPr>
            </w:pPr>
            <w:r>
              <w:rPr>
                <w:rFonts w:hint="eastAsia" w:ascii="宋体" w:hAnsi="宋体" w:cs="宋体"/>
                <w:color w:val="auto"/>
                <w:highlight w:val="none"/>
              </w:rPr>
              <w:t>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 w:type="dxa"/>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1.4.3</w:t>
            </w:r>
          </w:p>
        </w:tc>
        <w:tc>
          <w:tcPr>
            <w:tcW w:w="1567" w:type="dxa"/>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投标人不得存在的其他关联情形</w:t>
            </w:r>
          </w:p>
        </w:tc>
        <w:tc>
          <w:tcPr>
            <w:tcW w:w="6718" w:type="dxa"/>
            <w:vAlign w:val="center"/>
          </w:tcPr>
          <w:p>
            <w:pPr>
              <w:spacing w:line="400" w:lineRule="exact"/>
              <w:rPr>
                <w:rFonts w:ascii="宋体" w:hAnsi="宋体" w:cs="宋体"/>
                <w:color w:val="auto"/>
                <w:highlight w:val="none"/>
              </w:rPr>
            </w:pP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 w:type="dxa"/>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1.4.4</w:t>
            </w:r>
          </w:p>
        </w:tc>
        <w:tc>
          <w:tcPr>
            <w:tcW w:w="1567" w:type="dxa"/>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投标人不得存在的其他不良状况或不良信用记录</w:t>
            </w:r>
          </w:p>
        </w:tc>
        <w:tc>
          <w:tcPr>
            <w:tcW w:w="6718" w:type="dxa"/>
            <w:vAlign w:val="center"/>
          </w:tcPr>
          <w:p>
            <w:pPr>
              <w:pStyle w:val="33"/>
              <w:spacing w:line="400" w:lineRule="exact"/>
              <w:rPr>
                <w:rFonts w:ascii="宋体" w:hAnsi="宋体" w:eastAsia="宋体" w:cs="宋体"/>
                <w:color w:val="auto"/>
                <w:highlight w:val="none"/>
              </w:rPr>
            </w:pP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72" w:type="dxa"/>
            <w:vAlign w:val="center"/>
          </w:tcPr>
          <w:p>
            <w:pPr>
              <w:spacing w:line="400" w:lineRule="exact"/>
              <w:jc w:val="center"/>
              <w:rPr>
                <w:rFonts w:ascii="宋体" w:hAnsi="宋体" w:cs="宋体"/>
                <w:color w:val="auto"/>
                <w:kern w:val="0"/>
                <w:highlight w:val="none"/>
              </w:rPr>
            </w:pPr>
            <w:r>
              <w:rPr>
                <w:rFonts w:hint="eastAsia"/>
                <w:color w:val="auto"/>
                <w:highlight w:val="none"/>
              </w:rPr>
              <w:t>1.9</w:t>
            </w:r>
          </w:p>
        </w:tc>
        <w:tc>
          <w:tcPr>
            <w:tcW w:w="1567" w:type="dxa"/>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踏勘现场</w:t>
            </w:r>
          </w:p>
        </w:tc>
        <w:tc>
          <w:tcPr>
            <w:tcW w:w="6718" w:type="dxa"/>
            <w:vAlign w:val="center"/>
          </w:tcPr>
          <w:p>
            <w:pPr>
              <w:pStyle w:val="33"/>
              <w:spacing w:line="400" w:lineRule="exact"/>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72" w:type="dxa"/>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1.10</w:t>
            </w:r>
          </w:p>
        </w:tc>
        <w:tc>
          <w:tcPr>
            <w:tcW w:w="1567" w:type="dxa"/>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投标预备会</w:t>
            </w:r>
          </w:p>
        </w:tc>
        <w:tc>
          <w:tcPr>
            <w:tcW w:w="6718" w:type="dxa"/>
            <w:vAlign w:val="center"/>
          </w:tcPr>
          <w:p>
            <w:pPr>
              <w:spacing w:line="400" w:lineRule="exact"/>
              <w:rPr>
                <w:rFonts w:ascii="宋体" w:hAnsi="宋体" w:cs="宋体"/>
                <w:color w:val="auto"/>
                <w:kern w:val="0"/>
                <w:highlight w:val="none"/>
              </w:rPr>
            </w:pPr>
            <w:r>
              <w:rPr>
                <w:rFonts w:hint="eastAsia" w:ascii="宋体" w:hAnsi="宋体" w:cs="宋体"/>
                <w:color w:val="auto"/>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72" w:type="dxa"/>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1.11</w:t>
            </w:r>
          </w:p>
        </w:tc>
        <w:tc>
          <w:tcPr>
            <w:tcW w:w="1567" w:type="dxa"/>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分包</w:t>
            </w:r>
          </w:p>
        </w:tc>
        <w:tc>
          <w:tcPr>
            <w:tcW w:w="6718" w:type="dxa"/>
            <w:vAlign w:val="center"/>
          </w:tcPr>
          <w:p>
            <w:pPr>
              <w:spacing w:line="400" w:lineRule="exact"/>
              <w:rPr>
                <w:rFonts w:ascii="宋体" w:hAnsi="宋体" w:cs="宋体"/>
                <w:color w:val="auto"/>
                <w:highlight w:val="none"/>
              </w:rPr>
            </w:pPr>
            <w:r>
              <w:rPr>
                <w:rFonts w:hint="eastAsia" w:ascii="宋体" w:hAnsi="宋体" w:cs="宋体"/>
                <w:color w:val="auto"/>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72" w:type="dxa"/>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2.1</w:t>
            </w:r>
          </w:p>
        </w:tc>
        <w:tc>
          <w:tcPr>
            <w:tcW w:w="1567" w:type="dxa"/>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构成招标文件的其他材料</w:t>
            </w:r>
          </w:p>
        </w:tc>
        <w:tc>
          <w:tcPr>
            <w:tcW w:w="6718" w:type="dxa"/>
            <w:vAlign w:val="center"/>
          </w:tcPr>
          <w:p>
            <w:pPr>
              <w:spacing w:line="400" w:lineRule="exact"/>
              <w:rPr>
                <w:rFonts w:ascii="宋体" w:hAnsi="宋体" w:cs="宋体"/>
                <w:color w:val="auto"/>
                <w:highlight w:val="none"/>
              </w:rPr>
            </w:pPr>
            <w:r>
              <w:rPr>
                <w:rFonts w:hint="eastAsia" w:ascii="宋体" w:hAnsi="宋体" w:cs="宋体"/>
                <w:color w:val="auto"/>
                <w:highlight w:val="none"/>
              </w:rPr>
              <w:t>本项目</w:t>
            </w:r>
            <w:r>
              <w:rPr>
                <w:rFonts w:hint="eastAsia" w:ascii="宋体" w:hAnsi="宋体" w:cs="宋体"/>
                <w:color w:val="auto"/>
                <w:spacing w:val="-4"/>
                <w:highlight w:val="none"/>
              </w:rPr>
              <w:t>招标人所发布的答疑、补遗、澄清</w:t>
            </w:r>
            <w:r>
              <w:rPr>
                <w:rFonts w:hint="eastAsia" w:ascii="宋体" w:hAnsi="宋体" w:cs="宋体"/>
                <w:color w:val="auto"/>
                <w:highlight w:val="none"/>
              </w:rPr>
              <w:t>等。（如有）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2" w:type="dxa"/>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2.2.1</w:t>
            </w:r>
          </w:p>
        </w:tc>
        <w:tc>
          <w:tcPr>
            <w:tcW w:w="1567" w:type="dxa"/>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投标人要求澄清招标文件</w:t>
            </w:r>
          </w:p>
        </w:tc>
        <w:tc>
          <w:tcPr>
            <w:tcW w:w="6718" w:type="dxa"/>
            <w:vAlign w:val="center"/>
          </w:tcPr>
          <w:p>
            <w:pPr>
              <w:spacing w:line="400" w:lineRule="exact"/>
              <w:rPr>
                <w:rFonts w:ascii="宋体" w:hAnsi="宋体" w:cs="宋体"/>
                <w:color w:val="auto"/>
                <w:kern w:val="0"/>
                <w:highlight w:val="none"/>
              </w:rPr>
            </w:pPr>
            <w:r>
              <w:rPr>
                <w:rFonts w:hint="eastAsia" w:ascii="宋体" w:hAnsi="宋体" w:cs="宋体"/>
                <w:color w:val="auto"/>
                <w:kern w:val="0"/>
                <w:highlight w:val="none"/>
              </w:rPr>
              <w:t>投标人应仔细阅读招标文件及附件的所有内容，如有文字表述不清，图纸尺寸标注不明以及存在错、漏、缺、概念模糊和有可能出现歧义或理解上的偏差的内容等应在招标公告规定的时间前在本项目招标公告网页下方“我要提问”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72" w:type="dxa"/>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2.2.2</w:t>
            </w:r>
          </w:p>
          <w:p>
            <w:pPr>
              <w:spacing w:line="400" w:lineRule="exact"/>
              <w:jc w:val="center"/>
              <w:rPr>
                <w:rFonts w:ascii="宋体" w:hAnsi="宋体" w:cs="宋体"/>
                <w:color w:val="auto"/>
                <w:highlight w:val="none"/>
              </w:rPr>
            </w:pPr>
            <w:r>
              <w:rPr>
                <w:rFonts w:hint="eastAsia" w:ascii="宋体" w:hAnsi="宋体" w:cs="宋体"/>
                <w:color w:val="auto"/>
                <w:kern w:val="0"/>
                <w:highlight w:val="none"/>
              </w:rPr>
              <w:t>2.3.1</w:t>
            </w:r>
          </w:p>
        </w:tc>
        <w:tc>
          <w:tcPr>
            <w:tcW w:w="1567" w:type="dxa"/>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招标文件澄清发出的形式</w:t>
            </w:r>
          </w:p>
        </w:tc>
        <w:tc>
          <w:tcPr>
            <w:tcW w:w="6718" w:type="dxa"/>
            <w:vAlign w:val="center"/>
          </w:tcPr>
          <w:p>
            <w:pPr>
              <w:spacing w:line="400" w:lineRule="exact"/>
              <w:rPr>
                <w:color w:val="auto"/>
                <w:highlight w:val="none"/>
              </w:rPr>
            </w:pPr>
            <w:r>
              <w:rPr>
                <w:rFonts w:hint="eastAsia"/>
                <w:color w:val="auto"/>
                <w:highlight w:val="none"/>
              </w:rPr>
              <w:t>招标人应在招标公告规定的时间前，在重庆市公共资源交易网（www.cqggzy.com）发布澄清。</w:t>
            </w:r>
          </w:p>
          <w:p>
            <w:pPr>
              <w:spacing w:line="400" w:lineRule="exact"/>
              <w:rPr>
                <w:color w:val="auto"/>
                <w:highlight w:val="none"/>
              </w:rPr>
            </w:pPr>
            <w:r>
              <w:rPr>
                <w:rFonts w:hint="eastAsia"/>
                <w:color w:val="auto"/>
                <w:highlight w:val="none"/>
              </w:rPr>
              <w:t>详见招标公告规定的投标截止时间。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872"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2.2.3</w:t>
            </w:r>
          </w:p>
          <w:p>
            <w:pPr>
              <w:pStyle w:val="33"/>
              <w:adjustRightInd/>
              <w:spacing w:line="40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2.3.2</w:t>
            </w:r>
          </w:p>
        </w:tc>
        <w:tc>
          <w:tcPr>
            <w:tcW w:w="1567" w:type="dxa"/>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投标人确认收到招标文件澄清及修改</w:t>
            </w:r>
          </w:p>
        </w:tc>
        <w:tc>
          <w:tcPr>
            <w:tcW w:w="6718" w:type="dxa"/>
            <w:vAlign w:val="center"/>
          </w:tcPr>
          <w:p>
            <w:pPr>
              <w:spacing w:line="400" w:lineRule="exact"/>
              <w:rPr>
                <w:rFonts w:ascii="宋体" w:hAnsi="宋体" w:cs="宋体"/>
                <w:color w:val="auto"/>
                <w:kern w:val="0"/>
                <w:highlight w:val="none"/>
              </w:rPr>
            </w:pPr>
            <w:r>
              <w:rPr>
                <w:rFonts w:hint="eastAsia" w:ascii="宋体" w:hAnsi="宋体" w:cs="宋体"/>
                <w:color w:val="auto"/>
                <w:highlight w:val="none"/>
              </w:rPr>
              <w:t>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72" w:type="dxa"/>
            <w:vAlign w:val="center"/>
          </w:tcPr>
          <w:p>
            <w:pPr>
              <w:spacing w:line="400" w:lineRule="exact"/>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3.1</w:t>
            </w:r>
            <w:bookmarkStart w:id="117" w:name="_Hlt227983924"/>
            <w:bookmarkEnd w:id="117"/>
            <w:bookmarkStart w:id="118" w:name="_Hlt227983889"/>
            <w:bookmarkEnd w:id="118"/>
            <w:r>
              <w:rPr>
                <w:rFonts w:hint="eastAsia" w:ascii="宋体" w:hAnsi="宋体" w:cs="宋体"/>
                <w:snapToGrid w:val="0"/>
                <w:color w:val="auto"/>
                <w:kern w:val="0"/>
                <w:highlight w:val="none"/>
              </w:rPr>
              <w:t>.1</w:t>
            </w:r>
          </w:p>
        </w:tc>
        <w:tc>
          <w:tcPr>
            <w:tcW w:w="1567" w:type="dxa"/>
            <w:vAlign w:val="center"/>
          </w:tcPr>
          <w:p>
            <w:pPr>
              <w:spacing w:line="340" w:lineRule="exact"/>
              <w:jc w:val="center"/>
              <w:rPr>
                <w:rFonts w:ascii="宋体" w:hAnsi="宋体" w:cs="宋体"/>
                <w:color w:val="auto"/>
                <w:kern w:val="0"/>
                <w:highlight w:val="none"/>
              </w:rPr>
            </w:pPr>
            <w:r>
              <w:rPr>
                <w:rFonts w:hint="eastAsia" w:ascii="宋体" w:hAnsi="宋体" w:cs="宋体"/>
                <w:color w:val="auto"/>
                <w:kern w:val="0"/>
                <w:highlight w:val="none"/>
              </w:rPr>
              <w:t>投标文件应包括的内容</w:t>
            </w:r>
          </w:p>
        </w:tc>
        <w:tc>
          <w:tcPr>
            <w:tcW w:w="6718" w:type="dxa"/>
          </w:tcPr>
          <w:p>
            <w:pPr>
              <w:spacing w:line="340" w:lineRule="exact"/>
              <w:rPr>
                <w:rFonts w:ascii="宋体" w:hAnsi="宋体" w:cs="宋体"/>
                <w:bCs/>
                <w:color w:val="auto"/>
                <w:highlight w:val="none"/>
              </w:rPr>
            </w:pPr>
            <w:r>
              <w:rPr>
                <w:rFonts w:hint="eastAsia" w:ascii="宋体" w:hAnsi="宋体" w:cs="宋体"/>
                <w:bCs/>
                <w:color w:val="auto"/>
                <w:highlight w:val="none"/>
              </w:rPr>
              <w:t>该款正文修改为：</w:t>
            </w:r>
          </w:p>
          <w:p>
            <w:pPr>
              <w:spacing w:line="340" w:lineRule="exact"/>
              <w:rPr>
                <w:rFonts w:ascii="宋体" w:hAnsi="宋体" w:cs="宋体"/>
                <w:bCs/>
                <w:color w:val="auto"/>
                <w:kern w:val="0"/>
                <w:highlight w:val="none"/>
              </w:rPr>
            </w:pPr>
            <w:r>
              <w:rPr>
                <w:rFonts w:hint="eastAsia" w:ascii="宋体" w:hAnsi="宋体" w:cs="宋体"/>
                <w:bCs/>
                <w:color w:val="auto"/>
                <w:highlight w:val="none"/>
              </w:rPr>
              <w:t>以第五章给出的格式为主。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72" w:type="dxa"/>
            <w:vAlign w:val="center"/>
          </w:tcPr>
          <w:p>
            <w:pPr>
              <w:spacing w:line="400" w:lineRule="exact"/>
              <w:jc w:val="center"/>
              <w:rPr>
                <w:rFonts w:ascii="宋体" w:hAnsi="宋体" w:cs="宋体"/>
                <w:snapToGrid w:val="0"/>
                <w:color w:val="auto"/>
                <w:kern w:val="0"/>
                <w:highlight w:val="none"/>
              </w:rPr>
            </w:pPr>
            <w:r>
              <w:rPr>
                <w:rFonts w:hint="eastAsia" w:ascii="宋体" w:hAnsi="宋体" w:cs="宋体"/>
                <w:snapToGrid w:val="0"/>
                <w:color w:val="auto"/>
                <w:kern w:val="0"/>
                <w:highlight w:val="none"/>
              </w:rPr>
              <w:t>3.2</w:t>
            </w:r>
          </w:p>
        </w:tc>
        <w:tc>
          <w:tcPr>
            <w:tcW w:w="1567" w:type="dxa"/>
            <w:vAlign w:val="center"/>
          </w:tcPr>
          <w:p>
            <w:pPr>
              <w:spacing w:line="340" w:lineRule="exact"/>
              <w:jc w:val="center"/>
              <w:rPr>
                <w:rFonts w:ascii="宋体" w:hAnsi="宋体" w:cs="宋体"/>
                <w:color w:val="auto"/>
                <w:kern w:val="0"/>
                <w:highlight w:val="none"/>
              </w:rPr>
            </w:pPr>
            <w:r>
              <w:rPr>
                <w:rFonts w:hint="eastAsia" w:ascii="宋体" w:hAnsi="宋体" w:cs="宋体"/>
                <w:color w:val="auto"/>
                <w:kern w:val="0"/>
                <w:highlight w:val="none"/>
              </w:rPr>
              <w:t>增值税税金的计算方法</w:t>
            </w:r>
          </w:p>
        </w:tc>
        <w:tc>
          <w:tcPr>
            <w:tcW w:w="6718" w:type="dxa"/>
            <w:vAlign w:val="center"/>
          </w:tcPr>
          <w:p>
            <w:pPr>
              <w:spacing w:line="340" w:lineRule="exact"/>
              <w:rPr>
                <w:rFonts w:ascii="宋体" w:hAnsi="宋体" w:cs="宋体"/>
                <w:color w:val="auto"/>
                <w:kern w:val="0"/>
                <w:highlight w:val="none"/>
              </w:rPr>
            </w:pPr>
            <w:r>
              <w:rPr>
                <w:rFonts w:hint="eastAsia" w:ascii="宋体" w:hAnsi="宋体" w:cs="宋体"/>
                <w:color w:val="auto"/>
                <w:kern w:val="0"/>
                <w:highlight w:val="none"/>
              </w:rPr>
              <w:t>按一般计税方法计算。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72" w:type="dxa"/>
            <w:tcBorders>
              <w:bottom w:val="single" w:color="auto" w:sz="4" w:space="0"/>
            </w:tcBorders>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3.2.3</w:t>
            </w:r>
          </w:p>
        </w:tc>
        <w:tc>
          <w:tcPr>
            <w:tcW w:w="1567" w:type="dxa"/>
            <w:tcBorders>
              <w:bottom w:val="single" w:color="auto" w:sz="4" w:space="0"/>
            </w:tcBorders>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报价方式</w:t>
            </w:r>
          </w:p>
        </w:tc>
        <w:tc>
          <w:tcPr>
            <w:tcW w:w="6718" w:type="dxa"/>
            <w:tcBorders>
              <w:bottom w:val="single" w:color="auto" w:sz="4" w:space="0"/>
            </w:tcBorders>
            <w:vAlign w:val="center"/>
          </w:tcPr>
          <w:p>
            <w:pPr>
              <w:spacing w:line="400" w:lineRule="exact"/>
              <w:rPr>
                <w:rFonts w:ascii="宋体" w:hAnsi="宋体" w:cs="宋体"/>
                <w:color w:val="auto"/>
                <w:highlight w:val="none"/>
              </w:rPr>
            </w:pPr>
            <w:r>
              <w:rPr>
                <w:rFonts w:hint="eastAsia" w:ascii="宋体" w:hAnsi="宋体"/>
                <w:color w:val="auto"/>
                <w:highlight w:val="none"/>
              </w:rPr>
              <w:t>总价报价。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72" w:type="dxa"/>
            <w:tcBorders>
              <w:bottom w:val="single" w:color="auto" w:sz="4" w:space="0"/>
            </w:tcBorders>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.2.4</w:t>
            </w:r>
          </w:p>
        </w:tc>
        <w:tc>
          <w:tcPr>
            <w:tcW w:w="1567" w:type="dxa"/>
            <w:tcBorders>
              <w:bottom w:val="single" w:color="auto" w:sz="4" w:space="0"/>
            </w:tcBorders>
            <w:vAlign w:val="center"/>
          </w:tcPr>
          <w:p>
            <w:pPr>
              <w:spacing w:line="400" w:lineRule="exact"/>
              <w:jc w:val="center"/>
              <w:rPr>
                <w:rFonts w:ascii="宋体" w:hAnsi="宋体" w:cs="宋体"/>
                <w:color w:val="auto"/>
                <w:highlight w:val="none"/>
              </w:rPr>
            </w:pPr>
            <w:r>
              <w:rPr>
                <w:rFonts w:hint="eastAsia" w:ascii="宋体" w:hAnsi="宋体"/>
                <w:color w:val="auto"/>
                <w:highlight w:val="none"/>
              </w:rPr>
              <w:t>最高限价</w:t>
            </w:r>
          </w:p>
        </w:tc>
        <w:tc>
          <w:tcPr>
            <w:tcW w:w="6718" w:type="dxa"/>
            <w:tcBorders>
              <w:bottom w:val="single" w:color="auto" w:sz="4" w:space="0"/>
            </w:tcBorders>
            <w:vAlign w:val="center"/>
          </w:tcPr>
          <w:p>
            <w:pPr>
              <w:spacing w:line="400" w:lineRule="exact"/>
              <w:rPr>
                <w:color w:val="auto"/>
                <w:highlight w:val="none"/>
              </w:rPr>
            </w:pPr>
            <w:r>
              <w:rPr>
                <w:color w:val="auto"/>
                <w:highlight w:val="none"/>
              </w:rPr>
              <w:t>本次</w:t>
            </w:r>
            <w:r>
              <w:rPr>
                <w:rFonts w:hint="eastAsia"/>
                <w:color w:val="auto"/>
                <w:highlight w:val="none"/>
              </w:rPr>
              <w:t>投标</w:t>
            </w:r>
            <w:r>
              <w:rPr>
                <w:rFonts w:hint="eastAsia" w:ascii="宋体" w:hAnsi="宋体"/>
                <w:color w:val="auto"/>
                <w:szCs w:val="21"/>
                <w:highlight w:val="none"/>
              </w:rPr>
              <w:t>单价限价</w:t>
            </w:r>
            <w:r>
              <w:rPr>
                <w:rFonts w:hint="eastAsia" w:ascii="宋体" w:hAnsi="宋体"/>
                <w:color w:val="auto"/>
                <w:szCs w:val="21"/>
                <w:highlight w:val="none"/>
                <w:lang w:val="en-US" w:eastAsia="zh-CN"/>
              </w:rPr>
              <w:t>为：￥</w:t>
            </w:r>
            <w:r>
              <w:rPr>
                <w:rFonts w:hint="eastAsia" w:ascii="Times New Roman" w:hAnsi="Times New Roman" w:eastAsia="宋体" w:cs="Calibri"/>
                <w:i w:val="0"/>
                <w:iCs w:val="0"/>
                <w:color w:val="auto"/>
                <w:kern w:val="2"/>
                <w:sz w:val="21"/>
                <w:szCs w:val="21"/>
                <w:highlight w:val="none"/>
                <w:u w:val="single"/>
                <w:lang w:val="en-US" w:eastAsia="zh-CN" w:bidi="ar-SA"/>
              </w:rPr>
              <w:t>7726.8</w:t>
            </w:r>
            <w:r>
              <w:rPr>
                <w:rFonts w:hint="eastAsia" w:cs="Calibri"/>
                <w:i w:val="0"/>
                <w:iCs w:val="0"/>
                <w:color w:val="auto"/>
                <w:kern w:val="2"/>
                <w:sz w:val="21"/>
                <w:szCs w:val="21"/>
                <w:highlight w:val="none"/>
                <w:u w:val="single"/>
                <w:lang w:val="en-US" w:eastAsia="zh-CN" w:bidi="ar-SA"/>
              </w:rPr>
              <w:t>3</w:t>
            </w:r>
            <w:r>
              <w:rPr>
                <w:rFonts w:hint="eastAsia" w:ascii="Times New Roman" w:hAnsi="Times New Roman"/>
                <w:color w:val="auto"/>
                <w:szCs w:val="21"/>
                <w:highlight w:val="none"/>
                <w:u w:val="single"/>
                <w:lang w:val="en-US" w:eastAsia="zh-CN"/>
              </w:rPr>
              <w:t>元</w:t>
            </w:r>
            <w:r>
              <w:rPr>
                <w:rFonts w:hint="eastAsia"/>
                <w:color w:val="auto"/>
                <w:highlight w:val="none"/>
                <w:u w:val="single"/>
                <w:lang w:eastAsia="zh-CN"/>
              </w:rPr>
              <w:t>；</w:t>
            </w:r>
            <w:r>
              <w:rPr>
                <w:rFonts w:hint="eastAsia"/>
                <w:color w:val="auto"/>
                <w:highlight w:val="none"/>
              </w:rPr>
              <w:t>最高总限价为：</w:t>
            </w:r>
            <w:r>
              <w:rPr>
                <w:rFonts w:hint="eastAsia"/>
                <w:color w:val="auto"/>
                <w:highlight w:val="none"/>
                <w:u w:val="none"/>
              </w:rPr>
              <w:t>￥</w:t>
            </w:r>
            <w:r>
              <w:rPr>
                <w:rFonts w:hint="eastAsia" w:ascii="Times New Roman" w:hAnsi="Times New Roman" w:eastAsia="宋体" w:cs="Calibri"/>
                <w:color w:val="auto"/>
                <w:kern w:val="2"/>
                <w:sz w:val="21"/>
                <w:szCs w:val="21"/>
                <w:highlight w:val="none"/>
                <w:u w:val="single"/>
                <w:lang w:val="en-US" w:eastAsia="zh-CN" w:bidi="ar-SA"/>
              </w:rPr>
              <w:t>264257</w:t>
            </w:r>
            <w:r>
              <w:rPr>
                <w:rFonts w:hint="eastAsia" w:cs="Calibri"/>
                <w:color w:val="auto"/>
                <w:kern w:val="2"/>
                <w:sz w:val="21"/>
                <w:szCs w:val="21"/>
                <w:highlight w:val="none"/>
                <w:u w:val="single"/>
                <w:lang w:val="en-US" w:eastAsia="zh-CN" w:bidi="ar-SA"/>
              </w:rPr>
              <w:t>4</w:t>
            </w:r>
            <w:r>
              <w:rPr>
                <w:rFonts w:hint="eastAsia" w:ascii="Times New Roman" w:hAnsi="Times New Roman" w:eastAsia="宋体" w:cs="Calibri"/>
                <w:color w:val="auto"/>
                <w:kern w:val="2"/>
                <w:sz w:val="21"/>
                <w:szCs w:val="21"/>
                <w:highlight w:val="none"/>
                <w:u w:val="single"/>
                <w:lang w:val="en-US" w:eastAsia="zh-CN" w:bidi="ar-SA"/>
              </w:rPr>
              <w:t>.</w:t>
            </w:r>
            <w:r>
              <w:rPr>
                <w:rFonts w:hint="eastAsia" w:cs="Calibri"/>
                <w:color w:val="auto"/>
                <w:kern w:val="2"/>
                <w:sz w:val="21"/>
                <w:szCs w:val="21"/>
                <w:highlight w:val="none"/>
                <w:u w:val="single"/>
                <w:lang w:val="en-US" w:eastAsia="zh-CN" w:bidi="ar-SA"/>
              </w:rPr>
              <w:t>60</w:t>
            </w:r>
            <w:r>
              <w:rPr>
                <w:rFonts w:hint="eastAsia"/>
                <w:color w:val="auto"/>
                <w:highlight w:val="none"/>
                <w:u w:val="single"/>
              </w:rPr>
              <w:t>元（大写金额：贰佰</w:t>
            </w:r>
            <w:r>
              <w:rPr>
                <w:rFonts w:hint="eastAsia"/>
                <w:color w:val="auto"/>
                <w:highlight w:val="none"/>
                <w:u w:val="single"/>
                <w:lang w:val="en-US" w:eastAsia="zh-CN"/>
              </w:rPr>
              <w:t>陆</w:t>
            </w:r>
            <w:r>
              <w:rPr>
                <w:rFonts w:hint="eastAsia"/>
                <w:color w:val="auto"/>
                <w:highlight w:val="none"/>
                <w:u w:val="single"/>
              </w:rPr>
              <w:t>拾</w:t>
            </w:r>
            <w:r>
              <w:rPr>
                <w:rFonts w:hint="eastAsia"/>
                <w:color w:val="auto"/>
                <w:highlight w:val="none"/>
                <w:u w:val="single"/>
                <w:lang w:val="en-US" w:eastAsia="zh-CN"/>
              </w:rPr>
              <w:t>肆</w:t>
            </w:r>
            <w:r>
              <w:rPr>
                <w:rFonts w:hint="eastAsia"/>
                <w:color w:val="auto"/>
                <w:highlight w:val="none"/>
                <w:u w:val="single"/>
              </w:rPr>
              <w:t>万</w:t>
            </w:r>
            <w:r>
              <w:rPr>
                <w:rFonts w:hint="eastAsia"/>
                <w:color w:val="auto"/>
                <w:highlight w:val="none"/>
                <w:u w:val="single"/>
                <w:lang w:val="en-US" w:eastAsia="zh-CN"/>
              </w:rPr>
              <w:t>贰仟伍</w:t>
            </w:r>
            <w:r>
              <w:rPr>
                <w:rFonts w:hint="eastAsia"/>
                <w:color w:val="auto"/>
                <w:highlight w:val="none"/>
                <w:u w:val="single"/>
              </w:rPr>
              <w:t>佰</w:t>
            </w:r>
            <w:r>
              <w:rPr>
                <w:rFonts w:hint="eastAsia"/>
                <w:color w:val="auto"/>
                <w:highlight w:val="none"/>
                <w:u w:val="single"/>
                <w:lang w:val="en-US" w:eastAsia="zh-CN"/>
              </w:rPr>
              <w:t>柒</w:t>
            </w:r>
            <w:r>
              <w:rPr>
                <w:rFonts w:hint="eastAsia"/>
                <w:color w:val="auto"/>
                <w:highlight w:val="none"/>
                <w:u w:val="single"/>
              </w:rPr>
              <w:t>拾</w:t>
            </w:r>
            <w:r>
              <w:rPr>
                <w:rFonts w:hint="eastAsia"/>
                <w:color w:val="auto"/>
                <w:highlight w:val="none"/>
                <w:u w:val="single"/>
                <w:lang w:val="en-US" w:eastAsia="zh-CN"/>
              </w:rPr>
              <w:t>肆</w:t>
            </w:r>
            <w:r>
              <w:rPr>
                <w:rFonts w:hint="eastAsia"/>
                <w:color w:val="auto"/>
                <w:highlight w:val="none"/>
                <w:u w:val="single"/>
              </w:rPr>
              <w:t>元</w:t>
            </w:r>
            <w:r>
              <w:rPr>
                <w:rFonts w:hint="eastAsia"/>
                <w:color w:val="auto"/>
                <w:highlight w:val="none"/>
                <w:u w:val="single"/>
                <w:lang w:val="en-US" w:eastAsia="zh-CN"/>
              </w:rPr>
              <w:t>陆角</w:t>
            </w:r>
            <w:r>
              <w:rPr>
                <w:rFonts w:hint="eastAsia"/>
                <w:color w:val="auto"/>
                <w:highlight w:val="none"/>
                <w:u w:val="single"/>
              </w:rPr>
              <w:t>整）。</w:t>
            </w:r>
          </w:p>
          <w:p>
            <w:pPr>
              <w:spacing w:line="400" w:lineRule="exact"/>
              <w:rPr>
                <w:rFonts w:ascii="宋体" w:hAnsi="宋体"/>
                <w:color w:val="auto"/>
                <w:highlight w:val="none"/>
              </w:rPr>
            </w:pPr>
            <w:r>
              <w:rPr>
                <w:rFonts w:hint="eastAsia"/>
                <w:color w:val="auto"/>
                <w:highlight w:val="none"/>
              </w:rPr>
              <w:t>注：本项目</w:t>
            </w:r>
            <w:r>
              <w:rPr>
                <w:rFonts w:hint="eastAsia"/>
                <w:color w:val="auto"/>
                <w:highlight w:val="none"/>
                <w:lang w:val="en-US" w:eastAsia="zh-CN"/>
              </w:rPr>
              <w:t>设置单价限价及总价限价</w:t>
            </w:r>
            <w:r>
              <w:rPr>
                <w:rFonts w:hint="eastAsia"/>
                <w:color w:val="auto"/>
                <w:highlight w:val="none"/>
              </w:rPr>
              <w:t>，投标人的总报价及单价报价不得超过招标人公布的相应最高限价，否则按否决投标处理。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72"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3.2.</w:t>
            </w:r>
            <w:r>
              <w:rPr>
                <w:rFonts w:ascii="宋体" w:hAnsi="宋体" w:cs="宋体"/>
                <w:color w:val="auto"/>
                <w:highlight w:val="none"/>
              </w:rPr>
              <w:t>5</w:t>
            </w:r>
          </w:p>
        </w:tc>
        <w:tc>
          <w:tcPr>
            <w:tcW w:w="1567" w:type="dxa"/>
            <w:vAlign w:val="center"/>
          </w:tcPr>
          <w:p>
            <w:pPr>
              <w:spacing w:line="400" w:lineRule="exact"/>
              <w:jc w:val="center"/>
              <w:rPr>
                <w:rFonts w:ascii="宋体" w:hAnsi="宋体" w:cs="宋体"/>
                <w:color w:val="auto"/>
                <w:highlight w:val="none"/>
              </w:rPr>
            </w:pPr>
            <w:r>
              <w:rPr>
                <w:rFonts w:hint="eastAsia" w:ascii="宋体" w:hAnsi="宋体"/>
                <w:color w:val="auto"/>
                <w:highlight w:val="none"/>
              </w:rPr>
              <w:t>投标报价的其他要求</w:t>
            </w:r>
          </w:p>
        </w:tc>
        <w:tc>
          <w:tcPr>
            <w:tcW w:w="6718" w:type="dxa"/>
            <w:vAlign w:val="center"/>
          </w:tcPr>
          <w:p>
            <w:pPr>
              <w:spacing w:line="360" w:lineRule="exact"/>
              <w:rPr>
                <w:rFonts w:hAnsi="宋体" w:cs="宋体"/>
                <w:color w:val="auto"/>
                <w:highlight w:val="none"/>
              </w:rPr>
            </w:pPr>
            <w:r>
              <w:rPr>
                <w:rFonts w:hint="eastAsia" w:hAnsi="宋体" w:cs="宋体"/>
                <w:color w:val="auto"/>
                <w:highlight w:val="none"/>
              </w:rPr>
              <w:t>1.本次报价须为人民币报价，包括但不限于驾驶员薪酬、 税费、住宿、交通、加班、餐补、保险、工伤以及对驾驶员实施劳动或劳务管理等各项费用。因中标人自身原因造成漏报、少报皆由其自行承担责任，招标人不再补偿。</w:t>
            </w:r>
          </w:p>
          <w:p>
            <w:pPr>
              <w:spacing w:line="360" w:lineRule="exact"/>
              <w:rPr>
                <w:color w:val="auto"/>
                <w:highlight w:val="none"/>
              </w:rPr>
            </w:pPr>
            <w:r>
              <w:rPr>
                <w:rFonts w:hint="eastAsia" w:hAnsi="宋体" w:cs="宋体"/>
                <w:color w:val="auto"/>
                <w:highlight w:val="none"/>
              </w:rPr>
              <w:t>2.投标人应根据本招标文件和招标人所提供的资料，结合自身情况及市场行情自行报价。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3.3.1</w:t>
            </w:r>
          </w:p>
        </w:tc>
        <w:tc>
          <w:tcPr>
            <w:tcW w:w="1567" w:type="dxa"/>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投标有效期</w:t>
            </w:r>
          </w:p>
        </w:tc>
        <w:tc>
          <w:tcPr>
            <w:tcW w:w="6718" w:type="dxa"/>
            <w:vAlign w:val="center"/>
          </w:tcPr>
          <w:p>
            <w:pPr>
              <w:spacing w:line="400" w:lineRule="exact"/>
              <w:rPr>
                <w:rFonts w:ascii="宋体" w:hAnsi="宋体" w:cs="宋体"/>
                <w:color w:val="auto"/>
                <w:highlight w:val="none"/>
              </w:rPr>
            </w:pPr>
            <w:r>
              <w:rPr>
                <w:rFonts w:hint="eastAsia" w:ascii="宋体" w:hAnsi="宋体" w:cs="宋体"/>
                <w:color w:val="auto"/>
                <w:highlight w:val="none"/>
              </w:rPr>
              <w:t>90日历天（从提交投标文件截止日起计算）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3.4.1</w:t>
            </w:r>
          </w:p>
        </w:tc>
        <w:tc>
          <w:tcPr>
            <w:tcW w:w="1567" w:type="dxa"/>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投标</w:t>
            </w:r>
            <w:r>
              <w:rPr>
                <w:rFonts w:hint="eastAsia" w:ascii="宋体" w:hAnsi="宋体" w:cs="宋体"/>
                <w:color w:val="auto"/>
                <w:highlight w:val="none"/>
              </w:rPr>
              <w:t>保证金</w:t>
            </w:r>
          </w:p>
        </w:tc>
        <w:tc>
          <w:tcPr>
            <w:tcW w:w="6718" w:type="dxa"/>
            <w:vAlign w:val="center"/>
          </w:tcPr>
          <w:p>
            <w:pPr>
              <w:spacing w:line="300" w:lineRule="exact"/>
              <w:rPr>
                <w:rFonts w:ascii="宋体" w:hAnsi="宋体" w:cs="宋体"/>
                <w:color w:val="auto"/>
                <w:highlight w:val="none"/>
              </w:rPr>
            </w:pPr>
            <w:r>
              <w:rPr>
                <w:rFonts w:hint="eastAsia" w:ascii="宋体" w:hAnsi="宋体" w:cs="宋体"/>
                <w:color w:val="auto"/>
                <w:highlight w:val="none"/>
              </w:rPr>
              <w:t>投标保证金的交纳方式：投标人可选择以下二种方式之一。</w:t>
            </w:r>
          </w:p>
          <w:p>
            <w:pPr>
              <w:spacing w:line="300" w:lineRule="exact"/>
              <w:ind w:firstLine="420" w:firstLineChars="200"/>
              <w:rPr>
                <w:rFonts w:ascii="宋体" w:hAnsi="宋体" w:cs="宋体"/>
                <w:color w:val="auto"/>
                <w:highlight w:val="none"/>
              </w:rPr>
            </w:pPr>
            <w:r>
              <w:rPr>
                <w:rFonts w:hint="eastAsia" w:ascii="宋体" w:hAnsi="宋体" w:cs="宋体"/>
                <w:color w:val="auto"/>
                <w:highlight w:val="none"/>
              </w:rPr>
              <w:t>方式一</w:t>
            </w:r>
          </w:p>
          <w:p>
            <w:pPr>
              <w:spacing w:line="300" w:lineRule="exact"/>
              <w:ind w:firstLine="420" w:firstLineChars="200"/>
              <w:rPr>
                <w:rFonts w:ascii="宋体" w:hAnsi="宋体" w:cs="宋体"/>
                <w:color w:val="auto"/>
                <w:highlight w:val="none"/>
              </w:rPr>
            </w:pPr>
            <w:r>
              <w:rPr>
                <w:rFonts w:hint="eastAsia" w:ascii="宋体" w:hAnsi="宋体" w:cs="宋体"/>
                <w:color w:val="auto"/>
                <w:highlight w:val="none"/>
              </w:rPr>
              <w:t>一、以电子投标保函形式交纳投标保证金</w:t>
            </w:r>
          </w:p>
          <w:p>
            <w:pPr>
              <w:spacing w:line="300" w:lineRule="exact"/>
              <w:ind w:firstLine="420" w:firstLineChars="200"/>
              <w:rPr>
                <w:rFonts w:ascii="宋体" w:hAnsi="宋体" w:cs="宋体"/>
                <w:color w:val="auto"/>
                <w:highlight w:val="none"/>
              </w:rPr>
            </w:pPr>
            <w:r>
              <w:rPr>
                <w:rFonts w:hint="eastAsia" w:ascii="宋体" w:hAnsi="宋体" w:cs="宋体"/>
                <w:color w:val="auto"/>
                <w:highlight w:val="none"/>
              </w:rPr>
              <w:t>1. 电子投标保函交纳形式及要求：投标人在投标截止时间前通过重庆市公共资源交易金融服务平台电子投标保函系统向金融机构申请开具电子投标保函，电子投标保函应至少体现如下内容：①担保项目必须为本项目；②受益人必须为本项目招标人；③保函担保金额必须满足本项目要求；④保函生效时间必须在投标截止时间前，有效期限必须至少包含整个投标有效期；⑤保函须不可撤销且见索即付。</w:t>
            </w:r>
          </w:p>
          <w:p>
            <w:pPr>
              <w:spacing w:line="300" w:lineRule="exact"/>
              <w:ind w:firstLine="420" w:firstLineChars="200"/>
              <w:rPr>
                <w:rFonts w:ascii="宋体" w:hAnsi="宋体" w:cs="宋体"/>
                <w:color w:val="auto"/>
                <w:highlight w:val="none"/>
              </w:rPr>
            </w:pPr>
            <w:r>
              <w:rPr>
                <w:rFonts w:hint="eastAsia" w:ascii="宋体" w:hAnsi="宋体" w:cs="宋体"/>
                <w:color w:val="auto"/>
                <w:highlight w:val="none"/>
              </w:rPr>
              <w:t>若投标截止时间延期，则电子投标保函提交的截止时间和投标截止时间应当保持一致。</w:t>
            </w:r>
          </w:p>
          <w:p>
            <w:pPr>
              <w:spacing w:line="300" w:lineRule="exact"/>
              <w:ind w:firstLine="420" w:firstLineChars="200"/>
              <w:rPr>
                <w:rFonts w:ascii="宋体" w:hAnsi="宋体" w:cs="宋体"/>
                <w:color w:val="auto"/>
                <w:highlight w:val="none"/>
              </w:rPr>
            </w:pPr>
            <w:r>
              <w:rPr>
                <w:rFonts w:hint="eastAsia" w:ascii="宋体" w:hAnsi="宋体" w:cs="宋体"/>
                <w:color w:val="auto"/>
                <w:kern w:val="0"/>
                <w:highlight w:val="none"/>
              </w:rPr>
              <w:t>不满足上述要求的电子投标保函无效。</w:t>
            </w:r>
          </w:p>
          <w:p>
            <w:pPr>
              <w:spacing w:line="300" w:lineRule="exact"/>
              <w:ind w:firstLine="420" w:firstLineChars="200"/>
              <w:rPr>
                <w:rFonts w:ascii="宋体" w:hAnsi="宋体" w:cs="宋体"/>
                <w:color w:val="auto"/>
                <w:highlight w:val="none"/>
              </w:rPr>
            </w:pPr>
            <w:r>
              <w:rPr>
                <w:rFonts w:hint="eastAsia" w:ascii="宋体" w:hAnsi="宋体" w:cs="宋体"/>
                <w:color w:val="auto"/>
                <w:highlight w:val="none"/>
              </w:rPr>
              <w:t>2. 以电子投标保函形式担保的投标保证金的金额：</w:t>
            </w:r>
            <w:r>
              <w:rPr>
                <w:rFonts w:hint="eastAsia" w:ascii="宋体" w:hAnsi="宋体" w:cs="宋体"/>
                <w:color w:val="auto"/>
                <w:highlight w:val="none"/>
                <w:u w:val="single"/>
              </w:rPr>
              <w:t>2</w:t>
            </w:r>
            <w:r>
              <w:rPr>
                <w:rFonts w:hint="eastAsia" w:ascii="宋体" w:hAnsi="宋体" w:cs="宋体"/>
                <w:color w:val="auto"/>
                <w:highlight w:val="none"/>
              </w:rPr>
              <w:t>万元整（人民币）。</w:t>
            </w:r>
          </w:p>
          <w:p>
            <w:pPr>
              <w:spacing w:line="300" w:lineRule="exact"/>
              <w:ind w:firstLine="420" w:firstLineChars="200"/>
              <w:rPr>
                <w:rFonts w:ascii="宋体" w:hAnsi="宋体" w:cs="宋体"/>
                <w:color w:val="auto"/>
                <w:highlight w:val="none"/>
              </w:rPr>
            </w:pPr>
            <w:r>
              <w:rPr>
                <w:rFonts w:hint="eastAsia" w:ascii="宋体" w:hAnsi="宋体" w:cs="宋体"/>
                <w:color w:val="auto"/>
                <w:highlight w:val="none"/>
              </w:rPr>
              <w:t>3. 电子投标保函</w:t>
            </w:r>
          </w:p>
          <w:p>
            <w:pPr>
              <w:spacing w:line="300" w:lineRule="exact"/>
              <w:ind w:firstLine="420" w:firstLineChars="200"/>
              <w:rPr>
                <w:rFonts w:ascii="宋体" w:hAnsi="宋体" w:cs="宋体"/>
                <w:color w:val="auto"/>
                <w:highlight w:val="none"/>
              </w:rPr>
            </w:pPr>
            <w:r>
              <w:rPr>
                <w:rFonts w:hint="eastAsia" w:ascii="宋体" w:hAnsi="宋体" w:cs="宋体"/>
                <w:color w:val="auto"/>
                <w:highlight w:val="none"/>
              </w:rPr>
              <w:t>以</w:t>
            </w:r>
            <w:r>
              <w:rPr>
                <w:rFonts w:hint="eastAsia" w:ascii="宋体" w:hAnsi="宋体" w:cs="宋体"/>
                <w:color w:val="auto"/>
                <w:highlight w:val="none"/>
                <w:u w:val="single"/>
              </w:rPr>
              <w:t>重庆市公共资源交易中心</w:t>
            </w:r>
            <w:r>
              <w:rPr>
                <w:rFonts w:hint="eastAsia" w:ascii="宋体" w:hAnsi="宋体" w:cs="宋体"/>
                <w:color w:val="auto"/>
                <w:highlight w:val="none"/>
              </w:rPr>
              <w:t>开标现场展示的电子投标保函交纳情况为准，</w:t>
            </w:r>
            <w:r>
              <w:rPr>
                <w:rStyle w:val="29"/>
                <w:rFonts w:hint="eastAsia"/>
                <w:color w:val="auto"/>
                <w:kern w:val="0"/>
                <w:highlight w:val="none"/>
              </w:rPr>
              <w:t>投标人在投标时无须再提供电子投标保函的相关资料</w:t>
            </w:r>
            <w:r>
              <w:rPr>
                <w:rFonts w:hint="eastAsia" w:ascii="宋体" w:hAnsi="宋体" w:cs="宋体"/>
                <w:color w:val="auto"/>
                <w:highlight w:val="none"/>
              </w:rPr>
              <w:t>。</w:t>
            </w:r>
          </w:p>
          <w:p>
            <w:pPr>
              <w:spacing w:line="300" w:lineRule="exact"/>
              <w:ind w:firstLine="420" w:firstLineChars="200"/>
              <w:rPr>
                <w:rFonts w:ascii="宋体" w:hAnsi="宋体" w:cs="宋体"/>
                <w:color w:val="auto"/>
                <w:highlight w:val="none"/>
              </w:rPr>
            </w:pPr>
            <w:r>
              <w:rPr>
                <w:rFonts w:hint="eastAsia" w:ascii="宋体" w:hAnsi="宋体" w:cs="宋体"/>
                <w:color w:val="auto"/>
                <w:highlight w:val="none"/>
              </w:rPr>
              <w:t>二、电子投标保函的注销</w:t>
            </w:r>
          </w:p>
          <w:p>
            <w:pPr>
              <w:spacing w:line="300" w:lineRule="exact"/>
              <w:ind w:firstLine="420" w:firstLineChars="200"/>
              <w:rPr>
                <w:rFonts w:ascii="宋体" w:hAnsi="宋体" w:cs="宋体"/>
                <w:color w:val="auto"/>
                <w:highlight w:val="none"/>
              </w:rPr>
            </w:pPr>
            <w:r>
              <w:rPr>
                <w:rFonts w:hint="eastAsia" w:ascii="宋体" w:hAnsi="宋体" w:cs="宋体"/>
                <w:color w:val="auto"/>
                <w:highlight w:val="none"/>
              </w:rPr>
              <w:t>招标人应当在法定时间内确定中标人。招标人应当在中标通知书发出后2个工作日内将中标通知书和电子投标保函退还通知抄告</w:t>
            </w:r>
            <w:r>
              <w:rPr>
                <w:rFonts w:hint="eastAsia" w:ascii="宋体" w:hAnsi="宋体" w:cs="宋体"/>
                <w:color w:val="auto"/>
                <w:highlight w:val="none"/>
                <w:u w:val="single"/>
              </w:rPr>
              <w:t>重庆市公共资源交易中心</w:t>
            </w:r>
            <w:r>
              <w:rPr>
                <w:rFonts w:hint="eastAsia" w:ascii="宋体" w:hAnsi="宋体" w:cs="宋体"/>
                <w:color w:val="auto"/>
                <w:highlight w:val="none"/>
              </w:rPr>
              <w:t>，</w:t>
            </w:r>
            <w:r>
              <w:rPr>
                <w:rFonts w:hint="eastAsia" w:ascii="宋体" w:hAnsi="宋体" w:cs="宋体"/>
                <w:color w:val="auto"/>
                <w:highlight w:val="none"/>
                <w:u w:val="single"/>
              </w:rPr>
              <w:t>重庆市公共资源交易中心</w:t>
            </w:r>
            <w:r>
              <w:rPr>
                <w:rFonts w:hint="eastAsia" w:ascii="宋体" w:hAnsi="宋体" w:cs="宋体"/>
                <w:color w:val="auto"/>
                <w:highlight w:val="none"/>
              </w:rPr>
              <w:t>在收到电子投标保函退还通知后2个工作日内，将保函注销信息推送给重庆市公共资源交易金融服务平台，由保函出具机构注销除中标人和中标候选人以外的投标人电子投标保函。</w:t>
            </w:r>
          </w:p>
          <w:p>
            <w:pPr>
              <w:spacing w:line="300" w:lineRule="exact"/>
              <w:ind w:firstLine="420" w:firstLineChars="200"/>
              <w:rPr>
                <w:rFonts w:ascii="宋体" w:hAnsi="宋体" w:cs="宋体"/>
                <w:color w:val="auto"/>
                <w:highlight w:val="none"/>
              </w:rPr>
            </w:pPr>
            <w:r>
              <w:rPr>
                <w:rFonts w:hint="eastAsia" w:ascii="宋体" w:hAnsi="宋体" w:cs="宋体"/>
                <w:color w:val="auto"/>
                <w:highlight w:val="none"/>
              </w:rPr>
              <w:t>招标人应当在法定时间内和中标人签订合同。招标人应当在合同生效后2个工作日内将签订的合同和电子投标保函退还通知抄告</w:t>
            </w:r>
            <w:r>
              <w:rPr>
                <w:rFonts w:hint="eastAsia" w:ascii="宋体" w:hAnsi="宋体" w:cs="宋体"/>
                <w:color w:val="auto"/>
                <w:highlight w:val="none"/>
                <w:u w:val="single"/>
              </w:rPr>
              <w:t>重庆市公共资源交易中心</w:t>
            </w:r>
            <w:r>
              <w:rPr>
                <w:rFonts w:hint="eastAsia" w:ascii="宋体" w:hAnsi="宋体" w:cs="宋体"/>
                <w:color w:val="auto"/>
                <w:highlight w:val="none"/>
              </w:rPr>
              <w:t>，</w:t>
            </w:r>
            <w:r>
              <w:rPr>
                <w:rFonts w:hint="eastAsia" w:ascii="宋体" w:hAnsi="宋体" w:cs="宋体"/>
                <w:color w:val="auto"/>
                <w:highlight w:val="none"/>
                <w:u w:val="single"/>
              </w:rPr>
              <w:t>重庆市公共资源交易中心</w:t>
            </w:r>
            <w:r>
              <w:rPr>
                <w:rFonts w:hint="eastAsia" w:ascii="宋体" w:hAnsi="宋体" w:cs="宋体"/>
                <w:color w:val="auto"/>
                <w:highlight w:val="none"/>
              </w:rPr>
              <w:t>在收到电子投标保函退还通知后2个工作日内，将保函注销信息推送给重庆市公共资源交易金融服务平台，由保函出具机构注销中标人和中标候选人的电子投标保函。</w:t>
            </w:r>
          </w:p>
          <w:p>
            <w:pPr>
              <w:spacing w:line="300" w:lineRule="exact"/>
              <w:ind w:firstLine="420" w:firstLineChars="200"/>
              <w:rPr>
                <w:rFonts w:ascii="宋体" w:hAnsi="宋体" w:cs="宋体"/>
                <w:color w:val="auto"/>
                <w:highlight w:val="none"/>
              </w:rPr>
            </w:pPr>
          </w:p>
          <w:p>
            <w:pPr>
              <w:spacing w:line="300" w:lineRule="exact"/>
              <w:ind w:firstLine="420" w:firstLineChars="200"/>
              <w:rPr>
                <w:rFonts w:ascii="宋体" w:hAnsi="宋体" w:cs="宋体"/>
                <w:color w:val="auto"/>
                <w:highlight w:val="none"/>
              </w:rPr>
            </w:pPr>
            <w:r>
              <w:rPr>
                <w:rFonts w:hint="eastAsia" w:ascii="宋体" w:hAnsi="宋体" w:cs="宋体"/>
                <w:color w:val="auto"/>
                <w:highlight w:val="none"/>
              </w:rPr>
              <w:t>方式二</w:t>
            </w:r>
          </w:p>
          <w:p>
            <w:pPr>
              <w:spacing w:line="300" w:lineRule="exact"/>
              <w:ind w:firstLine="420" w:firstLineChars="200"/>
              <w:rPr>
                <w:rFonts w:ascii="宋体" w:hAnsi="宋体" w:cs="宋体"/>
                <w:color w:val="auto"/>
                <w:highlight w:val="none"/>
              </w:rPr>
            </w:pPr>
            <w:r>
              <w:rPr>
                <w:rFonts w:hint="eastAsia" w:ascii="宋体" w:hAnsi="宋体" w:cs="宋体"/>
                <w:color w:val="auto"/>
                <w:highlight w:val="none"/>
              </w:rPr>
              <w:t>一、以转账支票或电汇形式交纳投标保证金</w:t>
            </w:r>
          </w:p>
          <w:p>
            <w:pPr>
              <w:spacing w:line="300" w:lineRule="exact"/>
              <w:ind w:firstLine="420" w:firstLineChars="200"/>
              <w:rPr>
                <w:rFonts w:ascii="宋体" w:hAnsi="宋体" w:cs="宋体"/>
                <w:color w:val="auto"/>
                <w:highlight w:val="none"/>
              </w:rPr>
            </w:pPr>
            <w:r>
              <w:rPr>
                <w:rFonts w:hint="eastAsia" w:ascii="宋体" w:hAnsi="宋体" w:cs="宋体"/>
                <w:color w:val="auto"/>
                <w:highlight w:val="none"/>
              </w:rPr>
              <w:t>1、投标保证金交款形式及要求：投标人从企业的基本账户（开户行）在投标截止时间前通过转账支票直接划付或以电汇方式直接划付至下面指定的投标保证金账户。若投标截止时间延期，则投标保证金提交的截止时间和投标截止时间应当保持一致。</w:t>
            </w:r>
            <w:r>
              <w:rPr>
                <w:rFonts w:hint="eastAsia" w:ascii="宋体" w:hAnsi="宋体" w:cs="宋体"/>
                <w:color w:val="auto"/>
                <w:kern w:val="0"/>
                <w:highlight w:val="none"/>
              </w:rPr>
              <w:t>不满足上述要求的投标保证金无效。</w:t>
            </w:r>
          </w:p>
          <w:p>
            <w:pPr>
              <w:spacing w:line="300" w:lineRule="exact"/>
              <w:ind w:firstLine="420" w:firstLineChars="200"/>
              <w:rPr>
                <w:rFonts w:ascii="宋体" w:hAnsi="宋体" w:cs="宋体"/>
                <w:color w:val="auto"/>
                <w:highlight w:val="none"/>
              </w:rPr>
            </w:pPr>
            <w:r>
              <w:rPr>
                <w:rFonts w:hint="eastAsia" w:ascii="宋体" w:hAnsi="宋体" w:cs="宋体"/>
                <w:color w:val="auto"/>
                <w:highlight w:val="none"/>
              </w:rPr>
              <w:t>投标人自行考虑汇入时间风险，如同城汇入、异地汇入、跨行汇入的时间要求。</w:t>
            </w:r>
          </w:p>
          <w:p>
            <w:pPr>
              <w:spacing w:line="300" w:lineRule="exact"/>
              <w:ind w:firstLine="420" w:firstLineChars="200"/>
              <w:rPr>
                <w:rFonts w:ascii="宋体" w:hAnsi="宋体" w:cs="宋体"/>
                <w:color w:val="auto"/>
                <w:highlight w:val="none"/>
              </w:rPr>
            </w:pPr>
            <w:r>
              <w:rPr>
                <w:rFonts w:hint="eastAsia" w:ascii="宋体" w:hAnsi="宋体" w:cs="宋体"/>
                <w:color w:val="auto"/>
                <w:highlight w:val="none"/>
              </w:rPr>
              <w:t>2、以转账支票或电汇形式提交投标保证金的金额：</w:t>
            </w:r>
            <w:r>
              <w:rPr>
                <w:rFonts w:hint="eastAsia" w:ascii="宋体" w:hAnsi="宋体" w:cs="宋体"/>
                <w:color w:val="auto"/>
                <w:highlight w:val="none"/>
                <w:u w:val="single"/>
              </w:rPr>
              <w:t>2</w:t>
            </w:r>
            <w:r>
              <w:rPr>
                <w:rFonts w:hint="eastAsia" w:ascii="宋体" w:hAnsi="宋体" w:cs="宋体"/>
                <w:color w:val="auto"/>
                <w:highlight w:val="none"/>
              </w:rPr>
              <w:t>万元整（人民币）。</w:t>
            </w:r>
          </w:p>
          <w:p>
            <w:pPr>
              <w:spacing w:line="300" w:lineRule="exact"/>
              <w:ind w:firstLine="420" w:firstLineChars="200"/>
              <w:rPr>
                <w:rFonts w:ascii="宋体" w:hAnsi="宋体" w:cs="宋体"/>
                <w:color w:val="auto"/>
                <w:highlight w:val="none"/>
              </w:rPr>
            </w:pPr>
            <w:r>
              <w:rPr>
                <w:rFonts w:hint="eastAsia" w:ascii="宋体" w:hAnsi="宋体" w:cs="宋体"/>
                <w:color w:val="auto"/>
                <w:highlight w:val="none"/>
              </w:rPr>
              <w:t>3、投标保证金账户及账号（任选其一）：</w:t>
            </w:r>
          </w:p>
          <w:p>
            <w:pPr>
              <w:spacing w:line="300" w:lineRule="exact"/>
              <w:ind w:firstLine="420" w:firstLineChars="200"/>
              <w:rPr>
                <w:rFonts w:ascii="宋体" w:hAnsi="宋体" w:cs="宋体"/>
                <w:color w:val="auto"/>
                <w:highlight w:val="none"/>
              </w:rPr>
            </w:pPr>
            <w:r>
              <w:rPr>
                <w:rFonts w:hint="eastAsia" w:ascii="宋体" w:hAnsi="宋体" w:cs="宋体"/>
                <w:color w:val="auto"/>
                <w:highlight w:val="none"/>
              </w:rPr>
              <w:t>详见</w:t>
            </w:r>
            <w:r>
              <w:rPr>
                <w:rFonts w:hint="eastAsia" w:ascii="宋体" w:hAnsi="宋体" w:cs="宋体"/>
                <w:color w:val="auto"/>
                <w:highlight w:val="none"/>
                <w:u w:val="single"/>
              </w:rPr>
              <w:t>重庆市公共资源交易网（www.cqggzy.com）</w:t>
            </w:r>
            <w:r>
              <w:rPr>
                <w:rFonts w:hint="eastAsia" w:ascii="宋体" w:hAnsi="宋体" w:cs="宋体"/>
                <w:color w:val="auto"/>
                <w:highlight w:val="none"/>
              </w:rPr>
              <w:t>对应本项目招标公告信息栏中的保证金信息。</w:t>
            </w:r>
          </w:p>
          <w:p>
            <w:pPr>
              <w:spacing w:line="300" w:lineRule="exact"/>
              <w:ind w:firstLine="420" w:firstLineChars="200"/>
              <w:rPr>
                <w:rFonts w:ascii="宋体" w:hAnsi="宋体" w:cs="宋体"/>
                <w:color w:val="auto"/>
                <w:highlight w:val="none"/>
              </w:rPr>
            </w:pPr>
            <w:r>
              <w:rPr>
                <w:rFonts w:hint="eastAsia" w:ascii="宋体" w:hAnsi="宋体" w:cs="宋体"/>
                <w:color w:val="auto"/>
                <w:highlight w:val="none"/>
              </w:rPr>
              <w:t>投标保证金以</w:t>
            </w:r>
            <w:r>
              <w:rPr>
                <w:rFonts w:hint="eastAsia" w:ascii="宋体" w:hAnsi="宋体" w:cs="宋体"/>
                <w:color w:val="auto"/>
                <w:highlight w:val="none"/>
                <w:u w:val="single"/>
              </w:rPr>
              <w:t>重庆市公共资源交易中心</w:t>
            </w:r>
            <w:r>
              <w:rPr>
                <w:rFonts w:hint="eastAsia" w:ascii="宋体" w:hAnsi="宋体" w:cs="宋体"/>
                <w:color w:val="auto"/>
                <w:highlight w:val="none"/>
              </w:rPr>
              <w:t>开标现场展示的保证金交纳情况为准。投标人须在投标文件</w:t>
            </w:r>
            <w:r>
              <w:rPr>
                <w:rFonts w:hint="eastAsia" w:ascii="宋体" w:hAnsi="宋体" w:cs="宋体"/>
                <w:color w:val="auto"/>
                <w:kern w:val="0"/>
                <w:highlight w:val="none"/>
              </w:rPr>
              <w:t>“三、投标保证金”中</w:t>
            </w:r>
            <w:r>
              <w:rPr>
                <w:rFonts w:hint="eastAsia" w:ascii="宋体" w:hAnsi="宋体" w:cs="宋体"/>
                <w:color w:val="auto"/>
                <w:highlight w:val="none"/>
              </w:rPr>
              <w:t>提供企业基本账户开户证明文件。</w:t>
            </w:r>
          </w:p>
          <w:p>
            <w:pPr>
              <w:spacing w:line="300" w:lineRule="exact"/>
              <w:ind w:firstLine="420" w:firstLineChars="200"/>
              <w:rPr>
                <w:rFonts w:ascii="宋体" w:hAnsi="宋体" w:cs="宋体"/>
                <w:color w:val="auto"/>
                <w:highlight w:val="none"/>
                <w:u w:val="single"/>
              </w:rPr>
            </w:pPr>
            <w:r>
              <w:rPr>
                <w:rFonts w:hint="eastAsia" w:ascii="宋体" w:hAnsi="宋体" w:cs="宋体"/>
                <w:color w:val="auto"/>
                <w:highlight w:val="none"/>
              </w:rPr>
              <w:t>4、投标人必须在付款凭证备注栏中注明是“ （项目名称） 投标保证金”。（项目名称可简写）</w:t>
            </w:r>
          </w:p>
          <w:p>
            <w:pPr>
              <w:spacing w:line="300" w:lineRule="exact"/>
              <w:ind w:firstLine="420" w:firstLineChars="200"/>
              <w:rPr>
                <w:rFonts w:ascii="宋体" w:hAnsi="宋体" w:cs="宋体"/>
                <w:color w:val="auto"/>
                <w:highlight w:val="none"/>
              </w:rPr>
            </w:pPr>
            <w:r>
              <w:rPr>
                <w:rFonts w:hint="eastAsia" w:ascii="宋体" w:hAnsi="宋体" w:cs="宋体"/>
                <w:color w:val="auto"/>
                <w:highlight w:val="none"/>
              </w:rPr>
              <w:t>5、投标保证金有效期与投标有效期一致。</w:t>
            </w:r>
          </w:p>
          <w:p>
            <w:pPr>
              <w:spacing w:line="300" w:lineRule="exact"/>
              <w:ind w:firstLine="420" w:firstLineChars="200"/>
              <w:rPr>
                <w:rFonts w:ascii="宋体" w:hAnsi="宋体" w:cs="宋体"/>
                <w:color w:val="auto"/>
                <w:highlight w:val="none"/>
              </w:rPr>
            </w:pPr>
            <w:r>
              <w:rPr>
                <w:rFonts w:hint="eastAsia" w:ascii="宋体" w:hAnsi="宋体" w:cs="宋体"/>
                <w:color w:val="auto"/>
                <w:highlight w:val="none"/>
                <w:u w:val="single"/>
              </w:rPr>
              <w:t>6、根据重庆市公共资源交易中心《关于开展公共资源交易市场主体信息登记工作的公告》的要求，投标人在开标前需在重庆市公共资源交易网（www.cqggzy.com）办理市场主体信息登记手续。因故未能提前办理市场主体信息登记或更新的，评标过程中由评标委员会根据投标人在投标文件中提供的企业基本账户开户证明文件核实其投标保证金是否由基本账户转入，未从基本账户转入的，由评标委员会作否决投标处理</w:t>
            </w:r>
            <w:r>
              <w:rPr>
                <w:rFonts w:hint="eastAsia" w:ascii="宋体" w:hAnsi="宋体" w:cs="宋体"/>
                <w:color w:val="auto"/>
                <w:kern w:val="0"/>
                <w:highlight w:val="none"/>
              </w:rPr>
              <w:t>。</w:t>
            </w:r>
          </w:p>
          <w:p>
            <w:pPr>
              <w:spacing w:line="300" w:lineRule="exact"/>
              <w:ind w:firstLine="420" w:firstLineChars="200"/>
              <w:rPr>
                <w:rFonts w:ascii="宋体" w:hAnsi="宋体" w:cs="宋体"/>
                <w:color w:val="auto"/>
                <w:highlight w:val="none"/>
              </w:rPr>
            </w:pPr>
            <w:r>
              <w:rPr>
                <w:rFonts w:hint="eastAsia" w:ascii="宋体" w:hAnsi="宋体" w:cs="宋体"/>
                <w:color w:val="auto"/>
                <w:highlight w:val="none"/>
              </w:rPr>
              <w:t>二、投标保证金的退还</w:t>
            </w:r>
          </w:p>
          <w:p>
            <w:pPr>
              <w:spacing w:line="300" w:lineRule="exact"/>
              <w:ind w:firstLine="420" w:firstLineChars="200"/>
              <w:rPr>
                <w:rFonts w:ascii="宋体" w:hAnsi="宋体" w:cs="宋体"/>
                <w:color w:val="auto"/>
                <w:highlight w:val="none"/>
              </w:rPr>
            </w:pPr>
            <w:r>
              <w:rPr>
                <w:rFonts w:hint="eastAsia" w:ascii="宋体" w:hAnsi="宋体" w:cs="宋体"/>
                <w:color w:val="auto"/>
                <w:highlight w:val="none"/>
              </w:rPr>
              <w:t>招标人应当在法定时间内确定中标人。招标人应当在中标通知书发出后2个工作日内将中标通知书和保证金退还通知抄告</w:t>
            </w:r>
            <w:r>
              <w:rPr>
                <w:rFonts w:hint="eastAsia" w:ascii="宋体" w:hAnsi="宋体" w:cs="宋体"/>
                <w:color w:val="auto"/>
                <w:highlight w:val="none"/>
                <w:u w:val="single"/>
              </w:rPr>
              <w:t>重庆市公共资源交易中心</w:t>
            </w:r>
            <w:r>
              <w:rPr>
                <w:rFonts w:hint="eastAsia" w:ascii="宋体" w:hAnsi="宋体" w:cs="宋体"/>
                <w:color w:val="auto"/>
                <w:highlight w:val="none"/>
              </w:rPr>
              <w:t>，</w:t>
            </w:r>
            <w:r>
              <w:rPr>
                <w:rFonts w:hint="eastAsia" w:ascii="宋体" w:hAnsi="宋体" w:cs="宋体"/>
                <w:color w:val="auto"/>
                <w:highlight w:val="none"/>
                <w:u w:val="single"/>
              </w:rPr>
              <w:t>重庆市公共资源交易中心</w:t>
            </w:r>
            <w:r>
              <w:rPr>
                <w:rFonts w:hint="eastAsia" w:ascii="宋体" w:hAnsi="宋体" w:cs="宋体"/>
                <w:color w:val="auto"/>
                <w:highlight w:val="none"/>
              </w:rPr>
              <w:t>在收到保证金退还通知后2个工作日内，向除中标人和中标候选人以外的投标人，退还投标保证金及银行同期活期存款利息。</w:t>
            </w:r>
          </w:p>
          <w:p>
            <w:pPr>
              <w:spacing w:line="300" w:lineRule="exact"/>
              <w:ind w:firstLine="420" w:firstLineChars="200"/>
              <w:rPr>
                <w:rFonts w:ascii="宋体" w:hAnsi="宋体" w:cs="宋体"/>
                <w:color w:val="auto"/>
                <w:highlight w:val="none"/>
              </w:rPr>
            </w:pPr>
            <w:r>
              <w:rPr>
                <w:rFonts w:hint="eastAsia" w:ascii="宋体" w:hAnsi="宋体" w:cs="宋体"/>
                <w:color w:val="auto"/>
                <w:highlight w:val="none"/>
              </w:rPr>
              <w:t>招标人应当在法定时间内和中标人签订合同。招标人应当在合同生效后2个工作日内将签订的合同和保证金退还通知抄告</w:t>
            </w:r>
            <w:r>
              <w:rPr>
                <w:rFonts w:hint="eastAsia" w:ascii="宋体" w:hAnsi="宋体" w:cs="宋体"/>
                <w:color w:val="auto"/>
                <w:highlight w:val="none"/>
                <w:u w:val="single"/>
              </w:rPr>
              <w:t>重庆市公共资源交易中心</w:t>
            </w:r>
            <w:r>
              <w:rPr>
                <w:rFonts w:hint="eastAsia" w:ascii="宋体" w:hAnsi="宋体" w:cs="宋体"/>
                <w:color w:val="auto"/>
                <w:highlight w:val="none"/>
              </w:rPr>
              <w:t>，</w:t>
            </w:r>
            <w:r>
              <w:rPr>
                <w:rFonts w:hint="eastAsia" w:ascii="宋体" w:hAnsi="宋体" w:cs="宋体"/>
                <w:color w:val="auto"/>
                <w:highlight w:val="none"/>
                <w:u w:val="single"/>
              </w:rPr>
              <w:t>重庆市公共资源交易中心</w:t>
            </w:r>
            <w:r>
              <w:rPr>
                <w:rFonts w:hint="eastAsia" w:ascii="宋体" w:hAnsi="宋体" w:cs="宋体"/>
                <w:color w:val="auto"/>
                <w:highlight w:val="none"/>
              </w:rPr>
              <w:t>在收到保证金退还通知后2个工作日内，向中标人和中标候选人退还投标保证金及银行同期活期存款利息。</w:t>
            </w:r>
          </w:p>
          <w:p>
            <w:pPr>
              <w:spacing w:line="300" w:lineRule="exact"/>
              <w:ind w:firstLine="420" w:firstLineChars="200"/>
              <w:jc w:val="left"/>
              <w:rPr>
                <w:rFonts w:ascii="宋体" w:hAnsi="宋体" w:cs="宋体"/>
                <w:color w:val="auto"/>
                <w:highlight w:val="none"/>
              </w:rPr>
            </w:pPr>
            <w:r>
              <w:rPr>
                <w:rFonts w:hint="eastAsia" w:ascii="宋体" w:hAnsi="宋体" w:cs="宋体"/>
                <w:color w:val="auto"/>
                <w:highlight w:val="none"/>
              </w:rPr>
              <w:t>投标保证金专用账户由</w:t>
            </w:r>
            <w:r>
              <w:rPr>
                <w:rFonts w:hint="eastAsia" w:ascii="宋体" w:hAnsi="宋体" w:cs="宋体"/>
                <w:color w:val="auto"/>
                <w:highlight w:val="none"/>
                <w:u w:val="single"/>
              </w:rPr>
              <w:t>重庆市公共资源交易中心</w:t>
            </w:r>
            <w:r>
              <w:rPr>
                <w:rFonts w:hint="eastAsia" w:ascii="宋体" w:hAnsi="宋体" w:cs="宋体"/>
                <w:color w:val="auto"/>
                <w:highlight w:val="none"/>
              </w:rPr>
              <w:t>制定，关于保证金相关情况的问题请咨询</w:t>
            </w:r>
            <w:r>
              <w:rPr>
                <w:rFonts w:hint="eastAsia" w:ascii="宋体" w:hAnsi="宋体" w:cs="宋体"/>
                <w:color w:val="auto"/>
                <w:highlight w:val="none"/>
                <w:u w:val="single"/>
              </w:rPr>
              <w:t>重庆市公共资源交易中心</w:t>
            </w:r>
            <w:r>
              <w:rPr>
                <w:rFonts w:hint="eastAsia" w:ascii="宋体" w:hAnsi="宋体" w:cs="宋体"/>
                <w:color w:val="auto"/>
                <w:highlight w:val="none"/>
              </w:rPr>
              <w:t>，联系电话023-</w:t>
            </w:r>
            <w:r>
              <w:rPr>
                <w:rFonts w:hint="eastAsia" w:ascii="宋体" w:hAnsi="宋体" w:cs="宋体"/>
                <w:color w:val="auto"/>
                <w:highlight w:val="none"/>
                <w:u w:val="single"/>
              </w:rPr>
              <w:t>63626436</w:t>
            </w: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2"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3.4.3</w:t>
            </w:r>
          </w:p>
        </w:tc>
        <w:tc>
          <w:tcPr>
            <w:tcW w:w="1567"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投标保证金的利息计算原则</w:t>
            </w:r>
          </w:p>
        </w:tc>
        <w:tc>
          <w:tcPr>
            <w:tcW w:w="6718" w:type="dxa"/>
            <w:vAlign w:val="center"/>
          </w:tcPr>
          <w:p>
            <w:pPr>
              <w:spacing w:line="400" w:lineRule="exact"/>
              <w:rPr>
                <w:rFonts w:ascii="宋体" w:hAnsi="宋体"/>
                <w:color w:val="auto"/>
                <w:highlight w:val="none"/>
              </w:rPr>
            </w:pPr>
            <w:r>
              <w:rPr>
                <w:rFonts w:hint="eastAsia" w:ascii="宋体" w:hAnsi="宋体"/>
                <w:color w:val="auto"/>
                <w:highlight w:val="none"/>
              </w:rPr>
              <w:t>按重庆市公共资源交易中心相关规定执行。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3.4.4</w:t>
            </w:r>
          </w:p>
        </w:tc>
        <w:tc>
          <w:tcPr>
            <w:tcW w:w="1567"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其他可以不予退还投标保证金的情形</w:t>
            </w:r>
          </w:p>
        </w:tc>
        <w:tc>
          <w:tcPr>
            <w:tcW w:w="6718" w:type="dxa"/>
            <w:vAlign w:val="center"/>
          </w:tcPr>
          <w:p>
            <w:pPr>
              <w:spacing w:line="340" w:lineRule="exact"/>
              <w:rPr>
                <w:rFonts w:ascii="宋体" w:hAnsi="宋体" w:cs="宋体"/>
                <w:color w:val="auto"/>
                <w:kern w:val="0"/>
                <w:highlight w:val="none"/>
              </w:rPr>
            </w:pPr>
            <w:r>
              <w:rPr>
                <w:rFonts w:hint="eastAsia" w:ascii="宋体" w:hAnsi="宋体"/>
                <w:color w:val="auto"/>
                <w:highlight w:val="none"/>
              </w:rPr>
              <w:t>该款</w:t>
            </w:r>
            <w:r>
              <w:rPr>
                <w:rFonts w:hint="eastAsia" w:ascii="宋体" w:hAnsi="宋体" w:cs="宋体"/>
                <w:color w:val="auto"/>
                <w:kern w:val="0"/>
                <w:highlight w:val="none"/>
              </w:rPr>
              <w:t>正文增加：</w:t>
            </w:r>
          </w:p>
          <w:p>
            <w:pPr>
              <w:spacing w:line="340" w:lineRule="exact"/>
              <w:rPr>
                <w:rFonts w:ascii="宋体" w:hAnsi="宋体" w:cs="宋体"/>
                <w:color w:val="auto"/>
                <w:kern w:val="0"/>
                <w:highlight w:val="none"/>
              </w:rPr>
            </w:pPr>
            <w:r>
              <w:rPr>
                <w:rFonts w:hint="eastAsia" w:ascii="宋体" w:hAnsi="宋体" w:cs="宋体"/>
                <w:color w:val="auto"/>
                <w:kern w:val="0"/>
                <w:highlight w:val="none"/>
              </w:rPr>
              <w:t>（4）中标候选人放弃中标候选人资格；</w:t>
            </w:r>
          </w:p>
          <w:p>
            <w:pPr>
              <w:spacing w:line="340" w:lineRule="exact"/>
              <w:rPr>
                <w:rFonts w:ascii="宋体" w:hAnsi="宋体" w:cs="宋体"/>
                <w:color w:val="auto"/>
                <w:kern w:val="0"/>
                <w:highlight w:val="none"/>
              </w:rPr>
            </w:pPr>
            <w:r>
              <w:rPr>
                <w:rFonts w:hint="eastAsia" w:ascii="宋体" w:hAnsi="宋体" w:cs="宋体"/>
                <w:color w:val="auto"/>
                <w:kern w:val="0"/>
                <w:highlight w:val="none"/>
              </w:rPr>
              <w:t>（5）投标人在投标过程中存在弄虚作假、与招标人或者其他投标人串通投标、以行贿谋取中标、无正当理由放弃中标以及进行恶意投诉等投标不良行为的。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72"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3.5</w:t>
            </w:r>
          </w:p>
        </w:tc>
        <w:tc>
          <w:tcPr>
            <w:tcW w:w="1567"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资格审查资料的特殊要求</w:t>
            </w:r>
          </w:p>
        </w:tc>
        <w:tc>
          <w:tcPr>
            <w:tcW w:w="6718" w:type="dxa"/>
            <w:vAlign w:val="center"/>
          </w:tcPr>
          <w:p>
            <w:pPr>
              <w:spacing w:line="360" w:lineRule="atLeast"/>
              <w:rPr>
                <w:rFonts w:ascii="宋体" w:hAnsi="宋体"/>
                <w:color w:val="auto"/>
                <w:highlight w:val="none"/>
              </w:rPr>
            </w:pPr>
            <w:r>
              <w:rPr>
                <w:rFonts w:hint="eastAsia" w:ascii="宋体" w:hAnsi="宋体"/>
                <w:color w:val="auto"/>
                <w:highlight w:val="none"/>
              </w:rPr>
              <w:t>该款正文补充：</w:t>
            </w:r>
          </w:p>
          <w:p>
            <w:pPr>
              <w:spacing w:line="360" w:lineRule="atLeast"/>
              <w:rPr>
                <w:rFonts w:ascii="宋体" w:hAnsi="宋体"/>
                <w:color w:val="auto"/>
                <w:highlight w:val="none"/>
              </w:rPr>
            </w:pPr>
            <w:r>
              <w:rPr>
                <w:rFonts w:hint="eastAsia" w:ascii="宋体" w:hAnsi="宋体"/>
                <w:color w:val="auto"/>
                <w:highlight w:val="none"/>
              </w:rPr>
              <w:t>按第二章 投标人须知前附表1</w:t>
            </w:r>
            <w:r>
              <w:rPr>
                <w:rFonts w:ascii="宋体" w:hAnsi="宋体"/>
                <w:color w:val="auto"/>
                <w:highlight w:val="none"/>
              </w:rPr>
              <w:t>.4.1</w:t>
            </w:r>
            <w:r>
              <w:rPr>
                <w:rFonts w:hint="eastAsia" w:ascii="宋体" w:hAnsi="宋体"/>
                <w:color w:val="auto"/>
                <w:highlight w:val="none"/>
              </w:rPr>
              <w:t>款、第五章 投标文件</w:t>
            </w:r>
            <w:r>
              <w:rPr>
                <w:rFonts w:ascii="宋体" w:hAnsi="宋体"/>
                <w:color w:val="auto"/>
                <w:highlight w:val="none"/>
              </w:rPr>
              <w:t>格式</w:t>
            </w:r>
            <w:r>
              <w:rPr>
                <w:rFonts w:hint="eastAsia" w:ascii="宋体" w:hAnsi="宋体"/>
                <w:color w:val="auto"/>
                <w:highlight w:val="none"/>
              </w:rPr>
              <w:t>的要求执行。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3.7.4</w:t>
            </w:r>
          </w:p>
        </w:tc>
        <w:tc>
          <w:tcPr>
            <w:tcW w:w="1567" w:type="dxa"/>
            <w:vAlign w:val="center"/>
          </w:tcPr>
          <w:p>
            <w:pPr>
              <w:spacing w:line="400" w:lineRule="exact"/>
              <w:jc w:val="center"/>
              <w:rPr>
                <w:rFonts w:ascii="宋体" w:hAnsi="宋体" w:cs="宋体"/>
                <w:color w:val="auto"/>
                <w:kern w:val="0"/>
                <w:highlight w:val="none"/>
              </w:rPr>
            </w:pPr>
            <w:r>
              <w:rPr>
                <w:rFonts w:ascii="宋体" w:hAnsi="宋体"/>
                <w:color w:val="auto"/>
                <w:highlight w:val="none"/>
              </w:rPr>
              <w:t>投标文件份数要求</w:t>
            </w:r>
          </w:p>
        </w:tc>
        <w:tc>
          <w:tcPr>
            <w:tcW w:w="6718" w:type="dxa"/>
            <w:vAlign w:val="center"/>
          </w:tcPr>
          <w:p>
            <w:pPr>
              <w:spacing w:line="340" w:lineRule="exact"/>
              <w:rPr>
                <w:rFonts w:ascii="宋体" w:hAnsi="宋体" w:cs="宋体"/>
                <w:color w:val="auto"/>
                <w:kern w:val="0"/>
                <w:highlight w:val="none"/>
              </w:rPr>
            </w:pPr>
            <w:r>
              <w:rPr>
                <w:rFonts w:hint="eastAsia" w:ascii="宋体" w:hAnsi="宋体" w:cs="宋体"/>
                <w:color w:val="auto"/>
                <w:kern w:val="0"/>
                <w:highlight w:val="none"/>
              </w:rPr>
              <w:t>该款正文不采用，投标人按以下要求提供：</w:t>
            </w:r>
          </w:p>
          <w:p>
            <w:pPr>
              <w:spacing w:line="340" w:lineRule="exact"/>
              <w:ind w:firstLine="315" w:firstLineChars="150"/>
              <w:rPr>
                <w:rFonts w:ascii="宋体" w:hAnsi="宋体" w:cs="宋体"/>
                <w:color w:val="auto"/>
                <w:kern w:val="0"/>
                <w:highlight w:val="none"/>
              </w:rPr>
            </w:pPr>
            <w:r>
              <w:rPr>
                <w:rFonts w:hint="eastAsia" w:ascii="宋体" w:hAnsi="宋体" w:cs="宋体"/>
                <w:color w:val="auto"/>
                <w:kern w:val="0"/>
                <w:highlight w:val="none"/>
              </w:rPr>
              <w:t>投标文件正本1份、副本1份，电子版形式3份（U盘2份，光盘1份）。正本和副本的封面上应清楚地标记“正本”或“副本”的字样，正本和副本封面均须加盖单位法人章，副本可为正本的复印件。当副本和正本不一致时，以正本为准。</w:t>
            </w:r>
          </w:p>
          <w:p>
            <w:pPr>
              <w:spacing w:line="34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未按上述规定执行的，交由评标委员会作否决投标处理。</w:t>
            </w:r>
          </w:p>
          <w:p>
            <w:pPr>
              <w:spacing w:line="34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电子版形式（U盘、光盘）中的部分：应包含投标文件的所有内容。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72" w:type="dxa"/>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3.7.5</w:t>
            </w:r>
          </w:p>
        </w:tc>
        <w:tc>
          <w:tcPr>
            <w:tcW w:w="1567" w:type="dxa"/>
            <w:vAlign w:val="center"/>
          </w:tcPr>
          <w:p>
            <w:pPr>
              <w:spacing w:line="400" w:lineRule="exact"/>
              <w:jc w:val="center"/>
              <w:rPr>
                <w:rFonts w:ascii="宋体" w:hAnsi="宋体" w:cs="宋体"/>
                <w:color w:val="auto"/>
                <w:kern w:val="0"/>
                <w:highlight w:val="none"/>
              </w:rPr>
            </w:pPr>
            <w:r>
              <w:rPr>
                <w:rFonts w:ascii="宋体" w:hAnsi="宋体"/>
                <w:color w:val="auto"/>
                <w:highlight w:val="none"/>
              </w:rPr>
              <w:t>投标文件装订</w:t>
            </w:r>
            <w:r>
              <w:rPr>
                <w:rFonts w:hint="eastAsia" w:ascii="宋体" w:hAnsi="宋体"/>
                <w:color w:val="auto"/>
                <w:highlight w:val="none"/>
              </w:rPr>
              <w:t>要求</w:t>
            </w:r>
          </w:p>
        </w:tc>
        <w:tc>
          <w:tcPr>
            <w:tcW w:w="6718" w:type="dxa"/>
            <w:vAlign w:val="center"/>
          </w:tcPr>
          <w:p>
            <w:pPr>
              <w:spacing w:line="340" w:lineRule="exact"/>
              <w:rPr>
                <w:rFonts w:ascii="宋体" w:hAnsi="宋体" w:cs="宋体"/>
                <w:color w:val="auto"/>
                <w:kern w:val="0"/>
                <w:highlight w:val="none"/>
              </w:rPr>
            </w:pPr>
            <w:r>
              <w:rPr>
                <w:rFonts w:hint="eastAsia" w:ascii="宋体" w:hAnsi="宋体" w:cs="宋体"/>
                <w:color w:val="auto"/>
                <w:kern w:val="0"/>
                <w:highlight w:val="none"/>
              </w:rPr>
              <w:t>分册装订要求：</w:t>
            </w:r>
          </w:p>
          <w:p>
            <w:pPr>
              <w:spacing w:line="340" w:lineRule="exact"/>
              <w:ind w:firstLine="315" w:firstLineChars="150"/>
              <w:rPr>
                <w:rFonts w:ascii="宋体" w:hAnsi="宋体" w:cs="宋体"/>
                <w:color w:val="auto"/>
                <w:kern w:val="0"/>
                <w:highlight w:val="none"/>
              </w:rPr>
            </w:pPr>
            <w:r>
              <w:rPr>
                <w:rFonts w:hint="eastAsia" w:ascii="宋体" w:hAnsi="宋体" w:cs="宋体"/>
                <w:color w:val="auto"/>
                <w:kern w:val="0"/>
                <w:highlight w:val="none"/>
              </w:rPr>
              <w:t>投标文件的正本与副本应分别装订成册，统一采用胶装装订。否则，招标人对由于投标文件装订松散而造成的丢失或其他后果不承担任何责任。投标文件应编制目录，并且从目录开始逐页标注连续页码。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72" w:type="dxa"/>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4</w:t>
            </w:r>
            <w:r>
              <w:rPr>
                <w:rFonts w:ascii="宋体" w:hAnsi="宋体" w:cs="宋体"/>
                <w:color w:val="auto"/>
                <w:kern w:val="0"/>
                <w:highlight w:val="none"/>
              </w:rPr>
              <w:t>.1.1</w:t>
            </w:r>
          </w:p>
        </w:tc>
        <w:tc>
          <w:tcPr>
            <w:tcW w:w="1567" w:type="dxa"/>
            <w:vAlign w:val="center"/>
          </w:tcPr>
          <w:p>
            <w:pPr>
              <w:spacing w:line="400" w:lineRule="exact"/>
              <w:jc w:val="center"/>
              <w:rPr>
                <w:rFonts w:ascii="宋体" w:hAnsi="宋体"/>
                <w:color w:val="auto"/>
                <w:highlight w:val="none"/>
              </w:rPr>
            </w:pPr>
            <w:r>
              <w:rPr>
                <w:rFonts w:hint="eastAsia" w:ascii="宋体" w:hAnsi="宋体" w:cs="宋体"/>
                <w:snapToGrid w:val="0"/>
                <w:color w:val="auto"/>
                <w:kern w:val="0"/>
                <w:highlight w:val="none"/>
              </w:rPr>
              <w:t>投标文件的密封</w:t>
            </w:r>
          </w:p>
        </w:tc>
        <w:tc>
          <w:tcPr>
            <w:tcW w:w="6718" w:type="dxa"/>
            <w:vAlign w:val="center"/>
          </w:tcPr>
          <w:p>
            <w:pPr>
              <w:spacing w:line="380" w:lineRule="exact"/>
              <w:rPr>
                <w:rFonts w:ascii="宋体" w:hAnsi="宋体"/>
                <w:color w:val="auto"/>
                <w:highlight w:val="none"/>
              </w:rPr>
            </w:pPr>
            <w:r>
              <w:rPr>
                <w:rFonts w:hint="eastAsia" w:ascii="宋体" w:hAnsi="宋体" w:cs="宋体"/>
                <w:color w:val="auto"/>
                <w:kern w:val="0"/>
                <w:highlight w:val="none"/>
              </w:rPr>
              <w:t>投标人应将电子版形式（光盘1份、U盘2份）与投标文件（正本1份、副本1份）密封在一个（或多个）封套（或文件袋）中。封套的封口处加盖单位法人章或由投标人的法定代表人或其委托代理人签名。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72" w:type="dxa"/>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4.1.2</w:t>
            </w:r>
          </w:p>
        </w:tc>
        <w:tc>
          <w:tcPr>
            <w:tcW w:w="1567" w:type="dxa"/>
            <w:vAlign w:val="center"/>
          </w:tcPr>
          <w:p>
            <w:pPr>
              <w:spacing w:line="340" w:lineRule="exact"/>
              <w:jc w:val="center"/>
              <w:rPr>
                <w:rFonts w:ascii="宋体" w:hAnsi="宋体" w:cs="宋体"/>
                <w:color w:val="auto"/>
                <w:highlight w:val="none"/>
              </w:rPr>
            </w:pPr>
            <w:r>
              <w:rPr>
                <w:rFonts w:hint="eastAsia" w:ascii="宋体" w:hAnsi="宋体" w:cs="宋体"/>
                <w:color w:val="auto"/>
                <w:highlight w:val="none"/>
              </w:rPr>
              <w:t>投标文件的封套上应写明的内容</w:t>
            </w:r>
          </w:p>
        </w:tc>
        <w:tc>
          <w:tcPr>
            <w:tcW w:w="6718" w:type="dxa"/>
            <w:vAlign w:val="center"/>
          </w:tcPr>
          <w:p>
            <w:pPr>
              <w:spacing w:line="420" w:lineRule="exact"/>
              <w:rPr>
                <w:rFonts w:ascii="宋体" w:hAnsi="宋体"/>
                <w:color w:val="auto"/>
                <w:highlight w:val="none"/>
              </w:rPr>
            </w:pPr>
            <w:r>
              <w:rPr>
                <w:rFonts w:ascii="宋体" w:hAnsi="宋体"/>
                <w:color w:val="auto"/>
                <w:highlight w:val="none"/>
              </w:rPr>
              <w:t xml:space="preserve">投标人名称：                       </w:t>
            </w:r>
          </w:p>
          <w:p>
            <w:pPr>
              <w:spacing w:line="420" w:lineRule="exact"/>
              <w:rPr>
                <w:rFonts w:ascii="宋体" w:hAnsi="宋体"/>
                <w:color w:val="auto"/>
                <w:highlight w:val="none"/>
              </w:rPr>
            </w:pPr>
            <w:r>
              <w:rPr>
                <w:rFonts w:ascii="宋体" w:hAnsi="宋体"/>
                <w:color w:val="auto"/>
                <w:highlight w:val="none"/>
              </w:rPr>
              <w:t>招标人名称：</w:t>
            </w:r>
            <w:r>
              <w:rPr>
                <w:rFonts w:hint="eastAsia" w:ascii="宋体" w:hAnsi="宋体"/>
                <w:color w:val="auto"/>
                <w:highlight w:val="none"/>
              </w:rPr>
              <w:t xml:space="preserve">                                            </w:t>
            </w:r>
          </w:p>
          <w:p>
            <w:pPr>
              <w:spacing w:line="420" w:lineRule="exact"/>
              <w:rPr>
                <w:rFonts w:ascii="宋体" w:hAnsi="宋体"/>
                <w:color w:val="auto"/>
                <w:highlight w:val="none"/>
              </w:rPr>
            </w:pPr>
            <w:r>
              <w:rPr>
                <w:rFonts w:hint="eastAsia" w:ascii="宋体" w:hAnsi="宋体"/>
                <w:color w:val="auto"/>
                <w:highlight w:val="none"/>
              </w:rPr>
              <w:t>2023年重庆渝广梁忠高速公路有限公司交通车驾驶员业务外包服务项目</w:t>
            </w:r>
            <w:r>
              <w:rPr>
                <w:rFonts w:ascii="宋体" w:hAnsi="宋体"/>
                <w:color w:val="auto"/>
                <w:highlight w:val="none"/>
              </w:rPr>
              <w:t>投标文件；</w:t>
            </w:r>
          </w:p>
          <w:p>
            <w:pPr>
              <w:spacing w:line="420" w:lineRule="exact"/>
              <w:rPr>
                <w:rFonts w:ascii="宋体" w:hAnsi="宋体"/>
                <w:color w:val="auto"/>
                <w:highlight w:val="none"/>
              </w:rPr>
            </w:pPr>
            <w:r>
              <w:rPr>
                <w:rFonts w:ascii="宋体" w:hAnsi="宋体"/>
                <w:color w:val="auto"/>
                <w:highlight w:val="none"/>
              </w:rPr>
              <w:t>在     年    月    日    时    分（即开标时间）前不得开封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72" w:type="dxa"/>
            <w:vAlign w:val="center"/>
          </w:tcPr>
          <w:p>
            <w:pPr>
              <w:spacing w:line="340" w:lineRule="exact"/>
              <w:jc w:val="center"/>
              <w:rPr>
                <w:rFonts w:ascii="宋体" w:hAnsi="宋体" w:cs="宋体"/>
                <w:color w:val="auto"/>
                <w:highlight w:val="none"/>
              </w:rPr>
            </w:pPr>
            <w:r>
              <w:rPr>
                <w:rFonts w:hint="eastAsia" w:ascii="宋体" w:hAnsi="宋体" w:cs="宋体"/>
                <w:color w:val="auto"/>
                <w:highlight w:val="none"/>
              </w:rPr>
              <w:t>4.2.2</w:t>
            </w:r>
          </w:p>
        </w:tc>
        <w:tc>
          <w:tcPr>
            <w:tcW w:w="1567" w:type="dxa"/>
            <w:vAlign w:val="center"/>
          </w:tcPr>
          <w:p>
            <w:pPr>
              <w:spacing w:line="340" w:lineRule="exact"/>
              <w:jc w:val="center"/>
              <w:rPr>
                <w:rFonts w:ascii="宋体" w:hAnsi="宋体" w:cs="宋体"/>
                <w:color w:val="auto"/>
                <w:highlight w:val="none"/>
              </w:rPr>
            </w:pPr>
            <w:r>
              <w:rPr>
                <w:rFonts w:hint="eastAsia" w:ascii="宋体" w:hAnsi="宋体" w:cs="宋体"/>
                <w:color w:val="auto"/>
                <w:highlight w:val="none"/>
              </w:rPr>
              <w:t>投标人递交投标文件的地点</w:t>
            </w:r>
          </w:p>
        </w:tc>
        <w:tc>
          <w:tcPr>
            <w:tcW w:w="6718" w:type="dxa"/>
            <w:vAlign w:val="center"/>
          </w:tcPr>
          <w:p>
            <w:pPr>
              <w:spacing w:line="340" w:lineRule="exact"/>
              <w:rPr>
                <w:rFonts w:ascii="宋体" w:hAnsi="宋体" w:cs="宋体"/>
                <w:snapToGrid w:val="0"/>
                <w:color w:val="auto"/>
                <w:kern w:val="0"/>
                <w:highlight w:val="none"/>
              </w:rPr>
            </w:pPr>
            <w:r>
              <w:rPr>
                <w:rFonts w:hint="eastAsia" w:ascii="宋体" w:hAnsi="宋体" w:cs="宋体"/>
                <w:snapToGrid w:val="0"/>
                <w:color w:val="auto"/>
                <w:kern w:val="0"/>
                <w:highlight w:val="none"/>
              </w:rPr>
              <w:t>重庆市公共资源交易中心开标区（具体请登陆重庆市公共资源交易网（www.cqggzy.com）查询或递交文件当日见交易中心大厅电子显示屏）。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4.2.3</w:t>
            </w:r>
          </w:p>
        </w:tc>
        <w:tc>
          <w:tcPr>
            <w:tcW w:w="1567" w:type="dxa"/>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是否退还投标文件</w:t>
            </w:r>
          </w:p>
        </w:tc>
        <w:tc>
          <w:tcPr>
            <w:tcW w:w="6718" w:type="dxa"/>
            <w:vAlign w:val="center"/>
          </w:tcPr>
          <w:p>
            <w:pPr>
              <w:spacing w:line="340" w:lineRule="exact"/>
              <w:rPr>
                <w:rFonts w:ascii="宋体" w:hAnsi="宋体" w:cs="宋体"/>
                <w:color w:val="auto"/>
                <w:kern w:val="0"/>
                <w:highlight w:val="none"/>
              </w:rPr>
            </w:pPr>
            <w:r>
              <w:rPr>
                <w:rFonts w:hint="eastAsia" w:ascii="宋体" w:hAnsi="宋体" w:cs="宋体"/>
                <w:color w:val="auto"/>
                <w:kern w:val="0"/>
                <w:highlight w:val="none"/>
              </w:rPr>
              <w:t>否。</w:t>
            </w:r>
          </w:p>
          <w:p>
            <w:pPr>
              <w:spacing w:line="340" w:lineRule="exact"/>
              <w:rPr>
                <w:rFonts w:ascii="宋体" w:hAnsi="宋体" w:cs="宋体"/>
                <w:color w:val="auto"/>
                <w:kern w:val="0"/>
                <w:highlight w:val="none"/>
              </w:rPr>
            </w:pPr>
            <w:r>
              <w:rPr>
                <w:rFonts w:hint="eastAsia" w:ascii="宋体" w:hAnsi="宋体" w:cs="宋体"/>
                <w:color w:val="auto"/>
                <w:kern w:val="0"/>
                <w:highlight w:val="none"/>
              </w:rPr>
              <w:t>以下情况除外：投标文件递交截止时间时投标人少于3个的，投标文件当场退还给投标人并签名确认。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2" w:type="dxa"/>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5.1</w:t>
            </w:r>
          </w:p>
        </w:tc>
        <w:tc>
          <w:tcPr>
            <w:tcW w:w="1567" w:type="dxa"/>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开标时间和地点</w:t>
            </w:r>
          </w:p>
        </w:tc>
        <w:tc>
          <w:tcPr>
            <w:tcW w:w="6718" w:type="dxa"/>
            <w:vAlign w:val="center"/>
          </w:tcPr>
          <w:p>
            <w:pPr>
              <w:spacing w:line="340" w:lineRule="exact"/>
              <w:rPr>
                <w:rFonts w:ascii="宋体" w:hAnsi="宋体" w:cs="宋体"/>
                <w:color w:val="auto"/>
                <w:highlight w:val="none"/>
              </w:rPr>
            </w:pPr>
            <w:r>
              <w:rPr>
                <w:rFonts w:hint="eastAsia" w:ascii="宋体" w:hAnsi="宋体" w:cs="宋体"/>
                <w:color w:val="auto"/>
                <w:highlight w:val="none"/>
              </w:rPr>
              <w:t>开标时间：同投标截止时间</w:t>
            </w:r>
          </w:p>
          <w:p>
            <w:pPr>
              <w:spacing w:line="340" w:lineRule="exact"/>
              <w:rPr>
                <w:rFonts w:ascii="宋体" w:hAnsi="宋体" w:cs="宋体"/>
                <w:color w:val="auto"/>
                <w:highlight w:val="none"/>
              </w:rPr>
            </w:pPr>
            <w:r>
              <w:rPr>
                <w:rFonts w:hint="eastAsia" w:ascii="宋体" w:hAnsi="宋体" w:cs="宋体"/>
                <w:color w:val="auto"/>
                <w:highlight w:val="none"/>
              </w:rPr>
              <w:t>开标地点：重庆市公共资源交易中心开标室（具体请登陆重庆市公共资源交易网（www.cqggzy.com）查询或递交文件当日见交易中心大厅电子显示屏）。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Align w:val="center"/>
          </w:tcPr>
          <w:p>
            <w:pPr>
              <w:spacing w:line="400" w:lineRule="exact"/>
              <w:jc w:val="center"/>
              <w:rPr>
                <w:rFonts w:ascii="宋体" w:hAnsi="宋体" w:cs="宋体"/>
                <w:color w:val="auto"/>
                <w:highlight w:val="none"/>
              </w:rPr>
            </w:pPr>
            <w:r>
              <w:rPr>
                <w:rFonts w:hint="eastAsia" w:ascii="宋体" w:hAnsi="宋体" w:cs="宋体"/>
                <w:color w:val="auto"/>
                <w:kern w:val="0"/>
                <w:highlight w:val="none"/>
              </w:rPr>
              <w:t>5.2</w:t>
            </w:r>
            <w:r>
              <w:rPr>
                <w:rFonts w:ascii="宋体" w:hAnsi="宋体" w:cs="宋体"/>
                <w:color w:val="auto"/>
                <w:kern w:val="0"/>
                <w:highlight w:val="none"/>
              </w:rPr>
              <w:t>.1</w:t>
            </w:r>
          </w:p>
        </w:tc>
        <w:tc>
          <w:tcPr>
            <w:tcW w:w="1567" w:type="dxa"/>
            <w:vAlign w:val="center"/>
          </w:tcPr>
          <w:p>
            <w:pPr>
              <w:spacing w:line="400" w:lineRule="exact"/>
              <w:jc w:val="center"/>
              <w:rPr>
                <w:rFonts w:ascii="宋体" w:hAnsi="宋体" w:cs="宋体"/>
                <w:color w:val="auto"/>
                <w:highlight w:val="none"/>
              </w:rPr>
            </w:pPr>
            <w:r>
              <w:rPr>
                <w:rFonts w:hint="eastAsia" w:ascii="宋体" w:hAnsi="宋体" w:cs="宋体"/>
                <w:color w:val="auto"/>
                <w:kern w:val="0"/>
                <w:highlight w:val="none"/>
              </w:rPr>
              <w:t>开标程序</w:t>
            </w:r>
          </w:p>
        </w:tc>
        <w:tc>
          <w:tcPr>
            <w:tcW w:w="6718" w:type="dxa"/>
          </w:tcPr>
          <w:p>
            <w:pPr>
              <w:spacing w:line="300" w:lineRule="exact"/>
              <w:rPr>
                <w:rFonts w:ascii="宋体" w:hAnsi="宋体" w:cs="宋体"/>
                <w:color w:val="auto"/>
                <w:highlight w:val="none"/>
              </w:rPr>
            </w:pPr>
            <w:r>
              <w:rPr>
                <w:rFonts w:hint="eastAsia" w:ascii="宋体" w:hAnsi="宋体" w:cs="宋体"/>
                <w:color w:val="auto"/>
                <w:highlight w:val="none"/>
              </w:rPr>
              <w:t>主持人按下列程序进行开标：</w:t>
            </w:r>
          </w:p>
          <w:p>
            <w:pPr>
              <w:spacing w:line="300" w:lineRule="exact"/>
              <w:ind w:firstLine="420" w:firstLineChars="200"/>
              <w:rPr>
                <w:rFonts w:ascii="宋体" w:hAnsi="宋体" w:cs="宋体"/>
                <w:color w:val="auto"/>
                <w:highlight w:val="none"/>
              </w:rPr>
            </w:pPr>
            <w:r>
              <w:rPr>
                <w:rFonts w:hint="eastAsia" w:ascii="宋体" w:hAnsi="宋体" w:cs="宋体"/>
                <w:color w:val="auto"/>
                <w:highlight w:val="none"/>
              </w:rPr>
              <w:t>1.宣布开标纪律。</w:t>
            </w:r>
          </w:p>
          <w:p>
            <w:pPr>
              <w:spacing w:line="300" w:lineRule="exact"/>
              <w:ind w:firstLine="420" w:firstLineChars="200"/>
              <w:rPr>
                <w:rFonts w:ascii="宋体" w:hAnsi="宋体" w:cs="宋体"/>
                <w:color w:val="auto"/>
                <w:highlight w:val="none"/>
              </w:rPr>
            </w:pPr>
            <w:r>
              <w:rPr>
                <w:rFonts w:hint="eastAsia" w:ascii="宋体" w:hAnsi="宋体" w:cs="宋体"/>
                <w:color w:val="auto"/>
                <w:highlight w:val="none"/>
              </w:rPr>
              <w:t>2.宣布开标人、唱标人、记录人、监标人等有关信息。</w:t>
            </w:r>
          </w:p>
          <w:p>
            <w:pPr>
              <w:spacing w:line="300" w:lineRule="exact"/>
              <w:ind w:firstLine="420" w:firstLineChars="200"/>
              <w:rPr>
                <w:rFonts w:ascii="宋体" w:hAnsi="宋体" w:cs="宋体"/>
                <w:color w:val="auto"/>
                <w:highlight w:val="none"/>
              </w:rPr>
            </w:pPr>
            <w:r>
              <w:rPr>
                <w:rFonts w:hint="eastAsia" w:ascii="宋体" w:hAnsi="宋体" w:cs="宋体"/>
                <w:color w:val="auto"/>
                <w:highlight w:val="none"/>
              </w:rPr>
              <w:t xml:space="preserve">3.公布在投标截止时间前递交投标文件的投标人名称。 </w:t>
            </w:r>
          </w:p>
          <w:p>
            <w:pPr>
              <w:spacing w:line="300" w:lineRule="exact"/>
              <w:ind w:firstLine="420" w:firstLineChars="200"/>
              <w:rPr>
                <w:rFonts w:ascii="宋体" w:hAnsi="宋体" w:cs="宋体"/>
                <w:color w:val="auto"/>
                <w:highlight w:val="none"/>
              </w:rPr>
            </w:pPr>
            <w:r>
              <w:rPr>
                <w:rFonts w:hint="eastAsia" w:ascii="宋体" w:hAnsi="宋体" w:cs="宋体"/>
                <w:color w:val="auto"/>
                <w:highlight w:val="none"/>
              </w:rPr>
              <w:t>4.投标文件的密封检查：投标人可对自己的投标文件封装情况进行检查，以确认其投标文件密封完好。</w:t>
            </w:r>
          </w:p>
          <w:p>
            <w:pPr>
              <w:spacing w:line="300" w:lineRule="exact"/>
              <w:ind w:firstLine="420" w:firstLineChars="200"/>
              <w:rPr>
                <w:rFonts w:ascii="宋体" w:hAnsi="宋体" w:cs="宋体"/>
                <w:color w:val="auto"/>
                <w:highlight w:val="none"/>
              </w:rPr>
            </w:pPr>
            <w:r>
              <w:rPr>
                <w:rFonts w:hint="eastAsia" w:ascii="宋体" w:hAnsi="宋体" w:cs="宋体"/>
                <w:color w:val="auto"/>
                <w:highlight w:val="none"/>
              </w:rPr>
              <w:t>5.汇总投标保证金交纳情况</w:t>
            </w:r>
          </w:p>
          <w:p>
            <w:pPr>
              <w:spacing w:line="300" w:lineRule="exact"/>
              <w:ind w:firstLine="420" w:firstLineChars="200"/>
              <w:rPr>
                <w:rFonts w:ascii="宋体" w:hAnsi="宋体" w:cs="宋体"/>
                <w:color w:val="auto"/>
                <w:highlight w:val="none"/>
              </w:rPr>
            </w:pPr>
            <w:r>
              <w:rPr>
                <w:rFonts w:hint="eastAsia" w:ascii="宋体" w:hAnsi="宋体" w:cs="宋体"/>
                <w:color w:val="auto"/>
                <w:highlight w:val="none"/>
              </w:rPr>
              <w:t>5.1展示以电子投标保函方式递交投标保证金的保证金交纳情况，应至少包含投标人名称、金额、投标保函提交时间、保函有效期及是否具有不可撤销且见索即付属性等。电子投标保函应在投标截止时间前提交至指定系统，异常情况在开标记录表“异常情况”栏中记录并交由评标委员会评审。</w:t>
            </w:r>
          </w:p>
          <w:p>
            <w:pPr>
              <w:spacing w:line="300" w:lineRule="exact"/>
              <w:ind w:firstLine="420" w:firstLineChars="200"/>
              <w:rPr>
                <w:rFonts w:ascii="宋体" w:hAnsi="宋体" w:cs="宋体"/>
                <w:color w:val="auto"/>
                <w:highlight w:val="none"/>
              </w:rPr>
            </w:pPr>
            <w:r>
              <w:rPr>
                <w:rFonts w:hint="eastAsia" w:ascii="宋体" w:hAnsi="宋体" w:cs="宋体"/>
                <w:color w:val="auto"/>
                <w:highlight w:val="none"/>
              </w:rPr>
              <w:t>5.2展示以电子转账方式递交投标保证金的保证金交纳情况，应至少包含投标人名称、金额、投标保证金打入指定账户的时间等，异常情况在开标记录表“备注”栏中记录并交由评标委员会评审。保证金来款账户非基本账户的，交由评标委员会作否决投标处理。</w:t>
            </w:r>
          </w:p>
          <w:p>
            <w:pPr>
              <w:spacing w:line="300" w:lineRule="exact"/>
              <w:ind w:firstLine="420" w:firstLineChars="200"/>
              <w:rPr>
                <w:rFonts w:ascii="宋体" w:hAnsi="宋体" w:cs="宋体"/>
                <w:color w:val="auto"/>
                <w:highlight w:val="none"/>
              </w:rPr>
            </w:pPr>
            <w:r>
              <w:rPr>
                <w:rFonts w:hint="eastAsia" w:ascii="宋体" w:hAnsi="宋体" w:cs="宋体"/>
                <w:color w:val="auto"/>
                <w:highlight w:val="none"/>
              </w:rPr>
              <w:t>5.3打印所有投标人的投标保证金交纳情況，并由招标人代表、监标人、记录人签名确认。</w:t>
            </w:r>
          </w:p>
          <w:p>
            <w:pPr>
              <w:spacing w:line="300" w:lineRule="exact"/>
              <w:ind w:firstLine="420" w:firstLineChars="200"/>
              <w:rPr>
                <w:rFonts w:ascii="宋体" w:hAnsi="宋体" w:cs="宋体"/>
                <w:color w:val="auto"/>
                <w:highlight w:val="none"/>
              </w:rPr>
            </w:pPr>
            <w:r>
              <w:rPr>
                <w:rFonts w:hint="eastAsia" w:ascii="宋体" w:hAnsi="宋体" w:cs="宋体"/>
                <w:color w:val="auto"/>
                <w:highlight w:val="none"/>
              </w:rPr>
              <w:t>6.</w:t>
            </w:r>
            <w:r>
              <w:rPr>
                <w:rFonts w:hint="eastAsia" w:ascii="宋体" w:hAnsi="宋体"/>
                <w:color w:val="auto"/>
                <w:highlight w:val="none"/>
              </w:rPr>
              <w:t>公布最高限价，采用经评审最低投标价法的系统自动计算最高限价的85%数值，以便评标委员会评审</w:t>
            </w:r>
            <w:r>
              <w:rPr>
                <w:rFonts w:hint="eastAsia" w:ascii="宋体" w:hAnsi="宋体" w:cs="宋体"/>
                <w:color w:val="auto"/>
                <w:highlight w:val="none"/>
              </w:rPr>
              <w:t>。</w:t>
            </w:r>
          </w:p>
          <w:p>
            <w:pPr>
              <w:spacing w:line="300" w:lineRule="exact"/>
              <w:ind w:firstLine="420" w:firstLineChars="200"/>
              <w:rPr>
                <w:rFonts w:ascii="宋体" w:hAnsi="宋体" w:cs="宋体"/>
                <w:color w:val="auto"/>
                <w:highlight w:val="none"/>
              </w:rPr>
            </w:pPr>
            <w:r>
              <w:rPr>
                <w:rFonts w:hint="eastAsia" w:ascii="宋体" w:hAnsi="宋体" w:cs="宋体"/>
                <w:color w:val="auto"/>
                <w:highlight w:val="none"/>
              </w:rPr>
              <w:t>7.随机开启投标文件，并公布投标人名称、投标报价、服务期限等内容并记录在案。</w:t>
            </w:r>
          </w:p>
          <w:p>
            <w:pPr>
              <w:spacing w:line="300" w:lineRule="exact"/>
              <w:ind w:firstLine="420" w:firstLineChars="200"/>
              <w:rPr>
                <w:rFonts w:ascii="宋体" w:hAnsi="宋体" w:cs="宋体"/>
                <w:color w:val="auto"/>
                <w:highlight w:val="none"/>
              </w:rPr>
            </w:pPr>
            <w:r>
              <w:rPr>
                <w:rFonts w:hint="eastAsia" w:ascii="宋体" w:hAnsi="宋体" w:cs="宋体"/>
                <w:color w:val="auto"/>
                <w:highlight w:val="none"/>
              </w:rPr>
              <w:t>8.投标人对开标有异议的，应当场提出，由招标人或代理机构当场答复，并记录到开标记录表中。异议处理完毕后，汇总开标情况，打印开标记录表。</w:t>
            </w:r>
          </w:p>
          <w:p>
            <w:pPr>
              <w:spacing w:line="300" w:lineRule="exact"/>
              <w:ind w:firstLine="420" w:firstLineChars="200"/>
              <w:rPr>
                <w:rFonts w:ascii="宋体" w:hAnsi="宋体" w:cs="宋体"/>
                <w:color w:val="auto"/>
                <w:highlight w:val="none"/>
              </w:rPr>
            </w:pPr>
            <w:r>
              <w:rPr>
                <w:rFonts w:hint="eastAsia" w:ascii="宋体" w:hAnsi="宋体" w:cs="宋体"/>
                <w:color w:val="auto"/>
                <w:highlight w:val="none"/>
              </w:rPr>
              <w:t>9.投标人代表、招标人代表、监标人、记录人等有关人员在开标记录上签名确认。因其他原因未能签名的，视为默认开标结果。</w:t>
            </w:r>
          </w:p>
          <w:p>
            <w:pPr>
              <w:spacing w:line="300" w:lineRule="exact"/>
              <w:ind w:firstLine="420" w:firstLineChars="200"/>
              <w:rPr>
                <w:rFonts w:ascii="宋体" w:hAnsi="宋体" w:cs="宋体"/>
                <w:color w:val="auto"/>
                <w:highlight w:val="none"/>
              </w:rPr>
            </w:pPr>
            <w:r>
              <w:rPr>
                <w:rFonts w:hint="eastAsia" w:ascii="宋体" w:hAnsi="宋体" w:cs="宋体"/>
                <w:color w:val="auto"/>
                <w:highlight w:val="none"/>
              </w:rPr>
              <w:t>10.开标结束。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72" w:type="dxa"/>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6.1.1</w:t>
            </w:r>
          </w:p>
        </w:tc>
        <w:tc>
          <w:tcPr>
            <w:tcW w:w="1567" w:type="dxa"/>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评标委员会</w:t>
            </w:r>
          </w:p>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的组建</w:t>
            </w:r>
          </w:p>
        </w:tc>
        <w:tc>
          <w:tcPr>
            <w:tcW w:w="6718" w:type="dxa"/>
            <w:vAlign w:val="center"/>
          </w:tcPr>
          <w:p>
            <w:pPr>
              <w:spacing w:line="400" w:lineRule="exact"/>
              <w:rPr>
                <w:rFonts w:ascii="宋体" w:hAnsi="宋体" w:cs="宋体"/>
                <w:color w:val="auto"/>
                <w:highlight w:val="none"/>
              </w:rPr>
            </w:pPr>
            <w:r>
              <w:rPr>
                <w:rFonts w:hint="eastAsia" w:ascii="宋体" w:hAnsi="宋体" w:cs="宋体"/>
                <w:color w:val="auto"/>
                <w:highlight w:val="none"/>
              </w:rPr>
              <w:t>由招标人按法律法规及相关规定依法组建评标委员会。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872" w:type="dxa"/>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6.3.2</w:t>
            </w:r>
          </w:p>
        </w:tc>
        <w:tc>
          <w:tcPr>
            <w:tcW w:w="1567" w:type="dxa"/>
            <w:vAlign w:val="center"/>
          </w:tcPr>
          <w:p>
            <w:pPr>
              <w:spacing w:line="400" w:lineRule="exact"/>
              <w:jc w:val="center"/>
              <w:rPr>
                <w:rFonts w:ascii="宋体" w:hAnsi="宋体" w:cs="宋体"/>
                <w:color w:val="auto"/>
                <w:kern w:val="0"/>
                <w:highlight w:val="none"/>
              </w:rPr>
            </w:pPr>
            <w:r>
              <w:rPr>
                <w:rFonts w:hint="eastAsia" w:ascii="宋体" w:hAnsi="宋体" w:cs="宋体"/>
                <w:color w:val="auto"/>
                <w:highlight w:val="none"/>
              </w:rPr>
              <w:t>评标委员会推荐中标候选人的人数</w:t>
            </w:r>
          </w:p>
        </w:tc>
        <w:tc>
          <w:tcPr>
            <w:tcW w:w="6718" w:type="dxa"/>
            <w:vAlign w:val="center"/>
          </w:tcPr>
          <w:p>
            <w:pPr>
              <w:spacing w:line="400" w:lineRule="exact"/>
              <w:rPr>
                <w:rFonts w:ascii="宋体" w:hAnsi="宋体" w:cs="宋体"/>
                <w:color w:val="auto"/>
                <w:highlight w:val="none"/>
              </w:rPr>
            </w:pPr>
            <w:r>
              <w:rPr>
                <w:rFonts w:hint="eastAsia" w:ascii="宋体" w:hAnsi="宋体" w:cs="宋体"/>
                <w:color w:val="auto"/>
                <w:highlight w:val="none"/>
              </w:rPr>
              <w:t>推荐1~3名中标候选人，若不足3名，则按相应家数推荐中标候选人。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 w:type="dxa"/>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7.1</w:t>
            </w:r>
          </w:p>
        </w:tc>
        <w:tc>
          <w:tcPr>
            <w:tcW w:w="1567" w:type="dxa"/>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中标候选人公示媒介及期限</w:t>
            </w:r>
          </w:p>
        </w:tc>
        <w:tc>
          <w:tcPr>
            <w:tcW w:w="6718" w:type="dxa"/>
            <w:vAlign w:val="center"/>
          </w:tcPr>
          <w:p>
            <w:pPr>
              <w:spacing w:line="300" w:lineRule="exact"/>
              <w:rPr>
                <w:rFonts w:ascii="宋体" w:hAnsi="宋体" w:cs="宋体"/>
                <w:color w:val="auto"/>
                <w:highlight w:val="none"/>
              </w:rPr>
            </w:pPr>
            <w:r>
              <w:rPr>
                <w:rFonts w:hint="eastAsia" w:ascii="宋体" w:hAnsi="宋体" w:cs="宋体"/>
                <w:color w:val="auto"/>
                <w:highlight w:val="none"/>
              </w:rPr>
              <w:t>招标人在收到评标报告后3日内将评标结果：</w:t>
            </w:r>
          </w:p>
          <w:p>
            <w:pPr>
              <w:spacing w:line="340" w:lineRule="exact"/>
              <w:rPr>
                <w:rFonts w:ascii="宋体" w:hAnsi="宋体"/>
                <w:color w:val="auto"/>
                <w:highlight w:val="none"/>
              </w:rPr>
            </w:pPr>
            <w:r>
              <w:rPr>
                <w:rFonts w:hint="eastAsia" w:ascii="宋体" w:hAnsi="宋体" w:cs="宋体"/>
                <w:color w:val="auto"/>
                <w:highlight w:val="none"/>
              </w:rPr>
              <w:t>在重庆市公共资源交易网、重庆高速集团官网、重庆高速公路集团有限公司招投标管理平台上进行公示，公示期为3个工作日。为深化信息公开，接受社会监督，本项目将按照《招标公告和公示信息发布管理办法》（国家发改委令第10号）的要求，公示内容包括中标候选人名称、排序、投标报价、服务期限；否决投标情况及理由；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7.2</w:t>
            </w:r>
          </w:p>
        </w:tc>
        <w:tc>
          <w:tcPr>
            <w:tcW w:w="1567" w:type="dxa"/>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评标结果异议</w:t>
            </w:r>
          </w:p>
        </w:tc>
        <w:tc>
          <w:tcPr>
            <w:tcW w:w="6718" w:type="dxa"/>
            <w:vAlign w:val="center"/>
          </w:tcPr>
          <w:p>
            <w:pPr>
              <w:spacing w:line="380" w:lineRule="exact"/>
              <w:rPr>
                <w:rFonts w:ascii="宋体" w:hAnsi="宋体" w:cs="宋体"/>
                <w:color w:val="auto"/>
                <w:highlight w:val="none"/>
              </w:rPr>
            </w:pPr>
            <w:r>
              <w:rPr>
                <w:rFonts w:hint="eastAsia" w:ascii="宋体" w:hAnsi="宋体" w:cs="宋体"/>
                <w:color w:val="auto"/>
                <w:highlight w:val="none"/>
              </w:rPr>
              <w:t>见本章10.1款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 w:type="dxa"/>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7.4</w:t>
            </w:r>
          </w:p>
        </w:tc>
        <w:tc>
          <w:tcPr>
            <w:tcW w:w="1567" w:type="dxa"/>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是否授权评标委员会确定中标</w:t>
            </w:r>
          </w:p>
        </w:tc>
        <w:tc>
          <w:tcPr>
            <w:tcW w:w="6718" w:type="dxa"/>
            <w:vAlign w:val="center"/>
          </w:tcPr>
          <w:p>
            <w:pPr>
              <w:spacing w:line="400" w:lineRule="exact"/>
              <w:rPr>
                <w:rFonts w:ascii="宋体" w:hAnsi="宋体" w:cs="宋体"/>
                <w:color w:val="auto"/>
                <w:kern w:val="0"/>
                <w:highlight w:val="none"/>
              </w:rPr>
            </w:pPr>
            <w:r>
              <w:rPr>
                <w:rFonts w:hint="eastAsia" w:ascii="宋体" w:hAnsi="宋体" w:cs="宋体"/>
                <w:color w:val="auto"/>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 w:type="dxa"/>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7.5</w:t>
            </w:r>
          </w:p>
        </w:tc>
        <w:tc>
          <w:tcPr>
            <w:tcW w:w="1567" w:type="dxa"/>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中标通知书发出的形式</w:t>
            </w:r>
          </w:p>
        </w:tc>
        <w:tc>
          <w:tcPr>
            <w:tcW w:w="6718" w:type="dxa"/>
            <w:vAlign w:val="center"/>
          </w:tcPr>
          <w:p>
            <w:pPr>
              <w:spacing w:line="340" w:lineRule="exact"/>
              <w:jc w:val="left"/>
              <w:rPr>
                <w:rFonts w:ascii="宋体" w:hAnsi="宋体" w:cs="宋体"/>
                <w:color w:val="auto"/>
                <w:highlight w:val="none"/>
              </w:rPr>
            </w:pPr>
            <w:r>
              <w:rPr>
                <w:rFonts w:hint="eastAsia" w:ascii="宋体" w:hAnsi="宋体" w:cs="宋体"/>
                <w:color w:val="auto"/>
                <w:highlight w:val="none"/>
              </w:rPr>
              <w:t>招标人以书面形式向中标人发出中标通知书。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Align w:val="center"/>
          </w:tcPr>
          <w:p>
            <w:pPr>
              <w:spacing w:line="400" w:lineRule="exact"/>
              <w:jc w:val="center"/>
              <w:rPr>
                <w:rFonts w:ascii="宋体" w:hAnsi="宋体" w:cs="宋体"/>
                <w:color w:val="auto"/>
                <w:kern w:val="0"/>
                <w:highlight w:val="none"/>
              </w:rPr>
            </w:pPr>
            <w:r>
              <w:rPr>
                <w:rFonts w:hint="eastAsia" w:ascii="宋体" w:hAnsi="宋体" w:cs="宋体"/>
                <w:color w:val="auto"/>
                <w:kern w:val="0"/>
                <w:highlight w:val="none"/>
              </w:rPr>
              <w:t>7.7</w:t>
            </w:r>
          </w:p>
        </w:tc>
        <w:tc>
          <w:tcPr>
            <w:tcW w:w="1567" w:type="dxa"/>
            <w:vAlign w:val="center"/>
          </w:tcPr>
          <w:p>
            <w:pPr>
              <w:spacing w:line="400" w:lineRule="exact"/>
              <w:jc w:val="center"/>
              <w:rPr>
                <w:rFonts w:ascii="宋体" w:hAnsi="宋体" w:cs="宋体"/>
                <w:color w:val="auto"/>
                <w:kern w:val="0"/>
                <w:highlight w:val="none"/>
              </w:rPr>
            </w:pPr>
            <w:r>
              <w:rPr>
                <w:rFonts w:hint="eastAsia" w:ascii="宋体" w:hAnsi="宋体" w:cs="宋体"/>
                <w:color w:val="auto"/>
                <w:highlight w:val="none"/>
              </w:rPr>
              <w:t>履约担保</w:t>
            </w:r>
          </w:p>
        </w:tc>
        <w:tc>
          <w:tcPr>
            <w:tcW w:w="6718" w:type="dxa"/>
          </w:tcPr>
          <w:p>
            <w:pPr>
              <w:spacing w:line="360" w:lineRule="exact"/>
              <w:rPr>
                <w:rFonts w:hint="eastAsia" w:ascii="宋体" w:hAnsi="宋体" w:cs="宋体"/>
                <w:color w:val="auto"/>
                <w:highlight w:val="none"/>
              </w:rPr>
            </w:pPr>
            <w:r>
              <w:rPr>
                <w:rFonts w:hint="eastAsia" w:ascii="宋体" w:hAnsi="宋体" w:cs="宋体"/>
                <w:color w:val="auto"/>
                <w:highlight w:val="none"/>
              </w:rPr>
              <w:t>1、中标人是否提供履约担保：提供。</w:t>
            </w:r>
          </w:p>
          <w:p>
            <w:pPr>
              <w:spacing w:line="360" w:lineRule="exact"/>
              <w:rPr>
                <w:rFonts w:hint="eastAsia" w:ascii="宋体" w:hAnsi="宋体" w:cs="宋体"/>
                <w:color w:val="auto"/>
                <w:highlight w:val="none"/>
              </w:rPr>
            </w:pPr>
            <w:r>
              <w:rPr>
                <w:rFonts w:hint="eastAsia" w:ascii="宋体" w:hAnsi="宋体" w:cs="宋体"/>
                <w:color w:val="auto"/>
                <w:highlight w:val="none"/>
              </w:rPr>
              <w:t>2、中标人提供履约担保的形式、金额及期限：</w:t>
            </w:r>
          </w:p>
          <w:p>
            <w:pPr>
              <w:spacing w:line="360" w:lineRule="exact"/>
              <w:rPr>
                <w:rFonts w:hint="eastAsia" w:ascii="宋体" w:hAnsi="宋体" w:cs="宋体"/>
                <w:color w:val="auto"/>
                <w:highlight w:val="none"/>
              </w:rPr>
            </w:pPr>
            <w:r>
              <w:rPr>
                <w:rFonts w:hint="eastAsia" w:ascii="宋体" w:hAnsi="宋体" w:cs="宋体"/>
                <w:color w:val="auto"/>
                <w:highlight w:val="none"/>
              </w:rPr>
              <w:t>（1）履约担保的形式：现金或履约保函或现金+履约保函的组合，履约保函包括银行保函、保证保险和担保保函，其示范文本详见第四章合同条款及格式附件。中标人提交的履约保函应严格执行其示范文本，不得对示范文本中的实质性内容进行修改。</w:t>
            </w:r>
          </w:p>
          <w:p>
            <w:pPr>
              <w:spacing w:line="360" w:lineRule="exact"/>
              <w:rPr>
                <w:rFonts w:hint="eastAsia" w:ascii="宋体" w:hAnsi="宋体" w:cs="宋体"/>
                <w:color w:val="auto"/>
                <w:highlight w:val="none"/>
              </w:rPr>
            </w:pPr>
            <w:r>
              <w:rPr>
                <w:rFonts w:hint="eastAsia" w:ascii="宋体" w:hAnsi="宋体" w:cs="宋体"/>
                <w:color w:val="auto"/>
                <w:highlight w:val="none"/>
              </w:rPr>
              <w:t>（2）具体要求：履约保函的开立人应当是具有相应资格的银行、保险机构、融资担保公司，其信用资质、履约能力、担保能力、赔付流程、安全保密等应符合履约保函业务条件。履约保函应合法合规，符合招投标行政监督部门、行业主管部门和金融监管部门的相关规定，满足招标文件约定要求。中标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中标人对所提交的履约保函的真实性、合法性、有效性负责。</w:t>
            </w:r>
          </w:p>
          <w:p>
            <w:pPr>
              <w:spacing w:line="360" w:lineRule="exact"/>
              <w:rPr>
                <w:rFonts w:hint="eastAsia" w:ascii="宋体" w:hAnsi="宋体" w:cs="宋体"/>
                <w:color w:val="auto"/>
                <w:highlight w:val="none"/>
              </w:rPr>
            </w:pPr>
            <w:r>
              <w:rPr>
                <w:rFonts w:hint="eastAsia" w:ascii="宋体" w:hAnsi="宋体" w:cs="宋体"/>
                <w:color w:val="auto"/>
                <w:highlight w:val="none"/>
              </w:rPr>
              <w:t>（3）履约担保的金额：</w:t>
            </w:r>
            <w:r>
              <w:rPr>
                <w:rFonts w:hint="eastAsia" w:ascii="宋体" w:hAnsi="宋体" w:cs="宋体"/>
                <w:color w:val="auto"/>
                <w:highlight w:val="none"/>
                <w:u w:val="single"/>
              </w:rPr>
              <w:t>中标金额的</w:t>
            </w:r>
            <w:r>
              <w:rPr>
                <w:rFonts w:hint="eastAsia" w:ascii="宋体" w:hAnsi="宋体" w:cs="宋体"/>
                <w:color w:val="auto"/>
                <w:highlight w:val="none"/>
                <w:u w:val="single"/>
                <w:lang w:val="en-US" w:eastAsia="zh-CN"/>
              </w:rPr>
              <w:t>1</w:t>
            </w:r>
            <w:r>
              <w:rPr>
                <w:rFonts w:hint="eastAsia" w:ascii="宋体" w:hAnsi="宋体" w:cs="宋体"/>
                <w:color w:val="auto"/>
                <w:highlight w:val="none"/>
                <w:u w:val="single"/>
              </w:rPr>
              <w:t>%</w:t>
            </w:r>
            <w:r>
              <w:rPr>
                <w:rFonts w:hint="eastAsia" w:ascii="宋体" w:hAnsi="宋体" w:cs="宋体"/>
                <w:color w:val="auto"/>
                <w:highlight w:val="none"/>
              </w:rPr>
              <w:t>。</w:t>
            </w:r>
          </w:p>
          <w:p>
            <w:pPr>
              <w:spacing w:line="360" w:lineRule="exact"/>
              <w:rPr>
                <w:rFonts w:hint="eastAsia" w:ascii="宋体" w:hAnsi="宋体" w:cs="宋体"/>
                <w:color w:val="auto"/>
                <w:highlight w:val="none"/>
              </w:rPr>
            </w:pPr>
            <w:r>
              <w:rPr>
                <w:rFonts w:hint="eastAsia" w:ascii="宋体" w:hAnsi="宋体" w:cs="宋体"/>
                <w:color w:val="auto"/>
                <w:highlight w:val="none"/>
              </w:rPr>
              <w:t>（4）履约担保的提交时间：见合同条款。</w:t>
            </w:r>
          </w:p>
          <w:p>
            <w:pPr>
              <w:spacing w:line="360" w:lineRule="exact"/>
              <w:rPr>
                <w:rFonts w:hint="eastAsia" w:ascii="宋体" w:hAnsi="宋体" w:cs="宋体"/>
                <w:color w:val="auto"/>
                <w:highlight w:val="none"/>
              </w:rPr>
            </w:pPr>
            <w:r>
              <w:rPr>
                <w:rFonts w:hint="eastAsia" w:ascii="宋体" w:hAnsi="宋体" w:cs="宋体"/>
                <w:color w:val="auto"/>
                <w:highlight w:val="none"/>
              </w:rPr>
              <w:t>（5）履约担保的期限：见合同条款。</w:t>
            </w:r>
          </w:p>
          <w:p>
            <w:pPr>
              <w:tabs>
                <w:tab w:val="left" w:pos="220"/>
              </w:tabs>
              <w:spacing w:line="340" w:lineRule="exact"/>
              <w:jc w:val="left"/>
              <w:rPr>
                <w:rFonts w:ascii="宋体" w:hAnsi="宋体" w:cs="宋体"/>
                <w:color w:val="auto"/>
                <w:kern w:val="0"/>
                <w:highlight w:val="none"/>
              </w:rPr>
            </w:pPr>
            <w:r>
              <w:rPr>
                <w:rFonts w:hint="eastAsia" w:ascii="宋体" w:hAnsi="宋体" w:cs="宋体"/>
                <w:color w:val="auto"/>
                <w:highlight w:val="none"/>
              </w:rPr>
              <w:t>（6）履约担保的退还时间：见合同条款。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8.5.1</w:t>
            </w:r>
          </w:p>
        </w:tc>
        <w:tc>
          <w:tcPr>
            <w:tcW w:w="1567"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监督部门</w:t>
            </w:r>
          </w:p>
        </w:tc>
        <w:tc>
          <w:tcPr>
            <w:tcW w:w="6718" w:type="dxa"/>
            <w:vAlign w:val="center"/>
          </w:tcPr>
          <w:p>
            <w:pPr>
              <w:spacing w:line="360" w:lineRule="exact"/>
              <w:rPr>
                <w:rFonts w:ascii="宋体" w:hAnsi="宋体"/>
                <w:color w:val="auto"/>
                <w:highlight w:val="none"/>
              </w:rPr>
            </w:pPr>
            <w:r>
              <w:rPr>
                <w:rFonts w:hint="eastAsia" w:ascii="宋体" w:hAnsi="宋体"/>
                <w:color w:val="auto"/>
                <w:highlight w:val="none"/>
              </w:rPr>
              <w:t>见本章10.1款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72"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9</w:t>
            </w:r>
          </w:p>
        </w:tc>
        <w:tc>
          <w:tcPr>
            <w:tcW w:w="1567" w:type="dxa"/>
            <w:vAlign w:val="center"/>
          </w:tcPr>
          <w:p>
            <w:pPr>
              <w:spacing w:line="400" w:lineRule="exact"/>
              <w:jc w:val="center"/>
              <w:rPr>
                <w:rFonts w:ascii="宋体" w:hAnsi="宋体" w:cs="宋体"/>
                <w:color w:val="auto"/>
                <w:highlight w:val="none"/>
              </w:rPr>
            </w:pPr>
            <w:r>
              <w:rPr>
                <w:rFonts w:hint="eastAsia" w:ascii="宋体" w:hAnsi="宋体" w:cs="宋体"/>
                <w:color w:val="auto"/>
                <w:highlight w:val="none"/>
              </w:rPr>
              <w:t>是否采用电子招标投标</w:t>
            </w:r>
          </w:p>
        </w:tc>
        <w:tc>
          <w:tcPr>
            <w:tcW w:w="6718" w:type="dxa"/>
            <w:vAlign w:val="center"/>
          </w:tcPr>
          <w:p>
            <w:pPr>
              <w:spacing w:line="400" w:lineRule="exact"/>
              <w:rPr>
                <w:rFonts w:ascii="宋体" w:hAnsi="宋体" w:cs="宋体"/>
                <w:color w:val="auto"/>
                <w:highlight w:val="none"/>
              </w:rPr>
            </w:pPr>
            <w:r>
              <w:rPr>
                <w:rFonts w:hint="eastAsia" w:ascii="宋体" w:hAnsi="宋体" w:cs="宋体"/>
                <w:color w:val="auto"/>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157" w:type="dxa"/>
            <w:gridSpan w:val="3"/>
            <w:vAlign w:val="center"/>
          </w:tcPr>
          <w:p>
            <w:pPr>
              <w:spacing w:line="400" w:lineRule="exact"/>
              <w:rPr>
                <w:rFonts w:ascii="宋体" w:hAnsi="宋体" w:cs="宋体"/>
                <w:b/>
                <w:color w:val="auto"/>
                <w:kern w:val="0"/>
                <w:highlight w:val="none"/>
              </w:rPr>
            </w:pPr>
            <w:r>
              <w:rPr>
                <w:rFonts w:hint="eastAsia" w:ascii="宋体" w:hAnsi="宋体" w:cs="宋体"/>
                <w:b/>
                <w:color w:val="auto"/>
                <w:kern w:val="0"/>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72" w:type="dxa"/>
            <w:vAlign w:val="center"/>
          </w:tcPr>
          <w:p>
            <w:pPr>
              <w:spacing w:line="400" w:lineRule="exact"/>
              <w:jc w:val="center"/>
              <w:rPr>
                <w:rFonts w:ascii="宋体" w:hAnsi="宋体" w:cs="宋体"/>
                <w:b/>
                <w:color w:val="auto"/>
                <w:kern w:val="0"/>
                <w:highlight w:val="none"/>
              </w:rPr>
            </w:pPr>
            <w:r>
              <w:rPr>
                <w:rFonts w:ascii="宋体" w:hAnsi="宋体" w:cs="Times New Roman"/>
                <w:color w:val="auto"/>
                <w:highlight w:val="none"/>
              </w:rPr>
              <w:t>10.1</w:t>
            </w:r>
          </w:p>
        </w:tc>
        <w:tc>
          <w:tcPr>
            <w:tcW w:w="1567" w:type="dxa"/>
            <w:vAlign w:val="center"/>
          </w:tcPr>
          <w:p>
            <w:pPr>
              <w:spacing w:line="300" w:lineRule="exact"/>
              <w:jc w:val="center"/>
              <w:rPr>
                <w:rFonts w:ascii="宋体" w:hAnsi="宋体" w:cs="宋体"/>
                <w:color w:val="auto"/>
                <w:highlight w:val="none"/>
              </w:rPr>
            </w:pPr>
            <w:r>
              <w:rPr>
                <w:rFonts w:hint="eastAsia" w:ascii="宋体" w:hAnsi="宋体" w:cs="宋体"/>
                <w:color w:val="auto"/>
                <w:kern w:val="0"/>
                <w:highlight w:val="none"/>
              </w:rPr>
              <w:t>异议、投诉处理</w:t>
            </w:r>
          </w:p>
        </w:tc>
        <w:tc>
          <w:tcPr>
            <w:tcW w:w="6718" w:type="dxa"/>
            <w:vAlign w:val="center"/>
          </w:tcPr>
          <w:p>
            <w:pPr>
              <w:widowControl/>
              <w:spacing w:line="320" w:lineRule="exact"/>
              <w:ind w:firstLine="420" w:firstLineChars="200"/>
              <w:rPr>
                <w:color w:val="auto"/>
                <w:highlight w:val="none"/>
              </w:rPr>
            </w:pPr>
            <w:r>
              <w:rPr>
                <w:rFonts w:hint="eastAsia"/>
                <w:color w:val="auto"/>
                <w:highlight w:val="none"/>
              </w:rPr>
              <w:t>1. 投标人或者其他利害关系人就本项目的招标文件（含澄清修改）、开标情况、评标结果等事项提出异议或投诉的，应当先向招标人提出异议；招标人应当在规定时间内答复；对招标人的答复不满意，可向行政监督部门投诉。</w:t>
            </w:r>
          </w:p>
          <w:p>
            <w:pPr>
              <w:widowControl/>
              <w:spacing w:line="320" w:lineRule="exact"/>
              <w:ind w:firstLine="420" w:firstLineChars="200"/>
              <w:rPr>
                <w:color w:val="auto"/>
                <w:highlight w:val="none"/>
              </w:rPr>
            </w:pPr>
            <w:r>
              <w:rPr>
                <w:rFonts w:hint="eastAsia"/>
                <w:color w:val="auto"/>
                <w:highlight w:val="none"/>
              </w:rPr>
              <w:t>提出异议或投诉时应当包括下列内容：</w:t>
            </w:r>
          </w:p>
          <w:p>
            <w:pPr>
              <w:widowControl/>
              <w:spacing w:line="320" w:lineRule="exact"/>
              <w:ind w:firstLine="420" w:firstLineChars="200"/>
              <w:rPr>
                <w:color w:val="auto"/>
                <w:highlight w:val="none"/>
              </w:rPr>
            </w:pPr>
            <w:r>
              <w:rPr>
                <w:rFonts w:hint="eastAsia"/>
                <w:color w:val="auto"/>
                <w:highlight w:val="none"/>
              </w:rPr>
              <w:t>（1）异议人或投诉人的名称、地址及有效联系方式；</w:t>
            </w:r>
          </w:p>
          <w:p>
            <w:pPr>
              <w:widowControl/>
              <w:spacing w:line="320" w:lineRule="exact"/>
              <w:ind w:firstLine="420" w:firstLineChars="200"/>
              <w:rPr>
                <w:color w:val="auto"/>
                <w:highlight w:val="none"/>
              </w:rPr>
            </w:pPr>
            <w:r>
              <w:rPr>
                <w:rFonts w:hint="eastAsia"/>
                <w:color w:val="auto"/>
                <w:highlight w:val="none"/>
              </w:rPr>
              <w:t>（2）被异议人或投诉人的名称、地址及有效联系方式；</w:t>
            </w:r>
          </w:p>
          <w:p>
            <w:pPr>
              <w:widowControl/>
              <w:spacing w:line="320" w:lineRule="exact"/>
              <w:ind w:firstLine="420" w:firstLineChars="200"/>
              <w:rPr>
                <w:color w:val="auto"/>
                <w:highlight w:val="none"/>
              </w:rPr>
            </w:pPr>
            <w:r>
              <w:rPr>
                <w:rFonts w:hint="eastAsia"/>
                <w:color w:val="auto"/>
                <w:highlight w:val="none"/>
              </w:rPr>
              <w:t>（3）异议或投诉事项的基本事实；</w:t>
            </w:r>
          </w:p>
          <w:p>
            <w:pPr>
              <w:widowControl/>
              <w:spacing w:line="320" w:lineRule="exact"/>
              <w:ind w:firstLine="420" w:firstLineChars="200"/>
              <w:rPr>
                <w:color w:val="auto"/>
                <w:highlight w:val="none"/>
              </w:rPr>
            </w:pPr>
            <w:r>
              <w:rPr>
                <w:rFonts w:hint="eastAsia"/>
                <w:color w:val="auto"/>
                <w:highlight w:val="none"/>
              </w:rPr>
              <w:t>（4）请求及主张；</w:t>
            </w:r>
          </w:p>
          <w:p>
            <w:pPr>
              <w:widowControl/>
              <w:spacing w:line="320" w:lineRule="exact"/>
              <w:ind w:firstLine="420" w:firstLineChars="200"/>
              <w:rPr>
                <w:color w:val="auto"/>
                <w:highlight w:val="none"/>
              </w:rPr>
            </w:pPr>
            <w:r>
              <w:rPr>
                <w:rFonts w:hint="eastAsia"/>
                <w:color w:val="auto"/>
                <w:highlight w:val="none"/>
              </w:rPr>
              <w:t>（5）涉及事项的证据、证明材料。</w:t>
            </w:r>
          </w:p>
          <w:p>
            <w:pPr>
              <w:widowControl/>
              <w:spacing w:line="320" w:lineRule="exact"/>
              <w:ind w:firstLine="420" w:firstLineChars="200"/>
              <w:rPr>
                <w:color w:val="auto"/>
                <w:highlight w:val="none"/>
              </w:rPr>
            </w:pPr>
            <w:r>
              <w:rPr>
                <w:rFonts w:hint="eastAsia"/>
                <w:color w:val="auto"/>
                <w:highlight w:val="none"/>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pPr>
              <w:widowControl/>
              <w:spacing w:line="320" w:lineRule="exact"/>
              <w:ind w:firstLine="420" w:firstLineChars="200"/>
              <w:rPr>
                <w:rFonts w:ascii="宋体" w:hAns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行政监督部门依照《中华人民共和国招标投标法》、《中华人民共和国招标投标法实施条例》、《公路工程建设项目招标投标管理办法》、《重庆市招标投标条例》、《工程建设项目招标投标活动投诉处理办法》（七部委令第11号（根据九部门2013年第23号令修正））、《重庆市招标投标活动投诉处理实施细则》（修订）（渝公管发[2021]54号）等法律法规文件处理投诉。</w:t>
            </w:r>
          </w:p>
          <w:p>
            <w:pPr>
              <w:widowControl/>
              <w:spacing w:line="320" w:lineRule="exact"/>
              <w:ind w:firstLine="420" w:firstLineChars="200"/>
              <w:rPr>
                <w:rFonts w:ascii="宋体" w:hAnsi="宋体"/>
                <w:color w:val="auto"/>
                <w:kern w:val="0"/>
                <w:highlight w:val="none"/>
              </w:rPr>
            </w:pPr>
            <w:r>
              <w:rPr>
                <w:rFonts w:ascii="宋体" w:hAnsi="宋体"/>
                <w:color w:val="auto"/>
                <w:kern w:val="0"/>
                <w:highlight w:val="none"/>
              </w:rPr>
              <w:t>3. 根据《重庆市工程建设领域招标投标信用管理暂行办法》的规定，投标人捏造事实、伪造材料，或者以非法手段获取证明材料进行质疑或者投诉的，将被列入黑名单管理；给他人造成损失的，依法承担赔偿责任。</w:t>
            </w:r>
          </w:p>
          <w:p>
            <w:pPr>
              <w:widowControl/>
              <w:spacing w:line="320" w:lineRule="exact"/>
              <w:ind w:firstLine="420" w:firstLineChars="200"/>
              <w:rPr>
                <w:rFonts w:ascii="宋体" w:hAnsi="宋体"/>
                <w:color w:val="auto"/>
                <w:kern w:val="0"/>
                <w:highlight w:val="none"/>
              </w:rPr>
            </w:pPr>
            <w:r>
              <w:rPr>
                <w:rFonts w:ascii="宋体" w:hAnsi="宋体"/>
                <w:color w:val="auto"/>
                <w:kern w:val="0"/>
                <w:highlight w:val="none"/>
              </w:rPr>
              <w:t>4. 异议受理单位：</w:t>
            </w:r>
            <w:r>
              <w:rPr>
                <w:rFonts w:hint="eastAsia" w:ascii="宋体" w:hAnsi="宋体"/>
                <w:color w:val="auto"/>
                <w:kern w:val="0"/>
                <w:highlight w:val="none"/>
              </w:rPr>
              <w:t>重庆渝广梁忠高速公路有限公司</w:t>
            </w:r>
          </w:p>
          <w:p>
            <w:pPr>
              <w:widowControl/>
              <w:spacing w:line="320" w:lineRule="exact"/>
              <w:ind w:firstLine="420" w:firstLineChars="200"/>
              <w:rPr>
                <w:rFonts w:ascii="宋体" w:hAnsi="宋体"/>
                <w:color w:val="auto"/>
                <w:kern w:val="0"/>
                <w:highlight w:val="none"/>
              </w:rPr>
            </w:pPr>
            <w:r>
              <w:rPr>
                <w:rFonts w:ascii="宋体" w:hAnsi="宋体"/>
                <w:color w:val="auto"/>
                <w:kern w:val="0"/>
                <w:highlight w:val="none"/>
              </w:rPr>
              <w:t>电  话：</w:t>
            </w:r>
            <w:r>
              <w:rPr>
                <w:rFonts w:hint="eastAsia" w:ascii="宋体" w:hAnsi="宋体"/>
                <w:color w:val="auto"/>
                <w:kern w:val="0"/>
                <w:highlight w:val="none"/>
              </w:rPr>
              <w:t xml:space="preserve">023-68317987 </w:t>
            </w:r>
          </w:p>
          <w:p>
            <w:pPr>
              <w:widowControl/>
              <w:spacing w:line="320" w:lineRule="exact"/>
              <w:ind w:firstLine="420" w:firstLineChars="200"/>
              <w:rPr>
                <w:rFonts w:ascii="宋体" w:hAnsi="宋体"/>
                <w:color w:val="auto"/>
                <w:kern w:val="0"/>
                <w:highlight w:val="none"/>
              </w:rPr>
            </w:pPr>
            <w:r>
              <w:rPr>
                <w:rFonts w:hint="eastAsia" w:ascii="宋体" w:hAnsi="宋体"/>
                <w:color w:val="auto"/>
                <w:kern w:val="0"/>
                <w:highlight w:val="none"/>
              </w:rPr>
              <w:t>投诉受理部门：重庆渝广梁忠高速公路有限公司 纪律检查室</w:t>
            </w:r>
          </w:p>
          <w:p>
            <w:pPr>
              <w:widowControl/>
              <w:spacing w:line="320" w:lineRule="exact"/>
              <w:ind w:firstLine="420" w:firstLineChars="200"/>
              <w:rPr>
                <w:rFonts w:ascii="宋体" w:hAnsi="宋体" w:cs="宋体"/>
                <w:color w:val="auto"/>
                <w:highlight w:val="none"/>
              </w:rPr>
            </w:pPr>
            <w:r>
              <w:rPr>
                <w:rFonts w:hint="eastAsia" w:ascii="宋体" w:hAnsi="宋体"/>
                <w:color w:val="auto"/>
                <w:kern w:val="0"/>
                <w:highlight w:val="none"/>
              </w:rPr>
              <w:t>联系电话：023-68315675</w:t>
            </w:r>
            <w:r>
              <w:rPr>
                <w:rFonts w:hint="eastAsia" w:ascii="宋体" w:hAnsi="宋体" w:cs="宋体"/>
                <w:color w:val="auto"/>
                <w:highlight w:val="none"/>
              </w:rPr>
              <w:t xml:space="preserve"> </w:t>
            </w:r>
            <w:r>
              <w:rPr>
                <w:rFonts w:hint="eastAsia" w:ascii="宋体" w:hAnsi="宋体"/>
                <w:color w:val="auto"/>
                <w:kern w:val="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72" w:type="dxa"/>
            <w:vAlign w:val="center"/>
          </w:tcPr>
          <w:p>
            <w:pPr>
              <w:spacing w:line="400" w:lineRule="exact"/>
              <w:jc w:val="center"/>
              <w:rPr>
                <w:rFonts w:ascii="宋体" w:hAnsi="宋体" w:cs="Times New Roman"/>
                <w:color w:val="auto"/>
                <w:highlight w:val="none"/>
              </w:rPr>
            </w:pPr>
            <w:r>
              <w:rPr>
                <w:rFonts w:hint="eastAsia" w:ascii="宋体" w:hAnsi="宋体" w:cs="Times New Roman"/>
                <w:color w:val="auto"/>
                <w:highlight w:val="none"/>
              </w:rPr>
              <w:t>10.2</w:t>
            </w:r>
          </w:p>
        </w:tc>
        <w:tc>
          <w:tcPr>
            <w:tcW w:w="1567" w:type="dxa"/>
            <w:vAlign w:val="center"/>
          </w:tcPr>
          <w:p>
            <w:pPr>
              <w:spacing w:line="300" w:lineRule="exact"/>
              <w:jc w:val="center"/>
              <w:rPr>
                <w:rFonts w:ascii="宋体" w:hAnsi="宋体" w:cs="宋体"/>
                <w:color w:val="auto"/>
                <w:kern w:val="0"/>
                <w:highlight w:val="none"/>
              </w:rPr>
            </w:pPr>
            <w:r>
              <w:rPr>
                <w:rFonts w:hint="eastAsia" w:ascii="宋体" w:hAnsi="宋体" w:cs="宋体"/>
                <w:color w:val="auto"/>
                <w:kern w:val="0"/>
                <w:highlight w:val="none"/>
              </w:rPr>
              <w:t>关于对招标文件及投标争议的解释</w:t>
            </w:r>
          </w:p>
        </w:tc>
        <w:tc>
          <w:tcPr>
            <w:tcW w:w="6718" w:type="dxa"/>
            <w:vAlign w:val="center"/>
          </w:tcPr>
          <w:p>
            <w:pPr>
              <w:autoSpaceDE w:val="0"/>
              <w:autoSpaceDN w:val="0"/>
              <w:adjustRightInd w:val="0"/>
              <w:spacing w:line="3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对资格预审文件或者招标文件的评标标准和方法，以及资格审查和否决投标条款理解有争议的，应当作出不利于招标人的解释，但违背国家利益、社会公共利益的除外。</w:t>
            </w:r>
          </w:p>
          <w:p>
            <w:pPr>
              <w:autoSpaceDE w:val="0"/>
              <w:autoSpaceDN w:val="0"/>
              <w:adjustRightInd w:val="0"/>
              <w:spacing w:line="3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对投标文件理解有争议的，应当作出不利于提交该投标文件的投标人的解释。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72" w:type="dxa"/>
            <w:vAlign w:val="center"/>
          </w:tcPr>
          <w:p>
            <w:pPr>
              <w:spacing w:line="400" w:lineRule="exact"/>
              <w:jc w:val="center"/>
              <w:rPr>
                <w:rFonts w:ascii="宋体" w:hAnsi="宋体" w:cs="Times New Roman"/>
                <w:color w:val="auto"/>
                <w:highlight w:val="none"/>
              </w:rPr>
            </w:pPr>
            <w:r>
              <w:rPr>
                <w:rFonts w:hint="eastAsia" w:ascii="宋体" w:hAnsi="宋体" w:cs="Times New Roman"/>
                <w:color w:val="auto"/>
                <w:highlight w:val="none"/>
              </w:rPr>
              <w:t>10.3</w:t>
            </w:r>
          </w:p>
        </w:tc>
        <w:tc>
          <w:tcPr>
            <w:tcW w:w="1567" w:type="dxa"/>
            <w:vAlign w:val="center"/>
          </w:tcPr>
          <w:p>
            <w:pPr>
              <w:snapToGrid w:val="0"/>
              <w:spacing w:line="400" w:lineRule="exact"/>
              <w:jc w:val="center"/>
              <w:rPr>
                <w:rFonts w:ascii="宋体" w:hAnsi="宋体"/>
                <w:color w:val="auto"/>
                <w:kern w:val="0"/>
                <w:highlight w:val="none"/>
              </w:rPr>
            </w:pPr>
            <w:r>
              <w:rPr>
                <w:rFonts w:hint="eastAsia" w:ascii="宋体" w:hAnsi="宋体"/>
                <w:color w:val="auto"/>
                <w:kern w:val="0"/>
                <w:highlight w:val="none"/>
              </w:rPr>
              <w:t>低价风险担保</w:t>
            </w:r>
          </w:p>
          <w:p>
            <w:pPr>
              <w:spacing w:line="300" w:lineRule="exact"/>
              <w:jc w:val="center"/>
              <w:rPr>
                <w:rFonts w:ascii="宋体" w:hAnsi="宋体" w:cs="宋体"/>
                <w:color w:val="auto"/>
                <w:kern w:val="0"/>
                <w:highlight w:val="none"/>
              </w:rPr>
            </w:pPr>
          </w:p>
        </w:tc>
        <w:tc>
          <w:tcPr>
            <w:tcW w:w="6718" w:type="dxa"/>
            <w:vAlign w:val="center"/>
          </w:tcPr>
          <w:p>
            <w:pPr>
              <w:autoSpaceDE w:val="0"/>
              <w:autoSpaceDN w:val="0"/>
              <w:adjustRightInd w:val="0"/>
              <w:spacing w:line="340" w:lineRule="exact"/>
              <w:rPr>
                <w:rFonts w:ascii="宋体"/>
                <w:color w:val="auto"/>
                <w:kern w:val="0"/>
                <w:highlight w:val="none"/>
              </w:rPr>
            </w:pPr>
            <w:r>
              <w:rPr>
                <w:rFonts w:hint="eastAsia" w:ascii="宋体"/>
                <w:color w:val="auto"/>
                <w:kern w:val="0"/>
                <w:highlight w:val="none"/>
              </w:rPr>
              <w:t>低价风险担保：</w:t>
            </w:r>
          </w:p>
          <w:p>
            <w:pPr>
              <w:autoSpaceDE w:val="0"/>
              <w:autoSpaceDN w:val="0"/>
              <w:adjustRightInd w:val="0"/>
              <w:spacing w:line="340" w:lineRule="exact"/>
              <w:rPr>
                <w:rFonts w:ascii="宋体"/>
                <w:color w:val="auto"/>
                <w:kern w:val="0"/>
                <w:highlight w:val="none"/>
              </w:rPr>
            </w:pPr>
            <w:r>
              <w:rPr>
                <w:rFonts w:hint="eastAsia" w:ascii="宋体"/>
                <w:color w:val="auto"/>
                <w:kern w:val="0"/>
                <w:highlight w:val="none"/>
              </w:rPr>
              <w:t>1、低价风险担保：中标价低于最高限价的85%时提供，如不按时足额提供，视为中标人放弃中标，招标人有权不退还其投标保证金，招标投标行政监督部门应当按照信用管理办法的规定，对中标人的不良行为直接记12分，纳入重点关注名单。</w:t>
            </w:r>
          </w:p>
          <w:p>
            <w:pPr>
              <w:autoSpaceDE w:val="0"/>
              <w:autoSpaceDN w:val="0"/>
              <w:adjustRightInd w:val="0"/>
              <w:spacing w:line="340" w:lineRule="exact"/>
              <w:rPr>
                <w:rFonts w:ascii="宋体"/>
                <w:color w:val="auto"/>
                <w:kern w:val="0"/>
                <w:highlight w:val="none"/>
              </w:rPr>
            </w:pPr>
            <w:r>
              <w:rPr>
                <w:rFonts w:hint="eastAsia" w:ascii="宋体"/>
                <w:color w:val="auto"/>
                <w:kern w:val="0"/>
                <w:highlight w:val="none"/>
              </w:rPr>
              <w:t>2、中标人提供低价风险担保的形式、金额及期限：</w:t>
            </w:r>
          </w:p>
          <w:p>
            <w:pPr>
              <w:autoSpaceDE w:val="0"/>
              <w:autoSpaceDN w:val="0"/>
              <w:adjustRightInd w:val="0"/>
              <w:spacing w:line="340" w:lineRule="exact"/>
              <w:rPr>
                <w:rFonts w:ascii="宋体"/>
                <w:color w:val="auto"/>
                <w:kern w:val="0"/>
                <w:highlight w:val="none"/>
              </w:rPr>
            </w:pPr>
            <w:r>
              <w:rPr>
                <w:rFonts w:hint="eastAsia" w:ascii="宋体"/>
                <w:color w:val="auto"/>
                <w:kern w:val="0"/>
                <w:highlight w:val="none"/>
              </w:rPr>
              <w:t>（1）低价风险担保的形式：现金或不可撤销的见索即付银行保函；</w:t>
            </w:r>
          </w:p>
          <w:p>
            <w:pPr>
              <w:autoSpaceDE w:val="0"/>
              <w:autoSpaceDN w:val="0"/>
              <w:adjustRightInd w:val="0"/>
              <w:spacing w:line="340" w:lineRule="exact"/>
              <w:rPr>
                <w:rFonts w:ascii="宋体"/>
                <w:color w:val="auto"/>
                <w:kern w:val="0"/>
                <w:highlight w:val="none"/>
              </w:rPr>
            </w:pPr>
            <w:r>
              <w:rPr>
                <w:rFonts w:hint="eastAsia" w:ascii="宋体"/>
                <w:color w:val="auto"/>
                <w:kern w:val="0"/>
                <w:highlight w:val="none"/>
              </w:rPr>
              <w:t>（2）低价风险担保的金额：（最高限价×85%-中标价）×3</w:t>
            </w:r>
            <w:r>
              <w:rPr>
                <w:rStyle w:val="29"/>
                <w:rFonts w:hint="eastAsia"/>
                <w:color w:val="auto"/>
                <w:szCs w:val="20"/>
                <w:highlight w:val="none"/>
              </w:rPr>
              <w:t>，且最高不超过最高限价的85%；</w:t>
            </w:r>
          </w:p>
          <w:p>
            <w:pPr>
              <w:autoSpaceDE w:val="0"/>
              <w:autoSpaceDN w:val="0"/>
              <w:adjustRightInd w:val="0"/>
              <w:spacing w:line="340" w:lineRule="exact"/>
              <w:rPr>
                <w:rFonts w:ascii="宋体"/>
                <w:color w:val="auto"/>
                <w:kern w:val="0"/>
                <w:highlight w:val="none"/>
              </w:rPr>
            </w:pPr>
            <w:r>
              <w:rPr>
                <w:rFonts w:hint="eastAsia" w:ascii="宋体"/>
                <w:color w:val="auto"/>
                <w:kern w:val="0"/>
                <w:highlight w:val="none"/>
              </w:rPr>
              <w:t>（3）低价风险担保的提交时间：中标候选人公示结束后10个工作日内，中标人按担保金额向招标人提交低价风险担保；</w:t>
            </w:r>
          </w:p>
          <w:p>
            <w:pPr>
              <w:autoSpaceDE w:val="0"/>
              <w:autoSpaceDN w:val="0"/>
              <w:adjustRightInd w:val="0"/>
              <w:spacing w:line="340" w:lineRule="exact"/>
              <w:rPr>
                <w:rFonts w:ascii="宋体"/>
                <w:color w:val="auto"/>
                <w:kern w:val="0"/>
                <w:highlight w:val="none"/>
              </w:rPr>
            </w:pPr>
            <w:r>
              <w:rPr>
                <w:rFonts w:hint="eastAsia" w:ascii="宋体"/>
                <w:color w:val="auto"/>
                <w:kern w:val="0"/>
                <w:highlight w:val="none"/>
              </w:rPr>
              <w:t>（4）中标人因自身原因未按中标通知书规定的时限与招标人签订合同的，招标人有权扣除其低价风险担保并取消中标资格。</w:t>
            </w:r>
          </w:p>
          <w:p>
            <w:pPr>
              <w:autoSpaceDE w:val="0"/>
              <w:autoSpaceDN w:val="0"/>
              <w:adjustRightInd w:val="0"/>
              <w:spacing w:line="340" w:lineRule="exact"/>
              <w:rPr>
                <w:rFonts w:ascii="宋体"/>
                <w:color w:val="auto"/>
                <w:kern w:val="0"/>
                <w:highlight w:val="none"/>
              </w:rPr>
            </w:pPr>
            <w:r>
              <w:rPr>
                <w:rFonts w:hint="eastAsia" w:ascii="宋体"/>
                <w:color w:val="auto"/>
                <w:kern w:val="0"/>
                <w:highlight w:val="none"/>
              </w:rPr>
              <w:t>（5）低价风险担保的期限：自提交低价风险担保之日起至项目服务工作完毕合格之日止。</w:t>
            </w:r>
          </w:p>
          <w:p>
            <w:pPr>
              <w:widowControl/>
              <w:spacing w:line="340" w:lineRule="exact"/>
              <w:rPr>
                <w:rFonts w:ascii="宋体"/>
                <w:color w:val="auto"/>
                <w:kern w:val="0"/>
                <w:highlight w:val="none"/>
              </w:rPr>
            </w:pPr>
            <w:r>
              <w:rPr>
                <w:rFonts w:hint="eastAsia" w:ascii="宋体"/>
                <w:color w:val="auto"/>
                <w:kern w:val="0"/>
                <w:highlight w:val="none"/>
              </w:rPr>
              <w:t>3、低价风险担保的退还时间：合同有效期内，第一年服务工作内容完毕后退还缴纳低价风险担保金的50%，合同执行完毕后退还剩余50%，不计息。</w:t>
            </w:r>
          </w:p>
          <w:p>
            <w:pPr>
              <w:widowControl/>
              <w:spacing w:line="320" w:lineRule="exact"/>
              <w:ind w:firstLine="420" w:firstLineChars="200"/>
              <w:rPr>
                <w:rFonts w:ascii="宋体" w:hAnsi="宋体" w:cs="宋体"/>
                <w:color w:val="auto"/>
                <w:kern w:val="0"/>
                <w:highlight w:val="none"/>
              </w:rPr>
            </w:pPr>
            <w:r>
              <w:rPr>
                <w:rFonts w:hint="eastAsia" w:ascii="宋体"/>
                <w:color w:val="auto"/>
                <w:kern w:val="0"/>
                <w:highlight w:val="none"/>
              </w:rPr>
              <w:t>注：履约过程中，中标单位以中标价过低为由，提出不能履约或不能完全履约的，低价风险担保金则不予退还。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72" w:type="dxa"/>
            <w:vAlign w:val="center"/>
          </w:tcPr>
          <w:p>
            <w:pPr>
              <w:spacing w:line="400" w:lineRule="exact"/>
              <w:jc w:val="center"/>
              <w:rPr>
                <w:rFonts w:ascii="宋体" w:hAnsi="宋体" w:cs="Times New Roman"/>
                <w:color w:val="auto"/>
                <w:highlight w:val="none"/>
              </w:rPr>
            </w:pPr>
            <w:r>
              <w:rPr>
                <w:rFonts w:hint="eastAsia" w:ascii="宋体" w:hAnsi="宋体" w:cs="Times New Roman"/>
                <w:color w:val="auto"/>
                <w:highlight w:val="none"/>
              </w:rPr>
              <w:t>10.4</w:t>
            </w:r>
          </w:p>
        </w:tc>
        <w:tc>
          <w:tcPr>
            <w:tcW w:w="1567" w:type="dxa"/>
            <w:vAlign w:val="center"/>
          </w:tcPr>
          <w:p>
            <w:pPr>
              <w:spacing w:line="360" w:lineRule="exact"/>
              <w:jc w:val="center"/>
              <w:rPr>
                <w:rFonts w:cs="Times New Roman"/>
                <w:color w:val="auto"/>
                <w:highlight w:val="none"/>
              </w:rPr>
            </w:pPr>
            <w:r>
              <w:rPr>
                <w:rFonts w:hint="eastAsia" w:ascii="宋体" w:hAnsi="宋体" w:cs="宋体"/>
                <w:color w:val="auto"/>
                <w:kern w:val="0"/>
                <w:highlight w:val="none"/>
              </w:rPr>
              <w:t>重新招标的情形</w:t>
            </w:r>
          </w:p>
        </w:tc>
        <w:tc>
          <w:tcPr>
            <w:tcW w:w="6718" w:type="dxa"/>
            <w:vAlign w:val="center"/>
          </w:tcPr>
          <w:p>
            <w:pPr>
              <w:autoSpaceDE w:val="0"/>
              <w:autoSpaceDN w:val="0"/>
              <w:adjustRightInd w:val="0"/>
              <w:spacing w:line="3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有下列情形之一的，招标人将重新招标：</w:t>
            </w:r>
          </w:p>
          <w:p>
            <w:pPr>
              <w:autoSpaceDE w:val="0"/>
              <w:autoSpaceDN w:val="0"/>
              <w:adjustRightInd w:val="0"/>
              <w:spacing w:line="3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（1）投标截止时间止，投标人少于3个的；</w:t>
            </w:r>
          </w:p>
          <w:p>
            <w:pPr>
              <w:autoSpaceDE w:val="0"/>
              <w:autoSpaceDN w:val="0"/>
              <w:adjustRightInd w:val="0"/>
              <w:spacing w:line="3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（2）经评标委员会评审后否决所有投标的；</w:t>
            </w:r>
          </w:p>
          <w:p>
            <w:pPr>
              <w:autoSpaceDE w:val="0"/>
              <w:autoSpaceDN w:val="0"/>
              <w:adjustRightInd w:val="0"/>
              <w:spacing w:line="3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3）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p>
          <w:p>
            <w:pPr>
              <w:autoSpaceDE w:val="0"/>
              <w:autoSpaceDN w:val="0"/>
              <w:adjustRightInd w:val="0"/>
              <w:spacing w:line="3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（4）法律规定的其他情形。</w:t>
            </w:r>
          </w:p>
          <w:p>
            <w:pPr>
              <w:autoSpaceDE w:val="0"/>
              <w:autoSpaceDN w:val="0"/>
              <w:adjustRightInd w:val="0"/>
              <w:spacing w:line="3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排名第一的中标候选人放弃中标、因不可抗力不能履行合同、不按照招标文件要求提交履约保证金，或者被查实存在影响中标结果的违法行为等情形，不符合中标条件的，招标人可以重新招标。</w:t>
            </w:r>
          </w:p>
          <w:p>
            <w:pPr>
              <w:autoSpaceDE w:val="0"/>
              <w:autoSpaceDN w:val="0"/>
              <w:adjustRightInd w:val="0"/>
              <w:spacing w:line="300" w:lineRule="exact"/>
              <w:ind w:firstLine="420" w:firstLineChars="200"/>
              <w:rPr>
                <w:rFonts w:cs="Times New Roman"/>
                <w:color w:val="auto"/>
                <w:highlight w:val="none"/>
              </w:rPr>
            </w:pPr>
            <w:r>
              <w:rPr>
                <w:rFonts w:hint="eastAsia" w:ascii="宋体" w:hAnsi="宋体" w:cs="宋体"/>
                <w:color w:val="auto"/>
                <w:kern w:val="0"/>
                <w:highlight w:val="none"/>
              </w:rPr>
              <w:t>注：本款只适用于首次招标。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72" w:type="dxa"/>
            <w:vAlign w:val="center"/>
          </w:tcPr>
          <w:p>
            <w:pPr>
              <w:spacing w:line="400" w:lineRule="exact"/>
              <w:jc w:val="center"/>
              <w:rPr>
                <w:rFonts w:ascii="宋体" w:hAnsi="宋体" w:cs="Times New Roman"/>
                <w:color w:val="auto"/>
                <w:highlight w:val="none"/>
              </w:rPr>
            </w:pPr>
            <w:r>
              <w:rPr>
                <w:rFonts w:hint="eastAsia" w:ascii="宋体" w:hAnsi="宋体" w:cs="Times New Roman"/>
                <w:color w:val="auto"/>
                <w:highlight w:val="none"/>
              </w:rPr>
              <w:t>10.5</w:t>
            </w:r>
          </w:p>
        </w:tc>
        <w:tc>
          <w:tcPr>
            <w:tcW w:w="1567" w:type="dxa"/>
            <w:vAlign w:val="center"/>
          </w:tcPr>
          <w:p>
            <w:pPr>
              <w:spacing w:line="300" w:lineRule="exact"/>
              <w:jc w:val="center"/>
              <w:rPr>
                <w:rFonts w:ascii="宋体" w:hAnsi="宋体" w:cs="宋体"/>
                <w:color w:val="auto"/>
                <w:highlight w:val="none"/>
              </w:rPr>
            </w:pPr>
            <w:r>
              <w:rPr>
                <w:rFonts w:hint="eastAsia" w:ascii="宋体" w:hAnsi="宋体" w:cs="宋体"/>
                <w:color w:val="auto"/>
                <w:kern w:val="0"/>
                <w:highlight w:val="none"/>
              </w:rPr>
              <w:t>重新招标和不再招标</w:t>
            </w:r>
          </w:p>
        </w:tc>
        <w:tc>
          <w:tcPr>
            <w:tcW w:w="6718" w:type="dxa"/>
            <w:vAlign w:val="center"/>
          </w:tcPr>
          <w:p>
            <w:pPr>
              <w:autoSpaceDE w:val="0"/>
              <w:autoSpaceDN w:val="0"/>
              <w:adjustRightInd w:val="0"/>
              <w:spacing w:line="300" w:lineRule="exact"/>
              <w:ind w:firstLine="420" w:firstLineChars="200"/>
              <w:rPr>
                <w:rFonts w:ascii="宋体" w:hAnsi="宋体" w:cs="宋体"/>
                <w:snapToGrid w:val="0"/>
                <w:color w:val="auto"/>
                <w:kern w:val="0"/>
                <w:highlight w:val="none"/>
              </w:rPr>
            </w:pPr>
            <w:r>
              <w:rPr>
                <w:rFonts w:hint="eastAsia" w:ascii="宋体" w:hAnsi="宋体" w:cs="宋体"/>
                <w:color w:val="auto"/>
                <w:kern w:val="0"/>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Align w:val="center"/>
          </w:tcPr>
          <w:p>
            <w:pPr>
              <w:spacing w:line="400" w:lineRule="exact"/>
              <w:jc w:val="center"/>
              <w:rPr>
                <w:rFonts w:ascii="宋体" w:hAnsi="宋体" w:cs="宋体"/>
                <w:color w:val="auto"/>
                <w:kern w:val="0"/>
                <w:highlight w:val="none"/>
              </w:rPr>
            </w:pPr>
            <w:r>
              <w:rPr>
                <w:rFonts w:ascii="宋体" w:hAnsi="宋体" w:cs="Times New Roman"/>
                <w:color w:val="auto"/>
                <w:kern w:val="0"/>
                <w:highlight w:val="none"/>
              </w:rPr>
              <w:t>10.</w:t>
            </w:r>
            <w:r>
              <w:rPr>
                <w:rFonts w:hint="eastAsia" w:ascii="宋体" w:hAnsi="宋体" w:cs="Times New Roman"/>
                <w:color w:val="auto"/>
                <w:kern w:val="0"/>
                <w:highlight w:val="none"/>
              </w:rPr>
              <w:t>6</w:t>
            </w:r>
          </w:p>
        </w:tc>
        <w:tc>
          <w:tcPr>
            <w:tcW w:w="8285" w:type="dxa"/>
            <w:gridSpan w:val="2"/>
            <w:vAlign w:val="center"/>
          </w:tcPr>
          <w:p>
            <w:pPr>
              <w:spacing w:line="300" w:lineRule="exact"/>
              <w:rPr>
                <w:color w:val="auto"/>
                <w:highlight w:val="none"/>
              </w:rPr>
            </w:pPr>
            <w:r>
              <w:rPr>
                <w:rFonts w:hint="eastAsia"/>
                <w:color w:val="auto"/>
                <w:highlight w:val="none"/>
              </w:rPr>
              <w:t>1.本次招标代理服务费为包干费用，其费用为4万元。此费用由中标人在领取中标通知书时以现金或转账方式向招标代理机构一次性足额缴纳。</w:t>
            </w:r>
          </w:p>
          <w:p>
            <w:pPr>
              <w:spacing w:line="300" w:lineRule="exact"/>
              <w:rPr>
                <w:color w:val="auto"/>
                <w:highlight w:val="none"/>
              </w:rPr>
            </w:pPr>
            <w:r>
              <w:rPr>
                <w:rFonts w:hint="eastAsia"/>
                <w:color w:val="auto"/>
                <w:highlight w:val="none"/>
              </w:rPr>
              <w:t>2.本次招标入场交易服务费依据（渝发改收费[2023]115号）文件的标准计取。由中标人全额向重庆联合产权交易所集团股份有限公司支付。</w:t>
            </w:r>
          </w:p>
          <w:p>
            <w:pPr>
              <w:spacing w:line="300" w:lineRule="exact"/>
              <w:rPr>
                <w:color w:val="auto"/>
                <w:highlight w:val="none"/>
              </w:rPr>
            </w:pPr>
            <w:r>
              <w:rPr>
                <w:rFonts w:hint="eastAsia"/>
                <w:color w:val="auto"/>
                <w:highlight w:val="none"/>
              </w:rPr>
              <w:t>3.投标人在投标报价中，应充分考虑以上两部分费用，招标人视各投标人的投标报价中已包含此部分费用。</w:t>
            </w:r>
          </w:p>
        </w:tc>
      </w:tr>
      <w:bookmarkEnd w:id="115"/>
      <w:bookmarkEnd w:id="116"/>
    </w:tbl>
    <w:p>
      <w:pPr>
        <w:pStyle w:val="33"/>
        <w:rPr>
          <w:rFonts w:ascii="宋体" w:hAnsi="宋体" w:eastAsia="宋体" w:cs="宋体"/>
          <w:b/>
          <w:color w:val="auto"/>
          <w:highlight w:val="none"/>
        </w:rPr>
      </w:pPr>
    </w:p>
    <w:p>
      <w:pPr>
        <w:spacing w:line="360" w:lineRule="auto"/>
        <w:jc w:val="center"/>
        <w:rPr>
          <w:rFonts w:ascii="宋体" w:hAnsi="宋体" w:cs="宋体"/>
          <w:b/>
          <w:bCs/>
          <w:color w:val="auto"/>
          <w:kern w:val="1"/>
          <w:sz w:val="24"/>
          <w:szCs w:val="24"/>
          <w:highlight w:val="none"/>
        </w:rPr>
        <w:sectPr>
          <w:pgSz w:w="11900" w:h="16841"/>
          <w:pgMar w:top="851" w:right="1400" w:bottom="579" w:left="1580" w:header="720" w:footer="720" w:gutter="0"/>
          <w:cols w:space="720" w:num="1"/>
        </w:sectPr>
      </w:pPr>
    </w:p>
    <w:p>
      <w:pPr>
        <w:numPr>
          <w:ilvl w:val="255"/>
          <w:numId w:val="0"/>
        </w:numPr>
        <w:spacing w:line="360" w:lineRule="exact"/>
        <w:rPr>
          <w:rFonts w:ascii="宋体" w:hAnsi="宋体" w:cs="宋体"/>
          <w:b/>
          <w:bCs/>
          <w:color w:val="auto"/>
          <w:highlight w:val="none"/>
        </w:rPr>
      </w:pPr>
      <w:bookmarkStart w:id="119" w:name="_Toc4046"/>
      <w:r>
        <w:rPr>
          <w:rFonts w:hint="eastAsia" w:ascii="宋体" w:hAnsi="宋体" w:cs="宋体"/>
          <w:b/>
          <w:bCs/>
          <w:color w:val="auto"/>
          <w:highlight w:val="none"/>
        </w:rPr>
        <w:t>以下部分为投标人须知正文：</w:t>
      </w:r>
    </w:p>
    <w:p>
      <w:pPr>
        <w:spacing w:line="360" w:lineRule="exact"/>
        <w:ind w:firstLine="310" w:firstLineChars="147"/>
        <w:rPr>
          <w:rFonts w:ascii="宋体" w:hAnsi="宋体" w:cs="宋体"/>
          <w:b/>
          <w:bCs/>
          <w:color w:val="auto"/>
          <w:highlight w:val="none"/>
        </w:rPr>
      </w:pPr>
      <w:r>
        <w:rPr>
          <w:rFonts w:hint="eastAsia" w:ascii="宋体" w:hAnsi="宋体" w:cs="宋体"/>
          <w:b/>
          <w:bCs/>
          <w:color w:val="auto"/>
          <w:highlight w:val="none"/>
        </w:rPr>
        <w:t>1. 总则</w:t>
      </w:r>
      <w:bookmarkEnd w:id="119"/>
    </w:p>
    <w:p>
      <w:pPr>
        <w:pStyle w:val="34"/>
        <w:tabs>
          <w:tab w:val="left" w:pos="840"/>
        </w:tabs>
        <w:spacing w:before="0" w:beforeAutospacing="0" w:after="0" w:afterAutospacing="0" w:line="360" w:lineRule="exact"/>
        <w:ind w:firstLine="420" w:firstLineChars="200"/>
        <w:rPr>
          <w:color w:val="auto"/>
          <w:sz w:val="21"/>
          <w:szCs w:val="21"/>
          <w:highlight w:val="none"/>
        </w:rPr>
      </w:pPr>
      <w:bookmarkStart w:id="120" w:name="_Toc152042306"/>
      <w:bookmarkEnd w:id="120"/>
      <w:bookmarkStart w:id="121" w:name="_Toc300838024"/>
      <w:bookmarkEnd w:id="121"/>
      <w:bookmarkStart w:id="122" w:name="_Toc262650810"/>
      <w:bookmarkEnd w:id="122"/>
      <w:bookmarkStart w:id="123" w:name="_Toc282589242"/>
      <w:bookmarkEnd w:id="123"/>
      <w:bookmarkStart w:id="124" w:name="_Toc282589832"/>
      <w:bookmarkEnd w:id="124"/>
      <w:bookmarkStart w:id="125" w:name="_Toc144974498"/>
      <w:bookmarkEnd w:id="125"/>
      <w:bookmarkStart w:id="126" w:name="_Toc152045530"/>
      <w:bookmarkEnd w:id="126"/>
      <w:bookmarkStart w:id="127" w:name="_Toc32290"/>
      <w:r>
        <w:rPr>
          <w:rFonts w:hint="eastAsia"/>
          <w:color w:val="auto"/>
          <w:sz w:val="21"/>
          <w:szCs w:val="21"/>
          <w:highlight w:val="none"/>
        </w:rPr>
        <w:t>1.1 项目概况</w:t>
      </w:r>
      <w:bookmarkEnd w:id="127"/>
    </w:p>
    <w:p>
      <w:pPr>
        <w:tabs>
          <w:tab w:val="left" w:pos="840"/>
        </w:tabs>
        <w:spacing w:line="360" w:lineRule="exact"/>
        <w:ind w:firstLine="420" w:firstLineChars="200"/>
        <w:rPr>
          <w:rFonts w:ascii="宋体" w:hAnsi="宋体" w:cs="宋体"/>
          <w:color w:val="auto"/>
          <w:kern w:val="1"/>
          <w:highlight w:val="none"/>
        </w:rPr>
      </w:pPr>
      <w:r>
        <w:rPr>
          <w:rFonts w:hint="eastAsia" w:ascii="宋体" w:hAnsi="宋体" w:cs="宋体"/>
          <w:color w:val="auto"/>
          <w:kern w:val="1"/>
          <w:highlight w:val="none"/>
        </w:rPr>
        <w:t>1.1.1根据《中华人民共和国招标投标法》 《中华人民共和国招标投标法实施条例》等有关法律、法规和规章的规定，本招标项目已具备招标条件，现对本项目服务进行招标。</w:t>
      </w:r>
    </w:p>
    <w:p>
      <w:pPr>
        <w:tabs>
          <w:tab w:val="left" w:pos="840"/>
        </w:tabs>
        <w:spacing w:line="360" w:lineRule="exact"/>
        <w:ind w:firstLine="420" w:firstLineChars="200"/>
        <w:rPr>
          <w:rFonts w:ascii="宋体" w:hAnsi="宋体" w:cs="宋体"/>
          <w:color w:val="auto"/>
          <w:kern w:val="1"/>
          <w:highlight w:val="none"/>
        </w:rPr>
      </w:pPr>
      <w:r>
        <w:rPr>
          <w:rFonts w:hint="eastAsia" w:ascii="宋体" w:hAnsi="宋体" w:cs="宋体"/>
          <w:color w:val="auto"/>
          <w:kern w:val="1"/>
          <w:highlight w:val="none"/>
        </w:rPr>
        <w:t>1.1.2 本招标项目招标人：见投标人须知前附表。</w:t>
      </w:r>
    </w:p>
    <w:p>
      <w:pPr>
        <w:tabs>
          <w:tab w:val="left" w:pos="840"/>
        </w:tabs>
        <w:spacing w:line="360" w:lineRule="exact"/>
        <w:ind w:firstLine="420" w:firstLineChars="200"/>
        <w:rPr>
          <w:rFonts w:ascii="宋体" w:hAnsi="宋体" w:cs="宋体"/>
          <w:color w:val="auto"/>
          <w:kern w:val="1"/>
          <w:highlight w:val="none"/>
        </w:rPr>
      </w:pPr>
      <w:r>
        <w:rPr>
          <w:rFonts w:hint="eastAsia" w:ascii="宋体" w:hAnsi="宋体" w:cs="宋体"/>
          <w:color w:val="auto"/>
          <w:kern w:val="1"/>
          <w:highlight w:val="none"/>
        </w:rPr>
        <w:t>1.1.3 本项目招标代理机构：见投标人须知前附表。</w:t>
      </w:r>
    </w:p>
    <w:p>
      <w:pPr>
        <w:tabs>
          <w:tab w:val="left" w:pos="840"/>
        </w:tabs>
        <w:spacing w:line="360" w:lineRule="exact"/>
        <w:ind w:firstLine="420" w:firstLineChars="200"/>
        <w:rPr>
          <w:rFonts w:ascii="宋体" w:hAnsi="宋体" w:cs="宋体"/>
          <w:color w:val="auto"/>
          <w:kern w:val="1"/>
          <w:highlight w:val="none"/>
        </w:rPr>
      </w:pPr>
      <w:r>
        <w:rPr>
          <w:rFonts w:hint="eastAsia" w:ascii="宋体" w:hAnsi="宋体" w:cs="宋体"/>
          <w:color w:val="auto"/>
          <w:kern w:val="1"/>
          <w:highlight w:val="none"/>
        </w:rPr>
        <w:t>1.1.4 本招标项目名称：见投标人须知前附表。</w:t>
      </w:r>
    </w:p>
    <w:p>
      <w:pPr>
        <w:pStyle w:val="34"/>
        <w:tabs>
          <w:tab w:val="left" w:pos="840"/>
        </w:tabs>
        <w:spacing w:before="0" w:beforeAutospacing="0" w:after="0" w:afterAutospacing="0" w:line="360" w:lineRule="exact"/>
        <w:ind w:firstLine="420" w:firstLineChars="200"/>
        <w:rPr>
          <w:color w:val="auto"/>
          <w:sz w:val="21"/>
          <w:szCs w:val="21"/>
          <w:highlight w:val="none"/>
        </w:rPr>
      </w:pPr>
      <w:bookmarkStart w:id="128" w:name="_Toc144974499"/>
      <w:bookmarkEnd w:id="128"/>
      <w:bookmarkStart w:id="129" w:name="_Toc152042307"/>
      <w:bookmarkEnd w:id="129"/>
      <w:bookmarkStart w:id="130" w:name="_Toc282589243"/>
      <w:bookmarkEnd w:id="130"/>
      <w:bookmarkStart w:id="131" w:name="_Toc282589833"/>
      <w:bookmarkEnd w:id="131"/>
      <w:bookmarkStart w:id="132" w:name="_Toc152045531"/>
      <w:bookmarkEnd w:id="132"/>
      <w:bookmarkStart w:id="133" w:name="_Toc262650811"/>
      <w:bookmarkEnd w:id="133"/>
      <w:bookmarkStart w:id="134" w:name="_Toc300838025"/>
      <w:bookmarkEnd w:id="134"/>
      <w:bookmarkStart w:id="135" w:name="_Toc20714"/>
      <w:r>
        <w:rPr>
          <w:rFonts w:hint="eastAsia"/>
          <w:color w:val="auto"/>
          <w:sz w:val="21"/>
          <w:szCs w:val="21"/>
          <w:highlight w:val="none"/>
        </w:rPr>
        <w:t>1.2 资金来源和落实情况</w:t>
      </w:r>
      <w:bookmarkEnd w:id="135"/>
    </w:p>
    <w:p>
      <w:pPr>
        <w:tabs>
          <w:tab w:val="left" w:pos="840"/>
        </w:tabs>
        <w:spacing w:line="360" w:lineRule="exact"/>
        <w:ind w:firstLine="420" w:firstLineChars="200"/>
        <w:rPr>
          <w:rFonts w:ascii="宋体" w:hAnsi="宋体" w:cs="宋体"/>
          <w:color w:val="auto"/>
          <w:kern w:val="1"/>
          <w:highlight w:val="none"/>
        </w:rPr>
      </w:pPr>
      <w:r>
        <w:rPr>
          <w:rFonts w:hint="eastAsia" w:ascii="宋体" w:hAnsi="宋体" w:cs="宋体"/>
          <w:color w:val="auto"/>
          <w:kern w:val="1"/>
          <w:highlight w:val="none"/>
        </w:rPr>
        <w:t>1.2.1 本招标项目的资金来源：见投标人须知前附表。</w:t>
      </w:r>
    </w:p>
    <w:p>
      <w:pPr>
        <w:tabs>
          <w:tab w:val="left" w:pos="840"/>
        </w:tabs>
        <w:spacing w:line="360" w:lineRule="exact"/>
        <w:ind w:firstLine="420" w:firstLineChars="200"/>
        <w:rPr>
          <w:rFonts w:ascii="宋体" w:hAnsi="宋体" w:cs="宋体"/>
          <w:color w:val="auto"/>
          <w:kern w:val="1"/>
          <w:highlight w:val="none"/>
        </w:rPr>
      </w:pPr>
      <w:r>
        <w:rPr>
          <w:rFonts w:hint="eastAsia" w:ascii="宋体" w:hAnsi="宋体" w:cs="宋体"/>
          <w:color w:val="auto"/>
          <w:kern w:val="1"/>
          <w:highlight w:val="none"/>
        </w:rPr>
        <w:t>1.2.2 本招标项目的出资比例：见投标人须知前附表。</w:t>
      </w:r>
    </w:p>
    <w:p>
      <w:pPr>
        <w:tabs>
          <w:tab w:val="left" w:pos="840"/>
        </w:tabs>
        <w:spacing w:line="360" w:lineRule="exact"/>
        <w:ind w:firstLine="420" w:firstLineChars="200"/>
        <w:rPr>
          <w:rFonts w:ascii="宋体" w:hAnsi="宋体" w:cs="宋体"/>
          <w:color w:val="auto"/>
          <w:kern w:val="1"/>
          <w:highlight w:val="none"/>
        </w:rPr>
      </w:pPr>
      <w:r>
        <w:rPr>
          <w:rFonts w:hint="eastAsia" w:ascii="宋体" w:hAnsi="宋体" w:cs="宋体"/>
          <w:color w:val="auto"/>
          <w:kern w:val="1"/>
          <w:highlight w:val="none"/>
        </w:rPr>
        <w:t>1.2.3 本招标项目的资金落实情况：见投标人须知前附表。</w:t>
      </w:r>
    </w:p>
    <w:p>
      <w:pPr>
        <w:pStyle w:val="34"/>
        <w:tabs>
          <w:tab w:val="left" w:pos="840"/>
        </w:tabs>
        <w:spacing w:before="0" w:beforeAutospacing="0" w:after="0" w:afterAutospacing="0" w:line="360" w:lineRule="exact"/>
        <w:ind w:firstLine="420" w:firstLineChars="200"/>
        <w:rPr>
          <w:color w:val="auto"/>
          <w:sz w:val="21"/>
          <w:szCs w:val="21"/>
          <w:highlight w:val="none"/>
        </w:rPr>
      </w:pPr>
      <w:bookmarkStart w:id="136" w:name="_Toc152042308"/>
      <w:bookmarkEnd w:id="136"/>
      <w:bookmarkStart w:id="137" w:name="_Toc300838026"/>
      <w:bookmarkEnd w:id="137"/>
      <w:bookmarkStart w:id="138" w:name="_Toc144974500"/>
      <w:bookmarkEnd w:id="138"/>
      <w:bookmarkStart w:id="139" w:name="_Toc282589244"/>
      <w:bookmarkEnd w:id="139"/>
      <w:bookmarkStart w:id="140" w:name="_Toc152045532"/>
      <w:bookmarkEnd w:id="140"/>
      <w:bookmarkStart w:id="141" w:name="_Toc282589834"/>
      <w:bookmarkEnd w:id="141"/>
      <w:bookmarkStart w:id="142" w:name="_Toc262650812"/>
      <w:bookmarkEnd w:id="142"/>
      <w:bookmarkStart w:id="143" w:name="_Toc21944"/>
      <w:r>
        <w:rPr>
          <w:rFonts w:hint="eastAsia"/>
          <w:color w:val="auto"/>
          <w:sz w:val="21"/>
          <w:szCs w:val="21"/>
          <w:highlight w:val="none"/>
        </w:rPr>
        <w:t>1.3 招标范围、服务期限和服务要求</w:t>
      </w:r>
      <w:bookmarkEnd w:id="143"/>
    </w:p>
    <w:p>
      <w:pPr>
        <w:tabs>
          <w:tab w:val="left" w:pos="840"/>
        </w:tabs>
        <w:spacing w:line="360" w:lineRule="exact"/>
        <w:ind w:firstLine="420" w:firstLineChars="200"/>
        <w:rPr>
          <w:rFonts w:ascii="宋体" w:hAnsi="宋体" w:cs="宋体"/>
          <w:color w:val="auto"/>
          <w:kern w:val="1"/>
          <w:highlight w:val="none"/>
        </w:rPr>
      </w:pPr>
      <w:r>
        <w:rPr>
          <w:rFonts w:hint="eastAsia" w:ascii="宋体" w:hAnsi="宋体" w:cs="宋体"/>
          <w:color w:val="auto"/>
          <w:kern w:val="1"/>
          <w:highlight w:val="none"/>
        </w:rPr>
        <w:t>1.3.1 本次招标范围：见投标人须知前附表。</w:t>
      </w:r>
    </w:p>
    <w:p>
      <w:pPr>
        <w:tabs>
          <w:tab w:val="left" w:pos="840"/>
        </w:tabs>
        <w:spacing w:line="360" w:lineRule="exact"/>
        <w:ind w:firstLine="420" w:firstLineChars="200"/>
        <w:rPr>
          <w:rFonts w:ascii="宋体" w:hAnsi="宋体" w:cs="宋体"/>
          <w:color w:val="auto"/>
          <w:kern w:val="1"/>
          <w:highlight w:val="none"/>
        </w:rPr>
      </w:pPr>
      <w:r>
        <w:rPr>
          <w:rFonts w:hint="eastAsia" w:ascii="宋体" w:hAnsi="宋体" w:cs="宋体"/>
          <w:color w:val="auto"/>
          <w:kern w:val="1"/>
          <w:highlight w:val="none"/>
        </w:rPr>
        <w:t>1.3.2 服务期限：见投标人须知前附表。</w:t>
      </w:r>
    </w:p>
    <w:p>
      <w:pPr>
        <w:tabs>
          <w:tab w:val="left" w:pos="840"/>
        </w:tabs>
        <w:spacing w:line="360" w:lineRule="exact"/>
        <w:ind w:firstLine="420" w:firstLineChars="200"/>
        <w:rPr>
          <w:rFonts w:ascii="宋体" w:hAnsi="宋体" w:cs="宋体"/>
          <w:color w:val="auto"/>
          <w:kern w:val="1"/>
          <w:highlight w:val="none"/>
        </w:rPr>
      </w:pPr>
      <w:r>
        <w:rPr>
          <w:rFonts w:hint="eastAsia" w:ascii="宋体" w:hAnsi="宋体" w:cs="宋体"/>
          <w:color w:val="auto"/>
          <w:kern w:val="1"/>
          <w:highlight w:val="none"/>
        </w:rPr>
        <w:t>1.3.3 服务要求：见投标人须知前附表。</w:t>
      </w:r>
    </w:p>
    <w:p>
      <w:pPr>
        <w:pStyle w:val="34"/>
        <w:tabs>
          <w:tab w:val="left" w:pos="840"/>
        </w:tabs>
        <w:spacing w:before="0" w:beforeAutospacing="0" w:after="0" w:afterAutospacing="0" w:line="360" w:lineRule="exact"/>
        <w:ind w:firstLine="420" w:firstLineChars="200"/>
        <w:rPr>
          <w:color w:val="auto"/>
          <w:sz w:val="21"/>
          <w:szCs w:val="21"/>
          <w:highlight w:val="none"/>
        </w:rPr>
      </w:pPr>
      <w:bookmarkStart w:id="144" w:name="_Toc282589245"/>
      <w:bookmarkEnd w:id="144"/>
      <w:bookmarkStart w:id="145" w:name="_Toc152045533"/>
      <w:bookmarkEnd w:id="145"/>
      <w:bookmarkStart w:id="146" w:name="_Toc262650813"/>
      <w:bookmarkEnd w:id="146"/>
      <w:bookmarkStart w:id="147" w:name="_Toc282589835"/>
      <w:bookmarkEnd w:id="147"/>
      <w:bookmarkStart w:id="148" w:name="_Toc152042309"/>
      <w:bookmarkEnd w:id="148"/>
      <w:bookmarkStart w:id="149" w:name="_Toc300838027"/>
      <w:bookmarkEnd w:id="149"/>
      <w:bookmarkStart w:id="150" w:name="_Toc144974501"/>
      <w:bookmarkEnd w:id="150"/>
      <w:bookmarkStart w:id="151" w:name="_Toc179632550"/>
      <w:bookmarkEnd w:id="151"/>
      <w:bookmarkStart w:id="152" w:name="_Toc3208"/>
      <w:r>
        <w:rPr>
          <w:rFonts w:hint="eastAsia"/>
          <w:color w:val="auto"/>
          <w:sz w:val="21"/>
          <w:szCs w:val="21"/>
          <w:highlight w:val="none"/>
        </w:rPr>
        <w:t>1.4 投标人资格要求</w:t>
      </w:r>
      <w:bookmarkEnd w:id="152"/>
    </w:p>
    <w:p>
      <w:pPr>
        <w:tabs>
          <w:tab w:val="left" w:pos="840"/>
        </w:tabs>
        <w:spacing w:line="360" w:lineRule="exact"/>
        <w:ind w:firstLine="420" w:firstLineChars="200"/>
        <w:rPr>
          <w:rFonts w:ascii="宋体" w:hAnsi="宋体" w:cs="宋体"/>
          <w:color w:val="auto"/>
          <w:kern w:val="1"/>
          <w:highlight w:val="none"/>
        </w:rPr>
      </w:pPr>
      <w:r>
        <w:rPr>
          <w:rFonts w:hint="eastAsia" w:ascii="宋体" w:hAnsi="宋体" w:cs="宋体"/>
          <w:color w:val="auto"/>
          <w:kern w:val="1"/>
          <w:highlight w:val="none"/>
        </w:rPr>
        <w:t>1.4.1 投标人应具备承担本招标项目资质条件、能力和信誉：见投标人须知前附表；</w:t>
      </w:r>
    </w:p>
    <w:p>
      <w:pPr>
        <w:tabs>
          <w:tab w:val="left" w:pos="840"/>
        </w:tabs>
        <w:spacing w:line="360" w:lineRule="exact"/>
        <w:ind w:firstLine="420" w:firstLineChars="200"/>
        <w:rPr>
          <w:rFonts w:ascii="宋体" w:hAnsi="宋体" w:cs="宋体"/>
          <w:color w:val="auto"/>
          <w:kern w:val="1"/>
          <w:highlight w:val="none"/>
        </w:rPr>
      </w:pPr>
      <w:r>
        <w:rPr>
          <w:rFonts w:hint="eastAsia" w:ascii="宋体" w:hAnsi="宋体" w:cs="宋体"/>
          <w:color w:val="auto"/>
          <w:kern w:val="1"/>
          <w:highlight w:val="none"/>
        </w:rPr>
        <w:t>需要提交的相关证明材料见本章第3</w:t>
      </w:r>
      <w:r>
        <w:rPr>
          <w:rFonts w:ascii="宋体" w:hAnsi="宋体" w:cs="宋体"/>
          <w:color w:val="auto"/>
          <w:kern w:val="1"/>
          <w:highlight w:val="none"/>
        </w:rPr>
        <w:t>.5</w:t>
      </w:r>
      <w:r>
        <w:rPr>
          <w:rFonts w:hint="eastAsia" w:ascii="宋体" w:hAnsi="宋体" w:cs="宋体"/>
          <w:color w:val="auto"/>
          <w:kern w:val="1"/>
          <w:highlight w:val="none"/>
        </w:rPr>
        <w:t>款的规定。</w:t>
      </w:r>
    </w:p>
    <w:p>
      <w:pPr>
        <w:tabs>
          <w:tab w:val="left" w:pos="840"/>
        </w:tabs>
        <w:spacing w:line="360" w:lineRule="exact"/>
        <w:ind w:firstLine="420" w:firstLineChars="200"/>
        <w:rPr>
          <w:rFonts w:ascii="宋体" w:hAnsi="宋体" w:cs="宋体"/>
          <w:color w:val="auto"/>
          <w:highlight w:val="none"/>
        </w:rPr>
      </w:pPr>
      <w:r>
        <w:rPr>
          <w:rFonts w:hint="eastAsia" w:ascii="宋体" w:hAnsi="宋体" w:cs="宋体"/>
          <w:color w:val="auto"/>
          <w:highlight w:val="none"/>
        </w:rPr>
        <w:t>1.4.2投标人须知前附表规定接受联合体投标的，除应符合本章第1.4.1项和投标人须知前附表的要求外，还应遵守以下规定：</w:t>
      </w:r>
    </w:p>
    <w:p>
      <w:pPr>
        <w:tabs>
          <w:tab w:val="left" w:pos="840"/>
        </w:tabs>
        <w:spacing w:line="360" w:lineRule="exact"/>
        <w:ind w:firstLine="420" w:firstLineChars="200"/>
        <w:rPr>
          <w:rFonts w:ascii="宋体" w:hAnsi="宋体" w:cs="宋体"/>
          <w:color w:val="auto"/>
          <w:highlight w:val="none"/>
        </w:rPr>
      </w:pPr>
      <w:r>
        <w:rPr>
          <w:rFonts w:hint="eastAsia" w:ascii="宋体" w:hAnsi="宋体" w:cs="宋体"/>
          <w:color w:val="auto"/>
          <w:highlight w:val="none"/>
        </w:rPr>
        <w:t>（1）联合体各方应按招标文件提供的格式签订联合体协议书，明确联合体牵头人和各方权利义务，并承诺就中标项目向招标人承担连带责任；</w:t>
      </w:r>
    </w:p>
    <w:p>
      <w:pPr>
        <w:tabs>
          <w:tab w:val="left" w:pos="840"/>
        </w:tabs>
        <w:spacing w:line="360" w:lineRule="exact"/>
        <w:ind w:firstLine="420" w:firstLineChars="200"/>
        <w:rPr>
          <w:rFonts w:ascii="宋体" w:hAnsi="宋体" w:cs="宋体"/>
          <w:color w:val="auto"/>
          <w:highlight w:val="none"/>
        </w:rPr>
      </w:pPr>
      <w:r>
        <w:rPr>
          <w:rFonts w:hint="eastAsia" w:ascii="宋体" w:hAnsi="宋体" w:cs="宋体"/>
          <w:color w:val="auto"/>
          <w:highlight w:val="none"/>
        </w:rPr>
        <w:t>（2）由同一专业的单位组成的联合体，按照资质等级较低的单位确定资质等级；</w:t>
      </w:r>
    </w:p>
    <w:p>
      <w:pPr>
        <w:tabs>
          <w:tab w:val="left" w:pos="840"/>
        </w:tabs>
        <w:spacing w:line="360" w:lineRule="exact"/>
        <w:ind w:firstLine="420" w:firstLineChars="200"/>
        <w:rPr>
          <w:rFonts w:ascii="宋体" w:hAnsi="宋体" w:cs="宋体"/>
          <w:color w:val="auto"/>
          <w:highlight w:val="none"/>
        </w:rPr>
      </w:pPr>
      <w:r>
        <w:rPr>
          <w:rFonts w:hint="eastAsia" w:ascii="宋体" w:hAnsi="宋体" w:cs="宋体"/>
          <w:color w:val="auto"/>
          <w:highlight w:val="none"/>
        </w:rPr>
        <w:t>（3）联合体各方不得再以自己名义单独或参加其他联合体在同一标段中投标；</w:t>
      </w:r>
    </w:p>
    <w:p>
      <w:pPr>
        <w:tabs>
          <w:tab w:val="left" w:pos="840"/>
        </w:tabs>
        <w:spacing w:line="360" w:lineRule="exact"/>
        <w:ind w:firstLine="420" w:firstLineChars="200"/>
        <w:rPr>
          <w:rFonts w:ascii="宋体" w:hAnsi="宋体" w:cs="宋体"/>
          <w:color w:val="auto"/>
          <w:highlight w:val="none"/>
        </w:rPr>
      </w:pPr>
      <w:r>
        <w:rPr>
          <w:rFonts w:hint="eastAsia" w:ascii="宋体" w:hAnsi="宋体" w:cs="宋体"/>
          <w:color w:val="auto"/>
          <w:highlight w:val="none"/>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tabs>
          <w:tab w:val="left" w:pos="840"/>
        </w:tabs>
        <w:spacing w:line="360" w:lineRule="exact"/>
        <w:ind w:firstLine="420" w:firstLineChars="200"/>
        <w:rPr>
          <w:rFonts w:ascii="宋体" w:hAnsi="宋体" w:cs="宋体"/>
          <w:color w:val="auto"/>
          <w:highlight w:val="none"/>
        </w:rPr>
      </w:pPr>
      <w:r>
        <w:rPr>
          <w:rFonts w:hint="eastAsia" w:ascii="宋体" w:hAnsi="宋体" w:cs="宋体"/>
          <w:color w:val="auto"/>
          <w:highlight w:val="none"/>
        </w:rPr>
        <w:t>（5）尽管委任了联合体牵头人，但联合体各成员在投标、签订合同与履行合同过程中，仍负有连带的和各自的法律责任。</w:t>
      </w:r>
    </w:p>
    <w:p>
      <w:pPr>
        <w:tabs>
          <w:tab w:val="left" w:pos="840"/>
        </w:tabs>
        <w:spacing w:line="360" w:lineRule="exact"/>
        <w:ind w:firstLine="420" w:firstLineChars="200"/>
        <w:rPr>
          <w:rFonts w:ascii="宋体" w:hAnsi="宋体" w:cs="宋体"/>
          <w:color w:val="auto"/>
          <w:highlight w:val="none"/>
        </w:rPr>
      </w:pPr>
      <w:r>
        <w:rPr>
          <w:rFonts w:hint="eastAsia" w:ascii="宋体" w:hAnsi="宋体" w:cs="宋体"/>
          <w:color w:val="auto"/>
          <w:highlight w:val="none"/>
        </w:rPr>
        <w:t>1.4.3 投标人（包括联合体各成员）不得与本标段相关单位存在下列关联情形：</w:t>
      </w:r>
    </w:p>
    <w:p>
      <w:pPr>
        <w:tabs>
          <w:tab w:val="left" w:pos="840"/>
        </w:tabs>
        <w:spacing w:line="360" w:lineRule="exact"/>
        <w:ind w:firstLine="420" w:firstLineChars="200"/>
        <w:rPr>
          <w:rFonts w:ascii="宋体" w:hAnsi="宋体" w:cs="宋体"/>
          <w:color w:val="auto"/>
          <w:highlight w:val="none"/>
        </w:rPr>
      </w:pPr>
      <w:r>
        <w:rPr>
          <w:rFonts w:hint="eastAsia" w:ascii="宋体" w:hAnsi="宋体" w:cs="宋体"/>
          <w:color w:val="auto"/>
          <w:highlight w:val="none"/>
        </w:rPr>
        <w:t>（1）与招标人或招标代理机构有控股关系；</w:t>
      </w:r>
    </w:p>
    <w:p>
      <w:pPr>
        <w:tabs>
          <w:tab w:val="left" w:pos="840"/>
        </w:tabs>
        <w:spacing w:line="360" w:lineRule="exact"/>
        <w:ind w:firstLine="420" w:firstLineChars="200"/>
        <w:rPr>
          <w:rFonts w:ascii="宋体" w:hAnsi="宋体" w:cs="宋体"/>
          <w:color w:val="auto"/>
          <w:highlight w:val="none"/>
        </w:rPr>
      </w:pPr>
      <w:r>
        <w:rPr>
          <w:rFonts w:hint="eastAsia" w:ascii="宋体" w:hAnsi="宋体" w:cs="宋体"/>
          <w:color w:val="auto"/>
          <w:highlight w:val="none"/>
        </w:rPr>
        <w:t>（2）与招标人存在利害关系且可能影响招标公正性；</w:t>
      </w:r>
    </w:p>
    <w:p>
      <w:pPr>
        <w:tabs>
          <w:tab w:val="left" w:pos="840"/>
        </w:tabs>
        <w:spacing w:line="360" w:lineRule="exact"/>
        <w:ind w:firstLine="420" w:firstLineChars="200"/>
        <w:rPr>
          <w:rFonts w:ascii="宋体" w:hAnsi="宋体" w:cs="宋体"/>
          <w:color w:val="auto"/>
          <w:highlight w:val="none"/>
        </w:rPr>
      </w:pPr>
      <w:r>
        <w:rPr>
          <w:rFonts w:hint="eastAsia" w:ascii="宋体" w:hAnsi="宋体" w:cs="宋体"/>
          <w:color w:val="auto"/>
          <w:highlight w:val="none"/>
        </w:rPr>
        <w:t>（3）与本标段的其他投标人同为一个单位负责人；</w:t>
      </w:r>
    </w:p>
    <w:p>
      <w:pPr>
        <w:tabs>
          <w:tab w:val="left" w:pos="840"/>
        </w:tabs>
        <w:spacing w:line="360" w:lineRule="exact"/>
        <w:ind w:firstLine="420" w:firstLineChars="200"/>
        <w:rPr>
          <w:rFonts w:ascii="宋体" w:hAnsi="宋体" w:cs="宋体"/>
          <w:color w:val="auto"/>
          <w:highlight w:val="none"/>
        </w:rPr>
      </w:pPr>
      <w:r>
        <w:rPr>
          <w:rFonts w:hint="eastAsia" w:ascii="宋体" w:hAnsi="宋体" w:cs="宋体"/>
          <w:color w:val="auto"/>
          <w:highlight w:val="none"/>
        </w:rPr>
        <w:t>（4）与本标段的其他投标人存在控股、管理关系；</w:t>
      </w:r>
    </w:p>
    <w:p>
      <w:pPr>
        <w:tabs>
          <w:tab w:val="left" w:pos="840"/>
        </w:tabs>
        <w:spacing w:line="360" w:lineRule="exact"/>
        <w:ind w:firstLine="420" w:firstLineChars="200"/>
        <w:rPr>
          <w:rFonts w:ascii="宋体" w:hAnsi="宋体" w:cs="宋体"/>
          <w:color w:val="auto"/>
          <w:highlight w:val="none"/>
        </w:rPr>
      </w:pPr>
      <w:r>
        <w:rPr>
          <w:rFonts w:hint="eastAsia" w:ascii="宋体" w:hAnsi="宋体" w:cs="宋体"/>
          <w:color w:val="auto"/>
          <w:highlight w:val="none"/>
        </w:rPr>
        <w:t>（5）为本标段前期准备提供咨询服务的法人或其任何附属机构（单位）；</w:t>
      </w:r>
    </w:p>
    <w:p>
      <w:pPr>
        <w:tabs>
          <w:tab w:val="left" w:pos="840"/>
        </w:tabs>
        <w:spacing w:line="360" w:lineRule="exact"/>
        <w:ind w:firstLine="420" w:firstLineChars="200"/>
        <w:rPr>
          <w:rFonts w:ascii="宋体" w:hAnsi="宋体" w:cs="宋体"/>
          <w:color w:val="auto"/>
          <w:highlight w:val="none"/>
        </w:rPr>
      </w:pPr>
      <w:r>
        <w:rPr>
          <w:rFonts w:hint="eastAsia" w:ascii="宋体" w:hAnsi="宋体" w:cs="宋体"/>
          <w:color w:val="auto"/>
          <w:highlight w:val="none"/>
        </w:rPr>
        <w:t>（6）为本标段的招标代理机构；</w:t>
      </w:r>
    </w:p>
    <w:p>
      <w:pPr>
        <w:tabs>
          <w:tab w:val="left" w:pos="840"/>
        </w:tabs>
        <w:spacing w:line="360" w:lineRule="exact"/>
        <w:ind w:firstLine="420" w:firstLineChars="200"/>
        <w:rPr>
          <w:rFonts w:ascii="宋体" w:hAnsi="宋体" w:cs="宋体"/>
          <w:color w:val="auto"/>
          <w:highlight w:val="none"/>
        </w:rPr>
      </w:pPr>
      <w:r>
        <w:rPr>
          <w:rFonts w:hint="eastAsia" w:ascii="宋体" w:hAnsi="宋体" w:cs="宋体"/>
          <w:color w:val="auto"/>
          <w:highlight w:val="none"/>
        </w:rPr>
        <w:t>（7）与本标段的招标代理机构同为一个法定代表人；</w:t>
      </w:r>
    </w:p>
    <w:p>
      <w:pPr>
        <w:tabs>
          <w:tab w:val="left" w:pos="840"/>
        </w:tabs>
        <w:spacing w:line="360" w:lineRule="exact"/>
        <w:ind w:firstLine="420" w:firstLineChars="200"/>
        <w:rPr>
          <w:rFonts w:ascii="宋体" w:hAnsi="宋体" w:cs="宋体"/>
          <w:color w:val="auto"/>
          <w:highlight w:val="none"/>
        </w:rPr>
      </w:pPr>
      <w:r>
        <w:rPr>
          <w:rFonts w:hint="eastAsia" w:ascii="宋体" w:hAnsi="宋体" w:cs="宋体"/>
          <w:color w:val="auto"/>
          <w:highlight w:val="none"/>
        </w:rPr>
        <w:t>（8）与本标段的招标代理机构存在控股或参股关系；</w:t>
      </w:r>
    </w:p>
    <w:p>
      <w:pPr>
        <w:tabs>
          <w:tab w:val="left" w:pos="840"/>
        </w:tabs>
        <w:spacing w:line="360" w:lineRule="exact"/>
        <w:ind w:firstLine="420" w:firstLineChars="200"/>
        <w:rPr>
          <w:rFonts w:ascii="宋体" w:hAnsi="宋体" w:cs="宋体"/>
          <w:color w:val="auto"/>
          <w:highlight w:val="none"/>
        </w:rPr>
      </w:pPr>
      <w:r>
        <w:rPr>
          <w:rFonts w:hint="eastAsia" w:ascii="宋体" w:hAnsi="宋体" w:cs="宋体"/>
          <w:color w:val="auto"/>
          <w:highlight w:val="none"/>
        </w:rPr>
        <w:t>（9）法律法规或投标人须知前附表规定的其他情形；</w:t>
      </w:r>
    </w:p>
    <w:p>
      <w:pPr>
        <w:tabs>
          <w:tab w:val="left" w:pos="840"/>
        </w:tabs>
        <w:spacing w:line="360" w:lineRule="exact"/>
        <w:ind w:firstLine="420" w:firstLineChars="200"/>
        <w:rPr>
          <w:rFonts w:ascii="宋体" w:hAnsi="宋体" w:cs="宋体"/>
          <w:color w:val="auto"/>
          <w:highlight w:val="none"/>
        </w:rPr>
      </w:pPr>
      <w:r>
        <w:rPr>
          <w:rFonts w:hint="eastAsia" w:ascii="宋体" w:hAnsi="宋体" w:cs="宋体"/>
          <w:color w:val="auto"/>
          <w:highlight w:val="none"/>
        </w:rPr>
        <w:t>（10）</w:t>
      </w:r>
      <w:r>
        <w:rPr>
          <w:rFonts w:hint="eastAsia" w:ascii="宋体" w:hAnsi="宋体" w:cs="宋体"/>
          <w:color w:val="auto"/>
          <w:kern w:val="0"/>
          <w:highlight w:val="none"/>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tabs>
          <w:tab w:val="left" w:pos="840"/>
        </w:tabs>
        <w:spacing w:line="360" w:lineRule="exact"/>
        <w:ind w:firstLine="420" w:firstLineChars="200"/>
        <w:rPr>
          <w:rFonts w:ascii="宋体" w:hAnsi="宋体" w:cs="宋体"/>
          <w:color w:val="auto"/>
          <w:highlight w:val="none"/>
        </w:rPr>
      </w:pPr>
      <w:r>
        <w:rPr>
          <w:rFonts w:hint="eastAsia" w:ascii="宋体" w:hAnsi="宋体" w:cs="宋体"/>
          <w:color w:val="auto"/>
          <w:highlight w:val="none"/>
        </w:rPr>
        <w:t xml:space="preserve">1.4.4投标人（包括联合体各成员）不得存在下列不良状况或不良信用记录： </w:t>
      </w:r>
    </w:p>
    <w:p>
      <w:pPr>
        <w:tabs>
          <w:tab w:val="left" w:pos="840"/>
        </w:tabs>
        <w:spacing w:line="360" w:lineRule="exact"/>
        <w:ind w:firstLine="420" w:firstLineChars="200"/>
        <w:rPr>
          <w:rFonts w:ascii="宋体" w:hAnsi="宋体" w:cs="宋体"/>
          <w:color w:val="auto"/>
          <w:highlight w:val="none"/>
        </w:rPr>
      </w:pPr>
      <w:r>
        <w:rPr>
          <w:rFonts w:hint="eastAsia" w:ascii="宋体" w:hAnsi="宋体" w:cs="宋体"/>
          <w:color w:val="auto"/>
          <w:highlight w:val="none"/>
        </w:rPr>
        <w:t>（1）被人民法院列入失信被执行人名单且在被执行期内；</w:t>
      </w:r>
    </w:p>
    <w:p>
      <w:pPr>
        <w:tabs>
          <w:tab w:val="left" w:pos="840"/>
        </w:tabs>
        <w:spacing w:line="360" w:lineRule="exact"/>
        <w:ind w:firstLine="420" w:firstLineChars="200"/>
        <w:rPr>
          <w:rFonts w:ascii="宋体" w:hAnsi="宋体" w:cs="宋体"/>
          <w:color w:val="auto"/>
          <w:highlight w:val="none"/>
        </w:rPr>
      </w:pPr>
      <w:r>
        <w:rPr>
          <w:rFonts w:hint="eastAsia" w:ascii="宋体" w:hAnsi="宋体" w:cs="宋体"/>
          <w:color w:val="auto"/>
          <w:highlight w:val="none"/>
        </w:rPr>
        <w:t>（2）被责令停业，暂扣或吊销执照，或吊销资质证书；</w:t>
      </w:r>
    </w:p>
    <w:p>
      <w:pPr>
        <w:tabs>
          <w:tab w:val="left" w:pos="840"/>
        </w:tabs>
        <w:spacing w:line="360" w:lineRule="exact"/>
        <w:ind w:firstLine="420" w:firstLineChars="200"/>
        <w:rPr>
          <w:rFonts w:ascii="宋体" w:hAnsi="宋体" w:cs="宋体"/>
          <w:color w:val="auto"/>
          <w:highlight w:val="none"/>
        </w:rPr>
      </w:pPr>
      <w:r>
        <w:rPr>
          <w:rFonts w:hint="eastAsia" w:ascii="宋体" w:hAnsi="宋体" w:cs="宋体"/>
          <w:color w:val="auto"/>
          <w:highlight w:val="none"/>
        </w:rPr>
        <w:t>（3）进入清算程序，或被宣告破产，或其他丧失履约能力的情形；</w:t>
      </w:r>
    </w:p>
    <w:p>
      <w:pPr>
        <w:tabs>
          <w:tab w:val="left" w:pos="840"/>
        </w:tabs>
        <w:spacing w:line="360" w:lineRule="exact"/>
        <w:ind w:firstLine="420" w:firstLineChars="200"/>
        <w:rPr>
          <w:rFonts w:ascii="宋体" w:hAnsi="宋体" w:cs="宋体"/>
          <w:color w:val="auto"/>
          <w:highlight w:val="none"/>
        </w:rPr>
      </w:pPr>
      <w:r>
        <w:rPr>
          <w:rFonts w:hint="eastAsia" w:ascii="宋体" w:hAnsi="宋体" w:cs="宋体"/>
          <w:color w:val="auto"/>
          <w:highlight w:val="none"/>
        </w:rPr>
        <w:t>（4）被国家、重庆市（含市或任意区县）有关行政部门处以暂停投标资格行政处罚，且在处罚期限内；</w:t>
      </w:r>
    </w:p>
    <w:p>
      <w:pPr>
        <w:tabs>
          <w:tab w:val="left" w:pos="840"/>
        </w:tabs>
        <w:spacing w:line="360" w:lineRule="exact"/>
        <w:ind w:firstLine="420" w:firstLineChars="200"/>
        <w:rPr>
          <w:rFonts w:ascii="宋体" w:hAnsi="宋体" w:cs="宋体"/>
          <w:color w:val="auto"/>
          <w:highlight w:val="none"/>
        </w:rPr>
      </w:pPr>
      <w:r>
        <w:rPr>
          <w:rFonts w:hint="eastAsia" w:ascii="宋体" w:hAnsi="宋体" w:cs="宋体"/>
          <w:color w:val="auto"/>
          <w:highlight w:val="none"/>
        </w:rPr>
        <w:t>（5）投标人或其法定代表人、拟委任的项目负责人在近三年内有行贿犯罪行为的；</w:t>
      </w:r>
    </w:p>
    <w:p>
      <w:pPr>
        <w:tabs>
          <w:tab w:val="left" w:pos="840"/>
        </w:tabs>
        <w:spacing w:line="360" w:lineRule="exact"/>
        <w:ind w:firstLine="420" w:firstLineChars="200"/>
        <w:rPr>
          <w:rFonts w:ascii="宋体" w:hAnsi="宋体" w:cs="宋体"/>
          <w:color w:val="auto"/>
          <w:highlight w:val="none"/>
        </w:rPr>
      </w:pPr>
      <w:r>
        <w:rPr>
          <w:rFonts w:hint="eastAsia" w:ascii="宋体" w:hAnsi="宋体" w:cs="宋体"/>
          <w:color w:val="auto"/>
          <w:highlight w:val="none"/>
        </w:rPr>
        <w:t>（6）法律法规或投标人须知前附表规定的其他情形。</w:t>
      </w:r>
    </w:p>
    <w:p>
      <w:pPr>
        <w:pStyle w:val="34"/>
        <w:tabs>
          <w:tab w:val="left" w:pos="840"/>
        </w:tabs>
        <w:spacing w:before="0" w:beforeAutospacing="0" w:after="0" w:afterAutospacing="0" w:line="360" w:lineRule="exact"/>
        <w:ind w:firstLine="420" w:firstLineChars="200"/>
        <w:rPr>
          <w:color w:val="auto"/>
          <w:sz w:val="21"/>
          <w:szCs w:val="21"/>
          <w:highlight w:val="none"/>
        </w:rPr>
      </w:pPr>
      <w:bookmarkStart w:id="153" w:name="_Toc262650814"/>
      <w:bookmarkEnd w:id="153"/>
      <w:bookmarkStart w:id="154" w:name="_Toc282589246"/>
      <w:bookmarkEnd w:id="154"/>
      <w:bookmarkStart w:id="155" w:name="_Toc282589836"/>
      <w:bookmarkEnd w:id="155"/>
      <w:bookmarkStart w:id="156" w:name="_Toc152042311"/>
      <w:bookmarkEnd w:id="156"/>
      <w:bookmarkStart w:id="157" w:name="_Toc144974503"/>
      <w:bookmarkEnd w:id="157"/>
      <w:bookmarkStart w:id="158" w:name="_Toc152045535"/>
      <w:bookmarkEnd w:id="158"/>
      <w:bookmarkStart w:id="159" w:name="_Toc300838028"/>
      <w:bookmarkEnd w:id="159"/>
      <w:bookmarkStart w:id="160" w:name="_Toc8797"/>
      <w:r>
        <w:rPr>
          <w:rFonts w:hint="eastAsia"/>
          <w:color w:val="auto"/>
          <w:sz w:val="21"/>
          <w:szCs w:val="21"/>
          <w:highlight w:val="none"/>
        </w:rPr>
        <w:t>1.5 费用承担</w:t>
      </w:r>
      <w:bookmarkEnd w:id="160"/>
    </w:p>
    <w:p>
      <w:pPr>
        <w:tabs>
          <w:tab w:val="left" w:pos="840"/>
        </w:tabs>
        <w:spacing w:line="360" w:lineRule="exact"/>
        <w:ind w:firstLine="420" w:firstLineChars="200"/>
        <w:rPr>
          <w:rFonts w:ascii="宋体" w:hAnsi="宋体" w:cs="宋体"/>
          <w:color w:val="auto"/>
          <w:kern w:val="1"/>
          <w:highlight w:val="none"/>
        </w:rPr>
      </w:pPr>
      <w:r>
        <w:rPr>
          <w:rFonts w:hint="eastAsia" w:ascii="宋体" w:hAnsi="宋体" w:cs="宋体"/>
          <w:color w:val="auto"/>
          <w:kern w:val="1"/>
          <w:highlight w:val="none"/>
        </w:rPr>
        <w:t>投标人准备和参加投标活动发生的费用自理。</w:t>
      </w:r>
    </w:p>
    <w:p>
      <w:pPr>
        <w:pStyle w:val="34"/>
        <w:tabs>
          <w:tab w:val="left" w:pos="840"/>
        </w:tabs>
        <w:spacing w:before="0" w:beforeAutospacing="0" w:after="0" w:afterAutospacing="0" w:line="360" w:lineRule="exact"/>
        <w:ind w:firstLine="420" w:firstLineChars="200"/>
        <w:rPr>
          <w:color w:val="auto"/>
          <w:sz w:val="21"/>
          <w:szCs w:val="21"/>
          <w:highlight w:val="none"/>
        </w:rPr>
      </w:pPr>
      <w:bookmarkStart w:id="161" w:name="_Toc262650815"/>
      <w:bookmarkEnd w:id="161"/>
      <w:bookmarkStart w:id="162" w:name="_Toc144974504"/>
      <w:bookmarkEnd w:id="162"/>
      <w:bookmarkStart w:id="163" w:name="_Toc152042312"/>
      <w:bookmarkEnd w:id="163"/>
      <w:bookmarkStart w:id="164" w:name="_Toc282589837"/>
      <w:bookmarkEnd w:id="164"/>
      <w:bookmarkStart w:id="165" w:name="_Toc282589247"/>
      <w:bookmarkEnd w:id="165"/>
      <w:bookmarkStart w:id="166" w:name="_Toc300838029"/>
      <w:bookmarkEnd w:id="166"/>
      <w:bookmarkStart w:id="167" w:name="_Toc152045536"/>
      <w:bookmarkEnd w:id="167"/>
      <w:bookmarkStart w:id="168" w:name="_Toc21573"/>
      <w:r>
        <w:rPr>
          <w:rFonts w:hint="eastAsia"/>
          <w:color w:val="auto"/>
          <w:sz w:val="21"/>
          <w:szCs w:val="21"/>
          <w:highlight w:val="none"/>
        </w:rPr>
        <w:t>1.6 保密</w:t>
      </w:r>
      <w:bookmarkEnd w:id="168"/>
    </w:p>
    <w:p>
      <w:pPr>
        <w:tabs>
          <w:tab w:val="left" w:pos="840"/>
        </w:tabs>
        <w:spacing w:line="360" w:lineRule="exact"/>
        <w:ind w:firstLine="420" w:firstLineChars="200"/>
        <w:rPr>
          <w:rFonts w:ascii="宋体" w:hAnsi="宋体" w:cs="宋体"/>
          <w:color w:val="auto"/>
          <w:kern w:val="1"/>
          <w:highlight w:val="none"/>
        </w:rPr>
      </w:pPr>
      <w:r>
        <w:rPr>
          <w:rFonts w:hint="eastAsia" w:ascii="宋体" w:hAnsi="宋体" w:cs="宋体"/>
          <w:color w:val="auto"/>
          <w:kern w:val="1"/>
          <w:highlight w:val="none"/>
        </w:rPr>
        <w:t xml:space="preserve">参与招标投标活动的各方应对招标文件和投标文件中的商业和技术等秘密保密，违者应对由此造成的后果承担法律责任。 </w:t>
      </w:r>
    </w:p>
    <w:p>
      <w:pPr>
        <w:pStyle w:val="34"/>
        <w:tabs>
          <w:tab w:val="left" w:pos="840"/>
        </w:tabs>
        <w:spacing w:before="0" w:beforeAutospacing="0" w:after="0" w:afterAutospacing="0" w:line="360" w:lineRule="exact"/>
        <w:ind w:firstLine="420" w:firstLineChars="200"/>
        <w:rPr>
          <w:color w:val="auto"/>
          <w:sz w:val="21"/>
          <w:szCs w:val="21"/>
          <w:highlight w:val="none"/>
        </w:rPr>
      </w:pPr>
      <w:bookmarkStart w:id="169" w:name="_Toc300838030"/>
      <w:bookmarkEnd w:id="169"/>
      <w:bookmarkStart w:id="170" w:name="_Toc144974505"/>
      <w:bookmarkEnd w:id="170"/>
      <w:bookmarkStart w:id="171" w:name="_Toc152042313"/>
      <w:bookmarkEnd w:id="171"/>
      <w:bookmarkStart w:id="172" w:name="_Toc262650816"/>
      <w:bookmarkEnd w:id="172"/>
      <w:bookmarkStart w:id="173" w:name="_Toc282589838"/>
      <w:bookmarkEnd w:id="173"/>
      <w:bookmarkStart w:id="174" w:name="_Toc152045537"/>
      <w:bookmarkEnd w:id="174"/>
      <w:bookmarkStart w:id="175" w:name="_Toc282589248"/>
      <w:bookmarkEnd w:id="175"/>
      <w:bookmarkStart w:id="176" w:name="_Toc15813"/>
      <w:r>
        <w:rPr>
          <w:rFonts w:hint="eastAsia"/>
          <w:color w:val="auto"/>
          <w:sz w:val="21"/>
          <w:szCs w:val="21"/>
          <w:highlight w:val="none"/>
        </w:rPr>
        <w:t>1.7 语言文字</w:t>
      </w:r>
      <w:bookmarkEnd w:id="176"/>
    </w:p>
    <w:p>
      <w:pPr>
        <w:tabs>
          <w:tab w:val="left" w:pos="840"/>
        </w:tabs>
        <w:spacing w:line="360" w:lineRule="exact"/>
        <w:ind w:firstLine="420" w:firstLineChars="200"/>
        <w:rPr>
          <w:rFonts w:ascii="宋体" w:hAnsi="宋体" w:cs="宋体"/>
          <w:color w:val="auto"/>
          <w:kern w:val="1"/>
          <w:highlight w:val="none"/>
        </w:rPr>
      </w:pPr>
      <w:r>
        <w:rPr>
          <w:rFonts w:hint="eastAsia" w:ascii="宋体" w:hAnsi="宋体" w:cs="宋体"/>
          <w:color w:val="auto"/>
          <w:kern w:val="1"/>
          <w:highlight w:val="none"/>
        </w:rPr>
        <w:t>除专用术语外，与招标投标有关的语言均使用中文。必要时专用术语应附有中文注释。</w:t>
      </w:r>
    </w:p>
    <w:p>
      <w:pPr>
        <w:pStyle w:val="34"/>
        <w:tabs>
          <w:tab w:val="left" w:pos="840"/>
        </w:tabs>
        <w:spacing w:before="0" w:beforeAutospacing="0" w:after="0" w:afterAutospacing="0" w:line="360" w:lineRule="exact"/>
        <w:ind w:firstLine="420" w:firstLineChars="200"/>
        <w:rPr>
          <w:color w:val="auto"/>
          <w:sz w:val="21"/>
          <w:szCs w:val="21"/>
          <w:highlight w:val="none"/>
        </w:rPr>
      </w:pPr>
      <w:bookmarkStart w:id="177" w:name="_Toc144974506"/>
      <w:bookmarkEnd w:id="177"/>
      <w:bookmarkStart w:id="178" w:name="_Toc282589839"/>
      <w:bookmarkEnd w:id="178"/>
      <w:bookmarkStart w:id="179" w:name="_Toc300838031"/>
      <w:bookmarkEnd w:id="179"/>
      <w:bookmarkStart w:id="180" w:name="_Toc152045538"/>
      <w:bookmarkEnd w:id="180"/>
      <w:bookmarkStart w:id="181" w:name="_Toc262650817"/>
      <w:bookmarkEnd w:id="181"/>
      <w:bookmarkStart w:id="182" w:name="_Toc152042314"/>
      <w:bookmarkEnd w:id="182"/>
      <w:bookmarkStart w:id="183" w:name="_Toc282589249"/>
      <w:bookmarkEnd w:id="183"/>
      <w:bookmarkStart w:id="184" w:name="_Toc14153"/>
      <w:r>
        <w:rPr>
          <w:rFonts w:hint="eastAsia"/>
          <w:color w:val="auto"/>
          <w:sz w:val="21"/>
          <w:szCs w:val="21"/>
          <w:highlight w:val="none"/>
        </w:rPr>
        <w:t>1.8 计量单位</w:t>
      </w:r>
      <w:bookmarkEnd w:id="184"/>
    </w:p>
    <w:p>
      <w:pPr>
        <w:tabs>
          <w:tab w:val="left" w:pos="840"/>
        </w:tabs>
        <w:spacing w:line="360" w:lineRule="exact"/>
        <w:ind w:firstLine="420" w:firstLineChars="200"/>
        <w:rPr>
          <w:rFonts w:ascii="宋体" w:hAnsi="宋体" w:cs="宋体"/>
          <w:color w:val="auto"/>
          <w:kern w:val="1"/>
          <w:highlight w:val="none"/>
        </w:rPr>
      </w:pPr>
      <w:r>
        <w:rPr>
          <w:rFonts w:hint="eastAsia" w:ascii="宋体" w:hAnsi="宋体" w:cs="宋体"/>
          <w:color w:val="auto"/>
          <w:kern w:val="1"/>
          <w:highlight w:val="none"/>
        </w:rPr>
        <w:t>所有计量均采用中华人民共和国法定计量单位。</w:t>
      </w:r>
    </w:p>
    <w:p>
      <w:pPr>
        <w:pStyle w:val="34"/>
        <w:tabs>
          <w:tab w:val="left" w:pos="840"/>
        </w:tabs>
        <w:spacing w:before="0" w:beforeAutospacing="0" w:after="0" w:afterAutospacing="0" w:line="360" w:lineRule="exact"/>
        <w:ind w:firstLine="420" w:firstLineChars="200"/>
        <w:rPr>
          <w:color w:val="auto"/>
          <w:sz w:val="21"/>
          <w:szCs w:val="21"/>
          <w:highlight w:val="none"/>
        </w:rPr>
      </w:pPr>
      <w:bookmarkStart w:id="185" w:name="_Toc152042315"/>
      <w:bookmarkEnd w:id="185"/>
      <w:bookmarkStart w:id="186" w:name="_Toc262650818"/>
      <w:bookmarkEnd w:id="186"/>
      <w:bookmarkStart w:id="187" w:name="_Toc282589840"/>
      <w:bookmarkEnd w:id="187"/>
      <w:bookmarkStart w:id="188" w:name="_Toc152045539"/>
      <w:bookmarkEnd w:id="188"/>
      <w:bookmarkStart w:id="189" w:name="_Toc282589250"/>
      <w:bookmarkEnd w:id="189"/>
      <w:bookmarkStart w:id="190" w:name="_Toc144974507"/>
      <w:bookmarkEnd w:id="190"/>
      <w:bookmarkStart w:id="191" w:name="_Toc300838032"/>
      <w:bookmarkEnd w:id="191"/>
      <w:bookmarkStart w:id="192" w:name="_Toc19873"/>
      <w:r>
        <w:rPr>
          <w:rFonts w:hint="eastAsia"/>
          <w:color w:val="auto"/>
          <w:sz w:val="21"/>
          <w:szCs w:val="21"/>
          <w:highlight w:val="none"/>
        </w:rPr>
        <w:t>1.9 踏勘现场</w:t>
      </w:r>
      <w:bookmarkEnd w:id="192"/>
    </w:p>
    <w:p>
      <w:pPr>
        <w:tabs>
          <w:tab w:val="left" w:pos="840"/>
        </w:tabs>
        <w:spacing w:line="360" w:lineRule="exact"/>
        <w:ind w:firstLine="420" w:firstLineChars="200"/>
        <w:rPr>
          <w:rFonts w:ascii="宋体" w:hAnsi="宋体" w:cs="宋体"/>
          <w:color w:val="auto"/>
          <w:kern w:val="1"/>
          <w:highlight w:val="none"/>
        </w:rPr>
      </w:pPr>
      <w:r>
        <w:rPr>
          <w:rFonts w:hint="eastAsia" w:ascii="宋体" w:hAnsi="宋体" w:cs="宋体"/>
          <w:color w:val="auto"/>
          <w:kern w:val="1"/>
          <w:highlight w:val="none"/>
        </w:rPr>
        <w:t>投标人须知前附表规定组织踏勘现场的，招标人按投标人须知前附表规定的时间、地点组织投标人踏勘项目现场。</w:t>
      </w:r>
    </w:p>
    <w:p>
      <w:pPr>
        <w:pStyle w:val="34"/>
        <w:tabs>
          <w:tab w:val="left" w:pos="840"/>
        </w:tabs>
        <w:spacing w:before="0" w:beforeAutospacing="0" w:after="0" w:afterAutospacing="0" w:line="360" w:lineRule="exact"/>
        <w:rPr>
          <w:color w:val="auto"/>
          <w:sz w:val="21"/>
          <w:szCs w:val="21"/>
          <w:highlight w:val="none"/>
        </w:rPr>
      </w:pPr>
      <w:bookmarkStart w:id="193" w:name="_Toc282589841"/>
      <w:bookmarkEnd w:id="193"/>
      <w:bookmarkStart w:id="194" w:name="_Toc282589251"/>
      <w:bookmarkEnd w:id="194"/>
      <w:bookmarkStart w:id="195" w:name="_Toc262650819"/>
      <w:bookmarkEnd w:id="195"/>
      <w:bookmarkStart w:id="196" w:name="_Toc152042316"/>
      <w:bookmarkEnd w:id="196"/>
      <w:bookmarkStart w:id="197" w:name="_Toc300838033"/>
      <w:bookmarkEnd w:id="197"/>
      <w:bookmarkStart w:id="198" w:name="_Toc144974508"/>
      <w:bookmarkEnd w:id="198"/>
      <w:bookmarkStart w:id="199" w:name="_Toc152045540"/>
      <w:bookmarkEnd w:id="199"/>
      <w:bookmarkStart w:id="200" w:name="_Toc21280"/>
      <w:r>
        <w:rPr>
          <w:rFonts w:hint="eastAsia"/>
          <w:color w:val="auto"/>
          <w:sz w:val="21"/>
          <w:szCs w:val="21"/>
          <w:highlight w:val="none"/>
        </w:rPr>
        <w:t>1.10 投标预备会</w:t>
      </w:r>
      <w:bookmarkEnd w:id="200"/>
    </w:p>
    <w:p>
      <w:pPr>
        <w:tabs>
          <w:tab w:val="left" w:pos="840"/>
        </w:tabs>
        <w:spacing w:line="360" w:lineRule="exact"/>
        <w:ind w:firstLine="420" w:firstLineChars="200"/>
        <w:rPr>
          <w:rFonts w:ascii="宋体" w:hAnsi="宋体" w:cs="宋体"/>
          <w:color w:val="auto"/>
          <w:kern w:val="1"/>
          <w:highlight w:val="none"/>
        </w:rPr>
      </w:pPr>
      <w:bookmarkStart w:id="201" w:name="_Toc282589252"/>
      <w:bookmarkEnd w:id="201"/>
      <w:bookmarkStart w:id="202" w:name="_Toc282589842"/>
      <w:bookmarkEnd w:id="202"/>
      <w:bookmarkStart w:id="203" w:name="_Toc152042317"/>
      <w:bookmarkEnd w:id="203"/>
      <w:bookmarkStart w:id="204" w:name="_Toc152045541"/>
      <w:bookmarkEnd w:id="204"/>
      <w:bookmarkStart w:id="205" w:name="_Toc262650820"/>
      <w:bookmarkEnd w:id="205"/>
      <w:bookmarkStart w:id="206" w:name="_Toc300838034"/>
      <w:bookmarkEnd w:id="206"/>
      <w:bookmarkStart w:id="207" w:name="_Toc144974509"/>
      <w:bookmarkEnd w:id="207"/>
      <w:r>
        <w:rPr>
          <w:rFonts w:hint="eastAsia" w:ascii="宋体" w:hAnsi="宋体" w:cs="宋体"/>
          <w:color w:val="auto"/>
          <w:kern w:val="1"/>
          <w:highlight w:val="none"/>
        </w:rPr>
        <w:t>投标人须知前附表规定召开投标预备会的，招标人按投标人须知前附表规定的时间和地点召开投标预备会，澄清投标人提出的问题。</w:t>
      </w:r>
    </w:p>
    <w:p>
      <w:pPr>
        <w:pStyle w:val="34"/>
        <w:tabs>
          <w:tab w:val="left" w:pos="840"/>
        </w:tabs>
        <w:spacing w:before="0" w:beforeAutospacing="0" w:after="0" w:afterAutospacing="0" w:line="360" w:lineRule="exact"/>
        <w:ind w:firstLine="420" w:firstLineChars="200"/>
        <w:rPr>
          <w:color w:val="auto"/>
          <w:sz w:val="21"/>
          <w:szCs w:val="21"/>
          <w:highlight w:val="none"/>
        </w:rPr>
      </w:pPr>
      <w:bookmarkStart w:id="208" w:name="_Toc13690"/>
      <w:r>
        <w:rPr>
          <w:rFonts w:hint="eastAsia"/>
          <w:color w:val="auto"/>
          <w:sz w:val="21"/>
          <w:szCs w:val="21"/>
          <w:highlight w:val="none"/>
        </w:rPr>
        <w:t>1.11 分包</w:t>
      </w:r>
      <w:bookmarkEnd w:id="208"/>
    </w:p>
    <w:p>
      <w:pPr>
        <w:tabs>
          <w:tab w:val="left" w:pos="840"/>
        </w:tabs>
        <w:spacing w:line="360" w:lineRule="exact"/>
        <w:ind w:firstLine="420" w:firstLineChars="200"/>
        <w:rPr>
          <w:rFonts w:ascii="宋体" w:hAnsi="宋体" w:cs="宋体"/>
          <w:color w:val="auto"/>
          <w:kern w:val="1"/>
          <w:highlight w:val="none"/>
        </w:rPr>
      </w:pPr>
      <w:bookmarkStart w:id="209" w:name="_Toc282589843"/>
      <w:bookmarkEnd w:id="209"/>
      <w:bookmarkStart w:id="210" w:name="_Toc300838035"/>
      <w:bookmarkEnd w:id="210"/>
      <w:bookmarkStart w:id="211" w:name="_Toc282589253"/>
      <w:bookmarkEnd w:id="211"/>
      <w:bookmarkStart w:id="212" w:name="_Toc262650821"/>
      <w:bookmarkEnd w:id="212"/>
      <w:r>
        <w:rPr>
          <w:rFonts w:hint="eastAsia" w:ascii="宋体" w:hAnsi="宋体" w:cs="宋体"/>
          <w:color w:val="auto"/>
          <w:kern w:val="1"/>
          <w:highlight w:val="none"/>
        </w:rPr>
        <w:t>本项目严禁转包和违规分包，且不得再次分包。</w:t>
      </w:r>
    </w:p>
    <w:p>
      <w:pPr>
        <w:tabs>
          <w:tab w:val="left" w:pos="840"/>
        </w:tabs>
        <w:spacing w:line="360" w:lineRule="exact"/>
        <w:ind w:firstLine="420" w:firstLineChars="200"/>
        <w:rPr>
          <w:rFonts w:ascii="宋体" w:hAnsi="宋体" w:cs="宋体"/>
          <w:color w:val="auto"/>
          <w:kern w:val="1"/>
          <w:highlight w:val="none"/>
        </w:rPr>
      </w:pPr>
      <w:bookmarkStart w:id="213" w:name="_Toc4248"/>
      <w:r>
        <w:rPr>
          <w:rFonts w:hint="eastAsia" w:ascii="宋体" w:hAnsi="宋体" w:cs="宋体"/>
          <w:color w:val="auto"/>
          <w:kern w:val="1"/>
          <w:highlight w:val="none"/>
        </w:rPr>
        <w:t>1.12 响应和偏差</w:t>
      </w:r>
    </w:p>
    <w:p>
      <w:pPr>
        <w:tabs>
          <w:tab w:val="left" w:pos="840"/>
        </w:tabs>
        <w:spacing w:line="360" w:lineRule="exact"/>
        <w:ind w:firstLine="420" w:firstLineChars="200"/>
        <w:rPr>
          <w:rFonts w:ascii="宋体" w:hAnsi="宋体" w:cs="宋体"/>
          <w:color w:val="auto"/>
          <w:kern w:val="1"/>
          <w:highlight w:val="none"/>
        </w:rPr>
      </w:pPr>
      <w:r>
        <w:rPr>
          <w:rFonts w:hint="eastAsia" w:ascii="宋体" w:hAnsi="宋体" w:cs="宋体"/>
          <w:color w:val="auto"/>
          <w:kern w:val="1"/>
          <w:highlight w:val="none"/>
        </w:rPr>
        <w:t>1.12.1 投标文件偏离招标文件某些要求，视为投标文件存在偏差。偏差包括重大偏差和细微偏差。</w:t>
      </w:r>
    </w:p>
    <w:p>
      <w:pPr>
        <w:tabs>
          <w:tab w:val="left" w:pos="840"/>
        </w:tabs>
        <w:spacing w:line="360" w:lineRule="exact"/>
        <w:ind w:firstLine="420" w:firstLineChars="200"/>
        <w:rPr>
          <w:rFonts w:ascii="宋体" w:hAnsi="宋体" w:cs="宋体"/>
          <w:color w:val="auto"/>
          <w:kern w:val="1"/>
          <w:highlight w:val="none"/>
        </w:rPr>
      </w:pPr>
      <w:r>
        <w:rPr>
          <w:rFonts w:hint="eastAsia" w:ascii="宋体" w:hAnsi="宋体" w:cs="宋体"/>
          <w:color w:val="auto"/>
          <w:kern w:val="1"/>
          <w:highlight w:val="none"/>
        </w:rPr>
        <w:t>1.12.2 投标文件应对招标文件的实质性要求和条件作出满足性或更有利于招标人的响应，否则，视为投标文件存在重大偏差，投标人的投标将被否决。</w:t>
      </w:r>
    </w:p>
    <w:p>
      <w:pPr>
        <w:tabs>
          <w:tab w:val="left" w:pos="840"/>
        </w:tabs>
        <w:spacing w:line="360" w:lineRule="exact"/>
        <w:ind w:firstLine="420" w:firstLineChars="200"/>
        <w:rPr>
          <w:rFonts w:ascii="宋体" w:hAnsi="宋体" w:cs="宋体"/>
          <w:color w:val="auto"/>
          <w:kern w:val="1"/>
          <w:highlight w:val="none"/>
        </w:rPr>
      </w:pPr>
      <w:r>
        <w:rPr>
          <w:rFonts w:hint="eastAsia" w:ascii="宋体" w:hAnsi="宋体" w:cs="宋体"/>
          <w:color w:val="auto"/>
          <w:kern w:val="1"/>
          <w:highlight w:val="none"/>
        </w:rPr>
        <w:t>投标文件存在第三章“评标办法”中所列任一否决投标情形的，均属于存在重大偏差。</w:t>
      </w:r>
    </w:p>
    <w:p>
      <w:pPr>
        <w:tabs>
          <w:tab w:val="left" w:pos="840"/>
        </w:tabs>
        <w:spacing w:line="360" w:lineRule="exact"/>
        <w:ind w:firstLine="420" w:firstLineChars="200"/>
        <w:rPr>
          <w:rFonts w:ascii="宋体" w:hAnsi="宋体" w:cs="宋体"/>
          <w:color w:val="auto"/>
          <w:kern w:val="1"/>
          <w:highlight w:val="none"/>
        </w:rPr>
      </w:pPr>
      <w:r>
        <w:rPr>
          <w:rFonts w:hint="eastAsia" w:ascii="宋体" w:hAnsi="宋体" w:cs="宋体"/>
          <w:color w:val="auto"/>
          <w:kern w:val="1"/>
          <w:highlight w:val="none"/>
        </w:rPr>
        <w:t>1.12.3 投标文件中的下列偏差为细微偏差：</w:t>
      </w:r>
    </w:p>
    <w:p>
      <w:pPr>
        <w:tabs>
          <w:tab w:val="left" w:pos="840"/>
        </w:tabs>
        <w:spacing w:line="360" w:lineRule="exact"/>
        <w:ind w:firstLine="420" w:firstLineChars="200"/>
        <w:rPr>
          <w:rFonts w:ascii="宋体" w:hAnsi="宋体" w:cs="宋体"/>
          <w:color w:val="auto"/>
          <w:kern w:val="1"/>
          <w:highlight w:val="none"/>
        </w:rPr>
      </w:pPr>
      <w:r>
        <w:rPr>
          <w:rFonts w:hint="eastAsia" w:ascii="宋体" w:hAnsi="宋体" w:cs="宋体"/>
          <w:color w:val="auto"/>
          <w:kern w:val="1"/>
          <w:highlight w:val="none"/>
        </w:rPr>
        <w:t>（1）在按照第三章“评标办法”的规定对投标价进行算术性错误修正后，最终投标报价未超过最高投标限价（如有）的情况下，出现第三章“评标办法”规定的算术性错误；</w:t>
      </w:r>
    </w:p>
    <w:p>
      <w:pPr>
        <w:tabs>
          <w:tab w:val="left" w:pos="840"/>
        </w:tabs>
        <w:spacing w:line="360" w:lineRule="exact"/>
        <w:ind w:firstLine="420" w:firstLineChars="200"/>
        <w:rPr>
          <w:rFonts w:ascii="宋体" w:hAnsi="宋体" w:cs="宋体"/>
          <w:color w:val="auto"/>
          <w:kern w:val="1"/>
          <w:highlight w:val="none"/>
        </w:rPr>
      </w:pPr>
      <w:r>
        <w:rPr>
          <w:rFonts w:hint="eastAsia" w:ascii="宋体" w:hAnsi="宋体" w:cs="宋体"/>
          <w:color w:val="auto"/>
          <w:kern w:val="1"/>
          <w:highlight w:val="none"/>
        </w:rPr>
        <w:t>（2）技术建议书不够完善；</w:t>
      </w:r>
    </w:p>
    <w:p>
      <w:pPr>
        <w:tabs>
          <w:tab w:val="left" w:pos="840"/>
        </w:tabs>
        <w:spacing w:line="360" w:lineRule="exact"/>
        <w:ind w:firstLine="420" w:firstLineChars="200"/>
        <w:rPr>
          <w:rFonts w:ascii="宋体" w:hAnsi="宋体" w:cs="宋体"/>
          <w:color w:val="auto"/>
          <w:kern w:val="1"/>
          <w:highlight w:val="none"/>
        </w:rPr>
      </w:pPr>
      <w:r>
        <w:rPr>
          <w:rFonts w:hint="eastAsia" w:ascii="宋体" w:hAnsi="宋体" w:cs="宋体"/>
          <w:color w:val="auto"/>
          <w:kern w:val="1"/>
          <w:highlight w:val="none"/>
        </w:rPr>
        <w:t>（3）投标文件页码不连续、采用活页夹装订、个别文字有遗漏错误等不影响投标文件实质性内容的偏差。</w:t>
      </w:r>
    </w:p>
    <w:p>
      <w:pPr>
        <w:tabs>
          <w:tab w:val="left" w:pos="840"/>
        </w:tabs>
        <w:spacing w:line="360" w:lineRule="exact"/>
        <w:ind w:firstLine="420" w:firstLineChars="200"/>
        <w:rPr>
          <w:rFonts w:ascii="宋体" w:hAnsi="宋体" w:cs="宋体"/>
          <w:color w:val="auto"/>
          <w:kern w:val="1"/>
          <w:highlight w:val="none"/>
        </w:rPr>
      </w:pPr>
      <w:r>
        <w:rPr>
          <w:rFonts w:hint="eastAsia" w:ascii="宋体" w:hAnsi="宋体" w:cs="宋体"/>
          <w:color w:val="auto"/>
          <w:kern w:val="1"/>
          <w:highlight w:val="none"/>
        </w:rPr>
        <w:t>1.12.4 评标委员会对投标文件中的细微偏差按如下规定处理：</w:t>
      </w:r>
      <w:bookmarkEnd w:id="213"/>
    </w:p>
    <w:p>
      <w:pPr>
        <w:tabs>
          <w:tab w:val="left" w:pos="840"/>
        </w:tabs>
        <w:spacing w:line="360" w:lineRule="exact"/>
        <w:ind w:firstLine="420" w:firstLineChars="200"/>
        <w:rPr>
          <w:rFonts w:ascii="宋体" w:hAnsi="宋体" w:cs="宋体"/>
          <w:color w:val="auto"/>
          <w:kern w:val="1"/>
          <w:highlight w:val="none"/>
        </w:rPr>
      </w:pPr>
      <w:r>
        <w:rPr>
          <w:rFonts w:hint="eastAsia" w:ascii="宋体" w:hAnsi="宋体" w:cs="宋体"/>
          <w:color w:val="auto"/>
          <w:kern w:val="1"/>
          <w:highlight w:val="none"/>
        </w:rPr>
        <w:t>（1）对于本章第 1.12.3 项（1）目所述的细微偏差，按照第三章“评标办法”的规定予以修正并要求投标人进行澄清；</w:t>
      </w:r>
    </w:p>
    <w:p>
      <w:pPr>
        <w:tabs>
          <w:tab w:val="left" w:pos="840"/>
        </w:tabs>
        <w:spacing w:line="360" w:lineRule="exact"/>
        <w:ind w:firstLine="420" w:firstLineChars="200"/>
        <w:rPr>
          <w:rFonts w:ascii="宋体" w:hAnsi="宋体" w:cs="宋体"/>
          <w:color w:val="auto"/>
          <w:kern w:val="1"/>
          <w:highlight w:val="none"/>
        </w:rPr>
      </w:pPr>
      <w:r>
        <w:rPr>
          <w:rFonts w:hint="eastAsia" w:ascii="宋体" w:hAnsi="宋体" w:cs="宋体"/>
          <w:color w:val="auto"/>
          <w:kern w:val="1"/>
          <w:highlight w:val="none"/>
        </w:rPr>
        <w:t>（2）对于本章第 1.12.3 项（2）、（3）目所述的细微偏差，可在相关评分因素的评分中酌情扣分。</w:t>
      </w:r>
    </w:p>
    <w:p>
      <w:pPr>
        <w:tabs>
          <w:tab w:val="left" w:pos="840"/>
        </w:tabs>
        <w:spacing w:line="360" w:lineRule="exact"/>
        <w:ind w:firstLine="420" w:firstLineChars="200"/>
        <w:rPr>
          <w:rFonts w:ascii="宋体" w:hAnsi="宋体" w:cs="宋体"/>
          <w:color w:val="auto"/>
          <w:kern w:val="1"/>
          <w:highlight w:val="none"/>
        </w:rPr>
      </w:pPr>
      <w:r>
        <w:rPr>
          <w:rFonts w:hint="eastAsia" w:ascii="宋体" w:hAnsi="宋体" w:cs="宋体"/>
          <w:color w:val="auto"/>
          <w:kern w:val="1"/>
          <w:highlight w:val="none"/>
        </w:rPr>
        <w:t>1.12.5 投标人应根据招标文件的要求提供技术建议书等内容以对招标文件作出响应。</w:t>
      </w:r>
    </w:p>
    <w:p>
      <w:pPr>
        <w:pStyle w:val="35"/>
        <w:tabs>
          <w:tab w:val="left" w:pos="840"/>
        </w:tabs>
        <w:spacing w:line="360" w:lineRule="exact"/>
        <w:rPr>
          <w:rFonts w:ascii="宋体" w:hAnsi="宋体" w:cs="宋体"/>
          <w:b/>
          <w:bCs/>
          <w:color w:val="auto"/>
          <w:sz w:val="21"/>
          <w:szCs w:val="21"/>
          <w:highlight w:val="none"/>
        </w:rPr>
      </w:pPr>
      <w:bookmarkStart w:id="214" w:name="_Toc152045542"/>
      <w:bookmarkEnd w:id="214"/>
      <w:bookmarkStart w:id="215" w:name="_Toc144974510"/>
      <w:bookmarkEnd w:id="215"/>
      <w:bookmarkStart w:id="216" w:name="_Toc152042318"/>
      <w:bookmarkEnd w:id="216"/>
      <w:bookmarkStart w:id="217" w:name="_Toc10412"/>
      <w:r>
        <w:rPr>
          <w:rFonts w:hint="eastAsia" w:ascii="宋体" w:hAnsi="宋体" w:cs="宋体"/>
          <w:b/>
          <w:bCs/>
          <w:color w:val="auto"/>
          <w:sz w:val="21"/>
          <w:szCs w:val="21"/>
          <w:highlight w:val="none"/>
        </w:rPr>
        <w:t>2. 招标文件</w:t>
      </w:r>
      <w:bookmarkEnd w:id="217"/>
    </w:p>
    <w:p>
      <w:pPr>
        <w:pStyle w:val="34"/>
        <w:tabs>
          <w:tab w:val="left" w:pos="840"/>
        </w:tabs>
        <w:spacing w:before="0" w:beforeAutospacing="0" w:after="0" w:afterAutospacing="0" w:line="360" w:lineRule="exact"/>
        <w:ind w:firstLine="420" w:firstLineChars="200"/>
        <w:rPr>
          <w:color w:val="auto"/>
          <w:sz w:val="21"/>
          <w:szCs w:val="21"/>
          <w:highlight w:val="none"/>
        </w:rPr>
      </w:pPr>
      <w:bookmarkStart w:id="218" w:name="_Toc282589845"/>
      <w:bookmarkEnd w:id="218"/>
      <w:bookmarkStart w:id="219" w:name="_Toc144974511"/>
      <w:bookmarkEnd w:id="219"/>
      <w:bookmarkStart w:id="220" w:name="_Toc262650823"/>
      <w:bookmarkEnd w:id="220"/>
      <w:bookmarkStart w:id="221" w:name="_Toc300838037"/>
      <w:bookmarkEnd w:id="221"/>
      <w:bookmarkStart w:id="222" w:name="_Toc152042319"/>
      <w:bookmarkEnd w:id="222"/>
      <w:bookmarkStart w:id="223" w:name="_Toc282589255"/>
      <w:bookmarkEnd w:id="223"/>
      <w:bookmarkStart w:id="224" w:name="_Toc152045543"/>
      <w:bookmarkEnd w:id="224"/>
      <w:bookmarkStart w:id="225" w:name="_Toc5205"/>
      <w:r>
        <w:rPr>
          <w:rFonts w:hint="eastAsia"/>
          <w:color w:val="auto"/>
          <w:sz w:val="21"/>
          <w:szCs w:val="21"/>
          <w:highlight w:val="none"/>
        </w:rPr>
        <w:t>2.1 招标文件的组成</w:t>
      </w:r>
      <w:bookmarkEnd w:id="225"/>
    </w:p>
    <w:p>
      <w:pPr>
        <w:tabs>
          <w:tab w:val="left" w:pos="840"/>
        </w:tabs>
        <w:spacing w:line="360" w:lineRule="exact"/>
        <w:ind w:firstLine="420" w:firstLineChars="200"/>
        <w:rPr>
          <w:rFonts w:ascii="宋体" w:hAnsi="宋体" w:cs="宋体"/>
          <w:color w:val="auto"/>
          <w:kern w:val="1"/>
          <w:highlight w:val="none"/>
        </w:rPr>
      </w:pPr>
      <w:r>
        <w:rPr>
          <w:rFonts w:hint="eastAsia" w:ascii="宋体" w:hAnsi="宋体" w:cs="宋体"/>
          <w:color w:val="auto"/>
          <w:kern w:val="1"/>
          <w:highlight w:val="none"/>
        </w:rPr>
        <w:t>本招标文件包括：</w:t>
      </w:r>
    </w:p>
    <w:p>
      <w:pPr>
        <w:tabs>
          <w:tab w:val="left" w:pos="840"/>
        </w:tabs>
        <w:spacing w:line="360" w:lineRule="exact"/>
        <w:ind w:firstLine="420" w:firstLineChars="200"/>
        <w:rPr>
          <w:rFonts w:ascii="宋体" w:hAnsi="宋体" w:cs="宋体"/>
          <w:color w:val="auto"/>
          <w:kern w:val="1"/>
          <w:highlight w:val="none"/>
        </w:rPr>
      </w:pPr>
      <w:r>
        <w:rPr>
          <w:rFonts w:hint="eastAsia" w:ascii="宋体" w:hAnsi="宋体" w:cs="宋体"/>
          <w:color w:val="auto"/>
          <w:kern w:val="1"/>
          <w:highlight w:val="none"/>
        </w:rPr>
        <w:t>（1）招标公告（或投标邀请书）；</w:t>
      </w:r>
    </w:p>
    <w:p>
      <w:pPr>
        <w:tabs>
          <w:tab w:val="left" w:pos="840"/>
        </w:tabs>
        <w:spacing w:line="360" w:lineRule="exact"/>
        <w:ind w:firstLine="420" w:firstLineChars="200"/>
        <w:rPr>
          <w:rFonts w:ascii="宋体" w:hAnsi="宋体" w:cs="宋体"/>
          <w:color w:val="auto"/>
          <w:kern w:val="1"/>
          <w:highlight w:val="none"/>
        </w:rPr>
      </w:pPr>
      <w:r>
        <w:rPr>
          <w:rFonts w:hint="eastAsia" w:ascii="宋体" w:hAnsi="宋体" w:cs="宋体"/>
          <w:color w:val="auto"/>
          <w:kern w:val="1"/>
          <w:highlight w:val="none"/>
        </w:rPr>
        <w:t>（2）投标人须知；</w:t>
      </w:r>
    </w:p>
    <w:p>
      <w:pPr>
        <w:tabs>
          <w:tab w:val="left" w:pos="840"/>
        </w:tabs>
        <w:spacing w:line="360" w:lineRule="exact"/>
        <w:ind w:firstLine="420" w:firstLineChars="200"/>
        <w:rPr>
          <w:rFonts w:ascii="宋体" w:hAnsi="宋体" w:cs="宋体"/>
          <w:color w:val="auto"/>
          <w:kern w:val="1"/>
          <w:highlight w:val="none"/>
        </w:rPr>
      </w:pPr>
      <w:r>
        <w:rPr>
          <w:rFonts w:hint="eastAsia" w:ascii="宋体" w:hAnsi="宋体" w:cs="宋体"/>
          <w:color w:val="auto"/>
          <w:kern w:val="1"/>
          <w:highlight w:val="none"/>
        </w:rPr>
        <w:t>（3）评标办法；</w:t>
      </w:r>
    </w:p>
    <w:p>
      <w:pPr>
        <w:tabs>
          <w:tab w:val="left" w:pos="840"/>
        </w:tabs>
        <w:spacing w:line="360" w:lineRule="exact"/>
        <w:ind w:firstLine="420" w:firstLineChars="200"/>
        <w:rPr>
          <w:rFonts w:ascii="宋体" w:hAnsi="宋体" w:cs="宋体"/>
          <w:color w:val="auto"/>
          <w:kern w:val="1"/>
          <w:highlight w:val="none"/>
        </w:rPr>
      </w:pPr>
      <w:r>
        <w:rPr>
          <w:rFonts w:hint="eastAsia" w:ascii="宋体" w:hAnsi="宋体" w:cs="宋体"/>
          <w:color w:val="auto"/>
          <w:kern w:val="1"/>
          <w:highlight w:val="none"/>
        </w:rPr>
        <w:t>（4）合同条款及格式；</w:t>
      </w:r>
    </w:p>
    <w:p>
      <w:pPr>
        <w:tabs>
          <w:tab w:val="left" w:pos="840"/>
        </w:tabs>
        <w:spacing w:line="360" w:lineRule="exact"/>
        <w:ind w:firstLine="420" w:firstLineChars="200"/>
        <w:rPr>
          <w:rFonts w:ascii="宋体" w:hAnsi="宋体" w:cs="宋体"/>
          <w:color w:val="auto"/>
          <w:kern w:val="1"/>
          <w:highlight w:val="none"/>
        </w:rPr>
      </w:pPr>
      <w:r>
        <w:rPr>
          <w:rFonts w:hint="eastAsia" w:ascii="宋体" w:hAnsi="宋体" w:cs="宋体"/>
          <w:color w:val="auto"/>
          <w:kern w:val="1"/>
          <w:highlight w:val="none"/>
        </w:rPr>
        <w:t>（5）服务标准及要求；</w:t>
      </w:r>
    </w:p>
    <w:p>
      <w:pPr>
        <w:tabs>
          <w:tab w:val="left" w:pos="840"/>
        </w:tabs>
        <w:spacing w:line="360" w:lineRule="exact"/>
        <w:ind w:firstLine="420" w:firstLineChars="200"/>
        <w:rPr>
          <w:rFonts w:ascii="宋体" w:hAnsi="宋体" w:cs="宋体"/>
          <w:color w:val="auto"/>
          <w:kern w:val="1"/>
          <w:highlight w:val="none"/>
        </w:rPr>
      </w:pPr>
      <w:r>
        <w:rPr>
          <w:rFonts w:hint="eastAsia" w:ascii="宋体" w:hAnsi="宋体" w:cs="宋体"/>
          <w:color w:val="auto"/>
          <w:kern w:val="1"/>
          <w:highlight w:val="none"/>
        </w:rPr>
        <w:t>（6）投标文件格式；</w:t>
      </w:r>
    </w:p>
    <w:p>
      <w:pPr>
        <w:tabs>
          <w:tab w:val="left" w:pos="840"/>
        </w:tabs>
        <w:spacing w:line="360" w:lineRule="exact"/>
        <w:ind w:firstLine="420" w:firstLineChars="200"/>
        <w:rPr>
          <w:rFonts w:ascii="宋体" w:hAnsi="宋体" w:cs="宋体"/>
          <w:color w:val="auto"/>
          <w:kern w:val="1"/>
          <w:highlight w:val="none"/>
        </w:rPr>
      </w:pPr>
      <w:r>
        <w:rPr>
          <w:rFonts w:hint="eastAsia" w:ascii="宋体" w:hAnsi="宋体" w:cs="宋体"/>
          <w:color w:val="auto"/>
          <w:kern w:val="1"/>
          <w:highlight w:val="none"/>
        </w:rPr>
        <w:t>（7）投标人须知前附表规定的其他资料。</w:t>
      </w:r>
    </w:p>
    <w:p>
      <w:pPr>
        <w:tabs>
          <w:tab w:val="left" w:pos="840"/>
        </w:tabs>
        <w:spacing w:line="360" w:lineRule="exact"/>
        <w:ind w:firstLine="420" w:firstLineChars="200"/>
        <w:rPr>
          <w:rFonts w:ascii="宋体" w:hAnsi="宋体" w:cs="宋体"/>
          <w:color w:val="auto"/>
          <w:kern w:val="1"/>
          <w:highlight w:val="none"/>
        </w:rPr>
      </w:pPr>
      <w:r>
        <w:rPr>
          <w:rFonts w:hint="eastAsia" w:ascii="宋体" w:hAnsi="宋体" w:cs="宋体"/>
          <w:color w:val="auto"/>
          <w:kern w:val="1"/>
          <w:highlight w:val="none"/>
        </w:rPr>
        <w:t>根据本章第2.2款和第2.3款对招标文件所作的澄清、修改，构成招标文件的组成部分。</w:t>
      </w:r>
    </w:p>
    <w:p>
      <w:pPr>
        <w:tabs>
          <w:tab w:val="left" w:pos="840"/>
        </w:tabs>
        <w:spacing w:line="360" w:lineRule="exact"/>
        <w:ind w:firstLine="420" w:firstLineChars="200"/>
        <w:rPr>
          <w:rFonts w:ascii="宋体" w:hAnsi="宋体" w:cs="宋体"/>
          <w:color w:val="auto"/>
          <w:kern w:val="1"/>
          <w:highlight w:val="none"/>
        </w:rPr>
      </w:pPr>
      <w:r>
        <w:rPr>
          <w:rFonts w:hint="eastAsia" w:ascii="宋体" w:hAnsi="宋体" w:cs="宋体"/>
          <w:color w:val="auto"/>
          <w:kern w:val="1"/>
          <w:highlight w:val="none"/>
        </w:rPr>
        <w:t>当招标文件、招标文件的澄清或修改等在同一内容的表述上不一致时，以最后发出的书面文件为准。</w:t>
      </w:r>
    </w:p>
    <w:p>
      <w:pPr>
        <w:tabs>
          <w:tab w:val="left" w:pos="840"/>
        </w:tabs>
        <w:spacing w:line="360" w:lineRule="exact"/>
        <w:ind w:firstLine="420" w:firstLineChars="200"/>
        <w:rPr>
          <w:rFonts w:ascii="宋体" w:hAnsi="宋体" w:cs="宋体"/>
          <w:color w:val="auto"/>
          <w:kern w:val="1"/>
          <w:highlight w:val="none"/>
        </w:rPr>
      </w:pPr>
      <w:bookmarkStart w:id="226" w:name="_Toc262650824"/>
      <w:bookmarkEnd w:id="226"/>
      <w:bookmarkStart w:id="227" w:name="_Toc152042320"/>
      <w:bookmarkEnd w:id="227"/>
      <w:bookmarkStart w:id="228" w:name="_Toc152045544"/>
      <w:bookmarkEnd w:id="228"/>
      <w:bookmarkStart w:id="229" w:name="_Toc282589846"/>
      <w:bookmarkEnd w:id="229"/>
      <w:bookmarkStart w:id="230" w:name="_Toc300838038"/>
      <w:bookmarkEnd w:id="230"/>
      <w:bookmarkStart w:id="231" w:name="_Toc282589256"/>
      <w:bookmarkEnd w:id="231"/>
      <w:bookmarkStart w:id="232" w:name="_Toc144974512"/>
      <w:bookmarkEnd w:id="232"/>
      <w:bookmarkStart w:id="233" w:name="_Toc25883"/>
      <w:r>
        <w:rPr>
          <w:rFonts w:hint="eastAsia" w:ascii="宋体" w:hAnsi="宋体" w:cs="宋体"/>
          <w:color w:val="auto"/>
          <w:kern w:val="1"/>
          <w:highlight w:val="none"/>
        </w:rPr>
        <w:t>2.2 招标文件的澄清</w:t>
      </w:r>
      <w:bookmarkEnd w:id="233"/>
    </w:p>
    <w:p>
      <w:pPr>
        <w:tabs>
          <w:tab w:val="left" w:pos="840"/>
        </w:tabs>
        <w:spacing w:line="360" w:lineRule="exact"/>
        <w:ind w:firstLine="420" w:firstLineChars="200"/>
        <w:rPr>
          <w:rFonts w:ascii="宋体" w:hAnsi="宋体" w:cs="宋体"/>
          <w:color w:val="auto"/>
          <w:kern w:val="1"/>
          <w:highlight w:val="none"/>
        </w:rPr>
      </w:pPr>
      <w:bookmarkStart w:id="234" w:name="_Toc144974513"/>
      <w:bookmarkEnd w:id="234"/>
      <w:bookmarkStart w:id="235" w:name="_Toc152045545"/>
      <w:bookmarkEnd w:id="235"/>
      <w:bookmarkStart w:id="236" w:name="_Toc152042321"/>
      <w:bookmarkEnd w:id="236"/>
      <w:bookmarkStart w:id="237" w:name="_Toc282589847"/>
      <w:bookmarkEnd w:id="237"/>
      <w:bookmarkStart w:id="238" w:name="_Toc300838039"/>
      <w:bookmarkEnd w:id="238"/>
      <w:bookmarkStart w:id="239" w:name="_Toc262650825"/>
      <w:bookmarkEnd w:id="239"/>
      <w:bookmarkStart w:id="240" w:name="_Toc282589257"/>
      <w:bookmarkEnd w:id="240"/>
      <w:bookmarkStart w:id="241" w:name="_Toc26934"/>
      <w:r>
        <w:rPr>
          <w:rFonts w:hint="eastAsia" w:ascii="宋体" w:hAnsi="宋体" w:cs="宋体"/>
          <w:color w:val="auto"/>
          <w:kern w:val="1"/>
          <w:highlight w:val="none"/>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tabs>
          <w:tab w:val="left" w:pos="840"/>
        </w:tabs>
        <w:spacing w:line="360" w:lineRule="exact"/>
        <w:ind w:firstLine="420" w:firstLineChars="200"/>
        <w:rPr>
          <w:rFonts w:ascii="宋体" w:hAnsi="宋体" w:cs="宋体"/>
          <w:color w:val="auto"/>
          <w:kern w:val="1"/>
          <w:highlight w:val="none"/>
        </w:rPr>
      </w:pPr>
      <w:r>
        <w:rPr>
          <w:rFonts w:hint="eastAsia" w:ascii="宋体" w:hAnsi="宋体" w:cs="宋体"/>
          <w:color w:val="auto"/>
          <w:kern w:val="1"/>
          <w:highlight w:val="none"/>
        </w:rPr>
        <w:t>2.2.2 招标文件的澄清以投标人须知前附表规定的形式发给所有购买招标文件的投标人，但不指明澄清问题的来源。澄清发出的时间距本章第 4.2.1 项规定的投标截止时间不足 15 日，且澄清内容可能影响投标文件编制的，将相应延长投标截止时间。</w:t>
      </w:r>
    </w:p>
    <w:p>
      <w:pPr>
        <w:tabs>
          <w:tab w:val="left" w:pos="840"/>
        </w:tabs>
        <w:spacing w:line="360" w:lineRule="exact"/>
        <w:ind w:firstLine="420" w:firstLineChars="200"/>
        <w:rPr>
          <w:rFonts w:ascii="宋体" w:hAnsi="宋体" w:cs="宋体"/>
          <w:color w:val="auto"/>
          <w:kern w:val="1"/>
          <w:highlight w:val="none"/>
        </w:rPr>
      </w:pPr>
      <w:r>
        <w:rPr>
          <w:rFonts w:hint="eastAsia" w:ascii="宋体" w:hAnsi="宋体" w:cs="宋体"/>
          <w:color w:val="auto"/>
          <w:kern w:val="1"/>
          <w:highlight w:val="none"/>
        </w:rPr>
        <w:t>2.2.3 投标人在收到澄清后，应按投标人须知前附表规定的时间和形式通知招标人，确认已收到该澄清。</w:t>
      </w:r>
    </w:p>
    <w:p>
      <w:pPr>
        <w:tabs>
          <w:tab w:val="left" w:pos="840"/>
        </w:tabs>
        <w:spacing w:line="360" w:lineRule="exact"/>
        <w:ind w:firstLine="420" w:firstLineChars="200"/>
        <w:rPr>
          <w:rFonts w:ascii="宋体" w:hAnsi="宋体" w:cs="宋体"/>
          <w:color w:val="auto"/>
          <w:kern w:val="1"/>
          <w:highlight w:val="none"/>
        </w:rPr>
      </w:pPr>
      <w:r>
        <w:rPr>
          <w:rFonts w:hint="eastAsia" w:ascii="宋体" w:hAnsi="宋体" w:cs="宋体"/>
          <w:color w:val="auto"/>
          <w:kern w:val="1"/>
          <w:highlight w:val="none"/>
        </w:rPr>
        <w:t>2.2.4 除非招标人认为确有必要答复，否则，招标人有权拒绝回复投标人在本章第 2.2.1 项规定的时间后提出的任何澄清要求。</w:t>
      </w:r>
    </w:p>
    <w:p>
      <w:pPr>
        <w:tabs>
          <w:tab w:val="left" w:pos="840"/>
        </w:tabs>
        <w:spacing w:line="360" w:lineRule="exact"/>
        <w:ind w:firstLine="420" w:firstLineChars="200"/>
        <w:rPr>
          <w:rFonts w:ascii="宋体" w:hAnsi="宋体" w:cs="宋体"/>
          <w:color w:val="auto"/>
          <w:kern w:val="1"/>
          <w:highlight w:val="none"/>
        </w:rPr>
      </w:pPr>
      <w:r>
        <w:rPr>
          <w:rFonts w:hint="eastAsia" w:ascii="宋体" w:hAnsi="宋体" w:cs="宋体"/>
          <w:color w:val="auto"/>
          <w:kern w:val="1"/>
          <w:highlight w:val="none"/>
        </w:rPr>
        <w:t>2.3 招标文件的修改</w:t>
      </w:r>
      <w:bookmarkEnd w:id="241"/>
    </w:p>
    <w:p>
      <w:pPr>
        <w:pStyle w:val="36"/>
        <w:spacing w:before="0" w:after="0" w:line="360" w:lineRule="exact"/>
        <w:ind w:firstLine="424" w:firstLineChars="200"/>
        <w:jc w:val="left"/>
        <w:rPr>
          <w:rFonts w:ascii="宋体" w:hAnsi="宋体" w:eastAsia="宋体" w:cs="宋体"/>
          <w:color w:val="auto"/>
          <w:spacing w:val="1"/>
          <w:sz w:val="21"/>
          <w:szCs w:val="21"/>
          <w:highlight w:val="none"/>
          <w:lang w:eastAsia="zh-CN"/>
        </w:rPr>
      </w:pPr>
      <w:bookmarkStart w:id="242" w:name="_Toc144974514"/>
      <w:bookmarkEnd w:id="242"/>
      <w:bookmarkStart w:id="243" w:name="_Toc152042322"/>
      <w:bookmarkEnd w:id="243"/>
      <w:bookmarkStart w:id="244" w:name="_Toc152045546"/>
      <w:bookmarkEnd w:id="244"/>
      <w:bookmarkStart w:id="245" w:name="_Toc9356"/>
      <w:r>
        <w:rPr>
          <w:rFonts w:hint="eastAsia" w:ascii="宋体" w:hAnsi="宋体" w:eastAsia="宋体" w:cs="宋体"/>
          <w:color w:val="auto"/>
          <w:spacing w:val="1"/>
          <w:sz w:val="21"/>
          <w:szCs w:val="21"/>
          <w:highlight w:val="none"/>
          <w:lang w:eastAsia="zh-CN"/>
        </w:rPr>
        <w:t>2.3.1 招标人以投标人须知前附表规定的形式修改招标文件，并通知所有已购买招标文件的投标人。修改招标文件的时间距本章第 4.2.1 项规定的投标截止时间不足15 日，且修改内容可能影响投标文件编制的，将相应延长投标截止时间。</w:t>
      </w:r>
    </w:p>
    <w:p>
      <w:pPr>
        <w:pStyle w:val="36"/>
        <w:spacing w:before="0" w:after="0" w:line="360" w:lineRule="exact"/>
        <w:ind w:firstLine="424" w:firstLineChars="200"/>
        <w:jc w:val="left"/>
        <w:rPr>
          <w:rFonts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2.3.2 投标人收到修改内容后，应按投标人须知前附表规定的时间和形式通知招标人，确认已收到该修改。</w:t>
      </w:r>
    </w:p>
    <w:p>
      <w:pPr>
        <w:pStyle w:val="36"/>
        <w:spacing w:before="0" w:after="0" w:line="360" w:lineRule="exact"/>
        <w:ind w:firstLine="424" w:firstLineChars="200"/>
        <w:jc w:val="left"/>
        <w:rPr>
          <w:rFonts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2.4 招标文件的异议</w:t>
      </w:r>
    </w:p>
    <w:p>
      <w:pPr>
        <w:pStyle w:val="36"/>
        <w:spacing w:before="0" w:after="0" w:line="360" w:lineRule="exact"/>
        <w:ind w:firstLine="424" w:firstLineChars="200"/>
        <w:jc w:val="left"/>
        <w:rPr>
          <w:rFonts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投标人或其他利害关系人对招标文件有异议的，应在投标截止时间 10 日前以书面形式提出。招标人将在收到异议之日起 3 日内作出答复；作出答复前，将暂停招标投标活动。</w:t>
      </w:r>
    </w:p>
    <w:bookmarkEnd w:id="245"/>
    <w:p>
      <w:pPr>
        <w:pStyle w:val="36"/>
        <w:spacing w:before="0" w:after="0" w:line="360" w:lineRule="exact"/>
        <w:jc w:val="left"/>
        <w:rPr>
          <w:rFonts w:ascii="宋体" w:hAnsi="宋体" w:eastAsia="宋体" w:cs="宋体"/>
          <w:b/>
          <w:bCs/>
          <w:color w:val="auto"/>
          <w:spacing w:val="1"/>
          <w:sz w:val="21"/>
          <w:szCs w:val="21"/>
          <w:highlight w:val="none"/>
          <w:lang w:eastAsia="zh-CN"/>
        </w:rPr>
      </w:pPr>
      <w:bookmarkStart w:id="246" w:name="_Toc489953595"/>
      <w:bookmarkStart w:id="247" w:name="_Toc325636598"/>
      <w:bookmarkStart w:id="248" w:name="_Toc200513144"/>
      <w:bookmarkStart w:id="249" w:name="_Toc335055361"/>
      <w:bookmarkStart w:id="250" w:name="_Toc317863440"/>
      <w:bookmarkStart w:id="251" w:name="_Toc335055440"/>
      <w:bookmarkStart w:id="252" w:name="_Toc200513146"/>
      <w:bookmarkStart w:id="253" w:name="_Toc310932667"/>
      <w:bookmarkStart w:id="254" w:name="_Toc14340"/>
      <w:r>
        <w:rPr>
          <w:rFonts w:hint="eastAsia" w:ascii="宋体" w:hAnsi="宋体" w:eastAsia="宋体" w:cs="宋体"/>
          <w:b/>
          <w:bCs/>
          <w:color w:val="auto"/>
          <w:spacing w:val="1"/>
          <w:sz w:val="21"/>
          <w:szCs w:val="21"/>
          <w:highlight w:val="none"/>
          <w:lang w:eastAsia="zh-CN"/>
        </w:rPr>
        <w:t>3.  投标文件</w:t>
      </w:r>
      <w:bookmarkEnd w:id="246"/>
      <w:bookmarkEnd w:id="247"/>
      <w:bookmarkEnd w:id="248"/>
      <w:bookmarkEnd w:id="249"/>
      <w:bookmarkEnd w:id="250"/>
      <w:bookmarkEnd w:id="251"/>
    </w:p>
    <w:p>
      <w:pPr>
        <w:autoSpaceDE w:val="0"/>
        <w:autoSpaceDN w:val="0"/>
        <w:adjustRightInd w:val="0"/>
        <w:spacing w:line="360" w:lineRule="exact"/>
        <w:ind w:firstLine="420" w:firstLineChars="200"/>
        <w:jc w:val="left"/>
        <w:rPr>
          <w:rFonts w:ascii="宋体" w:hAnsi="宋体" w:cs="宋体"/>
          <w:snapToGrid w:val="0"/>
          <w:color w:val="auto"/>
          <w:kern w:val="0"/>
          <w:highlight w:val="none"/>
        </w:rPr>
      </w:pPr>
      <w:bookmarkStart w:id="255" w:name="_Toc325636599"/>
      <w:bookmarkStart w:id="256" w:name="_Toc335055441"/>
      <w:bookmarkStart w:id="257" w:name="_Toc317863441"/>
      <w:bookmarkStart w:id="258" w:name="_Toc489953596"/>
      <w:bookmarkStart w:id="259" w:name="_Toc200513145"/>
      <w:bookmarkStart w:id="260" w:name="_Toc335055362"/>
      <w:r>
        <w:rPr>
          <w:rFonts w:ascii="宋体" w:hAnsi="宋体" w:cs="宋体"/>
          <w:snapToGrid w:val="0"/>
          <w:color w:val="auto"/>
          <w:kern w:val="0"/>
          <w:highlight w:val="none"/>
        </w:rPr>
        <w:t>3.1  投标文件的组成</w:t>
      </w:r>
      <w:bookmarkEnd w:id="255"/>
      <w:bookmarkEnd w:id="256"/>
      <w:bookmarkEnd w:id="257"/>
      <w:bookmarkEnd w:id="258"/>
      <w:bookmarkEnd w:id="259"/>
      <w:bookmarkEnd w:id="260"/>
    </w:p>
    <w:p>
      <w:pPr>
        <w:autoSpaceDE w:val="0"/>
        <w:autoSpaceDN w:val="0"/>
        <w:adjustRightInd w:val="0"/>
        <w:spacing w:line="360" w:lineRule="exact"/>
        <w:ind w:firstLine="420" w:firstLineChars="200"/>
        <w:jc w:val="left"/>
        <w:rPr>
          <w:rFonts w:ascii="宋体" w:hAnsi="宋体" w:cs="宋体"/>
          <w:snapToGrid w:val="0"/>
          <w:color w:val="auto"/>
          <w:kern w:val="0"/>
          <w:highlight w:val="none"/>
        </w:rPr>
      </w:pPr>
      <w:r>
        <w:rPr>
          <w:rFonts w:ascii="宋体" w:hAnsi="宋体" w:cs="宋体"/>
          <w:snapToGrid w:val="0"/>
          <w:color w:val="auto"/>
          <w:kern w:val="0"/>
          <w:highlight w:val="none"/>
        </w:rPr>
        <w:t>3.1.1 投标文件包括但不限于下列内容：</w:t>
      </w:r>
    </w:p>
    <w:p>
      <w:pPr>
        <w:autoSpaceDE w:val="0"/>
        <w:autoSpaceDN w:val="0"/>
        <w:adjustRightInd w:val="0"/>
        <w:spacing w:line="360" w:lineRule="exact"/>
        <w:ind w:firstLine="525" w:firstLineChars="250"/>
        <w:jc w:val="left"/>
        <w:rPr>
          <w:rFonts w:ascii="宋体" w:hAnsi="宋体" w:cs="宋体"/>
          <w:snapToGrid w:val="0"/>
          <w:color w:val="auto"/>
          <w:kern w:val="0"/>
          <w:highlight w:val="none"/>
        </w:rPr>
      </w:pPr>
      <w:r>
        <w:rPr>
          <w:rFonts w:hint="eastAsia" w:ascii="宋体" w:hAnsi="宋体" w:cs="宋体"/>
          <w:snapToGrid w:val="0"/>
          <w:color w:val="auto"/>
          <w:kern w:val="0"/>
          <w:highlight w:val="none"/>
        </w:rPr>
        <w:t>（1）投标函；</w:t>
      </w:r>
    </w:p>
    <w:p>
      <w:pPr>
        <w:autoSpaceDE w:val="0"/>
        <w:autoSpaceDN w:val="0"/>
        <w:adjustRightInd w:val="0"/>
        <w:spacing w:line="360" w:lineRule="exact"/>
        <w:ind w:firstLine="525" w:firstLineChars="250"/>
        <w:jc w:val="left"/>
        <w:rPr>
          <w:rFonts w:ascii="宋体" w:hAnsi="宋体" w:cs="宋体"/>
          <w:snapToGrid w:val="0"/>
          <w:color w:val="auto"/>
          <w:kern w:val="0"/>
          <w:highlight w:val="none"/>
        </w:rPr>
      </w:pPr>
      <w:r>
        <w:rPr>
          <w:rFonts w:hint="eastAsia" w:ascii="宋体" w:hAnsi="宋体" w:cs="宋体"/>
          <w:snapToGrid w:val="0"/>
          <w:color w:val="auto"/>
          <w:kern w:val="0"/>
          <w:highlight w:val="none"/>
        </w:rPr>
        <w:t>（2）分项报价表；</w:t>
      </w:r>
    </w:p>
    <w:p>
      <w:pPr>
        <w:autoSpaceDE w:val="0"/>
        <w:autoSpaceDN w:val="0"/>
        <w:adjustRightInd w:val="0"/>
        <w:spacing w:line="360" w:lineRule="exact"/>
        <w:ind w:firstLine="525" w:firstLineChars="250"/>
        <w:jc w:val="left"/>
        <w:rPr>
          <w:rFonts w:ascii="宋体" w:hAnsi="宋体" w:cs="宋体"/>
          <w:snapToGrid w:val="0"/>
          <w:color w:val="auto"/>
          <w:kern w:val="0"/>
          <w:highlight w:val="none"/>
        </w:rPr>
      </w:pPr>
      <w:r>
        <w:rPr>
          <w:rFonts w:ascii="宋体" w:hAnsi="宋体" w:cs="宋体"/>
          <w:snapToGrid w:val="0"/>
          <w:color w:val="auto"/>
          <w:kern w:val="0"/>
          <w:highlight w:val="none"/>
        </w:rPr>
        <w:t>（</w:t>
      </w:r>
      <w:r>
        <w:rPr>
          <w:rFonts w:hint="eastAsia" w:ascii="宋体" w:hAnsi="宋体" w:cs="宋体"/>
          <w:snapToGrid w:val="0"/>
          <w:color w:val="auto"/>
          <w:kern w:val="0"/>
          <w:highlight w:val="none"/>
        </w:rPr>
        <w:t>3</w:t>
      </w:r>
      <w:r>
        <w:rPr>
          <w:rFonts w:ascii="宋体" w:hAnsi="宋体" w:cs="宋体"/>
          <w:snapToGrid w:val="0"/>
          <w:color w:val="auto"/>
          <w:kern w:val="0"/>
          <w:highlight w:val="none"/>
        </w:rPr>
        <w:t>）</w:t>
      </w:r>
      <w:bookmarkStart w:id="261" w:name="_Hlk67403747"/>
      <w:r>
        <w:rPr>
          <w:rFonts w:ascii="宋体" w:hAnsi="宋体" w:cs="宋体"/>
          <w:snapToGrid w:val="0"/>
          <w:color w:val="auto"/>
          <w:kern w:val="0"/>
          <w:highlight w:val="none"/>
        </w:rPr>
        <w:t>法定代表人身份证明及授权委托书</w:t>
      </w:r>
      <w:bookmarkEnd w:id="261"/>
      <w:r>
        <w:rPr>
          <w:rFonts w:hint="eastAsia" w:ascii="宋体" w:hAnsi="宋体" w:cs="宋体"/>
          <w:snapToGrid w:val="0"/>
          <w:color w:val="auto"/>
          <w:kern w:val="0"/>
          <w:highlight w:val="none"/>
        </w:rPr>
        <w:t>；</w:t>
      </w:r>
    </w:p>
    <w:p>
      <w:pPr>
        <w:autoSpaceDE w:val="0"/>
        <w:autoSpaceDN w:val="0"/>
        <w:adjustRightInd w:val="0"/>
        <w:spacing w:line="360" w:lineRule="exact"/>
        <w:ind w:firstLine="525" w:firstLineChars="250"/>
        <w:jc w:val="left"/>
        <w:rPr>
          <w:rFonts w:ascii="宋体" w:hAnsi="宋体" w:cs="宋体"/>
          <w:snapToGrid w:val="0"/>
          <w:color w:val="auto"/>
          <w:kern w:val="0"/>
          <w:highlight w:val="none"/>
        </w:rPr>
      </w:pPr>
      <w:r>
        <w:rPr>
          <w:rFonts w:hint="eastAsia" w:ascii="宋体" w:hAnsi="宋体" w:cs="宋体"/>
          <w:snapToGrid w:val="0"/>
          <w:color w:val="auto"/>
          <w:kern w:val="0"/>
          <w:highlight w:val="none"/>
        </w:rPr>
        <w:t>（4）投标保证金；</w:t>
      </w:r>
    </w:p>
    <w:p>
      <w:pPr>
        <w:autoSpaceDE w:val="0"/>
        <w:autoSpaceDN w:val="0"/>
        <w:adjustRightInd w:val="0"/>
        <w:spacing w:line="360" w:lineRule="exact"/>
        <w:ind w:firstLine="525" w:firstLineChars="250"/>
        <w:jc w:val="left"/>
        <w:rPr>
          <w:rFonts w:ascii="宋体" w:hAnsi="宋体" w:cs="宋体"/>
          <w:snapToGrid w:val="0"/>
          <w:color w:val="auto"/>
          <w:kern w:val="0"/>
          <w:highlight w:val="none"/>
        </w:rPr>
      </w:pPr>
      <w:r>
        <w:rPr>
          <w:rFonts w:hint="eastAsia" w:ascii="宋体" w:hAnsi="宋体" w:cs="宋体"/>
          <w:snapToGrid w:val="0"/>
          <w:color w:val="auto"/>
          <w:kern w:val="0"/>
          <w:highlight w:val="none"/>
        </w:rPr>
        <w:t>（5）资格审查资料；</w:t>
      </w:r>
    </w:p>
    <w:p>
      <w:pPr>
        <w:autoSpaceDE w:val="0"/>
        <w:autoSpaceDN w:val="0"/>
        <w:adjustRightInd w:val="0"/>
        <w:spacing w:line="360" w:lineRule="exact"/>
        <w:ind w:firstLine="525" w:firstLineChars="250"/>
        <w:jc w:val="left"/>
        <w:rPr>
          <w:rFonts w:ascii="宋体" w:hAnsi="宋体" w:cs="宋体"/>
          <w:snapToGrid w:val="0"/>
          <w:color w:val="auto"/>
          <w:kern w:val="0"/>
          <w:highlight w:val="none"/>
        </w:rPr>
      </w:pPr>
      <w:bookmarkStart w:id="262" w:name="_Toc335055363"/>
      <w:bookmarkStart w:id="263" w:name="_Toc335055442"/>
      <w:bookmarkStart w:id="264" w:name="_Toc325636600"/>
      <w:bookmarkStart w:id="265" w:name="_Toc317863442"/>
      <w:r>
        <w:rPr>
          <w:rFonts w:ascii="宋体" w:hAnsi="宋体" w:cs="宋体"/>
          <w:snapToGrid w:val="0"/>
          <w:color w:val="auto"/>
          <w:kern w:val="0"/>
          <w:highlight w:val="none"/>
        </w:rPr>
        <w:t>（6）商务</w:t>
      </w:r>
      <w:r>
        <w:rPr>
          <w:rFonts w:hint="eastAsia" w:ascii="宋体" w:hAnsi="宋体" w:cs="宋体"/>
          <w:snapToGrid w:val="0"/>
          <w:color w:val="auto"/>
          <w:kern w:val="0"/>
          <w:highlight w:val="none"/>
        </w:rPr>
        <w:t>部分</w:t>
      </w:r>
      <w:r>
        <w:rPr>
          <w:rFonts w:hint="eastAsia" w:ascii="宋体" w:hAnsi="宋体" w:cs="宋体"/>
          <w:snapToGrid w:val="0"/>
          <w:color w:val="auto"/>
          <w:kern w:val="0"/>
          <w:highlight w:val="none"/>
          <w:lang w:eastAsia="zh-CN"/>
        </w:rPr>
        <w:t>（</w:t>
      </w:r>
      <w:r>
        <w:rPr>
          <w:rFonts w:hint="eastAsia" w:ascii="宋体" w:hAnsi="宋体" w:cs="宋体"/>
          <w:snapToGrid w:val="0"/>
          <w:color w:val="auto"/>
          <w:kern w:val="0"/>
          <w:highlight w:val="none"/>
          <w:lang w:val="en-US" w:eastAsia="zh-CN"/>
        </w:rPr>
        <w:t>如有</w:t>
      </w:r>
      <w:r>
        <w:rPr>
          <w:rFonts w:hint="eastAsia" w:ascii="宋体" w:hAnsi="宋体" w:cs="宋体"/>
          <w:snapToGrid w:val="0"/>
          <w:color w:val="auto"/>
          <w:kern w:val="0"/>
          <w:highlight w:val="none"/>
          <w:lang w:eastAsia="zh-CN"/>
        </w:rPr>
        <w:t>）</w:t>
      </w:r>
      <w:r>
        <w:rPr>
          <w:rFonts w:ascii="宋体" w:hAnsi="宋体" w:cs="宋体"/>
          <w:snapToGrid w:val="0"/>
          <w:color w:val="auto"/>
          <w:kern w:val="0"/>
          <w:highlight w:val="none"/>
        </w:rPr>
        <w:t>；</w:t>
      </w:r>
    </w:p>
    <w:p>
      <w:pPr>
        <w:autoSpaceDE w:val="0"/>
        <w:autoSpaceDN w:val="0"/>
        <w:adjustRightInd w:val="0"/>
        <w:spacing w:line="360" w:lineRule="exact"/>
        <w:ind w:firstLine="525" w:firstLineChars="250"/>
        <w:jc w:val="left"/>
        <w:rPr>
          <w:rFonts w:ascii="宋体" w:hAnsi="宋体" w:cs="宋体"/>
          <w:snapToGrid w:val="0"/>
          <w:color w:val="auto"/>
          <w:kern w:val="0"/>
          <w:highlight w:val="none"/>
        </w:rPr>
      </w:pPr>
      <w:r>
        <w:rPr>
          <w:rFonts w:ascii="宋体" w:hAnsi="宋体" w:cs="宋体"/>
          <w:snapToGrid w:val="0"/>
          <w:color w:val="auto"/>
          <w:kern w:val="0"/>
          <w:highlight w:val="none"/>
        </w:rPr>
        <w:t>（7）</w:t>
      </w:r>
      <w:r>
        <w:rPr>
          <w:rFonts w:hint="eastAsia" w:ascii="宋体" w:hAnsi="宋体" w:cs="宋体"/>
          <w:snapToGrid w:val="0"/>
          <w:color w:val="auto"/>
          <w:kern w:val="0"/>
          <w:highlight w:val="none"/>
        </w:rPr>
        <w:t>其他材料；</w:t>
      </w:r>
    </w:p>
    <w:p>
      <w:pPr>
        <w:autoSpaceDE w:val="0"/>
        <w:autoSpaceDN w:val="0"/>
        <w:adjustRightInd w:val="0"/>
        <w:spacing w:line="360" w:lineRule="exact"/>
        <w:ind w:firstLine="525" w:firstLineChars="250"/>
        <w:jc w:val="left"/>
        <w:rPr>
          <w:rFonts w:ascii="宋体" w:hAnsi="宋体" w:cs="宋体"/>
          <w:snapToGrid w:val="0"/>
          <w:color w:val="auto"/>
          <w:kern w:val="0"/>
          <w:highlight w:val="none"/>
        </w:rPr>
      </w:pPr>
      <w:r>
        <w:rPr>
          <w:rFonts w:hint="eastAsia" w:ascii="宋体" w:hAnsi="宋体" w:cs="宋体"/>
          <w:snapToGrid w:val="0"/>
          <w:color w:val="auto"/>
          <w:kern w:val="0"/>
          <w:highlight w:val="none"/>
        </w:rPr>
        <w:t>（8）</w:t>
      </w:r>
      <w:r>
        <w:rPr>
          <w:rFonts w:ascii="宋体" w:hAnsi="宋体" w:cs="宋体"/>
          <w:snapToGrid w:val="0"/>
          <w:color w:val="auto"/>
          <w:kern w:val="0"/>
          <w:highlight w:val="none"/>
        </w:rPr>
        <w:t>技术</w:t>
      </w:r>
      <w:r>
        <w:rPr>
          <w:rFonts w:hint="eastAsia" w:ascii="宋体" w:hAnsi="宋体" w:cs="宋体"/>
          <w:snapToGrid w:val="0"/>
          <w:color w:val="auto"/>
          <w:kern w:val="0"/>
          <w:highlight w:val="none"/>
        </w:rPr>
        <w:t>部分</w:t>
      </w:r>
      <w:r>
        <w:rPr>
          <w:rFonts w:hint="eastAsia" w:ascii="宋体" w:hAnsi="宋体" w:cs="宋体"/>
          <w:snapToGrid w:val="0"/>
          <w:color w:val="auto"/>
          <w:kern w:val="0"/>
          <w:highlight w:val="none"/>
          <w:lang w:eastAsia="zh-CN"/>
        </w:rPr>
        <w:t>（</w:t>
      </w:r>
      <w:r>
        <w:rPr>
          <w:rFonts w:hint="eastAsia" w:ascii="宋体" w:hAnsi="宋体" w:cs="宋体"/>
          <w:snapToGrid w:val="0"/>
          <w:color w:val="auto"/>
          <w:kern w:val="0"/>
          <w:highlight w:val="none"/>
          <w:lang w:val="en-US" w:eastAsia="zh-CN"/>
        </w:rPr>
        <w:t>如有</w:t>
      </w:r>
      <w:r>
        <w:rPr>
          <w:rFonts w:hint="eastAsia" w:ascii="宋体" w:hAnsi="宋体" w:cs="宋体"/>
          <w:snapToGrid w:val="0"/>
          <w:color w:val="auto"/>
          <w:kern w:val="0"/>
          <w:highlight w:val="none"/>
          <w:lang w:eastAsia="zh-CN"/>
        </w:rPr>
        <w:t>）</w:t>
      </w:r>
      <w:r>
        <w:rPr>
          <w:rFonts w:hint="eastAsia" w:ascii="宋体" w:hAnsi="宋体" w:cs="宋体"/>
          <w:snapToGrid w:val="0"/>
          <w:color w:val="auto"/>
          <w:kern w:val="0"/>
          <w:highlight w:val="none"/>
        </w:rPr>
        <w:t>。</w:t>
      </w:r>
    </w:p>
    <w:bookmarkEnd w:id="262"/>
    <w:bookmarkEnd w:id="263"/>
    <w:bookmarkEnd w:id="264"/>
    <w:bookmarkEnd w:id="265"/>
    <w:p>
      <w:pPr>
        <w:spacing w:line="360" w:lineRule="exact"/>
        <w:ind w:firstLine="420" w:firstLineChars="200"/>
        <w:rPr>
          <w:rFonts w:ascii="宋体" w:hAnsi="宋体"/>
          <w:color w:val="auto"/>
          <w:highlight w:val="none"/>
        </w:rPr>
      </w:pPr>
      <w:r>
        <w:rPr>
          <w:rFonts w:hint="eastAsia" w:ascii="宋体" w:hAnsi="宋体"/>
          <w:color w:val="auto"/>
          <w:highlight w:val="none"/>
        </w:rPr>
        <w:t xml:space="preserve">3.2  </w:t>
      </w:r>
      <w:bookmarkEnd w:id="252"/>
      <w:r>
        <w:rPr>
          <w:rFonts w:hint="eastAsia" w:ascii="宋体" w:hAnsi="宋体"/>
          <w:color w:val="auto"/>
          <w:highlight w:val="none"/>
        </w:rPr>
        <w:t>投标报价</w:t>
      </w:r>
      <w:bookmarkEnd w:id="253"/>
    </w:p>
    <w:p>
      <w:pPr>
        <w:spacing w:line="360" w:lineRule="exact"/>
        <w:ind w:firstLine="420" w:firstLineChars="200"/>
        <w:rPr>
          <w:rFonts w:ascii="宋体" w:hAnsi="宋体"/>
          <w:color w:val="auto"/>
          <w:highlight w:val="none"/>
        </w:rPr>
      </w:pPr>
      <w:r>
        <w:rPr>
          <w:rFonts w:hint="eastAsia" w:ascii="宋体" w:hAnsi="宋体"/>
          <w:color w:val="auto"/>
          <w:highlight w:val="none"/>
        </w:rPr>
        <w:t xml:space="preserve">3.2.1 投标报价应包括国家规定的增值税税金，除投标人须知前附表另有规定外，增值税税金按一般计税方法计算。投标人应按第五章“投标文件格式”的要求在投标函中进行报价并填写报价表。 </w:t>
      </w:r>
    </w:p>
    <w:p>
      <w:pPr>
        <w:spacing w:line="360" w:lineRule="exact"/>
        <w:ind w:firstLine="420" w:firstLineChars="200"/>
        <w:rPr>
          <w:rFonts w:ascii="宋体" w:hAnsi="宋体"/>
          <w:color w:val="auto"/>
          <w:highlight w:val="none"/>
        </w:rPr>
      </w:pPr>
      <w:r>
        <w:rPr>
          <w:rFonts w:hint="eastAsia" w:ascii="宋体" w:hAnsi="宋体"/>
          <w:color w:val="auto"/>
          <w:highlight w:val="none"/>
        </w:rPr>
        <w:t xml:space="preserve">3.2.2 投标人应充分了解该项目的总体情况以及影响投标报价的其他要素。 </w:t>
      </w:r>
    </w:p>
    <w:p>
      <w:pPr>
        <w:spacing w:line="360" w:lineRule="exact"/>
        <w:ind w:firstLine="420" w:firstLineChars="200"/>
        <w:rPr>
          <w:rFonts w:ascii="宋体" w:hAnsi="宋体"/>
          <w:color w:val="auto"/>
          <w:highlight w:val="none"/>
        </w:rPr>
      </w:pPr>
      <w:r>
        <w:rPr>
          <w:rFonts w:hint="eastAsia" w:ascii="宋体" w:hAnsi="宋体"/>
          <w:color w:val="auto"/>
          <w:highlight w:val="none"/>
        </w:rPr>
        <w:t xml:space="preserve">3.2.3 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分项报价表”中的相应报价。此修改须符合本章第 4.3 款的有关要求。 </w:t>
      </w:r>
    </w:p>
    <w:p>
      <w:pPr>
        <w:spacing w:line="360" w:lineRule="exact"/>
        <w:ind w:firstLine="420" w:firstLineChars="200"/>
        <w:rPr>
          <w:rFonts w:ascii="宋体" w:hAnsi="宋体"/>
          <w:color w:val="auto"/>
          <w:highlight w:val="none"/>
        </w:rPr>
      </w:pPr>
      <w:r>
        <w:rPr>
          <w:rFonts w:hint="eastAsia" w:ascii="宋体" w:hAnsi="宋体"/>
          <w:color w:val="auto"/>
          <w:highlight w:val="none"/>
        </w:rPr>
        <w:t xml:space="preserve">3.2.4 招标人设有最高限价的，投标人的投标报价不得超过最高限价。 </w:t>
      </w:r>
    </w:p>
    <w:p>
      <w:pPr>
        <w:autoSpaceDE w:val="0"/>
        <w:autoSpaceDN w:val="0"/>
        <w:adjustRightInd w:val="0"/>
        <w:spacing w:line="360" w:lineRule="exact"/>
        <w:ind w:firstLine="420"/>
        <w:rPr>
          <w:rFonts w:ascii="宋体" w:hAnsi="宋体" w:cs="宋体"/>
          <w:snapToGrid w:val="0"/>
          <w:color w:val="auto"/>
          <w:kern w:val="0"/>
          <w:highlight w:val="none"/>
        </w:rPr>
      </w:pPr>
      <w:r>
        <w:rPr>
          <w:rFonts w:hint="eastAsia" w:ascii="宋体" w:hAnsi="宋体"/>
          <w:color w:val="auto"/>
          <w:highlight w:val="none"/>
        </w:rPr>
        <w:t>3.2.5 投标报价的其他要求见投标人须知前附表。</w:t>
      </w:r>
    </w:p>
    <w:bookmarkEnd w:id="254"/>
    <w:p>
      <w:pPr>
        <w:spacing w:line="360" w:lineRule="exact"/>
        <w:ind w:firstLine="420" w:firstLineChars="200"/>
        <w:rPr>
          <w:rFonts w:ascii="宋体" w:hAnsi="宋体"/>
          <w:color w:val="auto"/>
          <w:highlight w:val="none"/>
        </w:rPr>
      </w:pPr>
      <w:bookmarkStart w:id="266" w:name="_Toc144974523"/>
      <w:bookmarkEnd w:id="266"/>
      <w:bookmarkStart w:id="267" w:name="_Toc152045555"/>
      <w:bookmarkEnd w:id="267"/>
      <w:bookmarkStart w:id="268" w:name="_Toc152042331"/>
      <w:bookmarkEnd w:id="268"/>
      <w:bookmarkStart w:id="269" w:name="_Toc12405"/>
      <w:r>
        <w:rPr>
          <w:rFonts w:hint="eastAsia" w:ascii="宋体" w:hAnsi="宋体"/>
          <w:color w:val="auto"/>
          <w:highlight w:val="none"/>
        </w:rPr>
        <w:t>3.3  投标有效期</w:t>
      </w:r>
    </w:p>
    <w:p>
      <w:pPr>
        <w:autoSpaceDE w:val="0"/>
        <w:autoSpaceDN w:val="0"/>
        <w:adjustRightInd w:val="0"/>
        <w:spacing w:line="360" w:lineRule="exact"/>
        <w:ind w:firstLine="420"/>
        <w:jc w:val="left"/>
        <w:rPr>
          <w:rFonts w:ascii="宋体" w:hAnsi="宋体" w:cs="宋体"/>
          <w:snapToGrid w:val="0"/>
          <w:color w:val="auto"/>
          <w:kern w:val="0"/>
          <w:highlight w:val="none"/>
        </w:rPr>
      </w:pPr>
      <w:r>
        <w:rPr>
          <w:rFonts w:hint="eastAsia" w:ascii="宋体" w:hAnsi="宋体" w:cs="宋体"/>
          <w:snapToGrid w:val="0"/>
          <w:color w:val="auto"/>
          <w:kern w:val="0"/>
          <w:highlight w:val="none"/>
        </w:rPr>
        <w:t>3.3.1  在投标人须知前附表规定的投标有效期内，投标人不得要求撤销或修改其投标文件。</w:t>
      </w:r>
    </w:p>
    <w:p>
      <w:pPr>
        <w:autoSpaceDE w:val="0"/>
        <w:autoSpaceDN w:val="0"/>
        <w:adjustRightInd w:val="0"/>
        <w:spacing w:line="360" w:lineRule="exact"/>
        <w:ind w:firstLine="420"/>
        <w:rPr>
          <w:rFonts w:ascii="宋体" w:hAnsi="宋体" w:cs="宋体"/>
          <w:snapToGrid w:val="0"/>
          <w:color w:val="auto"/>
          <w:kern w:val="0"/>
          <w:highlight w:val="none"/>
        </w:rPr>
      </w:pPr>
      <w:r>
        <w:rPr>
          <w:rFonts w:hint="eastAsia" w:ascii="宋体" w:hAnsi="宋体" w:cs="宋体"/>
          <w:snapToGrid w:val="0"/>
          <w:color w:val="auto"/>
          <w:kern w:val="0"/>
          <w:highlight w:val="none"/>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360" w:lineRule="exact"/>
        <w:ind w:left="13" w:leftChars="6" w:firstLine="405" w:firstLineChars="193"/>
        <w:jc w:val="left"/>
        <w:rPr>
          <w:rFonts w:ascii="宋体" w:hAnsi="宋体" w:cs="宋体"/>
          <w:snapToGrid w:val="0"/>
          <w:color w:val="auto"/>
          <w:kern w:val="0"/>
          <w:highlight w:val="none"/>
        </w:rPr>
      </w:pPr>
      <w:bookmarkStart w:id="270" w:name="_Toc310932669"/>
      <w:bookmarkStart w:id="271" w:name="_Toc200513148"/>
      <w:r>
        <w:rPr>
          <w:rFonts w:hint="eastAsia" w:ascii="宋体" w:hAnsi="宋体" w:cs="宋体"/>
          <w:snapToGrid w:val="0"/>
          <w:color w:val="auto"/>
          <w:kern w:val="0"/>
          <w:highlight w:val="none"/>
        </w:rPr>
        <w:t>3.4  投标保证金</w:t>
      </w:r>
      <w:bookmarkEnd w:id="270"/>
      <w:bookmarkEnd w:id="271"/>
    </w:p>
    <w:p>
      <w:pPr>
        <w:autoSpaceDE w:val="0"/>
        <w:autoSpaceDN w:val="0"/>
        <w:adjustRightInd w:val="0"/>
        <w:spacing w:line="360" w:lineRule="exact"/>
        <w:ind w:firstLine="420" w:firstLineChars="200"/>
        <w:rPr>
          <w:rFonts w:ascii="宋体" w:hAnsi="宋体" w:cs="宋体"/>
          <w:snapToGrid w:val="0"/>
          <w:color w:val="auto"/>
          <w:kern w:val="0"/>
          <w:highlight w:val="none"/>
        </w:rPr>
      </w:pPr>
      <w:bookmarkStart w:id="272" w:name="_Toc200513150"/>
      <w:r>
        <w:rPr>
          <w:rFonts w:hint="eastAsia" w:ascii="宋体" w:hAnsi="宋体" w:cs="宋体"/>
          <w:snapToGrid w:val="0"/>
          <w:color w:val="auto"/>
          <w:kern w:val="0"/>
          <w:highlight w:val="none"/>
        </w:rPr>
        <w:t>3.4.1</w:t>
      </w:r>
      <w:r>
        <w:rPr>
          <w:rFonts w:ascii="宋体" w:hAnsi="宋体" w:cs="宋体"/>
          <w:snapToGrid w:val="0"/>
          <w:color w:val="auto"/>
          <w:kern w:val="0"/>
          <w:highlight w:val="none"/>
        </w:rPr>
        <w:t xml:space="preserve"> </w:t>
      </w:r>
      <w:r>
        <w:rPr>
          <w:rFonts w:hint="eastAsia" w:ascii="宋体" w:hAnsi="宋体" w:cs="宋体"/>
          <w:snapToGrid w:val="0"/>
          <w:color w:val="auto"/>
          <w:kern w:val="0"/>
          <w:highlight w:val="none"/>
        </w:rPr>
        <w:t>投标人在递交投标文件的同时，应按投标人须知前附表规定的金额和</w:t>
      </w:r>
      <w:r>
        <w:rPr>
          <w:rFonts w:hint="eastAsia" w:ascii="宋体" w:hAnsi="宋体"/>
          <w:color w:val="auto"/>
          <w:highlight w:val="none"/>
        </w:rPr>
        <w:t>第五章</w:t>
      </w:r>
      <w:r>
        <w:rPr>
          <w:rFonts w:hint="eastAsia" w:ascii="宋体" w:hAnsi="宋体" w:cs="宋体"/>
          <w:snapToGrid w:val="0"/>
          <w:color w:val="auto"/>
          <w:kern w:val="0"/>
          <w:highlight w:val="none"/>
        </w:rPr>
        <w:t>“投标文件格式”规定的投标保证金格式递交投标保证金，并作为其投标文件的组成部分。</w:t>
      </w:r>
    </w:p>
    <w:p>
      <w:pPr>
        <w:autoSpaceDE w:val="0"/>
        <w:autoSpaceDN w:val="0"/>
        <w:adjustRightInd w:val="0"/>
        <w:spacing w:line="360" w:lineRule="exact"/>
        <w:ind w:firstLine="420" w:firstLineChars="200"/>
        <w:rPr>
          <w:rFonts w:ascii="宋体" w:hAnsi="宋体" w:cs="宋体"/>
          <w:snapToGrid w:val="0"/>
          <w:color w:val="auto"/>
          <w:kern w:val="0"/>
          <w:highlight w:val="none"/>
        </w:rPr>
      </w:pPr>
      <w:r>
        <w:rPr>
          <w:rFonts w:hint="eastAsia" w:ascii="宋体" w:hAnsi="宋体" w:cs="宋体"/>
          <w:snapToGrid w:val="0"/>
          <w:color w:val="auto"/>
          <w:kern w:val="0"/>
          <w:highlight w:val="none"/>
        </w:rPr>
        <w:t>投标保证金应采用现金、支票、银行保函或招标人在投标人须知前附表规定的其他形式。</w:t>
      </w:r>
    </w:p>
    <w:p>
      <w:pPr>
        <w:autoSpaceDE w:val="0"/>
        <w:autoSpaceDN w:val="0"/>
        <w:adjustRightInd w:val="0"/>
        <w:spacing w:line="360" w:lineRule="exact"/>
        <w:ind w:left="13" w:leftChars="6" w:firstLine="405" w:firstLineChars="193"/>
        <w:jc w:val="left"/>
        <w:rPr>
          <w:rFonts w:ascii="宋体" w:hAnsi="宋体" w:cs="宋体"/>
          <w:snapToGrid w:val="0"/>
          <w:color w:val="auto"/>
          <w:kern w:val="0"/>
          <w:highlight w:val="none"/>
        </w:rPr>
      </w:pPr>
      <w:r>
        <w:rPr>
          <w:rFonts w:hint="eastAsia" w:ascii="宋体" w:hAnsi="宋体" w:cs="宋体"/>
          <w:snapToGrid w:val="0"/>
          <w:color w:val="auto"/>
          <w:kern w:val="0"/>
          <w:highlight w:val="none"/>
        </w:rPr>
        <w:t>3.4.2  投标人不按本章第 3.4.1 项要求提交投标保证金的，评标委员会将否决其投标。</w:t>
      </w:r>
    </w:p>
    <w:p>
      <w:pPr>
        <w:autoSpaceDE w:val="0"/>
        <w:autoSpaceDN w:val="0"/>
        <w:adjustRightInd w:val="0"/>
        <w:spacing w:line="360" w:lineRule="exact"/>
        <w:ind w:left="13" w:leftChars="6" w:firstLine="405" w:firstLineChars="193"/>
        <w:jc w:val="left"/>
        <w:rPr>
          <w:rFonts w:ascii="宋体" w:hAnsi="宋体" w:cs="宋体"/>
          <w:snapToGrid w:val="0"/>
          <w:color w:val="auto"/>
          <w:kern w:val="0"/>
          <w:highlight w:val="none"/>
        </w:rPr>
      </w:pPr>
      <w:r>
        <w:rPr>
          <w:rFonts w:hint="eastAsia" w:ascii="宋体" w:hAnsi="宋体" w:cs="宋体"/>
          <w:snapToGrid w:val="0"/>
          <w:color w:val="auto"/>
          <w:kern w:val="0"/>
          <w:highlight w:val="none"/>
        </w:rPr>
        <w:t>3.4.3  投标保证金的退还：见投标人须知前附表规定</w:t>
      </w:r>
      <w:r>
        <w:rPr>
          <w:rFonts w:hint="eastAsia" w:ascii="宋体" w:hAnsi="宋体" w:cs="宋体"/>
          <w:snapToGrid w:val="0"/>
          <w:color w:val="auto"/>
          <w:kern w:val="0"/>
          <w:position w:val="-2"/>
          <w:highlight w:val="none"/>
        </w:rPr>
        <w:t>。</w:t>
      </w:r>
    </w:p>
    <w:p>
      <w:pPr>
        <w:autoSpaceDE w:val="0"/>
        <w:autoSpaceDN w:val="0"/>
        <w:adjustRightInd w:val="0"/>
        <w:spacing w:line="360" w:lineRule="exact"/>
        <w:ind w:firstLine="420" w:firstLineChars="200"/>
        <w:jc w:val="left"/>
        <w:rPr>
          <w:rFonts w:ascii="宋体" w:hAnsi="宋体" w:cs="宋体"/>
          <w:snapToGrid w:val="0"/>
          <w:color w:val="auto"/>
          <w:kern w:val="0"/>
          <w:highlight w:val="none"/>
        </w:rPr>
      </w:pPr>
      <w:r>
        <w:rPr>
          <w:rFonts w:hint="eastAsia" w:ascii="宋体" w:hAnsi="宋体" w:cs="宋体"/>
          <w:snapToGrid w:val="0"/>
          <w:color w:val="auto"/>
          <w:kern w:val="0"/>
          <w:highlight w:val="none"/>
        </w:rPr>
        <w:t>3.4.4  有下列情形之一的，投标保证金将不予退还：</w:t>
      </w:r>
    </w:p>
    <w:p>
      <w:pPr>
        <w:autoSpaceDE w:val="0"/>
        <w:autoSpaceDN w:val="0"/>
        <w:adjustRightInd w:val="0"/>
        <w:spacing w:line="360" w:lineRule="exact"/>
        <w:ind w:firstLine="420" w:firstLineChars="200"/>
        <w:jc w:val="left"/>
        <w:rPr>
          <w:rFonts w:ascii="宋体" w:hAnsi="宋体" w:cs="宋体"/>
          <w:snapToGrid w:val="0"/>
          <w:color w:val="auto"/>
          <w:kern w:val="0"/>
          <w:highlight w:val="none"/>
        </w:rPr>
      </w:pPr>
      <w:r>
        <w:rPr>
          <w:rFonts w:hint="eastAsia" w:ascii="宋体" w:hAnsi="宋体" w:cs="宋体"/>
          <w:snapToGrid w:val="0"/>
          <w:color w:val="auto"/>
          <w:kern w:val="0"/>
          <w:highlight w:val="none"/>
        </w:rPr>
        <w:t>（1）投标人在投标有效期内撤销投标文件；</w:t>
      </w:r>
    </w:p>
    <w:p>
      <w:pPr>
        <w:autoSpaceDE w:val="0"/>
        <w:autoSpaceDN w:val="0"/>
        <w:adjustRightInd w:val="0"/>
        <w:spacing w:line="360" w:lineRule="exact"/>
        <w:ind w:firstLine="420" w:firstLineChars="200"/>
        <w:jc w:val="left"/>
        <w:rPr>
          <w:rFonts w:ascii="宋体" w:hAnsi="宋体" w:cs="宋体"/>
          <w:snapToGrid w:val="0"/>
          <w:color w:val="auto"/>
          <w:kern w:val="0"/>
          <w:highlight w:val="none"/>
        </w:rPr>
      </w:pPr>
      <w:r>
        <w:rPr>
          <w:rFonts w:hint="eastAsia" w:ascii="宋体" w:hAnsi="宋体" w:cs="宋体"/>
          <w:snapToGrid w:val="0"/>
          <w:color w:val="auto"/>
          <w:kern w:val="0"/>
          <w:highlight w:val="none"/>
        </w:rPr>
        <w:t>（2）中标人在收到中标通知书后，无正当理由不与招标人订立合同，在签订合同时向招标人提出附加条件，或不按照招标文件要求提交履约保证金；</w:t>
      </w:r>
    </w:p>
    <w:p>
      <w:pPr>
        <w:autoSpaceDE w:val="0"/>
        <w:autoSpaceDN w:val="0"/>
        <w:adjustRightInd w:val="0"/>
        <w:spacing w:line="360" w:lineRule="exact"/>
        <w:ind w:firstLine="420" w:firstLineChars="200"/>
        <w:jc w:val="left"/>
        <w:rPr>
          <w:rFonts w:ascii="宋体" w:hAnsi="宋体" w:cs="宋体"/>
          <w:snapToGrid w:val="0"/>
          <w:color w:val="auto"/>
          <w:kern w:val="0"/>
          <w:highlight w:val="none"/>
        </w:rPr>
      </w:pPr>
      <w:r>
        <w:rPr>
          <w:rFonts w:hint="eastAsia" w:ascii="宋体" w:hAnsi="宋体" w:cs="宋体"/>
          <w:snapToGrid w:val="0"/>
          <w:color w:val="auto"/>
          <w:kern w:val="0"/>
          <w:highlight w:val="none"/>
        </w:rPr>
        <w:t>（3）发生投标人须知前附表规定的其他可以不予退还投标保证金的情形。</w:t>
      </w:r>
    </w:p>
    <w:p>
      <w:pPr>
        <w:autoSpaceDE w:val="0"/>
        <w:autoSpaceDN w:val="0"/>
        <w:adjustRightInd w:val="0"/>
        <w:spacing w:line="360" w:lineRule="exact"/>
        <w:ind w:firstLine="420" w:firstLineChars="200"/>
        <w:jc w:val="left"/>
        <w:rPr>
          <w:rFonts w:ascii="宋体" w:hAnsi="宋体" w:cs="宋体"/>
          <w:snapToGrid w:val="0"/>
          <w:color w:val="auto"/>
          <w:kern w:val="0"/>
          <w:highlight w:val="none"/>
        </w:rPr>
      </w:pPr>
      <w:bookmarkStart w:id="273" w:name="_Toc310932670"/>
      <w:r>
        <w:rPr>
          <w:rFonts w:hint="eastAsia" w:ascii="宋体" w:hAnsi="宋体" w:cs="宋体"/>
          <w:snapToGrid w:val="0"/>
          <w:color w:val="auto"/>
          <w:kern w:val="0"/>
          <w:highlight w:val="none"/>
        </w:rPr>
        <w:t>3.5  资格审查</w:t>
      </w:r>
      <w:bookmarkEnd w:id="272"/>
      <w:r>
        <w:rPr>
          <w:rFonts w:hint="eastAsia" w:ascii="宋体" w:hAnsi="宋体" w:cs="宋体"/>
          <w:snapToGrid w:val="0"/>
          <w:color w:val="auto"/>
          <w:kern w:val="0"/>
          <w:highlight w:val="none"/>
        </w:rPr>
        <w:t>资料</w:t>
      </w:r>
      <w:bookmarkEnd w:id="273"/>
    </w:p>
    <w:p>
      <w:pPr>
        <w:autoSpaceDE w:val="0"/>
        <w:autoSpaceDN w:val="0"/>
        <w:adjustRightInd w:val="0"/>
        <w:spacing w:line="360" w:lineRule="exact"/>
        <w:ind w:firstLine="420" w:firstLineChars="200"/>
        <w:jc w:val="left"/>
        <w:rPr>
          <w:rFonts w:ascii="宋体" w:hAnsi="宋体"/>
          <w:color w:val="auto"/>
          <w:highlight w:val="none"/>
        </w:rPr>
      </w:pPr>
      <w:bookmarkStart w:id="274" w:name="_Toc200513151"/>
      <w:bookmarkStart w:id="275" w:name="_Toc310932671"/>
      <w:r>
        <w:rPr>
          <w:rFonts w:hint="eastAsia" w:ascii="宋体" w:hAnsi="宋体"/>
          <w:color w:val="auto"/>
          <w:highlight w:val="none"/>
        </w:rPr>
        <w:t>除投标人须知前附表另有规定外，投标人应按投标人须知前附表规定提供资格审查资料，以证明其满足本章第 1.4 款规定的资质、业绩、信誉等要求。</w:t>
      </w:r>
    </w:p>
    <w:p>
      <w:pPr>
        <w:autoSpaceDE w:val="0"/>
        <w:autoSpaceDN w:val="0"/>
        <w:adjustRightInd w:val="0"/>
        <w:spacing w:line="360" w:lineRule="exact"/>
        <w:ind w:firstLine="420" w:firstLineChars="200"/>
        <w:jc w:val="left"/>
        <w:rPr>
          <w:rFonts w:ascii="宋体" w:hAnsi="宋体"/>
          <w:color w:val="auto"/>
          <w:highlight w:val="none"/>
        </w:rPr>
      </w:pPr>
      <w:r>
        <w:rPr>
          <w:rFonts w:hint="eastAsia" w:ascii="宋体" w:hAnsi="宋体"/>
          <w:color w:val="auto"/>
          <w:highlight w:val="none"/>
        </w:rPr>
        <w:t>招标人有权核查投标人在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合同价款扣除不超过 5％签约合同价的金额作为违约金。同时招标人将投标人上述弄虚作假行为上报省级主管部门，作为不良记录纳入信用信息管理系统。</w:t>
      </w:r>
    </w:p>
    <w:p>
      <w:pPr>
        <w:autoSpaceDE w:val="0"/>
        <w:autoSpaceDN w:val="0"/>
        <w:adjustRightInd w:val="0"/>
        <w:spacing w:line="360" w:lineRule="exact"/>
        <w:ind w:firstLine="420" w:firstLineChars="200"/>
        <w:jc w:val="left"/>
        <w:rPr>
          <w:rFonts w:ascii="宋体" w:hAnsi="宋体"/>
          <w:color w:val="auto"/>
          <w:highlight w:val="none"/>
        </w:rPr>
      </w:pPr>
      <w:r>
        <w:rPr>
          <w:rFonts w:hint="eastAsia" w:ascii="宋体" w:hAnsi="宋体"/>
          <w:color w:val="auto"/>
          <w:highlight w:val="none"/>
        </w:rPr>
        <w:t>3.6  备选技术方案</w:t>
      </w:r>
      <w:bookmarkEnd w:id="274"/>
      <w:bookmarkEnd w:id="275"/>
    </w:p>
    <w:p>
      <w:pPr>
        <w:autoSpaceDE w:val="0"/>
        <w:autoSpaceDN w:val="0"/>
        <w:adjustRightInd w:val="0"/>
        <w:spacing w:line="360" w:lineRule="exact"/>
        <w:ind w:firstLine="420"/>
        <w:rPr>
          <w:rFonts w:ascii="宋体" w:hAnsi="宋体" w:cs="宋体"/>
          <w:snapToGrid w:val="0"/>
          <w:color w:val="auto"/>
          <w:kern w:val="0"/>
          <w:highlight w:val="none"/>
        </w:rPr>
      </w:pPr>
      <w:bookmarkStart w:id="276" w:name="_Toc200513152"/>
      <w:r>
        <w:rPr>
          <w:rFonts w:hint="eastAsia" w:ascii="宋体" w:hAnsi="宋体"/>
          <w:bCs/>
          <w:color w:val="auto"/>
          <w:highlight w:val="none"/>
        </w:rPr>
        <w:t>本项目不允许投标人递交备选投标方案。</w:t>
      </w:r>
    </w:p>
    <w:p>
      <w:pPr>
        <w:autoSpaceDE w:val="0"/>
        <w:autoSpaceDN w:val="0"/>
        <w:adjustRightInd w:val="0"/>
        <w:spacing w:line="360" w:lineRule="exact"/>
        <w:ind w:firstLine="420"/>
        <w:rPr>
          <w:rFonts w:ascii="宋体" w:hAnsi="宋体" w:cs="宋体"/>
          <w:snapToGrid w:val="0"/>
          <w:color w:val="auto"/>
          <w:kern w:val="0"/>
          <w:highlight w:val="none"/>
        </w:rPr>
      </w:pPr>
      <w:bookmarkStart w:id="277" w:name="_Toc310932672"/>
      <w:r>
        <w:rPr>
          <w:rFonts w:hint="eastAsia" w:ascii="宋体" w:hAnsi="宋体" w:cs="宋体"/>
          <w:snapToGrid w:val="0"/>
          <w:color w:val="auto"/>
          <w:kern w:val="0"/>
          <w:highlight w:val="none"/>
        </w:rPr>
        <w:t>3.7  投标文件的编制</w:t>
      </w:r>
      <w:bookmarkEnd w:id="276"/>
      <w:bookmarkEnd w:id="277"/>
    </w:p>
    <w:p>
      <w:pPr>
        <w:autoSpaceDE w:val="0"/>
        <w:autoSpaceDN w:val="0"/>
        <w:adjustRightInd w:val="0"/>
        <w:spacing w:line="360" w:lineRule="exact"/>
        <w:ind w:firstLine="420"/>
        <w:rPr>
          <w:rFonts w:ascii="宋体" w:hAnsi="宋体" w:cs="宋体"/>
          <w:snapToGrid w:val="0"/>
          <w:color w:val="auto"/>
          <w:kern w:val="0"/>
          <w:highlight w:val="none"/>
        </w:rPr>
      </w:pPr>
      <w:r>
        <w:rPr>
          <w:rFonts w:hint="eastAsia" w:ascii="宋体" w:hAnsi="宋体" w:cs="宋体"/>
          <w:snapToGrid w:val="0"/>
          <w:color w:val="auto"/>
          <w:kern w:val="0"/>
          <w:highlight w:val="none"/>
        </w:rPr>
        <w:t>3.7.1  投标文件应按</w:t>
      </w:r>
      <w:r>
        <w:rPr>
          <w:rFonts w:hint="eastAsia" w:ascii="宋体" w:hAnsi="宋体"/>
          <w:color w:val="auto"/>
          <w:highlight w:val="none"/>
        </w:rPr>
        <w:t>第五章</w:t>
      </w:r>
      <w:r>
        <w:rPr>
          <w:rFonts w:hint="eastAsia" w:ascii="宋体" w:hAnsi="宋体" w:cs="宋体"/>
          <w:snapToGrid w:val="0"/>
          <w:color w:val="auto"/>
          <w:kern w:val="0"/>
          <w:highlight w:val="none"/>
        </w:rPr>
        <w:t>“投标文件格式”进行编写，如有必要，可以增加附页，作为投标文件的组成部分。</w:t>
      </w:r>
    </w:p>
    <w:p>
      <w:pPr>
        <w:autoSpaceDE w:val="0"/>
        <w:autoSpaceDN w:val="0"/>
        <w:adjustRightInd w:val="0"/>
        <w:spacing w:line="360" w:lineRule="exact"/>
        <w:ind w:firstLine="420"/>
        <w:jc w:val="left"/>
        <w:rPr>
          <w:rFonts w:ascii="宋体" w:hAnsi="宋体" w:cs="宋体"/>
          <w:snapToGrid w:val="0"/>
          <w:color w:val="auto"/>
          <w:kern w:val="0"/>
          <w:highlight w:val="none"/>
        </w:rPr>
      </w:pPr>
      <w:r>
        <w:rPr>
          <w:rFonts w:hint="eastAsia" w:ascii="宋体" w:hAnsi="宋体" w:cs="宋体"/>
          <w:snapToGrid w:val="0"/>
          <w:color w:val="auto"/>
          <w:kern w:val="0"/>
          <w:highlight w:val="none"/>
        </w:rPr>
        <w:t>3.7.2  投标文件应当对招标文件有关服务期限、投标有效期、服务要求、招标范围等实质性内容做出响应。</w:t>
      </w:r>
    </w:p>
    <w:p>
      <w:pPr>
        <w:autoSpaceDE w:val="0"/>
        <w:autoSpaceDN w:val="0"/>
        <w:adjustRightInd w:val="0"/>
        <w:spacing w:line="360" w:lineRule="exact"/>
        <w:ind w:firstLine="424" w:firstLineChars="202"/>
        <w:jc w:val="left"/>
        <w:rPr>
          <w:rFonts w:ascii="宋体" w:hAnsi="宋体" w:cs="宋体"/>
          <w:snapToGrid w:val="0"/>
          <w:color w:val="auto"/>
          <w:kern w:val="0"/>
          <w:position w:val="-2"/>
          <w:highlight w:val="none"/>
        </w:rPr>
      </w:pPr>
      <w:r>
        <w:rPr>
          <w:rFonts w:hint="eastAsia" w:ascii="宋体" w:hAnsi="宋体" w:cs="宋体"/>
          <w:snapToGrid w:val="0"/>
          <w:color w:val="auto"/>
          <w:kern w:val="0"/>
          <w:position w:val="-2"/>
          <w:highlight w:val="none"/>
        </w:rPr>
        <w:t>3.7.3  投标文件格式中明确要求投标人法定代表人或其委托代理人签名之处，必须由相关人员亲笔签名，不得使用印章、签名章或其他电子制版签名代替；明确要求投标人加盖单位法人章之处，必须加盖单位法人章。</w:t>
      </w:r>
    </w:p>
    <w:p>
      <w:pPr>
        <w:autoSpaceDE w:val="0"/>
        <w:autoSpaceDN w:val="0"/>
        <w:adjustRightInd w:val="0"/>
        <w:spacing w:line="360" w:lineRule="exact"/>
        <w:ind w:firstLine="424" w:firstLineChars="202"/>
        <w:jc w:val="left"/>
        <w:rPr>
          <w:rFonts w:ascii="宋体" w:hAnsi="宋体" w:cs="宋体"/>
          <w:snapToGrid w:val="0"/>
          <w:color w:val="auto"/>
          <w:kern w:val="0"/>
          <w:position w:val="-2"/>
          <w:highlight w:val="none"/>
        </w:rPr>
      </w:pPr>
      <w:r>
        <w:rPr>
          <w:rFonts w:hint="eastAsia" w:ascii="宋体" w:hAnsi="宋体" w:cs="宋体"/>
          <w:snapToGrid w:val="0"/>
          <w:color w:val="auto"/>
          <w:kern w:val="0"/>
          <w:position w:val="-2"/>
          <w:highlight w:val="none"/>
        </w:rPr>
        <w:t>其中，投标函及对投标文件的澄清和说明应加盖投标人单位章，或由投标人的法定代表人或其委托代理人签名。</w:t>
      </w:r>
    </w:p>
    <w:p>
      <w:pPr>
        <w:autoSpaceDE w:val="0"/>
        <w:autoSpaceDN w:val="0"/>
        <w:adjustRightInd w:val="0"/>
        <w:spacing w:line="360" w:lineRule="exact"/>
        <w:ind w:firstLine="424" w:firstLineChars="202"/>
        <w:jc w:val="left"/>
        <w:rPr>
          <w:rFonts w:ascii="宋体" w:hAnsi="宋体" w:cs="宋体"/>
          <w:snapToGrid w:val="0"/>
          <w:color w:val="auto"/>
          <w:kern w:val="0"/>
          <w:position w:val="-2"/>
          <w:highlight w:val="none"/>
        </w:rPr>
      </w:pPr>
      <w:r>
        <w:rPr>
          <w:rFonts w:hint="eastAsia" w:ascii="宋体" w:hAnsi="宋体" w:cs="宋体"/>
          <w:snapToGrid w:val="0"/>
          <w:color w:val="auto"/>
          <w:kern w:val="0"/>
          <w:position w:val="-2"/>
          <w:highlight w:val="none"/>
        </w:rPr>
        <w:t>如果投标文件由委托代理人签署，则投标人须提交授权委托书，授权委托书应按</w:t>
      </w:r>
      <w:r>
        <w:rPr>
          <w:rFonts w:hint="eastAsia" w:ascii="宋体" w:hAnsi="宋体"/>
          <w:color w:val="auto"/>
          <w:highlight w:val="none"/>
        </w:rPr>
        <w:t>第五章</w:t>
      </w:r>
      <w:r>
        <w:rPr>
          <w:rFonts w:hint="eastAsia" w:ascii="宋体" w:hAnsi="宋体" w:cs="宋体"/>
          <w:snapToGrid w:val="0"/>
          <w:color w:val="auto"/>
          <w:kern w:val="0"/>
          <w:position w:val="-2"/>
          <w:highlight w:val="none"/>
        </w:rPr>
        <w:t>“投标文件格式”的要求出具，并由法定代表人和委托代理人亲笔签名，不得使用印章、签名章或其他电子制版签名代替。</w:t>
      </w:r>
    </w:p>
    <w:p>
      <w:pPr>
        <w:autoSpaceDE w:val="0"/>
        <w:autoSpaceDN w:val="0"/>
        <w:adjustRightInd w:val="0"/>
        <w:spacing w:line="360" w:lineRule="exact"/>
        <w:ind w:right="-164" w:firstLine="426"/>
        <w:jc w:val="left"/>
        <w:rPr>
          <w:rFonts w:ascii="宋体" w:hAnsi="宋体" w:cs="宋体"/>
          <w:snapToGrid w:val="0"/>
          <w:color w:val="auto"/>
          <w:kern w:val="0"/>
          <w:highlight w:val="none"/>
        </w:rPr>
      </w:pPr>
      <w:r>
        <w:rPr>
          <w:rFonts w:hint="eastAsia" w:ascii="宋体" w:hAnsi="宋体" w:cs="宋体"/>
          <w:snapToGrid w:val="0"/>
          <w:color w:val="auto"/>
          <w:kern w:val="0"/>
          <w:position w:val="-2"/>
          <w:highlight w:val="none"/>
        </w:rPr>
        <w:t>如果由投标人的法定代表人亲自签署投标文件，则投标人须提交法定代表人身份证明，身份证明应符合</w:t>
      </w:r>
      <w:r>
        <w:rPr>
          <w:rFonts w:hint="eastAsia" w:ascii="宋体" w:hAnsi="宋体"/>
          <w:color w:val="auto"/>
          <w:highlight w:val="none"/>
        </w:rPr>
        <w:t>第五章</w:t>
      </w:r>
      <w:r>
        <w:rPr>
          <w:rFonts w:hint="eastAsia" w:ascii="宋体" w:hAnsi="宋体" w:cs="宋体"/>
          <w:snapToGrid w:val="0"/>
          <w:color w:val="auto"/>
          <w:kern w:val="0"/>
          <w:highlight w:val="none"/>
        </w:rPr>
        <w:t>“投标文件格式”的要求。</w:t>
      </w:r>
    </w:p>
    <w:p>
      <w:pPr>
        <w:autoSpaceDE w:val="0"/>
        <w:autoSpaceDN w:val="0"/>
        <w:adjustRightInd w:val="0"/>
        <w:spacing w:line="360" w:lineRule="exact"/>
        <w:ind w:right="-164" w:firstLine="426"/>
        <w:jc w:val="left"/>
        <w:rPr>
          <w:rFonts w:ascii="宋体" w:hAnsi="宋体" w:cs="宋体"/>
          <w:snapToGrid w:val="0"/>
          <w:color w:val="auto"/>
          <w:kern w:val="0"/>
          <w:highlight w:val="none"/>
        </w:rPr>
      </w:pPr>
      <w:r>
        <w:rPr>
          <w:rFonts w:hint="eastAsia" w:ascii="宋体" w:hAnsi="宋体" w:cs="宋体"/>
          <w:snapToGrid w:val="0"/>
          <w:color w:val="auto"/>
          <w:kern w:val="0"/>
          <w:highlight w:val="none"/>
        </w:rPr>
        <w:t>投标文件应尽量避免涂改、行间插字或删除。如果出现上述情况，改动之处应由投标人的法定代表人或其授权的代理人签名或盖单位法人章。</w:t>
      </w:r>
    </w:p>
    <w:p>
      <w:pPr>
        <w:autoSpaceDE w:val="0"/>
        <w:autoSpaceDN w:val="0"/>
        <w:adjustRightInd w:val="0"/>
        <w:spacing w:line="360" w:lineRule="exact"/>
        <w:ind w:right="-164" w:firstLine="426"/>
        <w:jc w:val="left"/>
        <w:rPr>
          <w:rFonts w:ascii="宋体" w:hAnsi="宋体" w:cs="宋体"/>
          <w:snapToGrid w:val="0"/>
          <w:color w:val="auto"/>
          <w:kern w:val="0"/>
          <w:highlight w:val="none"/>
        </w:rPr>
      </w:pPr>
      <w:r>
        <w:rPr>
          <w:rFonts w:hint="eastAsia" w:ascii="宋体" w:hAnsi="宋体" w:cs="宋体"/>
          <w:snapToGrid w:val="0"/>
          <w:color w:val="auto"/>
          <w:kern w:val="0"/>
          <w:highlight w:val="none"/>
        </w:rPr>
        <w:t>3.7.4  投标文件正本一份，副本份数见投标人须知前附表。正本和副本的封面上应清楚地标记“正本”或“副本”的字样。当副本和正本不一致时，以正本为准。</w:t>
      </w:r>
    </w:p>
    <w:p>
      <w:pPr>
        <w:spacing w:line="360" w:lineRule="exact"/>
        <w:ind w:firstLine="420" w:firstLineChars="200"/>
        <w:rPr>
          <w:rFonts w:ascii="宋体" w:hAnsi="宋体"/>
          <w:color w:val="auto"/>
          <w:highlight w:val="none"/>
        </w:rPr>
      </w:pPr>
      <w:r>
        <w:rPr>
          <w:rFonts w:hint="eastAsia" w:ascii="宋体" w:hAnsi="宋体"/>
          <w:color w:val="auto"/>
          <w:highlight w:val="none"/>
        </w:rPr>
        <w:t>3.7.5 投标文件的正本与副本应分别装订成册，并编制目录，具体装订要求见投标人须知前附表规定。</w:t>
      </w:r>
    </w:p>
    <w:p>
      <w:pPr>
        <w:pStyle w:val="35"/>
        <w:tabs>
          <w:tab w:val="left" w:pos="840"/>
        </w:tabs>
        <w:spacing w:line="360" w:lineRule="exact"/>
        <w:rPr>
          <w:rFonts w:ascii="宋体" w:hAnsi="宋体" w:cs="宋体"/>
          <w:b/>
          <w:bCs/>
          <w:color w:val="auto"/>
          <w:sz w:val="21"/>
          <w:szCs w:val="21"/>
          <w:highlight w:val="none"/>
        </w:rPr>
      </w:pPr>
      <w:r>
        <w:rPr>
          <w:rFonts w:hint="eastAsia" w:ascii="宋体" w:hAnsi="宋体" w:cs="宋体"/>
          <w:b/>
          <w:bCs/>
          <w:color w:val="auto"/>
          <w:sz w:val="21"/>
          <w:szCs w:val="21"/>
          <w:highlight w:val="none"/>
        </w:rPr>
        <w:t>4. 投标</w:t>
      </w:r>
      <w:bookmarkEnd w:id="269"/>
    </w:p>
    <w:p>
      <w:pPr>
        <w:autoSpaceDE w:val="0"/>
        <w:autoSpaceDN w:val="0"/>
        <w:adjustRightInd w:val="0"/>
        <w:spacing w:line="360" w:lineRule="exact"/>
        <w:ind w:left="359" w:leftChars="171"/>
        <w:jc w:val="left"/>
        <w:rPr>
          <w:rFonts w:ascii="宋体" w:hAnsi="宋体" w:cs="宋体"/>
          <w:snapToGrid w:val="0"/>
          <w:color w:val="auto"/>
          <w:kern w:val="0"/>
          <w:highlight w:val="none"/>
        </w:rPr>
      </w:pPr>
      <w:bookmarkStart w:id="278" w:name="_Toc282589268"/>
      <w:bookmarkEnd w:id="278"/>
      <w:bookmarkStart w:id="279" w:name="_Toc144974524"/>
      <w:bookmarkEnd w:id="279"/>
      <w:bookmarkStart w:id="280" w:name="_Toc262650835"/>
      <w:bookmarkEnd w:id="280"/>
      <w:bookmarkStart w:id="281" w:name="_Toc144974527"/>
      <w:bookmarkEnd w:id="281"/>
      <w:bookmarkStart w:id="282" w:name="_Toc152042335"/>
      <w:bookmarkEnd w:id="282"/>
      <w:bookmarkStart w:id="283" w:name="_Toc152042332"/>
      <w:bookmarkEnd w:id="283"/>
      <w:bookmarkStart w:id="284" w:name="_Toc152045556"/>
      <w:bookmarkEnd w:id="284"/>
      <w:bookmarkStart w:id="285" w:name="_Toc152045559"/>
      <w:bookmarkEnd w:id="285"/>
      <w:bookmarkStart w:id="286" w:name="_Toc282589858"/>
      <w:bookmarkEnd w:id="286"/>
      <w:bookmarkStart w:id="287" w:name="_Toc300838050"/>
      <w:bookmarkEnd w:id="287"/>
      <w:bookmarkStart w:id="288" w:name="_Toc310932674"/>
      <w:bookmarkStart w:id="289" w:name="_Toc200513154"/>
      <w:bookmarkStart w:id="290" w:name="_Toc30570"/>
      <w:r>
        <w:rPr>
          <w:rFonts w:hint="eastAsia" w:ascii="宋体" w:hAnsi="宋体" w:cs="宋体"/>
          <w:snapToGrid w:val="0"/>
          <w:color w:val="auto"/>
          <w:kern w:val="0"/>
          <w:highlight w:val="none"/>
        </w:rPr>
        <w:t>4.1  投标文件的密封和标记</w:t>
      </w:r>
      <w:bookmarkEnd w:id="288"/>
      <w:bookmarkEnd w:id="289"/>
    </w:p>
    <w:p>
      <w:pPr>
        <w:autoSpaceDE w:val="0"/>
        <w:autoSpaceDN w:val="0"/>
        <w:adjustRightInd w:val="0"/>
        <w:spacing w:line="360" w:lineRule="exact"/>
        <w:ind w:left="359" w:leftChars="171"/>
        <w:jc w:val="left"/>
        <w:rPr>
          <w:rFonts w:ascii="宋体" w:hAnsi="宋体" w:cs="宋体"/>
          <w:snapToGrid w:val="0"/>
          <w:color w:val="auto"/>
          <w:kern w:val="0"/>
          <w:highlight w:val="none"/>
        </w:rPr>
      </w:pPr>
      <w:bookmarkStart w:id="291" w:name="_Toc200513155"/>
      <w:r>
        <w:rPr>
          <w:rFonts w:hint="eastAsia" w:ascii="宋体" w:hAnsi="宋体" w:cs="宋体"/>
          <w:snapToGrid w:val="0"/>
          <w:color w:val="auto"/>
          <w:kern w:val="0"/>
          <w:highlight w:val="none"/>
        </w:rPr>
        <w:t>4.1.1  投标文件的正本与副本密封见投标人须知前附表。</w:t>
      </w:r>
    </w:p>
    <w:p>
      <w:pPr>
        <w:autoSpaceDE w:val="0"/>
        <w:autoSpaceDN w:val="0"/>
        <w:adjustRightInd w:val="0"/>
        <w:spacing w:line="360" w:lineRule="exact"/>
        <w:ind w:left="359" w:leftChars="171"/>
        <w:jc w:val="left"/>
        <w:rPr>
          <w:rFonts w:ascii="宋体" w:hAnsi="宋体" w:cs="宋体"/>
          <w:snapToGrid w:val="0"/>
          <w:color w:val="auto"/>
          <w:kern w:val="0"/>
          <w:highlight w:val="none"/>
        </w:rPr>
      </w:pPr>
      <w:r>
        <w:rPr>
          <w:rFonts w:hint="eastAsia" w:ascii="宋体" w:hAnsi="宋体" w:cs="宋体"/>
          <w:snapToGrid w:val="0"/>
          <w:color w:val="auto"/>
          <w:kern w:val="0"/>
          <w:highlight w:val="none"/>
        </w:rPr>
        <w:t>4.1.2  投标文件的封套上应写明的内容见投标人须知前附表。</w:t>
      </w:r>
    </w:p>
    <w:p>
      <w:pPr>
        <w:autoSpaceDE w:val="0"/>
        <w:autoSpaceDN w:val="0"/>
        <w:adjustRightInd w:val="0"/>
        <w:spacing w:line="360" w:lineRule="exact"/>
        <w:ind w:left="13" w:leftChars="6" w:firstLine="344" w:firstLineChars="164"/>
        <w:jc w:val="left"/>
        <w:rPr>
          <w:rFonts w:ascii="宋体" w:hAnsi="宋体" w:cs="宋体"/>
          <w:snapToGrid w:val="0"/>
          <w:color w:val="auto"/>
          <w:kern w:val="0"/>
          <w:highlight w:val="none"/>
        </w:rPr>
      </w:pPr>
      <w:r>
        <w:rPr>
          <w:rFonts w:hint="eastAsia" w:ascii="宋体" w:hAnsi="宋体" w:cs="宋体"/>
          <w:snapToGrid w:val="0"/>
          <w:color w:val="auto"/>
          <w:kern w:val="0"/>
          <w:highlight w:val="none"/>
        </w:rPr>
        <w:t>4.1.3  未按本章第 4.1.1 项或第 4.1.2 项要求密封的投标文件，招标人不予受理。</w:t>
      </w:r>
    </w:p>
    <w:p>
      <w:pPr>
        <w:autoSpaceDE w:val="0"/>
        <w:autoSpaceDN w:val="0"/>
        <w:adjustRightInd w:val="0"/>
        <w:spacing w:line="360" w:lineRule="exact"/>
        <w:ind w:left="359" w:leftChars="171"/>
        <w:jc w:val="left"/>
        <w:rPr>
          <w:rFonts w:ascii="宋体" w:hAnsi="宋体" w:cs="宋体"/>
          <w:snapToGrid w:val="0"/>
          <w:color w:val="auto"/>
          <w:kern w:val="0"/>
          <w:highlight w:val="none"/>
        </w:rPr>
      </w:pPr>
      <w:bookmarkStart w:id="292" w:name="_Toc310932675"/>
      <w:r>
        <w:rPr>
          <w:rFonts w:hint="eastAsia" w:ascii="宋体" w:hAnsi="宋体" w:cs="宋体"/>
          <w:snapToGrid w:val="0"/>
          <w:color w:val="auto"/>
          <w:kern w:val="0"/>
          <w:highlight w:val="none"/>
        </w:rPr>
        <w:t>4.2  投标文件的递交</w:t>
      </w:r>
      <w:bookmarkEnd w:id="291"/>
      <w:bookmarkEnd w:id="292"/>
    </w:p>
    <w:p>
      <w:pPr>
        <w:autoSpaceDE w:val="0"/>
        <w:autoSpaceDN w:val="0"/>
        <w:adjustRightInd w:val="0"/>
        <w:spacing w:line="360" w:lineRule="exact"/>
        <w:ind w:left="359" w:leftChars="171"/>
        <w:jc w:val="left"/>
        <w:rPr>
          <w:rFonts w:ascii="宋体" w:hAnsi="宋体" w:cs="宋体"/>
          <w:snapToGrid w:val="0"/>
          <w:color w:val="auto"/>
          <w:kern w:val="0"/>
          <w:highlight w:val="none"/>
        </w:rPr>
      </w:pPr>
      <w:r>
        <w:rPr>
          <w:rFonts w:hint="eastAsia" w:ascii="宋体" w:hAnsi="宋体" w:cs="宋体"/>
          <w:snapToGrid w:val="0"/>
          <w:color w:val="auto"/>
          <w:kern w:val="0"/>
          <w:highlight w:val="none"/>
        </w:rPr>
        <w:t>4.2.1  投标人应在本章投标人须知前附表第 2.2.2 项规定的投标截止时间前递交投标文件。</w:t>
      </w:r>
    </w:p>
    <w:p>
      <w:pPr>
        <w:autoSpaceDE w:val="0"/>
        <w:autoSpaceDN w:val="0"/>
        <w:adjustRightInd w:val="0"/>
        <w:spacing w:line="360" w:lineRule="exact"/>
        <w:ind w:left="359" w:leftChars="171"/>
        <w:jc w:val="left"/>
        <w:rPr>
          <w:rFonts w:ascii="宋体" w:hAnsi="宋体" w:cs="宋体"/>
          <w:snapToGrid w:val="0"/>
          <w:color w:val="auto"/>
          <w:kern w:val="0"/>
          <w:highlight w:val="none"/>
        </w:rPr>
      </w:pPr>
      <w:r>
        <w:rPr>
          <w:rFonts w:hint="eastAsia" w:ascii="宋体" w:hAnsi="宋体" w:cs="宋体"/>
          <w:snapToGrid w:val="0"/>
          <w:color w:val="auto"/>
          <w:kern w:val="0"/>
          <w:highlight w:val="none"/>
        </w:rPr>
        <w:t>4.2.2  投标人递交投标文件的地点：见投标人须知前附表。</w:t>
      </w:r>
    </w:p>
    <w:p>
      <w:pPr>
        <w:autoSpaceDE w:val="0"/>
        <w:autoSpaceDN w:val="0"/>
        <w:adjustRightInd w:val="0"/>
        <w:spacing w:line="360" w:lineRule="exact"/>
        <w:ind w:left="359" w:leftChars="171"/>
        <w:jc w:val="left"/>
        <w:rPr>
          <w:rFonts w:ascii="宋体" w:hAnsi="宋体" w:cs="宋体"/>
          <w:snapToGrid w:val="0"/>
          <w:color w:val="auto"/>
          <w:kern w:val="0"/>
          <w:highlight w:val="none"/>
        </w:rPr>
      </w:pPr>
      <w:r>
        <w:rPr>
          <w:rFonts w:hint="eastAsia" w:ascii="宋体" w:hAnsi="宋体" w:cs="宋体"/>
          <w:snapToGrid w:val="0"/>
          <w:color w:val="auto"/>
          <w:kern w:val="0"/>
          <w:highlight w:val="none"/>
        </w:rPr>
        <w:t>4.2.3  除投标人须知前附表另有规定外，投标人所递交的投标文件不予退还。</w:t>
      </w:r>
    </w:p>
    <w:p>
      <w:pPr>
        <w:autoSpaceDE w:val="0"/>
        <w:autoSpaceDN w:val="0"/>
        <w:adjustRightInd w:val="0"/>
        <w:spacing w:line="360" w:lineRule="exact"/>
        <w:ind w:left="359" w:leftChars="171"/>
        <w:jc w:val="left"/>
        <w:rPr>
          <w:rFonts w:ascii="宋体" w:hAnsi="宋体" w:cs="宋体"/>
          <w:snapToGrid w:val="0"/>
          <w:color w:val="auto"/>
          <w:kern w:val="0"/>
          <w:highlight w:val="none"/>
        </w:rPr>
      </w:pPr>
      <w:r>
        <w:rPr>
          <w:rFonts w:ascii="宋体" w:hAnsi="宋体" w:cs="宋体"/>
          <w:snapToGrid w:val="0"/>
          <w:color w:val="auto"/>
          <w:kern w:val="0"/>
          <w:highlight w:val="none"/>
        </w:rPr>
        <w:t xml:space="preserve">4.2.4  </w:t>
      </w:r>
      <w:r>
        <w:rPr>
          <w:rFonts w:hint="eastAsia" w:ascii="宋体" w:hAnsi="宋体" w:cs="宋体"/>
          <w:snapToGrid w:val="0"/>
          <w:color w:val="auto"/>
          <w:kern w:val="0"/>
          <w:highlight w:val="none"/>
        </w:rPr>
        <w:t>逾期送达的或者未送达指定地点的投标文件，招标人不予受理。</w:t>
      </w:r>
    </w:p>
    <w:p>
      <w:pPr>
        <w:autoSpaceDE w:val="0"/>
        <w:autoSpaceDN w:val="0"/>
        <w:adjustRightInd w:val="0"/>
        <w:spacing w:line="360" w:lineRule="exact"/>
        <w:ind w:firstLine="420"/>
        <w:jc w:val="left"/>
        <w:rPr>
          <w:rFonts w:ascii="宋体" w:hAnsi="宋体" w:cs="宋体"/>
          <w:snapToGrid w:val="0"/>
          <w:color w:val="auto"/>
          <w:kern w:val="0"/>
          <w:highlight w:val="none"/>
        </w:rPr>
      </w:pPr>
      <w:bookmarkStart w:id="293" w:name="_Toc200513156"/>
      <w:bookmarkStart w:id="294" w:name="_Toc310932676"/>
      <w:r>
        <w:rPr>
          <w:rFonts w:hint="eastAsia" w:ascii="宋体" w:hAnsi="宋体" w:cs="宋体"/>
          <w:snapToGrid w:val="0"/>
          <w:color w:val="auto"/>
          <w:kern w:val="0"/>
          <w:highlight w:val="none"/>
        </w:rPr>
        <w:t>4.3  投标文件的修改与撤回</w:t>
      </w:r>
      <w:bookmarkEnd w:id="293"/>
      <w:bookmarkEnd w:id="294"/>
    </w:p>
    <w:p>
      <w:pPr>
        <w:autoSpaceDE w:val="0"/>
        <w:autoSpaceDN w:val="0"/>
        <w:adjustRightInd w:val="0"/>
        <w:spacing w:line="360" w:lineRule="exact"/>
        <w:ind w:firstLine="420"/>
        <w:jc w:val="left"/>
        <w:rPr>
          <w:rFonts w:ascii="宋体" w:hAnsi="宋体" w:cs="宋体"/>
          <w:snapToGrid w:val="0"/>
          <w:color w:val="auto"/>
          <w:kern w:val="0"/>
          <w:highlight w:val="none"/>
        </w:rPr>
      </w:pPr>
      <w:r>
        <w:rPr>
          <w:rFonts w:hint="eastAsia" w:ascii="宋体" w:hAnsi="宋体" w:cs="宋体"/>
          <w:snapToGrid w:val="0"/>
          <w:color w:val="auto"/>
          <w:kern w:val="0"/>
          <w:highlight w:val="none"/>
        </w:rPr>
        <w:t>4.3.1  在前附表4.2.1项规定的投标截止时间前，投标人可以撤回已递交的投标文件，但应以书面形式通知招标人。</w:t>
      </w:r>
    </w:p>
    <w:p>
      <w:pPr>
        <w:autoSpaceDE w:val="0"/>
        <w:autoSpaceDN w:val="0"/>
        <w:adjustRightInd w:val="0"/>
        <w:spacing w:line="360" w:lineRule="exact"/>
        <w:ind w:firstLine="420"/>
        <w:jc w:val="left"/>
        <w:rPr>
          <w:rFonts w:ascii="宋体" w:hAnsi="宋体" w:cs="宋体"/>
          <w:snapToGrid w:val="0"/>
          <w:color w:val="auto"/>
          <w:kern w:val="0"/>
          <w:highlight w:val="none"/>
        </w:rPr>
      </w:pPr>
      <w:r>
        <w:rPr>
          <w:rFonts w:hint="eastAsia" w:ascii="宋体" w:hAnsi="宋体" w:cs="宋体"/>
          <w:snapToGrid w:val="0"/>
          <w:color w:val="auto"/>
          <w:kern w:val="0"/>
          <w:highlight w:val="none"/>
        </w:rPr>
        <w:t>4.3.2  投标人修改或撤回已递交投标文件的书面通知应按照本章第3.7.3项的要求签名或盖章。招标人收到书面通知后，向投标人出具签收凭证。</w:t>
      </w:r>
    </w:p>
    <w:p>
      <w:pPr>
        <w:autoSpaceDE w:val="0"/>
        <w:autoSpaceDN w:val="0"/>
        <w:adjustRightInd w:val="0"/>
        <w:spacing w:line="360" w:lineRule="exact"/>
        <w:ind w:firstLine="420"/>
        <w:jc w:val="left"/>
        <w:rPr>
          <w:rFonts w:ascii="宋体" w:hAnsi="宋体" w:cs="宋体"/>
          <w:snapToGrid w:val="0"/>
          <w:color w:val="auto"/>
          <w:kern w:val="0"/>
          <w:highlight w:val="none"/>
        </w:rPr>
      </w:pPr>
      <w:r>
        <w:rPr>
          <w:rFonts w:hint="eastAsia" w:ascii="宋体" w:hAnsi="宋体" w:cs="宋体"/>
          <w:snapToGrid w:val="0"/>
          <w:color w:val="auto"/>
          <w:kern w:val="0"/>
          <w:highlight w:val="none"/>
        </w:rPr>
        <w:t>4.3.3  修改的内容为投标文件的组成部分。修改的投标文件应按照本章第3条、第4条规定进行编制、密封、标记和递交，并标明“修改”字样。</w:t>
      </w:r>
    </w:p>
    <w:p>
      <w:pPr>
        <w:pStyle w:val="35"/>
        <w:tabs>
          <w:tab w:val="left" w:pos="840"/>
        </w:tabs>
        <w:spacing w:line="360" w:lineRule="exact"/>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5. 开标</w:t>
      </w:r>
      <w:bookmarkEnd w:id="290"/>
    </w:p>
    <w:p>
      <w:pPr>
        <w:tabs>
          <w:tab w:val="left" w:pos="840"/>
        </w:tabs>
        <w:spacing w:line="360" w:lineRule="exact"/>
        <w:ind w:firstLine="420" w:firstLineChars="200"/>
        <w:rPr>
          <w:rFonts w:ascii="宋体" w:hAnsi="宋体" w:cs="宋体"/>
          <w:color w:val="auto"/>
          <w:kern w:val="1"/>
          <w:highlight w:val="none"/>
        </w:rPr>
      </w:pPr>
      <w:bookmarkStart w:id="295" w:name="_Toc262650839"/>
      <w:bookmarkEnd w:id="295"/>
      <w:bookmarkStart w:id="296" w:name="_Toc300838054"/>
      <w:bookmarkEnd w:id="296"/>
      <w:bookmarkStart w:id="297" w:name="_Toc152045560"/>
      <w:bookmarkEnd w:id="297"/>
      <w:bookmarkStart w:id="298" w:name="_Toc282589862"/>
      <w:bookmarkEnd w:id="298"/>
      <w:bookmarkStart w:id="299" w:name="_Toc282589272"/>
      <w:bookmarkEnd w:id="299"/>
      <w:bookmarkStart w:id="300" w:name="_Toc144974528"/>
      <w:bookmarkEnd w:id="300"/>
      <w:bookmarkStart w:id="301" w:name="_Toc152042336"/>
      <w:bookmarkEnd w:id="301"/>
      <w:r>
        <w:rPr>
          <w:rFonts w:hint="eastAsia" w:ascii="宋体" w:hAnsi="宋体" w:cs="宋体"/>
          <w:color w:val="auto"/>
          <w:kern w:val="1"/>
          <w:highlight w:val="none"/>
        </w:rPr>
        <w:t>5.1 开标时间和地点</w:t>
      </w:r>
    </w:p>
    <w:p>
      <w:pPr>
        <w:tabs>
          <w:tab w:val="left" w:pos="840"/>
        </w:tabs>
        <w:spacing w:line="360" w:lineRule="exact"/>
        <w:ind w:firstLine="420" w:firstLineChars="200"/>
        <w:rPr>
          <w:rFonts w:ascii="宋体" w:hAnsi="宋体" w:cs="宋体"/>
          <w:color w:val="auto"/>
          <w:kern w:val="1"/>
          <w:highlight w:val="none"/>
        </w:rPr>
      </w:pPr>
      <w:r>
        <w:rPr>
          <w:rFonts w:hint="eastAsia" w:ascii="宋体" w:hAnsi="宋体" w:cs="宋体"/>
          <w:color w:val="auto"/>
          <w:kern w:val="1"/>
          <w:highlight w:val="none"/>
        </w:rPr>
        <w:t>招标人在本章第 4.2.1 项规定的投标截止时间（开标时间）和投标人须知前附表规定的地点公开开标，并邀请所有投标人的法定代表人或其委托代理人准时参加。投标人若未派法定代表人或委托代理人出席开标活动，视为该投标人默认开标结果。</w:t>
      </w:r>
    </w:p>
    <w:p>
      <w:pPr>
        <w:tabs>
          <w:tab w:val="left" w:pos="840"/>
        </w:tabs>
        <w:spacing w:line="360" w:lineRule="exact"/>
        <w:ind w:firstLine="420" w:firstLineChars="200"/>
        <w:rPr>
          <w:rFonts w:ascii="宋体" w:hAnsi="宋体" w:cs="宋体"/>
          <w:color w:val="auto"/>
          <w:kern w:val="1"/>
          <w:highlight w:val="none"/>
        </w:rPr>
      </w:pPr>
      <w:r>
        <w:rPr>
          <w:rFonts w:hint="eastAsia" w:ascii="宋体" w:hAnsi="宋体" w:cs="宋体"/>
          <w:color w:val="auto"/>
          <w:kern w:val="1"/>
          <w:highlight w:val="none"/>
        </w:rPr>
        <w:t>5.2开标程序</w:t>
      </w:r>
    </w:p>
    <w:p>
      <w:pPr>
        <w:tabs>
          <w:tab w:val="left" w:pos="840"/>
        </w:tabs>
        <w:spacing w:line="360" w:lineRule="exact"/>
        <w:ind w:firstLine="420" w:firstLineChars="200"/>
        <w:rPr>
          <w:rFonts w:ascii="宋体" w:hAnsi="宋体" w:cs="宋体"/>
          <w:color w:val="auto"/>
          <w:kern w:val="1"/>
          <w:highlight w:val="none"/>
        </w:rPr>
      </w:pPr>
      <w:r>
        <w:rPr>
          <w:rFonts w:hint="eastAsia" w:ascii="宋体" w:hAnsi="宋体" w:cs="宋体"/>
          <w:color w:val="auto"/>
          <w:kern w:val="1"/>
          <w:highlight w:val="none"/>
        </w:rPr>
        <w:t>5</w:t>
      </w:r>
      <w:r>
        <w:rPr>
          <w:rFonts w:ascii="宋体" w:hAnsi="宋体" w:cs="宋体"/>
          <w:color w:val="auto"/>
          <w:kern w:val="1"/>
          <w:highlight w:val="none"/>
        </w:rPr>
        <w:t>.2.1</w:t>
      </w:r>
      <w:r>
        <w:rPr>
          <w:rFonts w:hint="eastAsia" w:ascii="宋体" w:hAnsi="宋体" w:cs="宋体"/>
          <w:color w:val="auto"/>
          <w:kern w:val="1"/>
          <w:highlight w:val="none"/>
        </w:rPr>
        <w:t>详见投标人须知前附表第5.2</w:t>
      </w:r>
      <w:r>
        <w:rPr>
          <w:rFonts w:ascii="宋体" w:hAnsi="宋体" w:cs="宋体"/>
          <w:color w:val="auto"/>
          <w:kern w:val="1"/>
          <w:highlight w:val="none"/>
        </w:rPr>
        <w:t>.1</w:t>
      </w:r>
      <w:r>
        <w:rPr>
          <w:rFonts w:hint="eastAsia" w:ascii="宋体" w:hAnsi="宋体" w:cs="宋体"/>
          <w:color w:val="auto"/>
          <w:kern w:val="1"/>
          <w:highlight w:val="none"/>
        </w:rPr>
        <w:t>款开标程序。</w:t>
      </w:r>
    </w:p>
    <w:p>
      <w:pPr>
        <w:tabs>
          <w:tab w:val="left" w:pos="840"/>
        </w:tabs>
        <w:spacing w:line="360" w:lineRule="exact"/>
        <w:ind w:firstLine="420" w:firstLineChars="200"/>
        <w:rPr>
          <w:rFonts w:ascii="宋体" w:hAnsi="宋体" w:cs="宋体"/>
          <w:color w:val="auto"/>
          <w:kern w:val="1"/>
          <w:highlight w:val="none"/>
        </w:rPr>
      </w:pPr>
      <w:r>
        <w:rPr>
          <w:rFonts w:hint="eastAsia" w:ascii="宋体" w:hAnsi="宋体" w:cs="宋体"/>
          <w:color w:val="auto"/>
          <w:kern w:val="1"/>
          <w:highlight w:val="none"/>
        </w:rPr>
        <w:t>5.3 开标异议</w:t>
      </w:r>
    </w:p>
    <w:p>
      <w:pPr>
        <w:tabs>
          <w:tab w:val="left" w:pos="840"/>
        </w:tabs>
        <w:spacing w:line="360" w:lineRule="exact"/>
        <w:ind w:firstLine="420" w:firstLineChars="200"/>
        <w:rPr>
          <w:rFonts w:ascii="宋体" w:hAnsi="宋体" w:cs="宋体"/>
          <w:color w:val="auto"/>
          <w:kern w:val="1"/>
          <w:highlight w:val="none"/>
        </w:rPr>
      </w:pPr>
      <w:r>
        <w:rPr>
          <w:rFonts w:hint="eastAsia" w:ascii="宋体" w:hAnsi="宋体" w:cs="宋体"/>
          <w:color w:val="auto"/>
          <w:kern w:val="1"/>
          <w:highlight w:val="none"/>
        </w:rPr>
        <w:t>投标人对开标有异议的，应在开标现场提出，招标人当场作出答复，并制作记录，有异议的投标人代表、招标人代表、记录人等有关人员在记录上签名确认。</w:t>
      </w:r>
    </w:p>
    <w:p>
      <w:pPr>
        <w:pStyle w:val="35"/>
        <w:tabs>
          <w:tab w:val="left" w:pos="840"/>
        </w:tabs>
        <w:spacing w:line="360" w:lineRule="exact"/>
        <w:rPr>
          <w:rFonts w:ascii="宋体" w:hAnsi="宋体" w:cs="宋体"/>
          <w:b/>
          <w:bCs/>
          <w:color w:val="auto"/>
          <w:sz w:val="21"/>
          <w:szCs w:val="21"/>
          <w:highlight w:val="none"/>
        </w:rPr>
      </w:pPr>
      <w:bookmarkStart w:id="302" w:name="_Toc3444"/>
      <w:r>
        <w:rPr>
          <w:rFonts w:hint="eastAsia" w:ascii="宋体" w:hAnsi="宋体" w:cs="宋体"/>
          <w:b/>
          <w:bCs/>
          <w:color w:val="auto"/>
          <w:sz w:val="21"/>
          <w:szCs w:val="21"/>
          <w:highlight w:val="none"/>
        </w:rPr>
        <w:t>6. 评标</w:t>
      </w:r>
      <w:bookmarkEnd w:id="302"/>
    </w:p>
    <w:p>
      <w:pPr>
        <w:pStyle w:val="34"/>
        <w:tabs>
          <w:tab w:val="left" w:pos="840"/>
        </w:tabs>
        <w:spacing w:before="0" w:beforeAutospacing="0" w:after="0" w:afterAutospacing="0" w:line="360" w:lineRule="exact"/>
        <w:ind w:firstLine="420" w:firstLineChars="200"/>
        <w:rPr>
          <w:color w:val="auto"/>
          <w:sz w:val="21"/>
          <w:szCs w:val="21"/>
          <w:highlight w:val="none"/>
        </w:rPr>
      </w:pPr>
      <w:bookmarkStart w:id="303" w:name="_Toc282589275"/>
      <w:bookmarkEnd w:id="303"/>
      <w:bookmarkStart w:id="304" w:name="_Toc144974531"/>
      <w:bookmarkEnd w:id="304"/>
      <w:bookmarkStart w:id="305" w:name="_Toc152042339"/>
      <w:bookmarkEnd w:id="305"/>
      <w:bookmarkStart w:id="306" w:name="_Toc262650842"/>
      <w:bookmarkEnd w:id="306"/>
      <w:bookmarkStart w:id="307" w:name="_Toc152045563"/>
      <w:bookmarkEnd w:id="307"/>
      <w:bookmarkStart w:id="308" w:name="_Toc282589865"/>
      <w:bookmarkEnd w:id="308"/>
      <w:bookmarkStart w:id="309" w:name="_Toc300838057"/>
      <w:bookmarkEnd w:id="309"/>
      <w:bookmarkStart w:id="310" w:name="_Toc28156"/>
      <w:r>
        <w:rPr>
          <w:rFonts w:hint="eastAsia"/>
          <w:color w:val="auto"/>
          <w:sz w:val="21"/>
          <w:szCs w:val="21"/>
          <w:highlight w:val="none"/>
        </w:rPr>
        <w:t>6.1 评标委员会</w:t>
      </w:r>
      <w:bookmarkEnd w:id="310"/>
    </w:p>
    <w:p>
      <w:pPr>
        <w:tabs>
          <w:tab w:val="left" w:pos="840"/>
        </w:tabs>
        <w:spacing w:line="360" w:lineRule="exact"/>
        <w:ind w:firstLine="420" w:firstLineChars="200"/>
        <w:rPr>
          <w:rFonts w:ascii="宋体" w:hAnsi="宋体" w:cs="宋体"/>
          <w:color w:val="auto"/>
          <w:kern w:val="1"/>
          <w:highlight w:val="none"/>
        </w:rPr>
      </w:pPr>
      <w:r>
        <w:rPr>
          <w:rFonts w:hint="eastAsia" w:ascii="宋体" w:hAnsi="宋体" w:cs="宋体"/>
          <w:color w:val="auto"/>
          <w:kern w:val="1"/>
          <w:highlight w:val="none"/>
        </w:rPr>
        <w:t>6.1.1评标委员会的组建：见投标人须知前附表。</w:t>
      </w:r>
    </w:p>
    <w:p>
      <w:pPr>
        <w:tabs>
          <w:tab w:val="left" w:pos="840"/>
        </w:tabs>
        <w:spacing w:line="360" w:lineRule="exact"/>
        <w:ind w:firstLine="420" w:firstLineChars="200"/>
        <w:rPr>
          <w:rFonts w:ascii="宋体" w:hAnsi="宋体" w:cs="宋体"/>
          <w:color w:val="auto"/>
          <w:kern w:val="0"/>
          <w:highlight w:val="none"/>
        </w:rPr>
      </w:pPr>
      <w:bookmarkStart w:id="311" w:name="_Toc152045564"/>
      <w:bookmarkEnd w:id="311"/>
      <w:bookmarkStart w:id="312" w:name="_Toc144974532"/>
      <w:bookmarkEnd w:id="312"/>
      <w:bookmarkStart w:id="313" w:name="_Toc152042340"/>
      <w:bookmarkEnd w:id="313"/>
      <w:bookmarkStart w:id="314" w:name="_Toc282589866"/>
      <w:bookmarkEnd w:id="314"/>
      <w:bookmarkStart w:id="315" w:name="_Toc282589276"/>
      <w:bookmarkEnd w:id="315"/>
      <w:bookmarkStart w:id="316" w:name="_Toc300838058"/>
      <w:bookmarkEnd w:id="316"/>
      <w:bookmarkStart w:id="317" w:name="_Toc262650843"/>
      <w:bookmarkEnd w:id="317"/>
      <w:bookmarkStart w:id="318" w:name="_Toc24425"/>
      <w:r>
        <w:rPr>
          <w:rFonts w:hint="eastAsia" w:ascii="宋体" w:hAnsi="宋体" w:cs="宋体"/>
          <w:color w:val="auto"/>
          <w:kern w:val="0"/>
          <w:highlight w:val="none"/>
        </w:rPr>
        <w:t>6.1.2 评标委员会成员有下列情形之一的，应主动提出回避：</w:t>
      </w:r>
    </w:p>
    <w:p>
      <w:pPr>
        <w:tabs>
          <w:tab w:val="left" w:pos="840"/>
        </w:tabs>
        <w:spacing w:line="3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（1）为负责招标项目监督管理的交通运输主管部门的工作人员，或招标项目的主管部门的工作人员，或对该项目有监督职责的行政监督部门的工作人员；</w:t>
      </w:r>
    </w:p>
    <w:p>
      <w:pPr>
        <w:tabs>
          <w:tab w:val="left" w:pos="840"/>
        </w:tabs>
        <w:spacing w:line="3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（2）招标人或招标代理机构主要负责人的近亲属，或与投标人法定代表人或其委托代理人有近亲属关系；</w:t>
      </w:r>
    </w:p>
    <w:p>
      <w:pPr>
        <w:tabs>
          <w:tab w:val="left" w:pos="840"/>
        </w:tabs>
        <w:spacing w:line="3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（3）为投标人的工作人员或退休人员；</w:t>
      </w:r>
    </w:p>
    <w:p>
      <w:pPr>
        <w:tabs>
          <w:tab w:val="left" w:pos="840"/>
        </w:tabs>
        <w:spacing w:line="3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（4）与投标人有其他利害关系，可能影响评标活动公正性；</w:t>
      </w:r>
    </w:p>
    <w:p>
      <w:pPr>
        <w:tabs>
          <w:tab w:val="left" w:pos="840"/>
        </w:tabs>
        <w:spacing w:line="3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（5）在与招标投标有关的活动中有过违法违规行为、曾受过行政处罚或刑事处罚；</w:t>
      </w:r>
    </w:p>
    <w:p>
      <w:pPr>
        <w:tabs>
          <w:tab w:val="left" w:pos="840"/>
        </w:tabs>
        <w:spacing w:line="3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（6）招标人及其子公司、招标人的上级主管部门或者控股公司、招标代理机构的工作人员或者退休人员；</w:t>
      </w:r>
    </w:p>
    <w:p>
      <w:pPr>
        <w:pStyle w:val="34"/>
        <w:tabs>
          <w:tab w:val="left" w:pos="840"/>
          <w:tab w:val="left" w:pos="2620"/>
        </w:tabs>
        <w:spacing w:before="0" w:beforeAutospacing="0" w:after="0" w:afterAutospacing="0" w:line="360" w:lineRule="exact"/>
        <w:ind w:firstLine="420" w:firstLineChars="200"/>
        <w:rPr>
          <w:color w:val="auto"/>
          <w:sz w:val="21"/>
          <w:szCs w:val="21"/>
          <w:highlight w:val="none"/>
        </w:rPr>
      </w:pPr>
      <w:r>
        <w:rPr>
          <w:rFonts w:hint="eastAsia"/>
          <w:color w:val="auto"/>
          <w:sz w:val="21"/>
          <w:szCs w:val="21"/>
          <w:highlight w:val="none"/>
        </w:rPr>
        <w:t>（7）近3年在招标人、投标人或招标代理机构工作过的人员。</w:t>
      </w:r>
    </w:p>
    <w:p>
      <w:pPr>
        <w:pStyle w:val="34"/>
        <w:tabs>
          <w:tab w:val="left" w:pos="840"/>
          <w:tab w:val="left" w:pos="2620"/>
        </w:tabs>
        <w:spacing w:before="0" w:beforeAutospacing="0" w:after="0" w:afterAutospacing="0" w:line="360" w:lineRule="exact"/>
        <w:ind w:firstLine="420" w:firstLineChars="200"/>
        <w:rPr>
          <w:color w:val="auto"/>
          <w:sz w:val="21"/>
          <w:szCs w:val="21"/>
          <w:highlight w:val="none"/>
        </w:rPr>
      </w:pPr>
      <w:r>
        <w:rPr>
          <w:rFonts w:hint="eastAsia"/>
          <w:color w:val="auto"/>
          <w:sz w:val="21"/>
          <w:szCs w:val="21"/>
          <w:highlight w:val="none"/>
        </w:rPr>
        <w:t>6.1.3评标过程中，评标委员会成员有回避事由、擅离职守或者因健康等原因不能继续评标的，应当及时更换。被更换的评标委员会成员作出的评审结论无效，由更换后的评标委员会成员重新进行评审。</w:t>
      </w:r>
    </w:p>
    <w:p>
      <w:pPr>
        <w:pStyle w:val="34"/>
        <w:tabs>
          <w:tab w:val="left" w:pos="840"/>
        </w:tabs>
        <w:spacing w:before="0" w:beforeAutospacing="0" w:after="0" w:afterAutospacing="0" w:line="360" w:lineRule="exact"/>
        <w:ind w:firstLine="420" w:firstLineChars="200"/>
        <w:rPr>
          <w:color w:val="auto"/>
          <w:sz w:val="21"/>
          <w:szCs w:val="21"/>
          <w:highlight w:val="none"/>
        </w:rPr>
      </w:pPr>
      <w:r>
        <w:rPr>
          <w:rFonts w:hint="eastAsia"/>
          <w:color w:val="auto"/>
          <w:sz w:val="21"/>
          <w:szCs w:val="21"/>
          <w:highlight w:val="none"/>
        </w:rPr>
        <w:t>6.2 评标原则</w:t>
      </w:r>
      <w:bookmarkEnd w:id="318"/>
      <w:r>
        <w:rPr>
          <w:rFonts w:hint="eastAsia"/>
          <w:color w:val="auto"/>
          <w:sz w:val="21"/>
          <w:szCs w:val="21"/>
          <w:highlight w:val="none"/>
        </w:rPr>
        <w:tab/>
      </w:r>
    </w:p>
    <w:p>
      <w:pPr>
        <w:tabs>
          <w:tab w:val="left" w:pos="840"/>
        </w:tabs>
        <w:spacing w:line="360" w:lineRule="exact"/>
        <w:ind w:firstLine="420" w:firstLineChars="200"/>
        <w:rPr>
          <w:rFonts w:ascii="宋体" w:hAnsi="宋体" w:cs="宋体"/>
          <w:color w:val="auto"/>
          <w:kern w:val="1"/>
          <w:highlight w:val="none"/>
        </w:rPr>
      </w:pPr>
      <w:r>
        <w:rPr>
          <w:rFonts w:hint="eastAsia" w:ascii="宋体" w:hAnsi="宋体" w:cs="宋体"/>
          <w:color w:val="auto"/>
          <w:kern w:val="1"/>
          <w:highlight w:val="none"/>
        </w:rPr>
        <w:t>评标活动遵循公平、公正、科学和择优的原则。</w:t>
      </w:r>
    </w:p>
    <w:p>
      <w:pPr>
        <w:pStyle w:val="34"/>
        <w:tabs>
          <w:tab w:val="left" w:pos="840"/>
        </w:tabs>
        <w:spacing w:before="0" w:beforeAutospacing="0" w:after="0" w:afterAutospacing="0" w:line="360" w:lineRule="exact"/>
        <w:ind w:firstLine="420" w:firstLineChars="200"/>
        <w:rPr>
          <w:color w:val="auto"/>
          <w:sz w:val="21"/>
          <w:szCs w:val="21"/>
          <w:highlight w:val="none"/>
        </w:rPr>
      </w:pPr>
      <w:bookmarkStart w:id="319" w:name="_Toc262650844"/>
      <w:bookmarkEnd w:id="319"/>
      <w:bookmarkStart w:id="320" w:name="_Toc152045565"/>
      <w:bookmarkEnd w:id="320"/>
      <w:bookmarkStart w:id="321" w:name="_Toc282589277"/>
      <w:bookmarkEnd w:id="321"/>
      <w:bookmarkStart w:id="322" w:name="_Toc282589867"/>
      <w:bookmarkEnd w:id="322"/>
      <w:bookmarkStart w:id="323" w:name="_Toc152042341"/>
      <w:bookmarkEnd w:id="323"/>
      <w:bookmarkStart w:id="324" w:name="_Toc300838059"/>
      <w:bookmarkEnd w:id="324"/>
      <w:bookmarkStart w:id="325" w:name="_Toc144974533"/>
      <w:bookmarkEnd w:id="325"/>
      <w:bookmarkStart w:id="326" w:name="_Toc16326"/>
      <w:r>
        <w:rPr>
          <w:rFonts w:hint="eastAsia"/>
          <w:color w:val="auto"/>
          <w:sz w:val="21"/>
          <w:szCs w:val="21"/>
          <w:highlight w:val="none"/>
        </w:rPr>
        <w:t>6.3 评标</w:t>
      </w:r>
    </w:p>
    <w:p>
      <w:pPr>
        <w:pStyle w:val="35"/>
        <w:tabs>
          <w:tab w:val="left" w:pos="840"/>
        </w:tabs>
        <w:spacing w:line="3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6.3.1 评标委员会按照第三章“评标办法”规定的方法、评审因素、标准和程序对投标文件进行评审。第三章“评标办法”没有规定的方法、评审因素和标准，不作为评标依据。</w:t>
      </w:r>
    </w:p>
    <w:p>
      <w:pPr>
        <w:pStyle w:val="35"/>
        <w:tabs>
          <w:tab w:val="left" w:pos="840"/>
        </w:tabs>
        <w:spacing w:line="3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6.3.2 评标完成后，评标委员会应向招标人提交书面评标报告和中标候选人名单。评标委员会推荐中标候选人的人数见投标人须知前附表。</w:t>
      </w:r>
    </w:p>
    <w:p>
      <w:pPr>
        <w:pStyle w:val="35"/>
        <w:tabs>
          <w:tab w:val="left" w:pos="840"/>
        </w:tabs>
        <w:spacing w:line="360" w:lineRule="exact"/>
        <w:rPr>
          <w:rFonts w:ascii="宋体" w:hAnsi="宋体" w:cs="宋体"/>
          <w:b/>
          <w:bCs/>
          <w:color w:val="auto"/>
          <w:sz w:val="21"/>
          <w:szCs w:val="21"/>
          <w:highlight w:val="none"/>
        </w:rPr>
      </w:pPr>
      <w:r>
        <w:rPr>
          <w:rFonts w:hint="eastAsia" w:ascii="宋体" w:hAnsi="宋体" w:cs="宋体"/>
          <w:b/>
          <w:bCs/>
          <w:color w:val="auto"/>
          <w:sz w:val="21"/>
          <w:szCs w:val="21"/>
          <w:highlight w:val="none"/>
        </w:rPr>
        <w:t>7. 合同授予</w:t>
      </w:r>
      <w:bookmarkEnd w:id="326"/>
    </w:p>
    <w:p>
      <w:pPr>
        <w:pStyle w:val="34"/>
        <w:tabs>
          <w:tab w:val="left" w:pos="840"/>
        </w:tabs>
        <w:spacing w:before="0" w:beforeAutospacing="0" w:after="0" w:afterAutospacing="0" w:line="360" w:lineRule="exact"/>
        <w:ind w:firstLine="420" w:firstLineChars="200"/>
        <w:rPr>
          <w:color w:val="auto"/>
          <w:sz w:val="21"/>
          <w:szCs w:val="21"/>
          <w:highlight w:val="none"/>
        </w:rPr>
      </w:pPr>
      <w:r>
        <w:rPr>
          <w:rFonts w:hint="eastAsia"/>
          <w:color w:val="auto"/>
          <w:sz w:val="21"/>
          <w:szCs w:val="21"/>
          <w:highlight w:val="none"/>
        </w:rPr>
        <w:t>7.1 中标候选人公示</w:t>
      </w:r>
    </w:p>
    <w:p>
      <w:pPr>
        <w:pStyle w:val="35"/>
        <w:tabs>
          <w:tab w:val="left" w:pos="840"/>
        </w:tabs>
        <w:spacing w:line="360" w:lineRule="exact"/>
        <w:ind w:firstLine="420" w:firstLineChars="200"/>
        <w:rPr>
          <w:rFonts w:ascii="宋体" w:hAnsi="宋体" w:eastAsia="Calibri" w:cs="宋体"/>
          <w:color w:val="auto"/>
          <w:sz w:val="21"/>
          <w:szCs w:val="21"/>
          <w:highlight w:val="none"/>
        </w:rPr>
      </w:pPr>
      <w:r>
        <w:rPr>
          <w:rFonts w:hint="eastAsia" w:ascii="宋体" w:hAnsi="宋体" w:cs="宋体"/>
          <w:color w:val="auto"/>
          <w:sz w:val="21"/>
          <w:szCs w:val="21"/>
          <w:highlight w:val="none"/>
        </w:rPr>
        <w:t>招标人在收到评标报告之日起 3 日内，按照投标人须知前附表规定的公示媒介和期限公示中标候选人，公示期不得少于 3 日。</w:t>
      </w:r>
    </w:p>
    <w:p>
      <w:pPr>
        <w:pStyle w:val="34"/>
        <w:tabs>
          <w:tab w:val="left" w:pos="840"/>
        </w:tabs>
        <w:spacing w:before="0" w:beforeAutospacing="0" w:after="0" w:afterAutospacing="0" w:line="360" w:lineRule="exact"/>
        <w:ind w:firstLine="420" w:firstLineChars="200"/>
        <w:rPr>
          <w:color w:val="auto"/>
          <w:sz w:val="21"/>
          <w:szCs w:val="21"/>
          <w:highlight w:val="none"/>
        </w:rPr>
      </w:pPr>
      <w:r>
        <w:rPr>
          <w:rFonts w:hint="eastAsia"/>
          <w:color w:val="auto"/>
          <w:sz w:val="21"/>
          <w:szCs w:val="21"/>
          <w:highlight w:val="none"/>
        </w:rPr>
        <w:t>7.2 评标结果异议</w:t>
      </w:r>
    </w:p>
    <w:p>
      <w:pPr>
        <w:pStyle w:val="35"/>
        <w:tabs>
          <w:tab w:val="left" w:pos="840"/>
        </w:tabs>
        <w:spacing w:line="3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投标人或其他利害关系人对依法必须进行招标的项目的评标结果有异议的，应在中标候选人公示期间提出。招标人将在收到异议之日起3日内作出答复；作出答复前，将暂停招标投标活动。</w:t>
      </w:r>
    </w:p>
    <w:p>
      <w:pPr>
        <w:pStyle w:val="34"/>
        <w:tabs>
          <w:tab w:val="left" w:pos="840"/>
        </w:tabs>
        <w:spacing w:before="0" w:beforeAutospacing="0" w:after="0" w:afterAutospacing="0" w:line="360" w:lineRule="exact"/>
        <w:ind w:firstLine="420" w:firstLineChars="200"/>
        <w:rPr>
          <w:color w:val="auto"/>
          <w:sz w:val="21"/>
          <w:szCs w:val="21"/>
          <w:highlight w:val="none"/>
        </w:rPr>
      </w:pPr>
      <w:r>
        <w:rPr>
          <w:rFonts w:hint="eastAsia"/>
          <w:color w:val="auto"/>
          <w:sz w:val="21"/>
          <w:szCs w:val="21"/>
          <w:highlight w:val="none"/>
        </w:rPr>
        <w:t>7.3 中标候选人履约能力审查</w:t>
      </w:r>
    </w:p>
    <w:p>
      <w:pPr>
        <w:pStyle w:val="35"/>
        <w:tabs>
          <w:tab w:val="left" w:pos="840"/>
        </w:tabs>
        <w:spacing w:line="36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pStyle w:val="34"/>
        <w:tabs>
          <w:tab w:val="left" w:pos="840"/>
        </w:tabs>
        <w:spacing w:before="0" w:beforeAutospacing="0" w:after="0" w:afterAutospacing="0" w:line="360" w:lineRule="exact"/>
        <w:ind w:firstLine="420" w:firstLineChars="200"/>
        <w:rPr>
          <w:color w:val="auto"/>
          <w:sz w:val="21"/>
          <w:szCs w:val="21"/>
          <w:highlight w:val="none"/>
        </w:rPr>
      </w:pPr>
      <w:bookmarkStart w:id="327" w:name="_Toc262650846"/>
      <w:bookmarkEnd w:id="327"/>
      <w:bookmarkStart w:id="328" w:name="_Toc300838061"/>
      <w:bookmarkEnd w:id="328"/>
      <w:bookmarkStart w:id="329" w:name="_Toc282589869"/>
      <w:bookmarkEnd w:id="329"/>
      <w:bookmarkStart w:id="330" w:name="_Toc152042343"/>
      <w:bookmarkEnd w:id="330"/>
      <w:bookmarkStart w:id="331" w:name="_Toc144974535"/>
      <w:bookmarkEnd w:id="331"/>
      <w:bookmarkStart w:id="332" w:name="_Toc282589279"/>
      <w:bookmarkEnd w:id="332"/>
      <w:bookmarkStart w:id="333" w:name="_Toc152045567"/>
      <w:bookmarkEnd w:id="333"/>
      <w:bookmarkStart w:id="334" w:name="_Toc25019"/>
      <w:r>
        <w:rPr>
          <w:rFonts w:hint="eastAsia"/>
          <w:color w:val="auto"/>
          <w:sz w:val="21"/>
          <w:szCs w:val="21"/>
          <w:highlight w:val="none"/>
        </w:rPr>
        <w:t>7.4定标</w:t>
      </w:r>
      <w:bookmarkEnd w:id="334"/>
    </w:p>
    <w:p>
      <w:pPr>
        <w:tabs>
          <w:tab w:val="left" w:pos="840"/>
        </w:tabs>
        <w:spacing w:line="360" w:lineRule="exact"/>
        <w:ind w:firstLine="420" w:firstLineChars="200"/>
        <w:rPr>
          <w:rFonts w:ascii="宋体" w:hAnsi="宋体" w:cs="宋体"/>
          <w:color w:val="auto"/>
          <w:kern w:val="1"/>
          <w:highlight w:val="none"/>
        </w:rPr>
      </w:pPr>
      <w:r>
        <w:rPr>
          <w:rFonts w:hint="eastAsia" w:ascii="宋体" w:hAnsi="宋体" w:cs="宋体"/>
          <w:color w:val="auto"/>
          <w:kern w:val="1"/>
          <w:highlight w:val="none"/>
        </w:rPr>
        <w:t>按照投标人须知前附表的规定，招标人或招标人授权的评标委员会依法确定中标人。</w:t>
      </w:r>
    </w:p>
    <w:p>
      <w:pPr>
        <w:pStyle w:val="34"/>
        <w:tabs>
          <w:tab w:val="left" w:pos="840"/>
        </w:tabs>
        <w:spacing w:before="0" w:beforeAutospacing="0" w:after="0" w:afterAutospacing="0" w:line="360" w:lineRule="exact"/>
        <w:ind w:firstLine="420" w:firstLineChars="200"/>
        <w:rPr>
          <w:color w:val="auto"/>
          <w:sz w:val="21"/>
          <w:szCs w:val="21"/>
          <w:highlight w:val="none"/>
        </w:rPr>
      </w:pPr>
      <w:bookmarkStart w:id="335" w:name="_Toc300838062"/>
      <w:bookmarkEnd w:id="335"/>
      <w:bookmarkStart w:id="336" w:name="_Toc152042344"/>
      <w:bookmarkEnd w:id="336"/>
      <w:bookmarkStart w:id="337" w:name="_Toc144974536"/>
      <w:bookmarkEnd w:id="337"/>
      <w:bookmarkStart w:id="338" w:name="_Toc152045568"/>
      <w:bookmarkEnd w:id="338"/>
      <w:bookmarkStart w:id="339" w:name="_Toc262650847"/>
      <w:bookmarkEnd w:id="339"/>
      <w:bookmarkStart w:id="340" w:name="_Toc282589870"/>
      <w:bookmarkEnd w:id="340"/>
      <w:bookmarkStart w:id="341" w:name="_Toc282589280"/>
      <w:bookmarkEnd w:id="341"/>
      <w:bookmarkStart w:id="342" w:name="_Toc18001"/>
      <w:r>
        <w:rPr>
          <w:rFonts w:hint="eastAsia"/>
          <w:color w:val="auto"/>
          <w:sz w:val="21"/>
          <w:szCs w:val="21"/>
          <w:highlight w:val="none"/>
        </w:rPr>
        <w:t>7.5 中标通知</w:t>
      </w:r>
      <w:bookmarkEnd w:id="342"/>
    </w:p>
    <w:p>
      <w:pPr>
        <w:tabs>
          <w:tab w:val="left" w:pos="840"/>
        </w:tabs>
        <w:spacing w:line="360" w:lineRule="exact"/>
        <w:ind w:firstLine="420" w:firstLineChars="200"/>
        <w:rPr>
          <w:rFonts w:ascii="宋体" w:hAnsi="宋体" w:cs="宋体"/>
          <w:color w:val="auto"/>
          <w:kern w:val="1"/>
          <w:highlight w:val="none"/>
        </w:rPr>
      </w:pPr>
      <w:r>
        <w:rPr>
          <w:rFonts w:hint="eastAsia" w:ascii="宋体" w:hAnsi="宋体" w:cs="宋体"/>
          <w:color w:val="auto"/>
          <w:kern w:val="1"/>
          <w:highlight w:val="none"/>
        </w:rPr>
        <w:t>在本章第3.3款规定的投标有效期内，招标人以书面形式向中标人发出中标通知书，中标结果通知以指定网站中标结果公示的方式通知未中标的投标人。</w:t>
      </w:r>
    </w:p>
    <w:p>
      <w:pPr>
        <w:pStyle w:val="34"/>
        <w:tabs>
          <w:tab w:val="left" w:pos="840"/>
        </w:tabs>
        <w:spacing w:before="0" w:beforeAutospacing="0" w:after="0" w:afterAutospacing="0" w:line="360" w:lineRule="exact"/>
        <w:ind w:firstLine="420" w:firstLineChars="200"/>
        <w:rPr>
          <w:color w:val="auto"/>
          <w:sz w:val="21"/>
          <w:szCs w:val="21"/>
          <w:highlight w:val="none"/>
        </w:rPr>
      </w:pPr>
      <w:bookmarkStart w:id="343" w:name="_Toc152042345"/>
      <w:bookmarkEnd w:id="343"/>
      <w:bookmarkStart w:id="344" w:name="_Toc282589281"/>
      <w:bookmarkEnd w:id="344"/>
      <w:bookmarkStart w:id="345" w:name="_Toc262650848"/>
      <w:bookmarkEnd w:id="345"/>
      <w:bookmarkStart w:id="346" w:name="_Toc300838063"/>
      <w:bookmarkEnd w:id="346"/>
      <w:bookmarkStart w:id="347" w:name="_Toc152045569"/>
      <w:bookmarkEnd w:id="347"/>
      <w:bookmarkStart w:id="348" w:name="_Toc144974537"/>
      <w:bookmarkEnd w:id="348"/>
      <w:bookmarkStart w:id="349" w:name="_Toc282589871"/>
      <w:bookmarkEnd w:id="349"/>
      <w:r>
        <w:rPr>
          <w:rFonts w:hint="eastAsia"/>
          <w:color w:val="auto"/>
          <w:sz w:val="21"/>
          <w:szCs w:val="21"/>
          <w:highlight w:val="none"/>
        </w:rPr>
        <w:t>7.6 中标结果公告</w:t>
      </w:r>
    </w:p>
    <w:p>
      <w:pPr>
        <w:pStyle w:val="34"/>
        <w:tabs>
          <w:tab w:val="left" w:pos="840"/>
        </w:tabs>
        <w:spacing w:before="0" w:beforeAutospacing="0" w:after="0" w:afterAutospacing="0" w:line="360" w:lineRule="exact"/>
        <w:ind w:firstLine="420" w:firstLineChars="200"/>
        <w:rPr>
          <w:color w:val="auto"/>
          <w:sz w:val="21"/>
          <w:szCs w:val="21"/>
          <w:highlight w:val="none"/>
        </w:rPr>
      </w:pPr>
      <w:r>
        <w:rPr>
          <w:rFonts w:hint="eastAsia"/>
          <w:color w:val="auto"/>
          <w:sz w:val="21"/>
          <w:szCs w:val="21"/>
          <w:highlight w:val="none"/>
        </w:rPr>
        <w:t>招标人在确定中标人之日起 3 日内，按照投标人须知前附表规定的公告媒介和期限公告中标结果，公告期不得少于 3 日。公告内容包括中标人名称、中标价。</w:t>
      </w:r>
    </w:p>
    <w:p>
      <w:pPr>
        <w:pStyle w:val="34"/>
        <w:tabs>
          <w:tab w:val="left" w:pos="840"/>
        </w:tabs>
        <w:spacing w:before="0" w:beforeAutospacing="0" w:after="0" w:afterAutospacing="0" w:line="360" w:lineRule="exact"/>
        <w:ind w:firstLine="420" w:firstLineChars="200"/>
        <w:rPr>
          <w:color w:val="auto"/>
          <w:sz w:val="21"/>
          <w:szCs w:val="21"/>
          <w:highlight w:val="none"/>
        </w:rPr>
      </w:pPr>
      <w:bookmarkStart w:id="350" w:name="_Toc262650849"/>
      <w:bookmarkEnd w:id="350"/>
      <w:bookmarkStart w:id="351" w:name="_Toc282589872"/>
      <w:bookmarkEnd w:id="351"/>
      <w:bookmarkStart w:id="352" w:name="_Toc152042346"/>
      <w:bookmarkEnd w:id="352"/>
      <w:bookmarkStart w:id="353" w:name="_Toc300838064"/>
      <w:bookmarkEnd w:id="353"/>
      <w:bookmarkStart w:id="354" w:name="_Toc144974538"/>
      <w:bookmarkEnd w:id="354"/>
      <w:bookmarkStart w:id="355" w:name="_Toc152045570"/>
      <w:bookmarkEnd w:id="355"/>
      <w:bookmarkStart w:id="356" w:name="_Toc282589282"/>
      <w:bookmarkEnd w:id="356"/>
      <w:r>
        <w:rPr>
          <w:rFonts w:hint="eastAsia"/>
          <w:color w:val="auto"/>
          <w:sz w:val="21"/>
          <w:szCs w:val="21"/>
          <w:highlight w:val="none"/>
        </w:rPr>
        <w:t>7.7履约保证金</w:t>
      </w:r>
    </w:p>
    <w:p>
      <w:pPr>
        <w:numPr>
          <w:ilvl w:val="1"/>
          <w:numId w:val="3"/>
        </w:numPr>
        <w:tabs>
          <w:tab w:val="left" w:pos="840"/>
          <w:tab w:val="left" w:pos="1080"/>
          <w:tab w:val="clear" w:pos="1440"/>
        </w:tabs>
        <w:overflowPunct w:val="0"/>
        <w:autoSpaceDE w:val="0"/>
        <w:autoSpaceDN w:val="0"/>
        <w:spacing w:line="360" w:lineRule="exact"/>
        <w:ind w:left="0" w:firstLine="420" w:firstLineChars="200"/>
        <w:rPr>
          <w:rFonts w:ascii="宋体" w:hAnsi="宋体" w:cs="宋体"/>
          <w:color w:val="auto"/>
          <w:kern w:val="0"/>
          <w:highlight w:val="none"/>
        </w:rPr>
      </w:pPr>
      <w:r>
        <w:rPr>
          <w:rFonts w:hint="eastAsia" w:ascii="宋体" w:hAnsi="宋体" w:cs="宋体"/>
          <w:color w:val="auto"/>
          <w:kern w:val="0"/>
          <w:highlight w:val="none"/>
        </w:rPr>
        <w:t>在签订合同前，中标人应按投标人须知前附表规定的形式、金额和招标文 件第四章“合同条款及格式”规定的或事先经过招标人书面认可的履约保证金格式向招标人提交履约保证金。除投标人须知前附表另有规定外。</w:t>
      </w:r>
    </w:p>
    <w:p>
      <w:pPr>
        <w:tabs>
          <w:tab w:val="left" w:pos="840"/>
        </w:tabs>
        <w:overflowPunct w:val="0"/>
        <w:autoSpaceDE w:val="0"/>
        <w:autoSpaceDN w:val="0"/>
        <w:spacing w:line="3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采用银行保函时，应由符合投标人须知前附表规定级别的银行开具，所需的费用 由中标人承担，中标人应保证银行保函有效。</w:t>
      </w:r>
    </w:p>
    <w:p>
      <w:pPr>
        <w:numPr>
          <w:ilvl w:val="1"/>
          <w:numId w:val="3"/>
        </w:numPr>
        <w:tabs>
          <w:tab w:val="left" w:pos="840"/>
          <w:tab w:val="left" w:pos="1080"/>
          <w:tab w:val="clear" w:pos="1440"/>
        </w:tabs>
        <w:overflowPunct w:val="0"/>
        <w:autoSpaceDE w:val="0"/>
        <w:autoSpaceDN w:val="0"/>
        <w:spacing w:line="360" w:lineRule="exact"/>
        <w:ind w:left="0" w:firstLine="420" w:firstLineChars="200"/>
        <w:rPr>
          <w:rFonts w:ascii="宋体" w:hAnsi="宋体" w:cs="宋体"/>
          <w:color w:val="auto"/>
          <w:kern w:val="0"/>
          <w:highlight w:val="none"/>
        </w:rPr>
      </w:pPr>
      <w:r>
        <w:rPr>
          <w:rFonts w:hint="eastAsia" w:ascii="宋体" w:hAnsi="宋体" w:cs="宋体"/>
          <w:color w:val="auto"/>
          <w:kern w:val="0"/>
          <w:highlight w:val="none"/>
        </w:rPr>
        <w:t>中标人不能按本章第 7.7.1 项要求提交履约保证金的，视为放弃中标，其投标保证金不予退还，给招标人造成的损失超过投标保证金数额的，中标人还应对超过 部分予以赔偿。</w:t>
      </w:r>
    </w:p>
    <w:p>
      <w:pPr>
        <w:pStyle w:val="34"/>
        <w:tabs>
          <w:tab w:val="left" w:pos="840"/>
        </w:tabs>
        <w:spacing w:before="0" w:beforeAutospacing="0" w:after="0" w:afterAutospacing="0" w:line="360" w:lineRule="exact"/>
        <w:ind w:firstLine="420" w:firstLineChars="200"/>
        <w:rPr>
          <w:color w:val="auto"/>
          <w:sz w:val="21"/>
          <w:szCs w:val="21"/>
          <w:highlight w:val="none"/>
        </w:rPr>
      </w:pPr>
      <w:r>
        <w:rPr>
          <w:rFonts w:hint="eastAsia"/>
          <w:color w:val="auto"/>
          <w:sz w:val="21"/>
          <w:szCs w:val="21"/>
          <w:highlight w:val="none"/>
        </w:rPr>
        <w:t>7.8签订合同</w:t>
      </w:r>
    </w:p>
    <w:p>
      <w:pPr>
        <w:numPr>
          <w:ilvl w:val="1"/>
          <w:numId w:val="4"/>
        </w:numPr>
        <w:tabs>
          <w:tab w:val="left" w:pos="840"/>
          <w:tab w:val="left" w:pos="1080"/>
          <w:tab w:val="clear" w:pos="1440"/>
        </w:tabs>
        <w:overflowPunct w:val="0"/>
        <w:autoSpaceDE w:val="0"/>
        <w:autoSpaceDN w:val="0"/>
        <w:spacing w:line="360" w:lineRule="exact"/>
        <w:ind w:left="0" w:firstLine="420" w:firstLineChars="200"/>
        <w:rPr>
          <w:rFonts w:ascii="宋体" w:hAnsi="宋体" w:cs="宋体"/>
          <w:color w:val="auto"/>
          <w:kern w:val="0"/>
          <w:highlight w:val="none"/>
        </w:rPr>
      </w:pPr>
      <w:r>
        <w:rPr>
          <w:rFonts w:hint="eastAsia" w:ascii="宋体" w:hAnsi="宋体" w:cs="宋体"/>
          <w:color w:val="auto"/>
          <w:kern w:val="0"/>
          <w:highlight w:val="none"/>
        </w:rPr>
        <w:t>招标人和中标人应在中标通知书发出之日起 30 日内，根据招标文件和中标人的投标文件订立书面合同。中标人无正当理由拒签合同，在签订合同时向招标人提 出附加条件，或不按照招标文件要求提交履约保证金的，招标人取消其中标资格，其投标保证金不予退还；给招标人造成的损失超过投标保证金数额的，中标人还应对超 过部分予以赔偿。</w:t>
      </w:r>
    </w:p>
    <w:p>
      <w:pPr>
        <w:numPr>
          <w:ilvl w:val="1"/>
          <w:numId w:val="4"/>
        </w:numPr>
        <w:tabs>
          <w:tab w:val="left" w:pos="840"/>
          <w:tab w:val="left" w:pos="1080"/>
          <w:tab w:val="clear" w:pos="1440"/>
        </w:tabs>
        <w:overflowPunct w:val="0"/>
        <w:autoSpaceDE w:val="0"/>
        <w:autoSpaceDN w:val="0"/>
        <w:spacing w:line="360" w:lineRule="exact"/>
        <w:ind w:left="0" w:firstLine="420" w:firstLineChars="200"/>
        <w:rPr>
          <w:rFonts w:ascii="宋体" w:hAnsi="宋体" w:cs="宋体"/>
          <w:color w:val="auto"/>
          <w:kern w:val="0"/>
          <w:highlight w:val="none"/>
        </w:rPr>
      </w:pPr>
      <w:r>
        <w:rPr>
          <w:rFonts w:hint="eastAsia" w:ascii="宋体" w:hAnsi="宋体" w:cs="宋体"/>
          <w:color w:val="auto"/>
          <w:kern w:val="0"/>
          <w:highlight w:val="none"/>
        </w:rPr>
        <w:t>发出中标通知书后，招标人无正当理由拒签合同，或在签订合同时向中标人提出附加条件的，招标人向中标人退还投标保证金；给中标人造成损失的，还应赔偿损失。</w:t>
      </w:r>
    </w:p>
    <w:p>
      <w:pPr>
        <w:tabs>
          <w:tab w:val="left" w:pos="840"/>
          <w:tab w:val="left" w:pos="1080"/>
        </w:tabs>
        <w:overflowPunct w:val="0"/>
        <w:autoSpaceDE w:val="0"/>
        <w:autoSpaceDN w:val="0"/>
        <w:spacing w:line="36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7.8.3 签约合同价的确定原则如下：</w:t>
      </w:r>
    </w:p>
    <w:p>
      <w:pPr>
        <w:tabs>
          <w:tab w:val="left" w:pos="840"/>
        </w:tabs>
        <w:autoSpaceDE w:val="0"/>
        <w:autoSpaceDN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（1）按照评标办法规定对投标报价进行修正后，若修正后的最终投标报价小于开标时的投标函大写金额报价，则签订合同时以修正后的最终投标报价为准；</w:t>
      </w:r>
    </w:p>
    <w:p>
      <w:pPr>
        <w:tabs>
          <w:tab w:val="left" w:pos="640"/>
        </w:tabs>
        <w:autoSpaceDE w:val="0"/>
        <w:autoSpaceDN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（2）按照评标办法规定对投标报价进行修正后，若修正后的最终投标报价大于开标时的投标函大写金额报价，则签订合同时以开标时的投标函大写金额报价为准，同时按比例修正相应子目的单价或合价。</w:t>
      </w:r>
    </w:p>
    <w:p>
      <w:pPr>
        <w:tabs>
          <w:tab w:val="left" w:pos="840"/>
        </w:tabs>
        <w:autoSpaceDE w:val="0"/>
        <w:autoSpaceDN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7.8.4 联合体中标的，联合体各方应共同与招标人签订合同，就中标项目向招标人承担连带责任。</w:t>
      </w:r>
    </w:p>
    <w:p>
      <w:pPr>
        <w:tabs>
          <w:tab w:val="left" w:pos="840"/>
        </w:tabs>
        <w:autoSpaceDE w:val="0"/>
        <w:autoSpaceDN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7.8.5 招标人和中标人在签订合同协议书的同时，须按照本招标文件规定的格式和要求签订廉政合同及安全生产合同，明确双方在廉政建设和安全生产方面的权利和义务以及应承担的违约责任。</w:t>
      </w:r>
    </w:p>
    <w:p>
      <w:pPr>
        <w:numPr>
          <w:ilvl w:val="0"/>
          <w:numId w:val="5"/>
        </w:numPr>
        <w:tabs>
          <w:tab w:val="left" w:pos="220"/>
          <w:tab w:val="left" w:pos="640"/>
          <w:tab w:val="clear" w:pos="720"/>
        </w:tabs>
        <w:overflowPunct w:val="0"/>
        <w:autoSpaceDE w:val="0"/>
        <w:autoSpaceDN w:val="0"/>
        <w:spacing w:line="360" w:lineRule="exact"/>
        <w:ind w:left="0" w:firstLine="0"/>
        <w:rPr>
          <w:rFonts w:ascii="宋体" w:hAnsi="宋体" w:cs="宋体"/>
          <w:b/>
          <w:bCs/>
          <w:color w:val="auto"/>
          <w:kern w:val="0"/>
          <w:highlight w:val="none"/>
        </w:rPr>
      </w:pPr>
      <w:r>
        <w:rPr>
          <w:rFonts w:hint="eastAsia" w:ascii="宋体" w:hAnsi="宋体" w:cs="宋体"/>
          <w:b/>
          <w:bCs/>
          <w:color w:val="auto"/>
          <w:kern w:val="0"/>
          <w:highlight w:val="none"/>
        </w:rPr>
        <w:t>纪律和监督</w:t>
      </w:r>
    </w:p>
    <w:p>
      <w:pPr>
        <w:tabs>
          <w:tab w:val="left" w:pos="840"/>
        </w:tabs>
        <w:autoSpaceDE w:val="0"/>
        <w:autoSpaceDN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8.1 对招标人的纪律要求</w:t>
      </w:r>
    </w:p>
    <w:p>
      <w:pPr>
        <w:tabs>
          <w:tab w:val="left" w:pos="840"/>
        </w:tabs>
        <w:autoSpaceDE w:val="0"/>
        <w:autoSpaceDN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招标人不得泄露招标投标活动中应保密的情况和资料，不得与投标人串通损害国家利益、社会公共利益或他人合法权益。</w:t>
      </w:r>
    </w:p>
    <w:p>
      <w:pPr>
        <w:tabs>
          <w:tab w:val="left" w:pos="840"/>
        </w:tabs>
        <w:autoSpaceDE w:val="0"/>
        <w:autoSpaceDN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8.2 对投标人的纪律要求</w:t>
      </w:r>
    </w:p>
    <w:p>
      <w:pPr>
        <w:tabs>
          <w:tab w:val="left" w:pos="840"/>
        </w:tabs>
        <w:autoSpaceDE w:val="0"/>
        <w:autoSpaceDN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投标人不得相互串通投标或与招标人串通投标，不得向招标人或评标委员会成员 行贿谋取中标，不得以他人名义投标或以其他方式弄虚作假骗取中标；投标人不得以 任何方式干扰、影响评标工作。</w:t>
      </w:r>
    </w:p>
    <w:p>
      <w:pPr>
        <w:tabs>
          <w:tab w:val="left" w:pos="840"/>
        </w:tabs>
        <w:autoSpaceDE w:val="0"/>
        <w:autoSpaceDN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8.3 对评标委员会成员的纪律要求</w:t>
      </w:r>
    </w:p>
    <w:p>
      <w:pPr>
        <w:tabs>
          <w:tab w:val="left" w:pos="840"/>
        </w:tabs>
        <w:autoSpaceDE w:val="0"/>
        <w:autoSpaceDN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评标委员会成员不得收受他人的财物或其他好处，不得向他人透露对投标文件的 评审和比较、中标候选人的推荐情况以及评标有关的其他情况。在评标活动中，评标 委员会成员应客观、公正地履行职责，遵守职业道德，不得擅离职守，影响评标程序正常进行，不得使用第三章“评标办法”没有规定的评审因素和标准进行评标。</w:t>
      </w:r>
    </w:p>
    <w:p>
      <w:pPr>
        <w:tabs>
          <w:tab w:val="left" w:pos="840"/>
        </w:tabs>
        <w:autoSpaceDE w:val="0"/>
        <w:autoSpaceDN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8.4 对与评标活动有关的工作人员的纪律要求</w:t>
      </w:r>
    </w:p>
    <w:p>
      <w:pPr>
        <w:tabs>
          <w:tab w:val="left" w:pos="840"/>
        </w:tabs>
        <w:autoSpaceDE w:val="0"/>
        <w:autoSpaceDN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pPr>
        <w:tabs>
          <w:tab w:val="left" w:pos="840"/>
        </w:tabs>
        <w:autoSpaceDE w:val="0"/>
        <w:autoSpaceDN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8.5 投诉</w:t>
      </w:r>
    </w:p>
    <w:p>
      <w:pPr>
        <w:tabs>
          <w:tab w:val="left" w:pos="840"/>
        </w:tabs>
        <w:autoSpaceDE w:val="0"/>
        <w:autoSpaceDN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8.5.1 投标人或其他利害关系人认为招标投标活动不符合法律、行政法规规定的，可以自知道或应当知道之日起 10 日内向有关行政监督部门投诉。投诉应有明确的请求和必要的证明材料。</w:t>
      </w:r>
    </w:p>
    <w:p>
      <w:pPr>
        <w:tabs>
          <w:tab w:val="left" w:pos="840"/>
        </w:tabs>
        <w:autoSpaceDE w:val="0"/>
        <w:autoSpaceDN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监督部门的联系方式见投标人须知前附表。</w:t>
      </w:r>
    </w:p>
    <w:p>
      <w:pPr>
        <w:tabs>
          <w:tab w:val="left" w:pos="840"/>
        </w:tabs>
        <w:autoSpaceDE w:val="0"/>
        <w:autoSpaceDN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8.5.2 投标人或其他利害关系人对招标文件、开标和评标结果提出投诉的，应按照本章第 2.4 款、第 5.3 款和第 7.2 款的规定先向招标人提出异议。异议答复期间不计算在第 8.5.1 项规定的期限内。</w:t>
      </w:r>
    </w:p>
    <w:p>
      <w:pPr>
        <w:tabs>
          <w:tab w:val="left" w:pos="840"/>
        </w:tabs>
        <w:autoSpaceDE w:val="0"/>
        <w:autoSpaceDN w:val="0"/>
        <w:spacing w:line="360" w:lineRule="exact"/>
        <w:jc w:val="left"/>
        <w:rPr>
          <w:rFonts w:ascii="宋体" w:hAnsi="宋体" w:cs="宋体"/>
          <w:b/>
          <w:bCs/>
          <w:color w:val="auto"/>
          <w:kern w:val="0"/>
          <w:highlight w:val="none"/>
        </w:rPr>
      </w:pPr>
      <w:r>
        <w:rPr>
          <w:rFonts w:hint="eastAsia" w:ascii="宋体" w:hAnsi="宋体" w:cs="宋体"/>
          <w:b/>
          <w:bCs/>
          <w:color w:val="auto"/>
          <w:kern w:val="0"/>
          <w:highlight w:val="none"/>
        </w:rPr>
        <w:t>9.是否采用电子招标投标</w:t>
      </w:r>
    </w:p>
    <w:p>
      <w:pPr>
        <w:tabs>
          <w:tab w:val="left" w:pos="840"/>
        </w:tabs>
        <w:autoSpaceDE w:val="0"/>
        <w:autoSpaceDN w:val="0"/>
        <w:spacing w:line="3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本招标项目是否采用电子招标投标方式，见投标人须知前附表</w:t>
      </w:r>
    </w:p>
    <w:p>
      <w:pPr>
        <w:tabs>
          <w:tab w:val="left" w:pos="840"/>
        </w:tabs>
        <w:autoSpaceDE w:val="0"/>
        <w:autoSpaceDN w:val="0"/>
        <w:spacing w:line="360" w:lineRule="exact"/>
        <w:jc w:val="left"/>
        <w:rPr>
          <w:rFonts w:ascii="宋体" w:hAnsi="宋体" w:cs="宋体"/>
          <w:b/>
          <w:bCs/>
          <w:color w:val="auto"/>
          <w:kern w:val="0"/>
          <w:highlight w:val="none"/>
        </w:rPr>
      </w:pPr>
      <w:r>
        <w:rPr>
          <w:rFonts w:hint="eastAsia" w:ascii="宋体" w:hAnsi="宋体" w:cs="宋体"/>
          <w:b/>
          <w:bCs/>
          <w:color w:val="auto"/>
          <w:kern w:val="0"/>
          <w:highlight w:val="none"/>
        </w:rPr>
        <w:t>10.需要补充的其他内</w:t>
      </w:r>
    </w:p>
    <w:p>
      <w:pPr>
        <w:tabs>
          <w:tab w:val="left" w:pos="840"/>
          <w:tab w:val="left" w:pos="1022"/>
        </w:tabs>
        <w:overflowPunct w:val="0"/>
        <w:autoSpaceDE w:val="0"/>
        <w:autoSpaceDN w:val="0"/>
        <w:spacing w:line="360" w:lineRule="exact"/>
        <w:ind w:left="420"/>
        <w:rPr>
          <w:rFonts w:ascii="宋体" w:hAnsi="宋体" w:cs="宋体"/>
          <w:color w:val="auto"/>
          <w:kern w:val="0"/>
          <w:highlight w:val="none"/>
        </w:rPr>
      </w:pPr>
      <w:r>
        <w:rPr>
          <w:rFonts w:hint="eastAsia" w:ascii="宋体" w:hAnsi="宋体" w:cs="宋体"/>
          <w:color w:val="auto"/>
          <w:kern w:val="0"/>
          <w:highlight w:val="none"/>
        </w:rPr>
        <w:t>需要补充的其他内容：见投标人须知前附表。</w:t>
      </w:r>
    </w:p>
    <w:p>
      <w:pPr>
        <w:tabs>
          <w:tab w:val="left" w:pos="840"/>
        </w:tabs>
        <w:autoSpaceDE w:val="0"/>
        <w:autoSpaceDN w:val="0"/>
        <w:spacing w:line="360" w:lineRule="auto"/>
        <w:ind w:firstLine="420" w:firstLineChars="200"/>
        <w:jc w:val="left"/>
        <w:rPr>
          <w:rFonts w:ascii="宋体" w:hAnsi="宋体" w:cs="宋体"/>
          <w:color w:val="auto"/>
          <w:kern w:val="0"/>
          <w:highlight w:val="none"/>
        </w:rPr>
      </w:pPr>
    </w:p>
    <w:p>
      <w:pPr>
        <w:tabs>
          <w:tab w:val="left" w:pos="840"/>
        </w:tabs>
        <w:autoSpaceDE w:val="0"/>
        <w:autoSpaceDN w:val="0"/>
        <w:spacing w:line="360" w:lineRule="auto"/>
        <w:ind w:firstLine="420" w:firstLineChars="200"/>
        <w:jc w:val="left"/>
        <w:rPr>
          <w:rFonts w:ascii="宋体" w:hAnsi="宋体" w:cs="宋体"/>
          <w:color w:val="auto"/>
          <w:kern w:val="0"/>
          <w:highlight w:val="none"/>
        </w:rPr>
        <w:sectPr>
          <w:pgSz w:w="11900" w:h="16841"/>
          <w:pgMar w:top="851" w:right="1400" w:bottom="579" w:left="1580" w:header="720" w:footer="720" w:gutter="0"/>
          <w:cols w:space="720" w:num="1"/>
        </w:sectPr>
      </w:pPr>
    </w:p>
    <w:p>
      <w:pPr>
        <w:pStyle w:val="4"/>
        <w:rPr>
          <w:rFonts w:ascii="宋体" w:hAnsi="宋体" w:eastAsia="宋体" w:cs="宋体"/>
          <w:color w:val="auto"/>
          <w:highlight w:val="none"/>
        </w:rPr>
      </w:pPr>
      <w:bookmarkStart w:id="357" w:name="_Toc43455577"/>
      <w:bookmarkStart w:id="358" w:name="_Toc24590"/>
      <w:bookmarkStart w:id="359" w:name="_Toc19136"/>
      <w:bookmarkStart w:id="360" w:name="_Toc6676"/>
      <w:bookmarkStart w:id="361" w:name="_Toc15723"/>
      <w:bookmarkStart w:id="362" w:name="_Toc19764"/>
      <w:bookmarkStart w:id="363" w:name="_Toc22750"/>
      <w:bookmarkStart w:id="364" w:name="_Toc23418"/>
      <w:bookmarkStart w:id="365" w:name="_Toc38297058"/>
      <w:r>
        <w:rPr>
          <w:rFonts w:hint="eastAsia" w:ascii="宋体" w:hAnsi="宋体" w:eastAsia="宋体" w:cs="宋体"/>
          <w:color w:val="auto"/>
          <w:highlight w:val="none"/>
        </w:rPr>
        <w:t>附件一：开标记录表</w:t>
      </w:r>
      <w:bookmarkEnd w:id="357"/>
      <w:bookmarkEnd w:id="358"/>
      <w:bookmarkEnd w:id="359"/>
      <w:bookmarkEnd w:id="360"/>
      <w:bookmarkEnd w:id="361"/>
      <w:bookmarkEnd w:id="362"/>
      <w:bookmarkEnd w:id="363"/>
      <w:bookmarkEnd w:id="364"/>
      <w:bookmarkEnd w:id="365"/>
    </w:p>
    <w:p>
      <w:pPr>
        <w:spacing w:line="400" w:lineRule="exact"/>
        <w:jc w:val="center"/>
        <w:rPr>
          <w:rFonts w:ascii="宋体" w:hAnsi="宋体" w:cs="宋体"/>
          <w:color w:val="auto"/>
          <w:sz w:val="28"/>
          <w:szCs w:val="28"/>
          <w:highlight w:val="none"/>
        </w:rPr>
      </w:pPr>
      <w:r>
        <w:rPr>
          <w:rFonts w:hint="eastAsia" w:ascii="宋体" w:hAnsi="宋体" w:cs="宋体"/>
          <w:color w:val="auto"/>
          <w:sz w:val="28"/>
          <w:szCs w:val="28"/>
          <w:highlight w:val="none"/>
          <w:u w:val="single"/>
        </w:rPr>
        <w:t>（项目名称）</w:t>
      </w:r>
      <w:r>
        <w:rPr>
          <w:rFonts w:hint="eastAsia" w:ascii="宋体" w:hAnsi="宋体" w:cs="宋体"/>
          <w:color w:val="auto"/>
          <w:sz w:val="28"/>
          <w:szCs w:val="28"/>
          <w:highlight w:val="none"/>
        </w:rPr>
        <w:t>开标记录表</w:t>
      </w:r>
    </w:p>
    <w:p>
      <w:pPr>
        <w:spacing w:line="500" w:lineRule="exact"/>
        <w:ind w:firstLine="3465" w:firstLineChars="1650"/>
        <w:rPr>
          <w:rFonts w:ascii="宋体" w:hAnsi="宋体" w:cs="宋体"/>
          <w:color w:val="auto"/>
          <w:highlight w:val="none"/>
        </w:rPr>
      </w:pPr>
      <w:r>
        <w:rPr>
          <w:rFonts w:hint="eastAsia" w:ascii="宋体" w:hAnsi="宋体" w:cs="宋体"/>
          <w:color w:val="auto"/>
          <w:highlight w:val="none"/>
        </w:rPr>
        <w:t>开标时间：</w:t>
      </w:r>
      <w:r>
        <w:rPr>
          <w:rFonts w:hint="eastAsia" w:ascii="宋体" w:hAnsi="宋体" w:cs="宋体"/>
          <w:color w:val="auto"/>
          <w:sz w:val="28"/>
          <w:szCs w:val="28"/>
          <w:highlight w:val="none"/>
          <w:u w:val="single"/>
        </w:rPr>
        <w:t xml:space="preserve">    </w:t>
      </w:r>
      <w:r>
        <w:rPr>
          <w:rFonts w:hint="eastAsia" w:ascii="宋体" w:hAnsi="宋体" w:cs="宋体"/>
          <w:color w:val="auto"/>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highlight w:val="none"/>
        </w:rPr>
        <w:t>日</w:t>
      </w:r>
      <w:r>
        <w:rPr>
          <w:rFonts w:hint="eastAsia" w:ascii="宋体" w:hAnsi="宋体" w:cs="宋体"/>
          <w:color w:val="auto"/>
          <w:sz w:val="28"/>
          <w:szCs w:val="28"/>
          <w:highlight w:val="none"/>
          <w:u w:val="single"/>
        </w:rPr>
        <w:t xml:space="preserve">    </w:t>
      </w:r>
      <w:r>
        <w:rPr>
          <w:rFonts w:hint="eastAsia" w:ascii="宋体" w:hAnsi="宋体" w:cs="宋体"/>
          <w:color w:val="auto"/>
          <w:highlight w:val="none"/>
        </w:rPr>
        <w:t>时</w:t>
      </w:r>
      <w:r>
        <w:rPr>
          <w:rFonts w:hint="eastAsia" w:ascii="宋体" w:hAnsi="宋体" w:cs="宋体"/>
          <w:color w:val="auto"/>
          <w:sz w:val="28"/>
          <w:szCs w:val="28"/>
          <w:highlight w:val="none"/>
          <w:u w:val="single"/>
        </w:rPr>
        <w:t xml:space="preserve">    </w:t>
      </w:r>
      <w:r>
        <w:rPr>
          <w:rFonts w:hint="eastAsia" w:ascii="宋体" w:hAnsi="宋体" w:cs="宋体"/>
          <w:color w:val="auto"/>
          <w:highlight w:val="none"/>
        </w:rPr>
        <w:t>分</w:t>
      </w:r>
    </w:p>
    <w:tbl>
      <w:tblPr>
        <w:tblStyle w:val="19"/>
        <w:tblW w:w="9135" w:type="dxa"/>
        <w:jc w:val="center"/>
        <w:tblLayout w:type="fixed"/>
        <w:tblCellMar>
          <w:top w:w="0" w:type="dxa"/>
          <w:left w:w="108" w:type="dxa"/>
          <w:bottom w:w="0" w:type="dxa"/>
          <w:right w:w="108" w:type="dxa"/>
        </w:tblCellMar>
      </w:tblPr>
      <w:tblGrid>
        <w:gridCol w:w="817"/>
        <w:gridCol w:w="1276"/>
        <w:gridCol w:w="1276"/>
        <w:gridCol w:w="1259"/>
        <w:gridCol w:w="1020"/>
        <w:gridCol w:w="1433"/>
        <w:gridCol w:w="898"/>
        <w:gridCol w:w="1156"/>
      </w:tblGrid>
      <w:tr>
        <w:tblPrEx>
          <w:tblCellMar>
            <w:top w:w="0" w:type="dxa"/>
            <w:left w:w="108" w:type="dxa"/>
            <w:bottom w:w="0" w:type="dxa"/>
            <w:right w:w="108" w:type="dxa"/>
          </w:tblCellMar>
        </w:tblPrEx>
        <w:trPr>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highlight w:val="none"/>
              </w:rPr>
            </w:pPr>
            <w:r>
              <w:rPr>
                <w:rFonts w:hint="eastAsia" w:ascii="宋体" w:hAnsi="宋体" w:cs="宋体"/>
                <w:color w:val="auto"/>
                <w:highlight w:val="none"/>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highlight w:val="none"/>
              </w:rPr>
            </w:pPr>
            <w:r>
              <w:rPr>
                <w:rFonts w:hint="eastAsia" w:ascii="宋体" w:hAnsi="宋体" w:cs="宋体"/>
                <w:color w:val="auto"/>
                <w:highlight w:val="none"/>
              </w:rPr>
              <w:t>投标人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auto"/>
                <w:highlight w:val="none"/>
              </w:rPr>
            </w:pPr>
            <w:r>
              <w:rPr>
                <w:rFonts w:hint="eastAsia" w:ascii="宋体" w:hAnsi="宋体" w:cs="宋体"/>
                <w:color w:val="auto"/>
                <w:kern w:val="0"/>
                <w:sz w:val="20"/>
                <w:szCs w:val="20"/>
                <w:highlight w:val="none"/>
              </w:rPr>
              <w:t>投标保证金缴纳情况</w:t>
            </w:r>
          </w:p>
        </w:tc>
        <w:tc>
          <w:tcPr>
            <w:tcW w:w="125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color w:val="auto"/>
                <w:highlight w:val="none"/>
              </w:rPr>
            </w:pPr>
            <w:r>
              <w:rPr>
                <w:rFonts w:hint="eastAsia" w:ascii="宋体" w:hAnsi="宋体" w:cs="宋体"/>
                <w:color w:val="auto"/>
                <w:kern w:val="0"/>
                <w:sz w:val="20"/>
                <w:szCs w:val="20"/>
                <w:highlight w:val="none"/>
              </w:rPr>
              <w:t>密封情况</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highlight w:val="none"/>
              </w:rPr>
            </w:pPr>
            <w:r>
              <w:rPr>
                <w:rFonts w:hint="eastAsia" w:ascii="宋体" w:hAnsi="宋体" w:cs="宋体"/>
                <w:color w:val="auto"/>
                <w:highlight w:val="none"/>
              </w:rPr>
              <w:t>服务期限</w:t>
            </w:r>
          </w:p>
        </w:tc>
        <w:tc>
          <w:tcPr>
            <w:tcW w:w="143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highlight w:val="none"/>
              </w:rPr>
            </w:pPr>
            <w:r>
              <w:rPr>
                <w:rFonts w:hint="eastAsia" w:ascii="宋体" w:hAnsi="宋体" w:cs="宋体"/>
                <w:color w:val="auto"/>
                <w:highlight w:val="none"/>
              </w:rPr>
              <w:t>投标总报价（元）</w:t>
            </w:r>
          </w:p>
        </w:tc>
        <w:tc>
          <w:tcPr>
            <w:tcW w:w="8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highlight w:val="none"/>
              </w:rPr>
            </w:pPr>
            <w:r>
              <w:rPr>
                <w:rFonts w:hint="eastAsia" w:ascii="宋体" w:hAnsi="宋体" w:cs="宋体"/>
                <w:color w:val="auto"/>
                <w:highlight w:val="none"/>
              </w:rPr>
              <w:t>备注</w:t>
            </w:r>
          </w:p>
        </w:tc>
        <w:tc>
          <w:tcPr>
            <w:tcW w:w="115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auto"/>
                <w:highlight w:val="none"/>
              </w:rPr>
            </w:pPr>
            <w:r>
              <w:rPr>
                <w:rFonts w:hint="eastAsia" w:ascii="宋体" w:hAnsi="宋体" w:cs="宋体"/>
                <w:color w:val="auto"/>
                <w:highlight w:val="none"/>
              </w:rPr>
              <w:t>投标人代表签名</w:t>
            </w:r>
          </w:p>
        </w:tc>
      </w:tr>
      <w:tr>
        <w:tblPrEx>
          <w:tblCellMar>
            <w:top w:w="0" w:type="dxa"/>
            <w:left w:w="108" w:type="dxa"/>
            <w:bottom w:w="0" w:type="dxa"/>
            <w:right w:w="108" w:type="dxa"/>
          </w:tblCellMar>
        </w:tblPrEx>
        <w:trPr>
          <w:trHeight w:val="23" w:hRule="atLeast"/>
          <w:jc w:val="center"/>
        </w:trPr>
        <w:tc>
          <w:tcPr>
            <w:tcW w:w="817"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color w:val="auto"/>
                <w:highlight w:val="none"/>
              </w:rPr>
            </w:pPr>
          </w:p>
        </w:tc>
        <w:tc>
          <w:tcPr>
            <w:tcW w:w="1259"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color w:val="auto"/>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color w:val="auto"/>
                <w:highlight w:val="none"/>
              </w:rPr>
            </w:pPr>
          </w:p>
        </w:tc>
        <w:tc>
          <w:tcPr>
            <w:tcW w:w="1433"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color w:val="auto"/>
                <w:highlight w:val="none"/>
              </w:rPr>
            </w:pPr>
          </w:p>
        </w:tc>
        <w:tc>
          <w:tcPr>
            <w:tcW w:w="898"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color w:val="auto"/>
                <w:highlight w:val="none"/>
              </w:rPr>
            </w:pPr>
          </w:p>
        </w:tc>
        <w:tc>
          <w:tcPr>
            <w:tcW w:w="1156"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color w:val="auto"/>
                <w:highlight w:val="none"/>
              </w:rPr>
            </w:pPr>
          </w:p>
        </w:tc>
      </w:tr>
      <w:tr>
        <w:tblPrEx>
          <w:tblCellMar>
            <w:top w:w="0" w:type="dxa"/>
            <w:left w:w="108" w:type="dxa"/>
            <w:bottom w:w="0" w:type="dxa"/>
            <w:right w:w="108" w:type="dxa"/>
          </w:tblCellMar>
        </w:tblPrEx>
        <w:trPr>
          <w:trHeight w:val="23" w:hRule="atLeast"/>
          <w:jc w:val="center"/>
        </w:trPr>
        <w:tc>
          <w:tcPr>
            <w:tcW w:w="817"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color w:val="auto"/>
                <w:highlight w:val="none"/>
              </w:rPr>
            </w:pPr>
          </w:p>
        </w:tc>
        <w:tc>
          <w:tcPr>
            <w:tcW w:w="1259"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color w:val="auto"/>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color w:val="auto"/>
                <w:highlight w:val="none"/>
              </w:rPr>
            </w:pPr>
          </w:p>
        </w:tc>
        <w:tc>
          <w:tcPr>
            <w:tcW w:w="1433"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color w:val="auto"/>
                <w:highlight w:val="none"/>
              </w:rPr>
            </w:pPr>
          </w:p>
        </w:tc>
        <w:tc>
          <w:tcPr>
            <w:tcW w:w="898"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color w:val="auto"/>
                <w:highlight w:val="none"/>
              </w:rPr>
            </w:pPr>
          </w:p>
        </w:tc>
        <w:tc>
          <w:tcPr>
            <w:tcW w:w="1156"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color w:val="auto"/>
                <w:highlight w:val="none"/>
              </w:rPr>
            </w:pPr>
          </w:p>
        </w:tc>
      </w:tr>
      <w:tr>
        <w:tblPrEx>
          <w:tblCellMar>
            <w:top w:w="0" w:type="dxa"/>
            <w:left w:w="108" w:type="dxa"/>
            <w:bottom w:w="0" w:type="dxa"/>
            <w:right w:w="108" w:type="dxa"/>
          </w:tblCellMar>
        </w:tblPrEx>
        <w:trPr>
          <w:trHeight w:val="23" w:hRule="atLeast"/>
          <w:jc w:val="center"/>
        </w:trPr>
        <w:tc>
          <w:tcPr>
            <w:tcW w:w="817"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color w:val="auto"/>
                <w:highlight w:val="none"/>
              </w:rPr>
            </w:pPr>
          </w:p>
        </w:tc>
        <w:tc>
          <w:tcPr>
            <w:tcW w:w="1259"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color w:val="auto"/>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color w:val="auto"/>
                <w:highlight w:val="none"/>
              </w:rPr>
            </w:pPr>
          </w:p>
        </w:tc>
        <w:tc>
          <w:tcPr>
            <w:tcW w:w="1433"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color w:val="auto"/>
                <w:highlight w:val="none"/>
              </w:rPr>
            </w:pPr>
          </w:p>
        </w:tc>
        <w:tc>
          <w:tcPr>
            <w:tcW w:w="898"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color w:val="auto"/>
                <w:highlight w:val="none"/>
              </w:rPr>
            </w:pPr>
          </w:p>
        </w:tc>
        <w:tc>
          <w:tcPr>
            <w:tcW w:w="1156"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color w:val="auto"/>
                <w:highlight w:val="none"/>
              </w:rPr>
            </w:pPr>
          </w:p>
        </w:tc>
      </w:tr>
      <w:tr>
        <w:tblPrEx>
          <w:tblCellMar>
            <w:top w:w="0" w:type="dxa"/>
            <w:left w:w="108" w:type="dxa"/>
            <w:bottom w:w="0" w:type="dxa"/>
            <w:right w:w="108" w:type="dxa"/>
          </w:tblCellMar>
        </w:tblPrEx>
        <w:trPr>
          <w:trHeight w:val="23" w:hRule="atLeast"/>
          <w:jc w:val="center"/>
        </w:trPr>
        <w:tc>
          <w:tcPr>
            <w:tcW w:w="817"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color w:val="auto"/>
                <w:highlight w:val="none"/>
              </w:rPr>
            </w:pPr>
          </w:p>
        </w:tc>
        <w:tc>
          <w:tcPr>
            <w:tcW w:w="1259"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color w:val="auto"/>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color w:val="auto"/>
                <w:highlight w:val="none"/>
              </w:rPr>
            </w:pPr>
          </w:p>
        </w:tc>
        <w:tc>
          <w:tcPr>
            <w:tcW w:w="1433"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color w:val="auto"/>
                <w:highlight w:val="none"/>
              </w:rPr>
            </w:pPr>
          </w:p>
        </w:tc>
        <w:tc>
          <w:tcPr>
            <w:tcW w:w="898"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color w:val="auto"/>
                <w:highlight w:val="none"/>
              </w:rPr>
            </w:pPr>
          </w:p>
        </w:tc>
        <w:tc>
          <w:tcPr>
            <w:tcW w:w="1156"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color w:val="auto"/>
                <w:highlight w:val="none"/>
              </w:rPr>
            </w:pPr>
          </w:p>
        </w:tc>
      </w:tr>
      <w:tr>
        <w:tblPrEx>
          <w:tblCellMar>
            <w:top w:w="0" w:type="dxa"/>
            <w:left w:w="108" w:type="dxa"/>
            <w:bottom w:w="0" w:type="dxa"/>
            <w:right w:w="108" w:type="dxa"/>
          </w:tblCellMar>
        </w:tblPrEx>
        <w:trPr>
          <w:trHeight w:val="23" w:hRule="atLeast"/>
          <w:jc w:val="center"/>
        </w:trPr>
        <w:tc>
          <w:tcPr>
            <w:tcW w:w="817"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color w:val="auto"/>
                <w:highlight w:val="none"/>
              </w:rPr>
            </w:pPr>
          </w:p>
        </w:tc>
        <w:tc>
          <w:tcPr>
            <w:tcW w:w="1259"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color w:val="auto"/>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color w:val="auto"/>
                <w:highlight w:val="none"/>
              </w:rPr>
            </w:pPr>
          </w:p>
        </w:tc>
        <w:tc>
          <w:tcPr>
            <w:tcW w:w="1433"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color w:val="auto"/>
                <w:highlight w:val="none"/>
              </w:rPr>
            </w:pPr>
          </w:p>
        </w:tc>
        <w:tc>
          <w:tcPr>
            <w:tcW w:w="898"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color w:val="auto"/>
                <w:highlight w:val="none"/>
              </w:rPr>
            </w:pPr>
          </w:p>
        </w:tc>
        <w:tc>
          <w:tcPr>
            <w:tcW w:w="1156"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color w:val="auto"/>
                <w:highlight w:val="none"/>
              </w:rPr>
            </w:pPr>
          </w:p>
        </w:tc>
      </w:tr>
      <w:tr>
        <w:tblPrEx>
          <w:tblCellMar>
            <w:top w:w="0" w:type="dxa"/>
            <w:left w:w="108" w:type="dxa"/>
            <w:bottom w:w="0" w:type="dxa"/>
            <w:right w:w="108" w:type="dxa"/>
          </w:tblCellMar>
        </w:tblPrEx>
        <w:trPr>
          <w:trHeight w:val="23" w:hRule="atLeast"/>
          <w:jc w:val="center"/>
        </w:trPr>
        <w:tc>
          <w:tcPr>
            <w:tcW w:w="817"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color w:val="auto"/>
                <w:highlight w:val="none"/>
              </w:rPr>
            </w:pPr>
          </w:p>
        </w:tc>
        <w:tc>
          <w:tcPr>
            <w:tcW w:w="1276"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color w:val="auto"/>
                <w:highlight w:val="none"/>
              </w:rPr>
            </w:pPr>
          </w:p>
        </w:tc>
        <w:tc>
          <w:tcPr>
            <w:tcW w:w="1259"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color w:val="auto"/>
                <w:highlight w:val="none"/>
              </w:rPr>
            </w:pPr>
          </w:p>
        </w:tc>
        <w:tc>
          <w:tcPr>
            <w:tcW w:w="1020"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color w:val="auto"/>
                <w:highlight w:val="none"/>
              </w:rPr>
            </w:pPr>
          </w:p>
        </w:tc>
        <w:tc>
          <w:tcPr>
            <w:tcW w:w="1433"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color w:val="auto"/>
                <w:highlight w:val="none"/>
              </w:rPr>
            </w:pPr>
          </w:p>
        </w:tc>
        <w:tc>
          <w:tcPr>
            <w:tcW w:w="898"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color w:val="auto"/>
                <w:highlight w:val="none"/>
              </w:rPr>
            </w:pPr>
          </w:p>
        </w:tc>
        <w:tc>
          <w:tcPr>
            <w:tcW w:w="1156"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color w:val="auto"/>
                <w:highlight w:val="none"/>
              </w:rPr>
            </w:pPr>
          </w:p>
        </w:tc>
      </w:tr>
      <w:tr>
        <w:tblPrEx>
          <w:tblCellMar>
            <w:top w:w="0" w:type="dxa"/>
            <w:left w:w="108" w:type="dxa"/>
            <w:bottom w:w="0" w:type="dxa"/>
            <w:right w:w="108" w:type="dxa"/>
          </w:tblCellMar>
        </w:tblPrEx>
        <w:trPr>
          <w:trHeight w:val="23" w:hRule="atLeast"/>
          <w:jc w:val="center"/>
        </w:trPr>
        <w:tc>
          <w:tcPr>
            <w:tcW w:w="5648" w:type="dxa"/>
            <w:gridSpan w:val="5"/>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color w:val="auto"/>
                <w:highlight w:val="none"/>
              </w:rPr>
            </w:pPr>
            <w:r>
              <w:rPr>
                <w:rFonts w:ascii="宋体" w:hAnsi="宋体"/>
                <w:snapToGrid w:val="0"/>
                <w:color w:val="auto"/>
                <w:kern w:val="0"/>
                <w:highlight w:val="none"/>
              </w:rPr>
              <w:t>最高限价</w:t>
            </w:r>
          </w:p>
        </w:tc>
        <w:tc>
          <w:tcPr>
            <w:tcW w:w="3487" w:type="dxa"/>
            <w:gridSpan w:val="3"/>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color w:val="auto"/>
                <w:highlight w:val="none"/>
              </w:rPr>
            </w:pPr>
          </w:p>
        </w:tc>
      </w:tr>
      <w:tr>
        <w:tblPrEx>
          <w:tblCellMar>
            <w:top w:w="0" w:type="dxa"/>
            <w:left w:w="108" w:type="dxa"/>
            <w:bottom w:w="0" w:type="dxa"/>
            <w:right w:w="108" w:type="dxa"/>
          </w:tblCellMar>
        </w:tblPrEx>
        <w:trPr>
          <w:trHeight w:val="23" w:hRule="atLeast"/>
          <w:jc w:val="center"/>
        </w:trPr>
        <w:tc>
          <w:tcPr>
            <w:tcW w:w="5648" w:type="dxa"/>
            <w:gridSpan w:val="5"/>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color w:val="auto"/>
                <w:highlight w:val="none"/>
              </w:rPr>
            </w:pPr>
            <w:r>
              <w:rPr>
                <w:rFonts w:hint="eastAsia"/>
                <w:color w:val="auto"/>
                <w:highlight w:val="none"/>
              </w:rPr>
              <w:t>异常情况</w:t>
            </w:r>
          </w:p>
        </w:tc>
        <w:tc>
          <w:tcPr>
            <w:tcW w:w="3487" w:type="dxa"/>
            <w:gridSpan w:val="3"/>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color w:val="auto"/>
                <w:highlight w:val="none"/>
              </w:rPr>
            </w:pPr>
          </w:p>
        </w:tc>
      </w:tr>
    </w:tbl>
    <w:p>
      <w:pPr>
        <w:spacing w:line="440" w:lineRule="exact"/>
        <w:rPr>
          <w:rFonts w:ascii="宋体" w:hAnsi="宋体" w:cs="宋体"/>
          <w:color w:val="auto"/>
          <w:highlight w:val="none"/>
        </w:rPr>
      </w:pPr>
    </w:p>
    <w:p>
      <w:pPr>
        <w:spacing w:line="440" w:lineRule="exact"/>
        <w:rPr>
          <w:rFonts w:ascii="宋体" w:hAnsi="宋体" w:cs="宋体"/>
          <w:color w:val="auto"/>
          <w:highlight w:val="none"/>
          <w:u w:val="single"/>
        </w:rPr>
      </w:pPr>
      <w:r>
        <w:rPr>
          <w:rFonts w:hint="eastAsia" w:ascii="宋体" w:hAnsi="宋体" w:cs="宋体"/>
          <w:color w:val="auto"/>
          <w:highlight w:val="none"/>
        </w:rPr>
        <w:t>招标人代表：</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记录人：</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监督：</w:t>
      </w:r>
      <w:r>
        <w:rPr>
          <w:rFonts w:hint="eastAsia" w:ascii="宋体" w:hAnsi="宋体" w:cs="宋体"/>
          <w:color w:val="auto"/>
          <w:highlight w:val="none"/>
          <w:u w:val="single"/>
        </w:rPr>
        <w:t xml:space="preserve">                </w:t>
      </w:r>
    </w:p>
    <w:p>
      <w:pPr>
        <w:spacing w:line="440" w:lineRule="exact"/>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 xml:space="preserve">月 </w:t>
      </w:r>
      <w:r>
        <w:rPr>
          <w:rFonts w:hint="eastAsia" w:ascii="宋体" w:hAnsi="宋体" w:cs="宋体"/>
          <w:color w:val="auto"/>
          <w:highlight w:val="none"/>
          <w:u w:val="single"/>
        </w:rPr>
        <w:t xml:space="preserve">      </w:t>
      </w:r>
      <w:r>
        <w:rPr>
          <w:rFonts w:hint="eastAsia" w:ascii="宋体" w:hAnsi="宋体" w:cs="宋体"/>
          <w:color w:val="auto"/>
          <w:highlight w:val="none"/>
        </w:rPr>
        <w:t>日</w:t>
      </w:r>
    </w:p>
    <w:p>
      <w:pPr>
        <w:spacing w:line="440" w:lineRule="exact"/>
        <w:rPr>
          <w:rFonts w:ascii="宋体" w:hAnsi="宋体" w:cs="宋体"/>
          <w:color w:val="auto"/>
          <w:highlight w:val="none"/>
        </w:rPr>
      </w:pPr>
      <w:r>
        <w:rPr>
          <w:rFonts w:hint="eastAsia" w:ascii="宋体" w:hAnsi="宋体" w:cs="宋体"/>
          <w:color w:val="auto"/>
          <w:highlight w:val="none"/>
        </w:rPr>
        <w:br w:type="page"/>
      </w:r>
      <w:bookmarkStart w:id="366" w:name="_Toc246996968"/>
      <w:bookmarkStart w:id="367" w:name="_Toc246996225"/>
      <w:bookmarkStart w:id="368" w:name="_Toc152045582"/>
      <w:bookmarkStart w:id="369" w:name="_Toc152042359"/>
      <w:bookmarkStart w:id="370" w:name="_Toc179632600"/>
      <w:bookmarkStart w:id="371" w:name="_Toc144974549"/>
      <w:bookmarkStart w:id="372" w:name="_Toc247085740"/>
      <w:r>
        <w:rPr>
          <w:rFonts w:hint="eastAsia" w:ascii="宋体" w:hAnsi="宋体" w:cs="宋体"/>
          <w:b/>
          <w:bCs/>
          <w:color w:val="auto"/>
          <w:sz w:val="32"/>
          <w:szCs w:val="32"/>
          <w:highlight w:val="none"/>
        </w:rPr>
        <w:t>附件二：问题澄清通知</w:t>
      </w:r>
      <w:bookmarkEnd w:id="366"/>
      <w:bookmarkEnd w:id="367"/>
      <w:bookmarkEnd w:id="368"/>
      <w:bookmarkEnd w:id="369"/>
      <w:bookmarkEnd w:id="370"/>
      <w:bookmarkEnd w:id="371"/>
      <w:bookmarkEnd w:id="372"/>
    </w:p>
    <w:p>
      <w:pPr>
        <w:spacing w:line="440" w:lineRule="exact"/>
        <w:jc w:val="center"/>
        <w:rPr>
          <w:rFonts w:ascii="宋体" w:hAnsi="宋体" w:cs="宋体"/>
          <w:color w:val="auto"/>
          <w:highlight w:val="none"/>
        </w:rPr>
      </w:pPr>
    </w:p>
    <w:p>
      <w:pPr>
        <w:spacing w:line="44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问题澄清通知</w:t>
      </w:r>
    </w:p>
    <w:p>
      <w:pPr>
        <w:spacing w:line="440" w:lineRule="exact"/>
        <w:rPr>
          <w:rFonts w:ascii="宋体" w:hAnsi="宋体" w:cs="宋体"/>
          <w:color w:val="auto"/>
          <w:highlight w:val="none"/>
        </w:rPr>
      </w:pPr>
      <w:r>
        <w:rPr>
          <w:rFonts w:hint="eastAsia" w:ascii="宋体" w:hAnsi="宋体" w:cs="宋体"/>
          <w:color w:val="auto"/>
          <w:highlight w:val="none"/>
        </w:rPr>
        <w:t xml:space="preserve">                                （编号：</w:t>
      </w:r>
      <w:r>
        <w:rPr>
          <w:rFonts w:hint="eastAsia" w:ascii="宋体" w:hAnsi="宋体" w:cs="宋体"/>
          <w:color w:val="auto"/>
          <w:highlight w:val="none"/>
          <w:u w:val="single"/>
        </w:rPr>
        <w:t>　　　　　　　</w:t>
      </w:r>
      <w:r>
        <w:rPr>
          <w:rFonts w:hint="eastAsia" w:ascii="宋体" w:hAnsi="宋体" w:cs="宋体"/>
          <w:color w:val="auto"/>
          <w:highlight w:val="none"/>
        </w:rPr>
        <w:t>）</w:t>
      </w:r>
    </w:p>
    <w:p>
      <w:pPr>
        <w:spacing w:line="440" w:lineRule="exact"/>
        <w:rPr>
          <w:rFonts w:ascii="宋体" w:hAnsi="宋体" w:cs="宋体"/>
          <w:color w:val="auto"/>
          <w:highlight w:val="none"/>
        </w:rPr>
      </w:pPr>
    </w:p>
    <w:p>
      <w:pPr>
        <w:spacing w:line="440" w:lineRule="exact"/>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（投标人名称）：</w:t>
      </w:r>
    </w:p>
    <w:p>
      <w:pPr>
        <w:spacing w:line="440" w:lineRule="exact"/>
        <w:rPr>
          <w:rFonts w:ascii="宋体" w:hAnsi="宋体" w:cs="宋体"/>
          <w:color w:val="auto"/>
          <w:highlight w:val="none"/>
        </w:rPr>
      </w:pPr>
    </w:p>
    <w:p>
      <w:pPr>
        <w:spacing w:line="440" w:lineRule="exact"/>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rPr>
        <w:tab/>
      </w:r>
      <w:r>
        <w:rPr>
          <w:rFonts w:hint="eastAsia" w:ascii="宋体" w:hAnsi="宋体" w:cs="宋体"/>
          <w:color w:val="auto"/>
          <w:highlight w:val="none"/>
        </w:rPr>
        <w:t>（项目名称）招标的评标委员会，对你方的投标文件进行了仔细的审查，现需你方对下列问题予以澄清：　　</w:t>
      </w:r>
    </w:p>
    <w:p>
      <w:pPr>
        <w:spacing w:line="440" w:lineRule="exact"/>
        <w:rPr>
          <w:rFonts w:ascii="宋体" w:hAnsi="宋体" w:cs="宋体"/>
          <w:color w:val="auto"/>
          <w:highlight w:val="none"/>
        </w:rPr>
      </w:pPr>
      <w:r>
        <w:rPr>
          <w:rFonts w:hint="eastAsia" w:ascii="宋体" w:hAnsi="宋体" w:cs="宋体"/>
          <w:color w:val="auto"/>
          <w:highlight w:val="none"/>
        </w:rPr>
        <w:t xml:space="preserve">    1.</w:t>
      </w:r>
    </w:p>
    <w:p>
      <w:pPr>
        <w:spacing w:line="440" w:lineRule="exact"/>
        <w:rPr>
          <w:rFonts w:ascii="宋体" w:hAnsi="宋体" w:cs="宋体"/>
          <w:color w:val="auto"/>
          <w:highlight w:val="none"/>
        </w:rPr>
      </w:pPr>
      <w:r>
        <w:rPr>
          <w:rFonts w:hint="eastAsia" w:ascii="宋体" w:hAnsi="宋体" w:cs="宋体"/>
          <w:color w:val="auto"/>
          <w:highlight w:val="none"/>
        </w:rPr>
        <w:t xml:space="preserve">    2.</w:t>
      </w:r>
    </w:p>
    <w:p>
      <w:pPr>
        <w:spacing w:line="440" w:lineRule="exact"/>
        <w:rPr>
          <w:rFonts w:ascii="宋体" w:hAnsi="宋体" w:cs="宋体"/>
          <w:color w:val="auto"/>
          <w:highlight w:val="none"/>
        </w:rPr>
      </w:pPr>
      <w:r>
        <w:rPr>
          <w:rFonts w:hint="eastAsia" w:ascii="宋体" w:hAnsi="宋体" w:cs="宋体"/>
          <w:color w:val="auto"/>
          <w:highlight w:val="none"/>
        </w:rPr>
        <w:t xml:space="preserve">     ......   </w:t>
      </w:r>
    </w:p>
    <w:p>
      <w:pPr>
        <w:spacing w:line="440" w:lineRule="exact"/>
        <w:rPr>
          <w:rFonts w:ascii="宋体" w:hAnsi="宋体" w:cs="宋体"/>
          <w:color w:val="auto"/>
          <w:highlight w:val="none"/>
        </w:rPr>
      </w:pPr>
      <w:r>
        <w:rPr>
          <w:rFonts w:hint="eastAsia" w:ascii="宋体" w:hAnsi="宋体" w:cs="宋体"/>
          <w:color w:val="auto"/>
          <w:highlight w:val="none"/>
        </w:rPr>
        <w:t>　　　</w:t>
      </w:r>
    </w:p>
    <w:p>
      <w:pPr>
        <w:spacing w:line="440" w:lineRule="exact"/>
        <w:rPr>
          <w:rFonts w:ascii="宋体" w:hAnsi="宋体" w:cs="宋体"/>
          <w:color w:val="auto"/>
          <w:highlight w:val="none"/>
        </w:rPr>
      </w:pPr>
      <w:r>
        <w:rPr>
          <w:rFonts w:hint="eastAsia" w:ascii="宋体" w:hAnsi="宋体" w:cs="宋体"/>
          <w:color w:val="auto"/>
          <w:highlight w:val="none"/>
        </w:rPr>
        <w:t>　　请将上述问题的澄清或说明于</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r>
        <w:rPr>
          <w:rFonts w:hint="eastAsia" w:ascii="宋体" w:hAnsi="宋体" w:cs="宋体"/>
          <w:color w:val="auto"/>
          <w:highlight w:val="none"/>
          <w:u w:val="single"/>
        </w:rPr>
        <w:t xml:space="preserve">     </w:t>
      </w:r>
      <w:r>
        <w:rPr>
          <w:rFonts w:hint="eastAsia" w:ascii="宋体" w:hAnsi="宋体" w:cs="宋体"/>
          <w:color w:val="auto"/>
          <w:highlight w:val="none"/>
        </w:rPr>
        <w:t>时</w:t>
      </w:r>
      <w:r>
        <w:rPr>
          <w:rFonts w:hint="eastAsia" w:ascii="宋体" w:hAnsi="宋体" w:cs="宋体"/>
          <w:color w:val="auto"/>
          <w:highlight w:val="none"/>
          <w:u w:val="single"/>
        </w:rPr>
        <w:t>　　</w:t>
      </w:r>
      <w:r>
        <w:rPr>
          <w:rFonts w:hint="eastAsia" w:ascii="宋体" w:hAnsi="宋体" w:cs="宋体"/>
          <w:color w:val="auto"/>
          <w:highlight w:val="none"/>
        </w:rPr>
        <w:t>分前递交至</w:t>
      </w:r>
      <w:r>
        <w:rPr>
          <w:rFonts w:hint="eastAsia" w:ascii="宋体" w:hAnsi="宋体" w:cs="宋体"/>
          <w:color w:val="auto"/>
          <w:highlight w:val="none"/>
          <w:u w:val="single"/>
        </w:rPr>
        <w:t xml:space="preserve">         </w:t>
      </w:r>
      <w:r>
        <w:rPr>
          <w:rFonts w:hint="eastAsia" w:ascii="宋体" w:hAnsi="宋体" w:cs="宋体"/>
          <w:color w:val="auto"/>
          <w:highlight w:val="none"/>
        </w:rPr>
        <w:t>（详细地址）或传真至</w:t>
      </w:r>
      <w:r>
        <w:rPr>
          <w:rFonts w:hint="eastAsia" w:ascii="宋体" w:hAnsi="宋体" w:cs="宋体"/>
          <w:color w:val="auto"/>
          <w:highlight w:val="none"/>
          <w:u w:val="single"/>
        </w:rPr>
        <w:t xml:space="preserve">         </w:t>
      </w:r>
      <w:r>
        <w:rPr>
          <w:rFonts w:hint="eastAsia" w:ascii="宋体" w:hAnsi="宋体" w:cs="宋体"/>
          <w:color w:val="auto"/>
          <w:highlight w:val="none"/>
        </w:rPr>
        <w:t>（传真号码）或通过下载招标文件的电子招标交易平台上传。采用传真方式的，应在</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r>
        <w:rPr>
          <w:rFonts w:hint="eastAsia" w:ascii="宋体" w:hAnsi="宋体" w:cs="宋体"/>
          <w:color w:val="auto"/>
          <w:highlight w:val="none"/>
          <w:u w:val="single"/>
        </w:rPr>
        <w:t xml:space="preserve">     </w:t>
      </w:r>
      <w:r>
        <w:rPr>
          <w:rFonts w:hint="eastAsia" w:ascii="宋体" w:hAnsi="宋体" w:cs="宋体"/>
          <w:color w:val="auto"/>
          <w:highlight w:val="none"/>
        </w:rPr>
        <w:t>时</w:t>
      </w:r>
      <w:r>
        <w:rPr>
          <w:rFonts w:hint="eastAsia" w:ascii="宋体" w:hAnsi="宋体" w:cs="宋体"/>
          <w:color w:val="auto"/>
          <w:highlight w:val="none"/>
          <w:u w:val="single"/>
        </w:rPr>
        <w:t>　　</w:t>
      </w:r>
      <w:r>
        <w:rPr>
          <w:rFonts w:hint="eastAsia" w:ascii="宋体" w:hAnsi="宋体" w:cs="宋体"/>
          <w:color w:val="auto"/>
          <w:highlight w:val="none"/>
        </w:rPr>
        <w:t>分前将原件递交至</w:t>
      </w:r>
      <w:r>
        <w:rPr>
          <w:rFonts w:hint="eastAsia" w:ascii="宋体" w:hAnsi="宋体" w:cs="宋体"/>
          <w:color w:val="auto"/>
          <w:highlight w:val="none"/>
          <w:u w:val="single"/>
        </w:rPr>
        <w:t xml:space="preserve">         </w:t>
      </w:r>
      <w:r>
        <w:rPr>
          <w:rFonts w:hint="eastAsia" w:ascii="宋体" w:hAnsi="宋体" w:cs="宋体"/>
          <w:color w:val="auto"/>
          <w:highlight w:val="none"/>
        </w:rPr>
        <w:t>（详细地址）。</w:t>
      </w:r>
    </w:p>
    <w:p>
      <w:pPr>
        <w:spacing w:line="440" w:lineRule="exact"/>
        <w:rPr>
          <w:rFonts w:ascii="宋体" w:hAnsi="宋体" w:cs="宋体"/>
          <w:color w:val="auto"/>
          <w:highlight w:val="none"/>
        </w:rPr>
      </w:pPr>
    </w:p>
    <w:p>
      <w:pPr>
        <w:spacing w:line="440" w:lineRule="exact"/>
        <w:rPr>
          <w:rFonts w:ascii="宋体" w:hAnsi="宋体" w:cs="宋体"/>
          <w:color w:val="auto"/>
          <w:highlight w:val="none"/>
        </w:rPr>
      </w:pPr>
      <w:r>
        <w:rPr>
          <w:rFonts w:hint="eastAsia" w:ascii="宋体" w:hAnsi="宋体" w:cs="宋体"/>
          <w:color w:val="auto"/>
          <w:highlight w:val="none"/>
        </w:rPr>
        <w:t xml:space="preserve">                               </w:t>
      </w:r>
    </w:p>
    <w:p>
      <w:pPr>
        <w:spacing w:line="440" w:lineRule="exact"/>
        <w:jc w:val="right"/>
        <w:rPr>
          <w:rFonts w:ascii="宋体" w:hAnsi="宋体" w:cs="宋体"/>
          <w:color w:val="auto"/>
          <w:highlight w:val="none"/>
        </w:rPr>
      </w:pPr>
      <w:r>
        <w:rPr>
          <w:rFonts w:hint="eastAsia" w:ascii="宋体" w:hAnsi="宋体" w:cs="宋体"/>
          <w:color w:val="auto"/>
          <w:highlight w:val="none"/>
        </w:rPr>
        <w:t>评标委员会：</w:t>
      </w:r>
      <w:r>
        <w:rPr>
          <w:rFonts w:hint="eastAsia" w:ascii="宋体" w:hAnsi="宋体" w:cs="宋体"/>
          <w:color w:val="auto"/>
          <w:highlight w:val="none"/>
          <w:u w:val="single"/>
        </w:rPr>
        <w:t xml:space="preserve">          </w:t>
      </w:r>
      <w:r>
        <w:rPr>
          <w:rFonts w:hint="eastAsia" w:ascii="宋体" w:hAnsi="宋体" w:cs="宋体"/>
          <w:color w:val="auto"/>
          <w:highlight w:val="none"/>
        </w:rPr>
        <w:t>（</w:t>
      </w:r>
      <w:r>
        <w:rPr>
          <w:rFonts w:hint="eastAsia" w:ascii="宋体" w:hAnsi="宋体" w:cs="宋体"/>
          <w:color w:val="auto"/>
          <w:kern w:val="0"/>
          <w:highlight w:val="none"/>
        </w:rPr>
        <w:t>签名</w:t>
      </w:r>
      <w:r>
        <w:rPr>
          <w:rFonts w:hint="eastAsia" w:ascii="宋体" w:hAnsi="宋体" w:cs="宋体"/>
          <w:color w:val="auto"/>
          <w:highlight w:val="none"/>
        </w:rPr>
        <w:t>）</w:t>
      </w:r>
    </w:p>
    <w:p>
      <w:pPr>
        <w:spacing w:line="440" w:lineRule="exact"/>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年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月 </w:t>
      </w:r>
      <w:r>
        <w:rPr>
          <w:rFonts w:hint="eastAsia" w:ascii="宋体" w:hAnsi="宋体" w:cs="宋体"/>
          <w:color w:val="auto"/>
          <w:highlight w:val="none"/>
          <w:u w:val="single"/>
        </w:rPr>
        <w:t xml:space="preserve">        </w:t>
      </w:r>
      <w:r>
        <w:rPr>
          <w:rFonts w:hint="eastAsia" w:ascii="宋体" w:hAnsi="宋体" w:cs="宋体"/>
          <w:color w:val="auto"/>
          <w:highlight w:val="none"/>
        </w:rPr>
        <w:t>日</w:t>
      </w:r>
    </w:p>
    <w:p>
      <w:pPr>
        <w:wordWrap w:val="0"/>
        <w:autoSpaceDE w:val="0"/>
        <w:autoSpaceDN w:val="0"/>
        <w:adjustRightInd w:val="0"/>
        <w:snapToGrid w:val="0"/>
        <w:spacing w:line="360" w:lineRule="auto"/>
        <w:ind w:firstLine="850" w:firstLineChars="405"/>
        <w:jc w:val="right"/>
        <w:rPr>
          <w:rFonts w:ascii="宋体" w:hAnsi="宋体"/>
          <w:snapToGrid w:val="0"/>
          <w:color w:val="auto"/>
          <w:kern w:val="0"/>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pStyle w:val="4"/>
        <w:rPr>
          <w:rFonts w:ascii="宋体" w:hAnsi="宋体" w:eastAsia="宋体" w:cs="宋体"/>
          <w:color w:val="auto"/>
          <w:highlight w:val="none"/>
        </w:rPr>
        <w:sectPr>
          <w:headerReference r:id="rId6" w:type="default"/>
          <w:pgSz w:w="11907" w:h="16840"/>
          <w:pgMar w:top="1134" w:right="1191" w:bottom="1134" w:left="1304" w:header="964" w:footer="992" w:gutter="0"/>
          <w:cols w:space="720" w:num="1"/>
          <w:docGrid w:linePitch="312" w:charSpace="0"/>
        </w:sectPr>
      </w:pPr>
      <w:bookmarkStart w:id="373" w:name="_Toc505954125"/>
      <w:bookmarkStart w:id="374" w:name="_Toc246996969"/>
      <w:bookmarkStart w:id="375" w:name="_Toc144974550"/>
      <w:bookmarkStart w:id="376" w:name="_Toc152042360"/>
      <w:bookmarkStart w:id="377" w:name="_Toc179632601"/>
      <w:bookmarkStart w:id="378" w:name="_Toc152045583"/>
      <w:bookmarkStart w:id="379" w:name="_Toc247085741"/>
      <w:bookmarkStart w:id="380" w:name="_Toc246996226"/>
    </w:p>
    <w:p>
      <w:pPr>
        <w:pStyle w:val="4"/>
        <w:rPr>
          <w:rFonts w:ascii="宋体" w:hAnsi="宋体" w:eastAsia="宋体" w:cs="宋体"/>
          <w:color w:val="auto"/>
          <w:highlight w:val="none"/>
        </w:rPr>
      </w:pPr>
      <w:bookmarkStart w:id="381" w:name="_Toc19953"/>
      <w:bookmarkStart w:id="382" w:name="_Toc16483"/>
      <w:bookmarkStart w:id="383" w:name="_Toc2117"/>
      <w:bookmarkStart w:id="384" w:name="_Toc28465"/>
      <w:bookmarkStart w:id="385" w:name="_Toc31925"/>
      <w:bookmarkStart w:id="386" w:name="_Toc15503"/>
      <w:bookmarkStart w:id="387" w:name="_Toc13753"/>
      <w:bookmarkStart w:id="388" w:name="_Toc43455578"/>
      <w:bookmarkStart w:id="389" w:name="_Toc38297059"/>
      <w:r>
        <w:rPr>
          <w:rFonts w:hint="eastAsia" w:ascii="宋体" w:hAnsi="宋体" w:eastAsia="宋体" w:cs="宋体"/>
          <w:color w:val="auto"/>
          <w:highlight w:val="none"/>
        </w:rPr>
        <w:t>附件三：问题的澄清</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pPr>
        <w:spacing w:line="400" w:lineRule="exact"/>
        <w:jc w:val="center"/>
        <w:rPr>
          <w:rFonts w:ascii="宋体" w:hAnsi="宋体" w:cs="宋体"/>
          <w:color w:val="auto"/>
          <w:sz w:val="28"/>
          <w:szCs w:val="28"/>
          <w:highlight w:val="none"/>
        </w:rPr>
      </w:pPr>
    </w:p>
    <w:p>
      <w:pPr>
        <w:spacing w:line="40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问题的澄清</w:t>
      </w:r>
    </w:p>
    <w:p>
      <w:pPr>
        <w:spacing w:line="440" w:lineRule="exact"/>
        <w:rPr>
          <w:rFonts w:ascii="宋体" w:hAnsi="宋体" w:cs="宋体"/>
          <w:color w:val="auto"/>
          <w:highlight w:val="none"/>
        </w:rPr>
      </w:pPr>
      <w:r>
        <w:rPr>
          <w:rFonts w:hint="eastAsia" w:ascii="宋体" w:hAnsi="宋体" w:cs="宋体"/>
          <w:color w:val="auto"/>
          <w:highlight w:val="none"/>
        </w:rPr>
        <w:t xml:space="preserve">                                （编号：</w:t>
      </w:r>
      <w:r>
        <w:rPr>
          <w:rFonts w:hint="eastAsia" w:ascii="宋体" w:hAnsi="宋体" w:cs="宋体"/>
          <w:color w:val="auto"/>
          <w:highlight w:val="none"/>
          <w:u w:val="single"/>
        </w:rPr>
        <w:t>　　　　　　　</w:t>
      </w:r>
      <w:r>
        <w:rPr>
          <w:rFonts w:hint="eastAsia" w:ascii="宋体" w:hAnsi="宋体" w:cs="宋体"/>
          <w:color w:val="auto"/>
          <w:highlight w:val="none"/>
        </w:rPr>
        <w:t>）</w:t>
      </w:r>
    </w:p>
    <w:p>
      <w:pPr>
        <w:spacing w:line="400" w:lineRule="exact"/>
        <w:rPr>
          <w:rFonts w:ascii="宋体" w:hAnsi="宋体" w:cs="宋体"/>
          <w:color w:val="auto"/>
          <w:highlight w:val="none"/>
        </w:rPr>
      </w:pPr>
    </w:p>
    <w:p>
      <w:pPr>
        <w:spacing w:line="440" w:lineRule="exact"/>
        <w:rPr>
          <w:rFonts w:ascii="宋体" w:hAnsi="宋体" w:cs="宋体"/>
          <w:color w:val="auto"/>
          <w:highlight w:val="none"/>
        </w:rPr>
      </w:pPr>
      <w:r>
        <w:rPr>
          <w:rFonts w:hint="eastAsia" w:ascii="宋体" w:hAnsi="宋体" w:cs="宋体"/>
          <w:color w:val="auto"/>
          <w:highlight w:val="none"/>
        </w:rPr>
        <w:t xml:space="preserve">  （项目名称）   招标评标委员会：</w:t>
      </w:r>
    </w:p>
    <w:p>
      <w:pPr>
        <w:spacing w:line="440" w:lineRule="exact"/>
        <w:rPr>
          <w:rFonts w:ascii="宋体" w:hAnsi="宋体" w:cs="宋体"/>
          <w:color w:val="auto"/>
          <w:highlight w:val="none"/>
        </w:rPr>
      </w:pPr>
      <w:r>
        <w:rPr>
          <w:rFonts w:hint="eastAsia" w:ascii="宋体" w:hAnsi="宋体" w:cs="宋体"/>
          <w:color w:val="auto"/>
          <w:highlight w:val="none"/>
        </w:rPr>
        <w:t xml:space="preserve">问题澄清通知（编号：          </w:t>
      </w:r>
      <w:r>
        <w:rPr>
          <w:rFonts w:hint="eastAsia" w:ascii="宋体" w:hAnsi="宋体" w:cs="宋体"/>
          <w:color w:val="auto"/>
          <w:highlight w:val="none"/>
        </w:rPr>
        <w:tab/>
      </w:r>
      <w:r>
        <w:rPr>
          <w:rFonts w:hint="eastAsia" w:ascii="宋体" w:hAnsi="宋体" w:cs="宋体"/>
          <w:color w:val="auto"/>
          <w:highlight w:val="none"/>
        </w:rPr>
        <w:t xml:space="preserve">）已收悉，现澄清如下：　   </w:t>
      </w:r>
    </w:p>
    <w:p>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 xml:space="preserve">   1.</w:t>
      </w:r>
    </w:p>
    <w:p>
      <w:pPr>
        <w:spacing w:line="440" w:lineRule="exact"/>
        <w:rPr>
          <w:rFonts w:ascii="宋体" w:hAnsi="宋体" w:cs="宋体"/>
          <w:color w:val="auto"/>
          <w:highlight w:val="none"/>
        </w:rPr>
      </w:pPr>
      <w:r>
        <w:rPr>
          <w:rFonts w:hint="eastAsia" w:ascii="宋体" w:hAnsi="宋体" w:cs="宋体"/>
          <w:color w:val="auto"/>
          <w:highlight w:val="none"/>
        </w:rPr>
        <w:t>　     2.</w:t>
      </w:r>
    </w:p>
    <w:p>
      <w:pPr>
        <w:spacing w:line="440" w:lineRule="exact"/>
        <w:rPr>
          <w:rFonts w:ascii="宋体" w:hAnsi="宋体" w:cs="宋体"/>
          <w:color w:val="auto"/>
          <w:highlight w:val="none"/>
        </w:rPr>
      </w:pPr>
      <w:r>
        <w:rPr>
          <w:rFonts w:hint="eastAsia" w:ascii="宋体" w:hAnsi="宋体" w:cs="宋体"/>
          <w:color w:val="auto"/>
          <w:highlight w:val="none"/>
        </w:rPr>
        <w:t xml:space="preserve">　   </w:t>
      </w:r>
    </w:p>
    <w:p>
      <w:pPr>
        <w:spacing w:line="440" w:lineRule="exact"/>
        <w:rPr>
          <w:rFonts w:ascii="宋体" w:hAnsi="宋体" w:cs="宋体"/>
          <w:color w:val="auto"/>
          <w:highlight w:val="none"/>
        </w:rPr>
      </w:pPr>
      <w:r>
        <w:rPr>
          <w:rFonts w:hint="eastAsia" w:ascii="宋体" w:hAnsi="宋体" w:cs="宋体"/>
          <w:color w:val="auto"/>
          <w:highlight w:val="none"/>
        </w:rPr>
        <w:t>　    .....</w:t>
      </w:r>
    </w:p>
    <w:p>
      <w:pPr>
        <w:spacing w:line="440" w:lineRule="exact"/>
        <w:rPr>
          <w:rFonts w:ascii="宋体" w:hAnsi="宋体" w:cs="宋体"/>
          <w:color w:val="auto"/>
          <w:highlight w:val="none"/>
        </w:rPr>
      </w:pPr>
      <w:r>
        <w:rPr>
          <w:rFonts w:hint="eastAsia" w:ascii="宋体" w:hAnsi="宋体" w:cs="宋体"/>
          <w:color w:val="auto"/>
          <w:highlight w:val="none"/>
        </w:rPr>
        <w:t xml:space="preserve">                       </w:t>
      </w:r>
    </w:p>
    <w:p>
      <w:pPr>
        <w:spacing w:line="440" w:lineRule="exact"/>
        <w:rPr>
          <w:rFonts w:ascii="宋体" w:hAnsi="宋体" w:cs="宋体"/>
          <w:color w:val="auto"/>
          <w:highlight w:val="none"/>
        </w:rPr>
      </w:pPr>
      <w:r>
        <w:rPr>
          <w:rFonts w:hint="eastAsia" w:ascii="宋体" w:hAnsi="宋体" w:cs="宋体"/>
          <w:color w:val="auto"/>
          <w:highlight w:val="none"/>
        </w:rPr>
        <w:t>　 上述问题澄清或说明，不改变我方投标文件的实质性内容，构成我方投标文件的组成部分。</w:t>
      </w:r>
    </w:p>
    <w:p>
      <w:pPr>
        <w:spacing w:line="440" w:lineRule="exact"/>
        <w:rPr>
          <w:rFonts w:ascii="宋体" w:hAnsi="宋体" w:cs="宋体"/>
          <w:color w:val="auto"/>
          <w:highlight w:val="none"/>
        </w:rPr>
      </w:pPr>
    </w:p>
    <w:p>
      <w:pPr>
        <w:spacing w:line="440" w:lineRule="exact"/>
        <w:rPr>
          <w:rFonts w:ascii="宋体" w:hAnsi="宋体" w:cs="宋体"/>
          <w:color w:val="auto"/>
          <w:highlight w:val="none"/>
        </w:rPr>
      </w:pPr>
    </w:p>
    <w:p>
      <w:pPr>
        <w:spacing w:line="440" w:lineRule="exact"/>
        <w:rPr>
          <w:rFonts w:ascii="宋体" w:hAnsi="宋体" w:cs="宋体"/>
          <w:color w:val="auto"/>
          <w:highlight w:val="none"/>
        </w:rPr>
      </w:pPr>
    </w:p>
    <w:p>
      <w:pPr>
        <w:spacing w:line="440" w:lineRule="exact"/>
        <w:rPr>
          <w:rFonts w:ascii="宋体" w:hAnsi="宋体" w:cs="宋体"/>
          <w:color w:val="auto"/>
          <w:highlight w:val="none"/>
        </w:rPr>
      </w:pPr>
    </w:p>
    <w:p>
      <w:pPr>
        <w:spacing w:line="440" w:lineRule="exact"/>
        <w:rPr>
          <w:rFonts w:ascii="宋体" w:hAnsi="宋体" w:cs="宋体"/>
          <w:color w:val="auto"/>
          <w:highlight w:val="none"/>
        </w:rPr>
      </w:pPr>
      <w:r>
        <w:rPr>
          <w:rFonts w:hint="eastAsia" w:ascii="宋体" w:hAnsi="宋体" w:cs="宋体"/>
          <w:color w:val="auto"/>
          <w:highlight w:val="none"/>
        </w:rPr>
        <w:t>　　　　　　　　　　　　　　　投标人：</w:t>
      </w:r>
      <w:r>
        <w:rPr>
          <w:rFonts w:hint="eastAsia" w:ascii="宋体" w:hAnsi="宋体" w:cs="宋体"/>
          <w:color w:val="auto"/>
          <w:highlight w:val="none"/>
          <w:u w:val="single"/>
        </w:rPr>
        <w:t xml:space="preserve">                        </w:t>
      </w:r>
      <w:r>
        <w:rPr>
          <w:rFonts w:hint="eastAsia" w:ascii="宋体" w:hAnsi="宋体" w:cs="宋体"/>
          <w:color w:val="auto"/>
          <w:highlight w:val="none"/>
        </w:rPr>
        <w:t>（盖单位法人章）</w:t>
      </w:r>
    </w:p>
    <w:p>
      <w:pPr>
        <w:spacing w:line="440" w:lineRule="exact"/>
        <w:rPr>
          <w:rFonts w:ascii="宋体" w:hAnsi="宋体" w:cs="宋体"/>
          <w:color w:val="auto"/>
          <w:highlight w:val="none"/>
        </w:rPr>
      </w:pPr>
      <w:r>
        <w:rPr>
          <w:rFonts w:hint="eastAsia" w:ascii="宋体" w:hAnsi="宋体" w:cs="宋体"/>
          <w:color w:val="auto"/>
          <w:highlight w:val="none"/>
        </w:rPr>
        <w:t>　　　　　　　　　　　　　　  法定代表人或其委托代理人：</w:t>
      </w:r>
      <w:r>
        <w:rPr>
          <w:rFonts w:hint="eastAsia" w:ascii="宋体" w:hAnsi="宋体" w:cs="宋体"/>
          <w:color w:val="auto"/>
          <w:highlight w:val="none"/>
          <w:u w:val="single"/>
        </w:rPr>
        <w:t xml:space="preserve">          </w:t>
      </w:r>
      <w:r>
        <w:rPr>
          <w:rFonts w:hint="eastAsia" w:ascii="宋体" w:hAnsi="宋体" w:cs="宋体"/>
          <w:color w:val="auto"/>
          <w:highlight w:val="none"/>
        </w:rPr>
        <w:t>（</w:t>
      </w:r>
      <w:r>
        <w:rPr>
          <w:rFonts w:hint="eastAsia" w:ascii="宋体" w:hAnsi="宋体" w:cs="宋体"/>
          <w:color w:val="auto"/>
          <w:kern w:val="0"/>
          <w:highlight w:val="none"/>
        </w:rPr>
        <w:t>签名</w:t>
      </w:r>
      <w:r>
        <w:rPr>
          <w:rFonts w:hint="eastAsia" w:ascii="宋体" w:hAnsi="宋体" w:cs="宋体"/>
          <w:color w:val="auto"/>
          <w:highlight w:val="none"/>
        </w:rPr>
        <w:t>）</w:t>
      </w:r>
    </w:p>
    <w:p>
      <w:pPr>
        <w:spacing w:line="440" w:lineRule="exact"/>
        <w:rPr>
          <w:rFonts w:ascii="宋体" w:hAnsi="宋体" w:cs="宋体"/>
          <w:color w:val="auto"/>
          <w:highlight w:val="none"/>
        </w:rPr>
      </w:pPr>
      <w:r>
        <w:rPr>
          <w:rFonts w:hint="eastAsia" w:ascii="宋体" w:hAnsi="宋体" w:cs="宋体"/>
          <w:color w:val="auto"/>
          <w:highlight w:val="none"/>
        </w:rPr>
        <w:t>　　　　　　　　　　　　　　　</w:t>
      </w:r>
    </w:p>
    <w:p>
      <w:pPr>
        <w:spacing w:line="440" w:lineRule="exact"/>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pPr>
        <w:spacing w:line="400" w:lineRule="exact"/>
        <w:rPr>
          <w:rFonts w:ascii="宋体" w:hAnsi="宋体" w:cs="宋体"/>
          <w:color w:val="auto"/>
          <w:highlight w:val="none"/>
        </w:rPr>
      </w:pPr>
    </w:p>
    <w:p>
      <w:pPr>
        <w:spacing w:line="400" w:lineRule="exact"/>
        <w:rPr>
          <w:rFonts w:ascii="宋体" w:hAnsi="宋体" w:cs="宋体"/>
          <w:b/>
          <w:bCs/>
          <w:color w:val="auto"/>
          <w:sz w:val="32"/>
          <w:szCs w:val="32"/>
          <w:highlight w:val="none"/>
        </w:rPr>
      </w:pPr>
      <w:r>
        <w:rPr>
          <w:rFonts w:hint="eastAsia" w:ascii="宋体" w:hAnsi="宋体" w:cs="宋体"/>
          <w:color w:val="auto"/>
          <w:highlight w:val="none"/>
        </w:rPr>
        <w:br w:type="page"/>
      </w:r>
      <w:bookmarkStart w:id="390" w:name="_Toc144974551"/>
      <w:bookmarkStart w:id="391" w:name="_Toc247085742"/>
      <w:bookmarkStart w:id="392" w:name="_Toc179632602"/>
      <w:bookmarkStart w:id="393" w:name="_Toc246996227"/>
      <w:bookmarkStart w:id="394" w:name="_Toc152045584"/>
      <w:bookmarkStart w:id="395" w:name="_Toc505954126"/>
      <w:bookmarkStart w:id="396" w:name="_Toc152042361"/>
      <w:bookmarkStart w:id="397" w:name="_Toc246996970"/>
      <w:r>
        <w:rPr>
          <w:rFonts w:hint="eastAsia" w:ascii="宋体" w:hAnsi="宋体" w:cs="宋体"/>
          <w:b/>
          <w:bCs/>
          <w:color w:val="auto"/>
          <w:sz w:val="32"/>
          <w:szCs w:val="32"/>
          <w:highlight w:val="none"/>
        </w:rPr>
        <w:t>附件四：中标通知书</w:t>
      </w:r>
      <w:bookmarkEnd w:id="390"/>
      <w:bookmarkEnd w:id="391"/>
      <w:bookmarkEnd w:id="392"/>
      <w:bookmarkEnd w:id="393"/>
      <w:bookmarkEnd w:id="394"/>
      <w:bookmarkEnd w:id="395"/>
      <w:bookmarkEnd w:id="396"/>
      <w:bookmarkEnd w:id="397"/>
    </w:p>
    <w:p>
      <w:pPr>
        <w:spacing w:line="400" w:lineRule="exact"/>
        <w:rPr>
          <w:rFonts w:ascii="宋体" w:hAnsi="宋体" w:cs="宋体"/>
          <w:color w:val="auto"/>
          <w:highlight w:val="none"/>
        </w:rPr>
      </w:pPr>
    </w:p>
    <w:p>
      <w:pPr>
        <w:spacing w:line="40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中标通知书</w:t>
      </w:r>
    </w:p>
    <w:p>
      <w:pPr>
        <w:spacing w:line="400" w:lineRule="exact"/>
        <w:rPr>
          <w:rFonts w:ascii="宋体" w:hAnsi="宋体" w:cs="宋体"/>
          <w:color w:val="auto"/>
          <w:highlight w:val="none"/>
        </w:rPr>
      </w:pPr>
      <w:r>
        <w:rPr>
          <w:rFonts w:hint="eastAsia" w:ascii="宋体" w:hAnsi="宋体" w:cs="宋体"/>
          <w:color w:val="auto"/>
          <w:highlight w:val="none"/>
        </w:rPr>
        <w:t xml:space="preserve">                              </w:t>
      </w:r>
    </w:p>
    <w:p>
      <w:pPr>
        <w:spacing w:line="440" w:lineRule="exact"/>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（中标人名称）：</w:t>
      </w:r>
    </w:p>
    <w:p>
      <w:pPr>
        <w:spacing w:line="440" w:lineRule="exact"/>
        <w:rPr>
          <w:rFonts w:ascii="宋体" w:hAnsi="宋体" w:cs="宋体"/>
          <w:color w:val="auto"/>
          <w:highlight w:val="none"/>
        </w:rPr>
      </w:pPr>
    </w:p>
    <w:p>
      <w:pPr>
        <w:spacing w:line="440" w:lineRule="exact"/>
        <w:rPr>
          <w:rFonts w:ascii="宋体" w:hAnsi="宋体" w:cs="宋体"/>
          <w:color w:val="auto"/>
          <w:highlight w:val="none"/>
        </w:rPr>
      </w:pPr>
      <w:r>
        <w:rPr>
          <w:rFonts w:hint="eastAsia" w:ascii="宋体" w:hAnsi="宋体" w:cs="宋体"/>
          <w:color w:val="auto"/>
          <w:highlight w:val="none"/>
        </w:rPr>
        <w:t>　　你方于</w:t>
      </w:r>
      <w:r>
        <w:rPr>
          <w:rFonts w:hint="eastAsia" w:ascii="宋体" w:hAnsi="宋体" w:cs="宋体"/>
          <w:color w:val="auto"/>
          <w:highlight w:val="none"/>
          <w:u w:val="single"/>
        </w:rPr>
        <w:t xml:space="preserve">                   </w:t>
      </w:r>
      <w:r>
        <w:rPr>
          <w:rFonts w:hint="eastAsia" w:ascii="宋体" w:hAnsi="宋体" w:cs="宋体"/>
          <w:color w:val="auto"/>
          <w:highlight w:val="none"/>
        </w:rPr>
        <w:t>（投标日期）所递交的</w:t>
      </w:r>
      <w:r>
        <w:rPr>
          <w:rFonts w:hint="eastAsia" w:ascii="宋体" w:hAnsi="宋体" w:cs="宋体"/>
          <w:color w:val="auto"/>
          <w:highlight w:val="none"/>
          <w:u w:val="single"/>
        </w:rPr>
        <w:t xml:space="preserve">   （项目名称）    </w:t>
      </w:r>
      <w:r>
        <w:rPr>
          <w:rFonts w:hint="eastAsia" w:ascii="宋体" w:hAnsi="宋体" w:cs="宋体"/>
          <w:color w:val="auto"/>
          <w:highlight w:val="none"/>
        </w:rPr>
        <w:t>投标文件已被我方接受，被确定为中标人。</w:t>
      </w:r>
    </w:p>
    <w:p>
      <w:pPr>
        <w:spacing w:line="440" w:lineRule="exact"/>
        <w:rPr>
          <w:rFonts w:ascii="宋体" w:hAnsi="宋体" w:cs="宋体"/>
          <w:color w:val="auto"/>
          <w:highlight w:val="none"/>
        </w:rPr>
      </w:pPr>
      <w:r>
        <w:rPr>
          <w:rFonts w:hint="eastAsia" w:ascii="宋体" w:hAnsi="宋体" w:cs="宋体"/>
          <w:color w:val="auto"/>
          <w:highlight w:val="none"/>
        </w:rPr>
        <w:t>　　中标金额：</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spacing w:line="440" w:lineRule="exact"/>
        <w:rPr>
          <w:rFonts w:ascii="宋体" w:hAnsi="宋体" w:cs="宋体"/>
          <w:strike/>
          <w:color w:val="auto"/>
          <w:highlight w:val="none"/>
        </w:rPr>
      </w:pPr>
      <w:r>
        <w:rPr>
          <w:rFonts w:hint="eastAsia" w:ascii="宋体" w:hAnsi="宋体" w:cs="宋体"/>
          <w:color w:val="auto"/>
          <w:highlight w:val="none"/>
        </w:rPr>
        <w:t>　　服务期限：</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spacing w:line="440" w:lineRule="exact"/>
        <w:ind w:firstLine="420"/>
        <w:rPr>
          <w:rFonts w:ascii="宋体" w:hAnsi="宋体" w:cs="宋体"/>
          <w:color w:val="auto"/>
          <w:highlight w:val="none"/>
        </w:rPr>
      </w:pPr>
      <w:r>
        <w:rPr>
          <w:rFonts w:hint="eastAsia" w:ascii="宋体" w:hAnsi="宋体" w:cs="宋体"/>
          <w:color w:val="auto"/>
          <w:highlight w:val="none"/>
        </w:rPr>
        <w:t>请你方在接到本通知书后的</w:t>
      </w:r>
      <w:r>
        <w:rPr>
          <w:rFonts w:hint="eastAsia" w:ascii="宋体" w:hAnsi="宋体" w:cs="宋体"/>
          <w:color w:val="auto"/>
          <w:highlight w:val="none"/>
          <w:u w:val="single"/>
        </w:rPr>
        <w:t xml:space="preserve">       </w:t>
      </w:r>
      <w:r>
        <w:rPr>
          <w:rFonts w:hint="eastAsia" w:ascii="宋体" w:hAnsi="宋体" w:cs="宋体"/>
          <w:color w:val="auto"/>
          <w:highlight w:val="none"/>
        </w:rPr>
        <w:t>日内到</w:t>
      </w:r>
      <w:r>
        <w:rPr>
          <w:rFonts w:hint="eastAsia" w:ascii="宋体" w:hAnsi="宋体" w:cs="宋体"/>
          <w:color w:val="auto"/>
          <w:highlight w:val="none"/>
          <w:u w:val="single"/>
        </w:rPr>
        <w:t xml:space="preserve">                      </w:t>
      </w:r>
      <w:r>
        <w:rPr>
          <w:rFonts w:hint="eastAsia" w:ascii="宋体" w:hAnsi="宋体" w:cs="宋体"/>
          <w:color w:val="auto"/>
          <w:highlight w:val="none"/>
        </w:rPr>
        <w:t>（业主指定地点）与我方签订承包合同，在此之前按招标文件第二章“投标人须知”第7.7款规定向我方提交履约担保。</w:t>
      </w:r>
    </w:p>
    <w:p>
      <w:pPr>
        <w:spacing w:line="440" w:lineRule="exact"/>
        <w:ind w:firstLine="420"/>
        <w:rPr>
          <w:rFonts w:ascii="宋体" w:hAnsi="宋体" w:cs="宋体"/>
          <w:color w:val="auto"/>
          <w:highlight w:val="none"/>
        </w:rPr>
      </w:pPr>
      <w:r>
        <w:rPr>
          <w:rFonts w:hint="eastAsia" w:ascii="宋体" w:hAnsi="宋体" w:cs="宋体"/>
          <w:color w:val="auto"/>
          <w:highlight w:val="none"/>
        </w:rPr>
        <w:t>随附的澄清、说明、补正事项纪要，是本中标通知书的组成部分。</w:t>
      </w:r>
    </w:p>
    <w:p>
      <w:pPr>
        <w:spacing w:line="440" w:lineRule="exact"/>
        <w:rPr>
          <w:rFonts w:ascii="宋体" w:hAnsi="宋体" w:cs="宋体"/>
          <w:color w:val="auto"/>
          <w:highlight w:val="none"/>
        </w:rPr>
      </w:pPr>
      <w:r>
        <w:rPr>
          <w:rFonts w:hint="eastAsia" w:ascii="宋体" w:hAnsi="宋体" w:cs="宋体"/>
          <w:color w:val="auto"/>
          <w:highlight w:val="none"/>
        </w:rPr>
        <w:t>　　特此通知。</w:t>
      </w:r>
    </w:p>
    <w:p>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附：澄清、说明、补正事项纪要</w:t>
      </w:r>
    </w:p>
    <w:p>
      <w:pPr>
        <w:spacing w:line="440" w:lineRule="exact"/>
        <w:rPr>
          <w:rFonts w:ascii="宋体" w:hAnsi="宋体" w:cs="宋体"/>
          <w:color w:val="auto"/>
          <w:highlight w:val="none"/>
        </w:rPr>
      </w:pPr>
    </w:p>
    <w:p>
      <w:pPr>
        <w:spacing w:line="440" w:lineRule="exact"/>
        <w:rPr>
          <w:rFonts w:ascii="宋体" w:hAnsi="宋体" w:cs="宋体"/>
          <w:color w:val="auto"/>
          <w:highlight w:val="none"/>
        </w:rPr>
      </w:pPr>
    </w:p>
    <w:p>
      <w:pPr>
        <w:spacing w:line="540" w:lineRule="exact"/>
        <w:rPr>
          <w:rFonts w:ascii="宋体" w:hAnsi="宋体" w:cs="宋体"/>
          <w:color w:val="auto"/>
          <w:highlight w:val="none"/>
        </w:rPr>
      </w:pPr>
    </w:p>
    <w:p>
      <w:pPr>
        <w:spacing w:line="540" w:lineRule="exact"/>
        <w:ind w:firstLine="3238" w:firstLineChars="1542"/>
        <w:rPr>
          <w:rFonts w:ascii="宋体" w:hAnsi="宋体" w:cs="宋体"/>
          <w:color w:val="auto"/>
          <w:highlight w:val="none"/>
        </w:rPr>
      </w:pPr>
      <w:r>
        <w:rPr>
          <w:rFonts w:hint="eastAsia" w:ascii="宋体" w:hAnsi="宋体" w:cs="宋体"/>
          <w:color w:val="auto"/>
          <w:highlight w:val="none"/>
        </w:rPr>
        <w:t>招标人：</w:t>
      </w:r>
      <w:r>
        <w:rPr>
          <w:rFonts w:hint="eastAsia" w:ascii="宋体" w:hAnsi="宋体" w:cs="宋体"/>
          <w:color w:val="auto"/>
          <w:highlight w:val="none"/>
          <w:u w:val="single"/>
        </w:rPr>
        <w:t xml:space="preserve">              </w:t>
      </w:r>
      <w:r>
        <w:rPr>
          <w:rFonts w:hint="eastAsia" w:ascii="宋体" w:hAnsi="宋体" w:cs="宋体"/>
          <w:color w:val="auto"/>
          <w:highlight w:val="none"/>
        </w:rPr>
        <w:t xml:space="preserve">（盖单位法人章）            </w:t>
      </w:r>
    </w:p>
    <w:p>
      <w:pPr>
        <w:spacing w:line="540" w:lineRule="exact"/>
        <w:ind w:firstLine="3150" w:firstLineChars="1500"/>
        <w:rPr>
          <w:rFonts w:ascii="宋体" w:hAnsi="宋体" w:cs="宋体"/>
          <w:color w:val="auto"/>
          <w:highlight w:val="none"/>
        </w:rPr>
      </w:pPr>
      <w:r>
        <w:rPr>
          <w:rFonts w:hint="eastAsia" w:ascii="宋体" w:hAnsi="宋体" w:cs="宋体"/>
          <w:color w:val="auto"/>
          <w:highlight w:val="none"/>
        </w:rPr>
        <w:t xml:space="preserve">联系人：                          </w:t>
      </w:r>
    </w:p>
    <w:p>
      <w:pPr>
        <w:spacing w:line="540" w:lineRule="exact"/>
        <w:ind w:firstLine="2940" w:firstLineChars="1400"/>
        <w:rPr>
          <w:rFonts w:ascii="宋体" w:hAnsi="宋体" w:cs="宋体"/>
          <w:color w:val="auto"/>
          <w:highlight w:val="none"/>
        </w:rPr>
      </w:pPr>
      <w:r>
        <w:rPr>
          <w:rFonts w:hint="eastAsia" w:ascii="宋体" w:hAnsi="宋体" w:cs="宋体"/>
          <w:color w:val="auto"/>
          <w:highlight w:val="none"/>
        </w:rPr>
        <w:t xml:space="preserve"> 联系电话：                        </w:t>
      </w:r>
    </w:p>
    <w:p>
      <w:pPr>
        <w:spacing w:line="540" w:lineRule="exact"/>
        <w:ind w:firstLine="2940" w:firstLineChars="1400"/>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pPr>
        <w:spacing w:line="540" w:lineRule="exact"/>
        <w:ind w:firstLine="3150" w:firstLineChars="1500"/>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spacing w:line="400" w:lineRule="exact"/>
        <w:rPr>
          <w:rFonts w:ascii="宋体" w:hAnsi="宋体" w:cs="宋体"/>
          <w:color w:val="auto"/>
          <w:highlight w:val="none"/>
        </w:rPr>
      </w:pPr>
    </w:p>
    <w:p>
      <w:pPr>
        <w:pStyle w:val="4"/>
        <w:rPr>
          <w:rFonts w:ascii="宋体" w:hAnsi="宋体" w:eastAsia="宋体" w:cs="宋体"/>
          <w:color w:val="auto"/>
          <w:highlight w:val="none"/>
        </w:rPr>
        <w:sectPr>
          <w:pgSz w:w="11907" w:h="16840"/>
          <w:pgMar w:top="1134" w:right="1191" w:bottom="1134" w:left="1304" w:header="964" w:footer="992" w:gutter="0"/>
          <w:cols w:space="720" w:num="1"/>
          <w:docGrid w:linePitch="312" w:charSpace="0"/>
        </w:sectPr>
      </w:pPr>
      <w:bookmarkStart w:id="398" w:name="_Toc505954127"/>
      <w:bookmarkStart w:id="399" w:name="_Toc144974552"/>
      <w:bookmarkStart w:id="400" w:name="_Toc152042362"/>
      <w:bookmarkStart w:id="401" w:name="_Toc247085743"/>
      <w:bookmarkStart w:id="402" w:name="_Toc246996971"/>
      <w:bookmarkStart w:id="403" w:name="_Toc152045585"/>
      <w:bookmarkStart w:id="404" w:name="_Toc246996228"/>
      <w:bookmarkStart w:id="405" w:name="_Toc179632603"/>
    </w:p>
    <w:bookmarkEnd w:id="398"/>
    <w:bookmarkEnd w:id="399"/>
    <w:bookmarkEnd w:id="400"/>
    <w:bookmarkEnd w:id="401"/>
    <w:bookmarkEnd w:id="402"/>
    <w:bookmarkEnd w:id="403"/>
    <w:bookmarkEnd w:id="404"/>
    <w:bookmarkEnd w:id="405"/>
    <w:p>
      <w:pPr>
        <w:jc w:val="center"/>
        <w:outlineLvl w:val="0"/>
        <w:rPr>
          <w:rFonts w:ascii="宋体" w:hAnsi="宋体" w:cs="宋体"/>
          <w:b/>
          <w:bCs/>
          <w:snapToGrid w:val="0"/>
          <w:color w:val="auto"/>
          <w:kern w:val="0"/>
          <w:sz w:val="44"/>
          <w:szCs w:val="44"/>
          <w:highlight w:val="none"/>
        </w:rPr>
      </w:pPr>
      <w:bookmarkStart w:id="406" w:name="_Toc234382664"/>
      <w:bookmarkEnd w:id="406"/>
      <w:bookmarkStart w:id="407" w:name="_Toc392052560"/>
      <w:bookmarkEnd w:id="407"/>
      <w:bookmarkStart w:id="408" w:name="_Toc443861063"/>
      <w:bookmarkStart w:id="409" w:name="_Toc263326724"/>
      <w:bookmarkStart w:id="410" w:name="_Toc256581160"/>
      <w:bookmarkStart w:id="411" w:name="_Toc13680"/>
      <w:bookmarkStart w:id="412" w:name="_Toc19952"/>
      <w:bookmarkStart w:id="413" w:name="_Toc43455581"/>
      <w:bookmarkStart w:id="414" w:name="_Toc29650"/>
      <w:bookmarkStart w:id="415" w:name="_Toc25402"/>
      <w:bookmarkStart w:id="416" w:name="_Toc28522"/>
      <w:bookmarkStart w:id="417" w:name="_Toc12006"/>
      <w:bookmarkStart w:id="418" w:name="_Toc25687"/>
      <w:bookmarkStart w:id="419" w:name="_Toc16114"/>
      <w:r>
        <w:rPr>
          <w:rFonts w:hint="eastAsia" w:ascii="宋体" w:hAnsi="宋体" w:cs="宋体"/>
          <w:b/>
          <w:bCs/>
          <w:snapToGrid w:val="0"/>
          <w:color w:val="auto"/>
          <w:kern w:val="0"/>
          <w:sz w:val="44"/>
          <w:szCs w:val="44"/>
          <w:highlight w:val="none"/>
        </w:rPr>
        <w:t>第三章</w:t>
      </w:r>
      <w:r>
        <w:rPr>
          <w:rFonts w:ascii="宋体" w:hAnsi="宋体" w:cs="宋体"/>
          <w:b/>
          <w:bCs/>
          <w:snapToGrid w:val="0"/>
          <w:color w:val="auto"/>
          <w:kern w:val="0"/>
          <w:sz w:val="44"/>
          <w:szCs w:val="44"/>
          <w:highlight w:val="none"/>
        </w:rPr>
        <w:t xml:space="preserve">  </w:t>
      </w:r>
      <w:r>
        <w:rPr>
          <w:rFonts w:hint="eastAsia" w:ascii="宋体" w:hAnsi="宋体" w:cs="宋体"/>
          <w:b/>
          <w:bCs/>
          <w:snapToGrid w:val="0"/>
          <w:color w:val="auto"/>
          <w:kern w:val="0"/>
          <w:sz w:val="44"/>
          <w:szCs w:val="44"/>
          <w:highlight w:val="none"/>
        </w:rPr>
        <w:t>评标办法</w:t>
      </w:r>
      <w:bookmarkEnd w:id="408"/>
      <w:bookmarkEnd w:id="409"/>
      <w:bookmarkEnd w:id="410"/>
      <w:bookmarkStart w:id="420" w:name="_Toc263326725"/>
      <w:bookmarkStart w:id="421" w:name="_Toc256581161"/>
      <w:bookmarkStart w:id="422" w:name="_Toc241059760"/>
      <w:bookmarkStart w:id="423" w:name="_Toc263151112"/>
      <w:r>
        <w:rPr>
          <w:rFonts w:hint="eastAsia" w:ascii="宋体" w:hAnsi="宋体" w:cs="宋体"/>
          <w:b/>
          <w:bCs/>
          <w:snapToGrid w:val="0"/>
          <w:color w:val="auto"/>
          <w:kern w:val="0"/>
          <w:sz w:val="44"/>
          <w:szCs w:val="44"/>
          <w:highlight w:val="none"/>
        </w:rPr>
        <w:t>（经评审的最低投标价法）</w:t>
      </w:r>
      <w:bookmarkEnd w:id="411"/>
      <w:bookmarkEnd w:id="412"/>
      <w:bookmarkEnd w:id="413"/>
      <w:bookmarkEnd w:id="414"/>
      <w:bookmarkEnd w:id="415"/>
      <w:bookmarkEnd w:id="416"/>
      <w:bookmarkEnd w:id="417"/>
      <w:bookmarkEnd w:id="418"/>
      <w:bookmarkEnd w:id="419"/>
      <w:bookmarkEnd w:id="420"/>
      <w:bookmarkEnd w:id="421"/>
      <w:bookmarkEnd w:id="422"/>
      <w:bookmarkEnd w:id="423"/>
    </w:p>
    <w:p>
      <w:pPr>
        <w:spacing w:line="300" w:lineRule="exact"/>
        <w:ind w:firstLine="438" w:firstLineChars="200"/>
        <w:rPr>
          <w:rFonts w:ascii="宋体" w:hAnsi="宋体" w:cs="宋体"/>
          <w:b/>
          <w:bCs/>
          <w:color w:val="auto"/>
          <w:spacing w:val="4"/>
          <w:kern w:val="0"/>
          <w:highlight w:val="none"/>
        </w:rPr>
      </w:pPr>
      <w:bookmarkStart w:id="424" w:name="_Toc57795917"/>
      <w:bookmarkStart w:id="425" w:name="_Toc509218764"/>
      <w:bookmarkStart w:id="426" w:name="_Toc536782033"/>
      <w:bookmarkStart w:id="427" w:name="_Toc32495"/>
      <w:bookmarkStart w:id="428" w:name="_Toc277082617"/>
      <w:bookmarkStart w:id="429" w:name="_Toc21701860"/>
      <w:bookmarkStart w:id="430" w:name="_Toc320390759"/>
      <w:bookmarkStart w:id="431" w:name="_Toc536800697"/>
      <w:bookmarkStart w:id="432" w:name="_Toc287607811"/>
      <w:bookmarkStart w:id="433" w:name="_Toc22218878"/>
      <w:bookmarkStart w:id="434" w:name="_Toc224103383"/>
      <w:r>
        <w:rPr>
          <w:rFonts w:hint="eastAsia" w:ascii="宋体" w:hAnsi="宋体" w:cs="宋体"/>
          <w:b/>
          <w:bCs/>
          <w:color w:val="auto"/>
          <w:spacing w:val="4"/>
          <w:kern w:val="0"/>
          <w:highlight w:val="none"/>
        </w:rPr>
        <w:t>评标办法前附表</w:t>
      </w:r>
    </w:p>
    <w:p>
      <w:pPr>
        <w:spacing w:line="300" w:lineRule="exact"/>
        <w:ind w:firstLine="438" w:firstLineChars="200"/>
        <w:rPr>
          <w:rFonts w:ascii="宋体" w:hAnsi="宋体" w:cs="宋体"/>
          <w:b/>
          <w:bCs/>
          <w:color w:val="auto"/>
          <w:spacing w:val="4"/>
          <w:kern w:val="0"/>
          <w:highlight w:val="none"/>
        </w:rPr>
      </w:pPr>
      <w:r>
        <w:rPr>
          <w:rFonts w:hint="eastAsia" w:ascii="宋体" w:hAnsi="宋体" w:cs="宋体"/>
          <w:b/>
          <w:bCs/>
          <w:color w:val="auto"/>
          <w:spacing w:val="4"/>
          <w:kern w:val="0"/>
          <w:highlight w:val="none"/>
        </w:rPr>
        <w:t>评标办法前附表与正文不一致的地方以评标办法前附表为准。</w:t>
      </w:r>
    </w:p>
    <w:p>
      <w:pPr>
        <w:spacing w:line="300" w:lineRule="exact"/>
        <w:ind w:firstLine="438" w:firstLineChars="200"/>
        <w:rPr>
          <w:rFonts w:ascii="宋体" w:hAnsi="宋体" w:cs="宋体"/>
          <w:b/>
          <w:bCs/>
          <w:color w:val="auto"/>
          <w:spacing w:val="4"/>
          <w:kern w:val="0"/>
          <w:highlight w:val="none"/>
        </w:rPr>
      </w:pPr>
      <w:r>
        <w:rPr>
          <w:rFonts w:hint="eastAsia" w:ascii="宋体" w:hAnsi="宋体" w:cs="宋体"/>
          <w:b/>
          <w:bCs/>
          <w:color w:val="auto"/>
          <w:spacing w:val="4"/>
          <w:kern w:val="0"/>
          <w:highlight w:val="none"/>
        </w:rPr>
        <w:t>所有否决投标情形在此表集中，未在此表集中的其他内容均不得作为重大偏差或作为否决投标的依据。</w:t>
      </w:r>
    </w:p>
    <w:bookmarkEnd w:id="424"/>
    <w:bookmarkEnd w:id="425"/>
    <w:bookmarkEnd w:id="426"/>
    <w:bookmarkEnd w:id="427"/>
    <w:bookmarkEnd w:id="428"/>
    <w:bookmarkEnd w:id="429"/>
    <w:bookmarkEnd w:id="430"/>
    <w:bookmarkEnd w:id="431"/>
    <w:bookmarkEnd w:id="432"/>
    <w:bookmarkEnd w:id="433"/>
    <w:bookmarkEnd w:id="434"/>
    <w:tbl>
      <w:tblPr>
        <w:tblStyle w:val="19"/>
        <w:tblW w:w="9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161"/>
        <w:gridCol w:w="1506"/>
        <w:gridCol w:w="6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1" w:type="dxa"/>
            <w:vAlign w:val="center"/>
          </w:tcPr>
          <w:p>
            <w:pPr>
              <w:spacing w:line="300" w:lineRule="exact"/>
              <w:jc w:val="center"/>
              <w:rPr>
                <w:rFonts w:ascii="宋体" w:hAnsi="宋体" w:cs="宋体"/>
                <w:b/>
                <w:color w:val="auto"/>
                <w:kern w:val="0"/>
                <w:highlight w:val="none"/>
              </w:rPr>
            </w:pPr>
            <w:r>
              <w:rPr>
                <w:rFonts w:hint="eastAsia" w:ascii="宋体" w:hAnsi="宋体" w:cs="宋体"/>
                <w:b/>
                <w:color w:val="auto"/>
                <w:kern w:val="0"/>
                <w:highlight w:val="none"/>
              </w:rPr>
              <w:t>条款号</w:t>
            </w:r>
          </w:p>
        </w:tc>
        <w:tc>
          <w:tcPr>
            <w:tcW w:w="1161" w:type="dxa"/>
            <w:vAlign w:val="center"/>
          </w:tcPr>
          <w:p>
            <w:pPr>
              <w:spacing w:line="300" w:lineRule="exact"/>
              <w:jc w:val="center"/>
              <w:rPr>
                <w:rFonts w:ascii="宋体" w:hAnsi="宋体" w:cs="宋体"/>
                <w:b/>
                <w:color w:val="auto"/>
                <w:kern w:val="0"/>
                <w:highlight w:val="none"/>
              </w:rPr>
            </w:pPr>
            <w:r>
              <w:rPr>
                <w:rFonts w:hint="eastAsia" w:ascii="宋体" w:hAnsi="宋体" w:cs="宋体"/>
                <w:b/>
                <w:color w:val="auto"/>
                <w:kern w:val="0"/>
                <w:highlight w:val="none"/>
              </w:rPr>
              <w:t>评审因素</w:t>
            </w:r>
          </w:p>
        </w:tc>
        <w:tc>
          <w:tcPr>
            <w:tcW w:w="7829" w:type="dxa"/>
            <w:gridSpan w:val="2"/>
            <w:vAlign w:val="center"/>
          </w:tcPr>
          <w:p>
            <w:pPr>
              <w:spacing w:line="300" w:lineRule="exact"/>
              <w:jc w:val="center"/>
              <w:rPr>
                <w:rFonts w:ascii="宋体" w:hAnsi="宋体" w:cs="宋体"/>
                <w:b/>
                <w:color w:val="auto"/>
                <w:kern w:val="0"/>
                <w:highlight w:val="none"/>
              </w:rPr>
            </w:pPr>
            <w:r>
              <w:rPr>
                <w:rFonts w:hint="eastAsia" w:ascii="宋体" w:hAnsi="宋体" w:cs="宋体"/>
                <w:b/>
                <w:color w:val="auto"/>
                <w:kern w:val="0"/>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91" w:type="dxa"/>
            <w:vAlign w:val="center"/>
          </w:tcPr>
          <w:p>
            <w:pPr>
              <w:spacing w:line="300" w:lineRule="exact"/>
              <w:jc w:val="center"/>
              <w:rPr>
                <w:rFonts w:ascii="宋体" w:hAnsi="宋体" w:cs="宋体"/>
                <w:color w:val="auto"/>
                <w:kern w:val="0"/>
                <w:highlight w:val="none"/>
              </w:rPr>
            </w:pPr>
            <w:r>
              <w:rPr>
                <w:rFonts w:hint="eastAsia" w:ascii="宋体" w:hAnsi="宋体" w:cs="宋体"/>
                <w:color w:val="auto"/>
                <w:kern w:val="0"/>
                <w:highlight w:val="none"/>
              </w:rPr>
              <w:t>1</w:t>
            </w:r>
          </w:p>
          <w:p>
            <w:pPr>
              <w:spacing w:line="300" w:lineRule="exact"/>
              <w:jc w:val="center"/>
              <w:rPr>
                <w:rFonts w:ascii="宋体" w:hAnsi="宋体" w:cs="宋体"/>
                <w:b/>
                <w:color w:val="auto"/>
                <w:kern w:val="0"/>
                <w:highlight w:val="none"/>
              </w:rPr>
            </w:pPr>
          </w:p>
        </w:tc>
        <w:tc>
          <w:tcPr>
            <w:tcW w:w="1161" w:type="dxa"/>
            <w:vAlign w:val="center"/>
          </w:tcPr>
          <w:p>
            <w:pPr>
              <w:spacing w:line="300" w:lineRule="exact"/>
              <w:jc w:val="center"/>
              <w:rPr>
                <w:rFonts w:ascii="宋体" w:hAnsi="宋体" w:cs="宋体"/>
                <w:color w:val="auto"/>
                <w:kern w:val="0"/>
                <w:highlight w:val="none"/>
              </w:rPr>
            </w:pPr>
            <w:r>
              <w:rPr>
                <w:rFonts w:hint="eastAsia" w:ascii="宋体" w:hAnsi="宋体" w:cs="宋体"/>
                <w:b/>
                <w:color w:val="auto"/>
                <w:kern w:val="0"/>
                <w:highlight w:val="none"/>
              </w:rPr>
              <w:t>评标方法</w:t>
            </w:r>
          </w:p>
        </w:tc>
        <w:tc>
          <w:tcPr>
            <w:tcW w:w="7829" w:type="dxa"/>
            <w:gridSpan w:val="2"/>
            <w:vAlign w:val="center"/>
          </w:tcPr>
          <w:p>
            <w:pPr>
              <w:spacing w:line="300" w:lineRule="exact"/>
              <w:ind w:firstLine="436" w:firstLineChars="200"/>
              <w:rPr>
                <w:rFonts w:ascii="宋体" w:hAnsi="宋体" w:cs="宋体"/>
                <w:color w:val="auto"/>
                <w:spacing w:val="4"/>
                <w:kern w:val="0"/>
                <w:highlight w:val="none"/>
              </w:rPr>
            </w:pPr>
            <w:r>
              <w:rPr>
                <w:rFonts w:hint="eastAsia" w:ascii="宋体" w:hAnsi="宋体" w:cs="宋体"/>
                <w:color w:val="auto"/>
                <w:spacing w:val="4"/>
                <w:kern w:val="0"/>
                <w:highlight w:val="none"/>
              </w:rPr>
              <w:t>本次评标采用经评审的最低投标价法，评标委员会按照本章第2.1款进行详细审查，审查合格的投标人中按报价由低到高推荐中标候选人。</w:t>
            </w:r>
          </w:p>
          <w:p>
            <w:pPr>
              <w:rPr>
                <w:color w:val="auto"/>
                <w:highlight w:val="none"/>
              </w:rPr>
            </w:pPr>
            <w:r>
              <w:rPr>
                <w:rFonts w:ascii="宋体" w:hAnsi="宋体"/>
                <w:snapToGrid w:val="0"/>
                <w:color w:val="auto"/>
                <w:kern w:val="0"/>
                <w:highlight w:val="none"/>
              </w:rPr>
              <w:t>如出现</w:t>
            </w:r>
            <w:r>
              <w:rPr>
                <w:rFonts w:hint="eastAsia" w:ascii="宋体" w:hAnsi="宋体"/>
                <w:snapToGrid w:val="0"/>
                <w:color w:val="auto"/>
                <w:kern w:val="0"/>
                <w:highlight w:val="none"/>
              </w:rPr>
              <w:t>投标人价格最低的投标总报</w:t>
            </w:r>
            <w:r>
              <w:rPr>
                <w:rFonts w:ascii="宋体" w:hAnsi="宋体"/>
                <w:snapToGrid w:val="0"/>
                <w:color w:val="auto"/>
                <w:kern w:val="0"/>
                <w:highlight w:val="none"/>
              </w:rPr>
              <w:t>价相</w:t>
            </w:r>
            <w:r>
              <w:rPr>
                <w:rFonts w:hint="eastAsia" w:ascii="宋体" w:hAnsi="宋体"/>
                <w:snapToGrid w:val="0"/>
                <w:color w:val="auto"/>
                <w:kern w:val="0"/>
                <w:highlight w:val="none"/>
              </w:rPr>
              <w:t>同的</w:t>
            </w:r>
            <w:r>
              <w:rPr>
                <w:rFonts w:ascii="宋体" w:hAnsi="宋体"/>
                <w:snapToGrid w:val="0"/>
                <w:color w:val="auto"/>
                <w:kern w:val="0"/>
                <w:highlight w:val="none"/>
              </w:rPr>
              <w:t>，按以下原则</w:t>
            </w:r>
            <w:r>
              <w:rPr>
                <w:rFonts w:hint="eastAsia" w:ascii="宋体" w:hAnsi="宋体"/>
                <w:snapToGrid w:val="0"/>
                <w:color w:val="auto"/>
                <w:kern w:val="0"/>
                <w:highlight w:val="none"/>
              </w:rPr>
              <w:t>推荐</w:t>
            </w:r>
            <w:r>
              <w:rPr>
                <w:rFonts w:ascii="宋体" w:hAnsi="宋体"/>
                <w:snapToGrid w:val="0"/>
                <w:color w:val="auto"/>
                <w:kern w:val="0"/>
                <w:highlight w:val="none"/>
              </w:rPr>
              <w:t>：</w:t>
            </w:r>
          </w:p>
          <w:p>
            <w:pPr>
              <w:ind w:firstLine="420" w:firstLineChars="200"/>
              <w:rPr>
                <w:color w:val="auto"/>
                <w:highlight w:val="none"/>
              </w:rPr>
            </w:pPr>
            <w:r>
              <w:rPr>
                <w:rFonts w:hint="eastAsia"/>
                <w:color w:val="auto"/>
                <w:highlight w:val="none"/>
              </w:rPr>
              <w:t>1.以单个业绩合同金额大的优先；</w:t>
            </w:r>
          </w:p>
          <w:p>
            <w:pPr>
              <w:spacing w:line="300" w:lineRule="exact"/>
              <w:ind w:firstLine="420" w:firstLineChars="200"/>
              <w:rPr>
                <w:rFonts w:ascii="宋体" w:hAnsi="宋体" w:cs="宋体"/>
                <w:color w:val="auto"/>
                <w:kern w:val="0"/>
                <w:highlight w:val="none"/>
              </w:rPr>
            </w:pPr>
            <w:r>
              <w:rPr>
                <w:rFonts w:hint="eastAsia"/>
                <w:color w:val="auto"/>
                <w:highlight w:val="none"/>
              </w:rPr>
              <w:t>2.由评标委员会投票表决原则推荐。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91" w:type="dxa"/>
            <w:vMerge w:val="restart"/>
            <w:vAlign w:val="center"/>
          </w:tcPr>
          <w:p>
            <w:pPr>
              <w:spacing w:line="300" w:lineRule="exact"/>
              <w:jc w:val="center"/>
              <w:rPr>
                <w:rFonts w:ascii="宋体" w:hAnsi="宋体" w:cs="宋体"/>
                <w:b/>
                <w:color w:val="auto"/>
                <w:kern w:val="0"/>
                <w:highlight w:val="none"/>
              </w:rPr>
            </w:pPr>
            <w:r>
              <w:rPr>
                <w:rFonts w:hint="eastAsia" w:ascii="宋体" w:hAnsi="宋体" w:cs="宋体"/>
                <w:color w:val="auto"/>
                <w:kern w:val="0"/>
                <w:highlight w:val="none"/>
              </w:rPr>
              <w:t>2.1.1</w:t>
            </w:r>
          </w:p>
        </w:tc>
        <w:tc>
          <w:tcPr>
            <w:tcW w:w="1161" w:type="dxa"/>
            <w:vMerge w:val="restart"/>
            <w:vAlign w:val="center"/>
          </w:tcPr>
          <w:p>
            <w:pPr>
              <w:spacing w:line="300" w:lineRule="exact"/>
              <w:jc w:val="center"/>
              <w:rPr>
                <w:rFonts w:ascii="宋体" w:hAnsi="宋体" w:cs="宋体"/>
                <w:color w:val="auto"/>
                <w:kern w:val="0"/>
                <w:highlight w:val="none"/>
              </w:rPr>
            </w:pPr>
            <w:r>
              <w:rPr>
                <w:rFonts w:ascii="宋体" w:hAnsi="宋体"/>
                <w:color w:val="auto"/>
                <w:kern w:val="0"/>
                <w:highlight w:val="none"/>
              </w:rPr>
              <w:t>资格评审标准</w:t>
            </w:r>
          </w:p>
        </w:tc>
        <w:tc>
          <w:tcPr>
            <w:tcW w:w="1506" w:type="dxa"/>
            <w:vAlign w:val="center"/>
          </w:tcPr>
          <w:p>
            <w:pPr>
              <w:spacing w:line="300" w:lineRule="exact"/>
              <w:jc w:val="left"/>
              <w:rPr>
                <w:rFonts w:ascii="宋体" w:hAnsi="宋体"/>
                <w:color w:val="auto"/>
                <w:kern w:val="0"/>
                <w:highlight w:val="none"/>
              </w:rPr>
            </w:pPr>
            <w:r>
              <w:rPr>
                <w:rFonts w:hint="eastAsia" w:ascii="宋体" w:hAnsi="宋体"/>
                <w:color w:val="auto"/>
                <w:kern w:val="0"/>
                <w:highlight w:val="none"/>
              </w:rPr>
              <w:t>资质条件</w:t>
            </w:r>
          </w:p>
        </w:tc>
        <w:tc>
          <w:tcPr>
            <w:tcW w:w="6323" w:type="dxa"/>
            <w:vAlign w:val="center"/>
          </w:tcPr>
          <w:p>
            <w:pPr>
              <w:spacing w:line="300" w:lineRule="exact"/>
              <w:rPr>
                <w:rFonts w:ascii="宋体" w:hAnsi="宋体"/>
                <w:color w:val="auto"/>
                <w:kern w:val="0"/>
                <w:highlight w:val="none"/>
              </w:rPr>
            </w:pPr>
            <w:r>
              <w:rPr>
                <w:rFonts w:ascii="宋体" w:hAnsi="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91" w:type="dxa"/>
            <w:vMerge w:val="continue"/>
            <w:vAlign w:val="center"/>
          </w:tcPr>
          <w:p>
            <w:pPr>
              <w:spacing w:line="300" w:lineRule="exact"/>
              <w:jc w:val="center"/>
              <w:rPr>
                <w:rFonts w:ascii="宋体" w:hAnsi="宋体" w:cs="宋体"/>
                <w:b/>
                <w:color w:val="auto"/>
                <w:kern w:val="0"/>
                <w:highlight w:val="none"/>
              </w:rPr>
            </w:pPr>
          </w:p>
        </w:tc>
        <w:tc>
          <w:tcPr>
            <w:tcW w:w="1161" w:type="dxa"/>
            <w:vMerge w:val="continue"/>
            <w:vAlign w:val="center"/>
          </w:tcPr>
          <w:p>
            <w:pPr>
              <w:spacing w:line="300" w:lineRule="exact"/>
              <w:jc w:val="center"/>
              <w:rPr>
                <w:rFonts w:ascii="宋体" w:hAnsi="宋体" w:cs="宋体"/>
                <w:color w:val="auto"/>
                <w:kern w:val="0"/>
                <w:highlight w:val="none"/>
              </w:rPr>
            </w:pPr>
          </w:p>
        </w:tc>
        <w:tc>
          <w:tcPr>
            <w:tcW w:w="1506" w:type="dxa"/>
          </w:tcPr>
          <w:p>
            <w:pPr>
              <w:spacing w:line="300" w:lineRule="exact"/>
              <w:jc w:val="left"/>
              <w:rPr>
                <w:rFonts w:ascii="宋体" w:hAnsi="宋体"/>
                <w:color w:val="auto"/>
                <w:kern w:val="0"/>
                <w:highlight w:val="none"/>
              </w:rPr>
            </w:pPr>
            <w:r>
              <w:rPr>
                <w:rFonts w:hint="eastAsia" w:ascii="宋体" w:hAnsi="宋体"/>
                <w:color w:val="auto"/>
                <w:kern w:val="0"/>
                <w:highlight w:val="none"/>
              </w:rPr>
              <w:t>营业执照</w:t>
            </w:r>
          </w:p>
        </w:tc>
        <w:tc>
          <w:tcPr>
            <w:tcW w:w="6323" w:type="dxa"/>
            <w:vAlign w:val="center"/>
          </w:tcPr>
          <w:p>
            <w:pPr>
              <w:autoSpaceDE w:val="0"/>
              <w:autoSpaceDN w:val="0"/>
              <w:spacing w:line="300" w:lineRule="exact"/>
              <w:rPr>
                <w:rFonts w:ascii="宋体" w:hAnsi="宋体"/>
                <w:color w:val="auto"/>
                <w:kern w:val="0"/>
                <w:highlight w:val="none"/>
              </w:rPr>
            </w:pPr>
            <w:r>
              <w:rPr>
                <w:rFonts w:ascii="宋体" w:hAnsi="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91" w:type="dxa"/>
            <w:vMerge w:val="continue"/>
            <w:vAlign w:val="center"/>
          </w:tcPr>
          <w:p>
            <w:pPr>
              <w:spacing w:line="300" w:lineRule="exact"/>
              <w:jc w:val="center"/>
              <w:rPr>
                <w:rFonts w:ascii="宋体" w:hAnsi="宋体" w:cs="宋体"/>
                <w:b/>
                <w:color w:val="auto"/>
                <w:kern w:val="0"/>
                <w:highlight w:val="none"/>
              </w:rPr>
            </w:pPr>
          </w:p>
        </w:tc>
        <w:tc>
          <w:tcPr>
            <w:tcW w:w="1161" w:type="dxa"/>
            <w:vMerge w:val="continue"/>
            <w:vAlign w:val="center"/>
          </w:tcPr>
          <w:p>
            <w:pPr>
              <w:spacing w:line="300" w:lineRule="exact"/>
              <w:jc w:val="center"/>
              <w:rPr>
                <w:rFonts w:ascii="宋体" w:hAnsi="宋体" w:cs="宋体"/>
                <w:color w:val="auto"/>
                <w:kern w:val="0"/>
                <w:highlight w:val="none"/>
              </w:rPr>
            </w:pPr>
          </w:p>
        </w:tc>
        <w:tc>
          <w:tcPr>
            <w:tcW w:w="1506" w:type="dxa"/>
          </w:tcPr>
          <w:p>
            <w:pPr>
              <w:spacing w:line="300" w:lineRule="exact"/>
              <w:jc w:val="left"/>
              <w:rPr>
                <w:rFonts w:ascii="宋体" w:hAnsi="宋体"/>
                <w:color w:val="auto"/>
                <w:kern w:val="0"/>
                <w:highlight w:val="none"/>
              </w:rPr>
            </w:pPr>
            <w:r>
              <w:rPr>
                <w:rFonts w:hint="eastAsia" w:ascii="宋体" w:hAnsi="宋体"/>
                <w:color w:val="auto"/>
                <w:kern w:val="0"/>
                <w:highlight w:val="none"/>
              </w:rPr>
              <w:t>业绩要求</w:t>
            </w:r>
          </w:p>
        </w:tc>
        <w:tc>
          <w:tcPr>
            <w:tcW w:w="6323" w:type="dxa"/>
            <w:vAlign w:val="center"/>
          </w:tcPr>
          <w:p>
            <w:pPr>
              <w:spacing w:line="300" w:lineRule="exact"/>
              <w:rPr>
                <w:rFonts w:ascii="宋体" w:hAnsi="宋体"/>
                <w:color w:val="auto"/>
                <w:kern w:val="0"/>
                <w:highlight w:val="none"/>
              </w:rPr>
            </w:pPr>
            <w:r>
              <w:rPr>
                <w:rFonts w:ascii="宋体" w:hAnsi="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91" w:type="dxa"/>
            <w:vMerge w:val="continue"/>
            <w:vAlign w:val="center"/>
          </w:tcPr>
          <w:p>
            <w:pPr>
              <w:spacing w:line="300" w:lineRule="exact"/>
              <w:jc w:val="center"/>
              <w:rPr>
                <w:rFonts w:ascii="宋体" w:hAnsi="宋体" w:cs="宋体"/>
                <w:b/>
                <w:color w:val="auto"/>
                <w:kern w:val="0"/>
                <w:highlight w:val="none"/>
              </w:rPr>
            </w:pPr>
          </w:p>
        </w:tc>
        <w:tc>
          <w:tcPr>
            <w:tcW w:w="1161" w:type="dxa"/>
            <w:vMerge w:val="continue"/>
            <w:vAlign w:val="center"/>
          </w:tcPr>
          <w:p>
            <w:pPr>
              <w:spacing w:line="300" w:lineRule="exact"/>
              <w:jc w:val="center"/>
              <w:rPr>
                <w:rFonts w:ascii="宋体" w:hAnsi="宋体" w:cs="宋体"/>
                <w:color w:val="auto"/>
                <w:kern w:val="0"/>
                <w:highlight w:val="none"/>
              </w:rPr>
            </w:pPr>
          </w:p>
        </w:tc>
        <w:tc>
          <w:tcPr>
            <w:tcW w:w="1506" w:type="dxa"/>
            <w:vAlign w:val="center"/>
          </w:tcPr>
          <w:p>
            <w:pPr>
              <w:spacing w:line="300" w:lineRule="exact"/>
              <w:rPr>
                <w:rFonts w:ascii="宋体" w:hAnsi="宋体" w:cs="宋体"/>
                <w:color w:val="auto"/>
                <w:kern w:val="0"/>
                <w:highlight w:val="none"/>
              </w:rPr>
            </w:pPr>
            <w:r>
              <w:rPr>
                <w:rFonts w:hint="eastAsia" w:ascii="宋体" w:hAnsi="宋体" w:cs="宋体"/>
                <w:color w:val="auto"/>
                <w:kern w:val="0"/>
                <w:highlight w:val="none"/>
              </w:rPr>
              <w:t>人员要求</w:t>
            </w:r>
          </w:p>
        </w:tc>
        <w:tc>
          <w:tcPr>
            <w:tcW w:w="6323" w:type="dxa"/>
            <w:vAlign w:val="center"/>
          </w:tcPr>
          <w:p>
            <w:pPr>
              <w:spacing w:line="300" w:lineRule="exact"/>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91" w:type="dxa"/>
            <w:vMerge w:val="continue"/>
            <w:vAlign w:val="center"/>
          </w:tcPr>
          <w:p>
            <w:pPr>
              <w:spacing w:line="300" w:lineRule="exact"/>
              <w:jc w:val="center"/>
              <w:rPr>
                <w:rFonts w:ascii="宋体" w:hAnsi="宋体" w:cs="宋体"/>
                <w:b/>
                <w:color w:val="auto"/>
                <w:kern w:val="0"/>
                <w:highlight w:val="none"/>
              </w:rPr>
            </w:pPr>
          </w:p>
        </w:tc>
        <w:tc>
          <w:tcPr>
            <w:tcW w:w="1161" w:type="dxa"/>
            <w:vMerge w:val="continue"/>
            <w:vAlign w:val="center"/>
          </w:tcPr>
          <w:p>
            <w:pPr>
              <w:spacing w:line="300" w:lineRule="exact"/>
              <w:jc w:val="center"/>
              <w:rPr>
                <w:rFonts w:ascii="宋体" w:hAnsi="宋体" w:cs="宋体"/>
                <w:color w:val="auto"/>
                <w:kern w:val="0"/>
                <w:highlight w:val="none"/>
              </w:rPr>
            </w:pPr>
          </w:p>
        </w:tc>
        <w:tc>
          <w:tcPr>
            <w:tcW w:w="1506" w:type="dxa"/>
            <w:vAlign w:val="center"/>
          </w:tcPr>
          <w:p>
            <w:pPr>
              <w:spacing w:line="300" w:lineRule="exact"/>
              <w:jc w:val="left"/>
              <w:rPr>
                <w:rFonts w:ascii="宋体" w:hAnsi="宋体" w:cs="宋体"/>
                <w:color w:val="auto"/>
                <w:kern w:val="1"/>
                <w:highlight w:val="none"/>
              </w:rPr>
            </w:pPr>
            <w:r>
              <w:rPr>
                <w:rFonts w:hint="eastAsia" w:ascii="宋体" w:hAnsi="宋体" w:cs="宋体"/>
                <w:color w:val="auto"/>
                <w:kern w:val="1"/>
                <w:highlight w:val="none"/>
              </w:rPr>
              <w:t>信誉要求</w:t>
            </w:r>
          </w:p>
        </w:tc>
        <w:tc>
          <w:tcPr>
            <w:tcW w:w="6323" w:type="dxa"/>
            <w:vAlign w:val="center"/>
          </w:tcPr>
          <w:p>
            <w:pPr>
              <w:spacing w:line="300" w:lineRule="exact"/>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91" w:type="dxa"/>
            <w:vMerge w:val="restart"/>
            <w:vAlign w:val="center"/>
          </w:tcPr>
          <w:p>
            <w:pPr>
              <w:spacing w:line="300" w:lineRule="exact"/>
              <w:jc w:val="center"/>
              <w:rPr>
                <w:rFonts w:ascii="宋体" w:hAnsi="宋体" w:cs="宋体"/>
                <w:b/>
                <w:color w:val="auto"/>
                <w:kern w:val="0"/>
                <w:highlight w:val="none"/>
              </w:rPr>
            </w:pPr>
            <w:r>
              <w:rPr>
                <w:rFonts w:hint="eastAsia" w:ascii="宋体" w:hAnsi="宋体" w:cs="宋体"/>
                <w:color w:val="auto"/>
                <w:kern w:val="0"/>
                <w:highlight w:val="none"/>
              </w:rPr>
              <w:t>2.1.2</w:t>
            </w:r>
          </w:p>
        </w:tc>
        <w:tc>
          <w:tcPr>
            <w:tcW w:w="1161" w:type="dxa"/>
            <w:vMerge w:val="restart"/>
            <w:vAlign w:val="center"/>
          </w:tcPr>
          <w:p>
            <w:pPr>
              <w:spacing w:line="300" w:lineRule="exact"/>
              <w:jc w:val="center"/>
              <w:rPr>
                <w:rFonts w:ascii="宋体" w:hAnsi="宋体" w:cs="宋体"/>
                <w:color w:val="auto"/>
                <w:kern w:val="0"/>
                <w:highlight w:val="none"/>
              </w:rPr>
            </w:pPr>
            <w:r>
              <w:rPr>
                <w:rFonts w:ascii="宋体" w:hAnsi="宋体"/>
                <w:color w:val="auto"/>
                <w:kern w:val="0"/>
                <w:highlight w:val="none"/>
              </w:rPr>
              <w:t>形式评审标准</w:t>
            </w:r>
          </w:p>
        </w:tc>
        <w:tc>
          <w:tcPr>
            <w:tcW w:w="1506" w:type="dxa"/>
            <w:vAlign w:val="center"/>
          </w:tcPr>
          <w:p>
            <w:pPr>
              <w:spacing w:line="300" w:lineRule="exact"/>
              <w:jc w:val="center"/>
              <w:rPr>
                <w:rFonts w:ascii="宋体" w:hAnsi="宋体" w:cs="宋体"/>
                <w:color w:val="auto"/>
                <w:kern w:val="0"/>
                <w:highlight w:val="none"/>
              </w:rPr>
            </w:pPr>
            <w:r>
              <w:rPr>
                <w:rFonts w:hint="eastAsia" w:ascii="宋体" w:hAnsi="宋体" w:cs="宋体"/>
                <w:color w:val="auto"/>
                <w:kern w:val="0"/>
                <w:highlight w:val="none"/>
              </w:rPr>
              <w:t>投标人名称</w:t>
            </w:r>
          </w:p>
        </w:tc>
        <w:tc>
          <w:tcPr>
            <w:tcW w:w="6323" w:type="dxa"/>
            <w:vAlign w:val="center"/>
          </w:tcPr>
          <w:p>
            <w:pPr>
              <w:spacing w:line="300" w:lineRule="exact"/>
              <w:rPr>
                <w:rFonts w:ascii="宋体" w:hAnsi="宋体" w:cs="宋体"/>
                <w:color w:val="auto"/>
                <w:kern w:val="0"/>
                <w:highlight w:val="none"/>
              </w:rPr>
            </w:pPr>
            <w:r>
              <w:rPr>
                <w:rFonts w:hint="eastAsia" w:ascii="宋体" w:hAnsi="宋体" w:cs="宋体"/>
                <w:color w:val="auto"/>
                <w:kern w:val="0"/>
                <w:highlight w:val="none"/>
              </w:rPr>
              <w:t>与营业执照上的名称一致。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91" w:type="dxa"/>
            <w:vMerge w:val="continue"/>
            <w:vAlign w:val="center"/>
          </w:tcPr>
          <w:p>
            <w:pPr>
              <w:spacing w:line="300" w:lineRule="exact"/>
              <w:jc w:val="center"/>
              <w:rPr>
                <w:rFonts w:ascii="宋体" w:hAnsi="宋体" w:cs="宋体"/>
                <w:color w:val="auto"/>
                <w:kern w:val="0"/>
                <w:highlight w:val="none"/>
              </w:rPr>
            </w:pPr>
          </w:p>
        </w:tc>
        <w:tc>
          <w:tcPr>
            <w:tcW w:w="1161" w:type="dxa"/>
            <w:vMerge w:val="continue"/>
            <w:vAlign w:val="center"/>
          </w:tcPr>
          <w:p>
            <w:pPr>
              <w:spacing w:line="300" w:lineRule="exact"/>
              <w:jc w:val="center"/>
              <w:rPr>
                <w:rFonts w:ascii="宋体" w:hAnsi="宋体" w:cs="宋体"/>
                <w:color w:val="auto"/>
                <w:kern w:val="0"/>
                <w:highlight w:val="none"/>
              </w:rPr>
            </w:pPr>
          </w:p>
        </w:tc>
        <w:tc>
          <w:tcPr>
            <w:tcW w:w="1506" w:type="dxa"/>
            <w:vAlign w:val="center"/>
          </w:tcPr>
          <w:p>
            <w:pPr>
              <w:spacing w:line="300" w:lineRule="exact"/>
              <w:jc w:val="center"/>
              <w:rPr>
                <w:rFonts w:ascii="宋体" w:hAnsi="宋体" w:cs="宋体"/>
                <w:color w:val="auto"/>
                <w:kern w:val="0"/>
                <w:highlight w:val="none"/>
              </w:rPr>
            </w:pPr>
            <w:r>
              <w:rPr>
                <w:rFonts w:hint="eastAsia" w:ascii="宋体" w:hAnsi="宋体" w:cs="宋体"/>
                <w:color w:val="auto"/>
                <w:kern w:val="0"/>
                <w:highlight w:val="none"/>
              </w:rPr>
              <w:t>投标函签名盖章</w:t>
            </w:r>
          </w:p>
        </w:tc>
        <w:tc>
          <w:tcPr>
            <w:tcW w:w="6323" w:type="dxa"/>
            <w:vAlign w:val="center"/>
          </w:tcPr>
          <w:p>
            <w:pPr>
              <w:spacing w:line="300" w:lineRule="exact"/>
              <w:rPr>
                <w:rFonts w:ascii="宋体" w:hAnsi="宋体" w:cs="宋体"/>
                <w:color w:val="auto"/>
                <w:kern w:val="0"/>
                <w:highlight w:val="none"/>
              </w:rPr>
            </w:pPr>
            <w:r>
              <w:rPr>
                <w:rFonts w:ascii="宋体" w:hAnsi="宋体"/>
                <w:color w:val="auto"/>
                <w:kern w:val="0"/>
                <w:highlight w:val="none"/>
              </w:rPr>
              <w:t>投标函格式规定签</w:t>
            </w:r>
            <w:r>
              <w:rPr>
                <w:rFonts w:hint="eastAsia" w:ascii="宋体" w:hAnsi="宋体"/>
                <w:color w:val="auto"/>
                <w:kern w:val="0"/>
                <w:highlight w:val="none"/>
              </w:rPr>
              <w:t>名、</w:t>
            </w:r>
            <w:r>
              <w:rPr>
                <w:rFonts w:ascii="宋体" w:hAnsi="宋体"/>
                <w:color w:val="auto"/>
                <w:kern w:val="0"/>
                <w:highlight w:val="none"/>
              </w:rPr>
              <w:t>盖章的位置有法定代表人或其委托代理人签</w:t>
            </w:r>
            <w:r>
              <w:rPr>
                <w:rFonts w:hint="eastAsia" w:ascii="宋体" w:hAnsi="宋体"/>
                <w:color w:val="auto"/>
                <w:kern w:val="0"/>
                <w:highlight w:val="none"/>
              </w:rPr>
              <w:t>名</w:t>
            </w:r>
            <w:r>
              <w:rPr>
                <w:rFonts w:ascii="宋体" w:hAnsi="宋体"/>
                <w:color w:val="auto"/>
                <w:kern w:val="0"/>
                <w:highlight w:val="none"/>
              </w:rPr>
              <w:t>（或盖章）、加盖单位法人章。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91" w:type="dxa"/>
            <w:vMerge w:val="continue"/>
            <w:vAlign w:val="center"/>
          </w:tcPr>
          <w:p>
            <w:pPr>
              <w:spacing w:line="300" w:lineRule="exact"/>
              <w:jc w:val="center"/>
              <w:rPr>
                <w:rFonts w:ascii="宋体" w:hAnsi="宋体" w:cs="宋体"/>
                <w:color w:val="auto"/>
                <w:kern w:val="0"/>
                <w:highlight w:val="none"/>
              </w:rPr>
            </w:pPr>
          </w:p>
        </w:tc>
        <w:tc>
          <w:tcPr>
            <w:tcW w:w="1161" w:type="dxa"/>
            <w:vMerge w:val="continue"/>
            <w:vAlign w:val="center"/>
          </w:tcPr>
          <w:p>
            <w:pPr>
              <w:spacing w:line="300" w:lineRule="exact"/>
              <w:jc w:val="center"/>
              <w:rPr>
                <w:rFonts w:ascii="宋体" w:hAnsi="宋体" w:cs="宋体"/>
                <w:color w:val="auto"/>
                <w:kern w:val="0"/>
                <w:highlight w:val="none"/>
              </w:rPr>
            </w:pPr>
          </w:p>
        </w:tc>
        <w:tc>
          <w:tcPr>
            <w:tcW w:w="1506" w:type="dxa"/>
            <w:vAlign w:val="center"/>
          </w:tcPr>
          <w:p>
            <w:pPr>
              <w:spacing w:line="300" w:lineRule="exact"/>
              <w:jc w:val="center"/>
              <w:rPr>
                <w:rFonts w:ascii="宋体" w:hAnsi="宋体" w:cs="宋体"/>
                <w:color w:val="auto"/>
                <w:kern w:val="0"/>
                <w:highlight w:val="none"/>
              </w:rPr>
            </w:pPr>
            <w:r>
              <w:rPr>
                <w:rFonts w:hint="eastAsia" w:ascii="宋体" w:hAnsi="宋体" w:cs="宋体"/>
                <w:color w:val="auto"/>
                <w:kern w:val="0"/>
                <w:highlight w:val="none"/>
              </w:rPr>
              <w:t>投标文件格式</w:t>
            </w:r>
          </w:p>
        </w:tc>
        <w:tc>
          <w:tcPr>
            <w:tcW w:w="6323" w:type="dxa"/>
            <w:vAlign w:val="center"/>
          </w:tcPr>
          <w:p>
            <w:pPr>
              <w:spacing w:line="300" w:lineRule="exact"/>
              <w:rPr>
                <w:rFonts w:ascii="宋体" w:hAnsi="宋体" w:cs="宋体"/>
                <w:color w:val="auto"/>
                <w:kern w:val="0"/>
                <w:highlight w:val="none"/>
              </w:rPr>
            </w:pPr>
            <w:r>
              <w:rPr>
                <w:rFonts w:ascii="宋体" w:hAnsi="宋体"/>
                <w:color w:val="auto"/>
                <w:kern w:val="0"/>
                <w:highlight w:val="none"/>
              </w:rPr>
              <w:t>符合</w:t>
            </w:r>
            <w:r>
              <w:rPr>
                <w:rFonts w:hint="eastAsia" w:ascii="宋体" w:hAnsi="宋体"/>
                <w:color w:val="auto"/>
                <w:kern w:val="0"/>
                <w:highlight w:val="none"/>
              </w:rPr>
              <w:t>第二</w:t>
            </w:r>
            <w:r>
              <w:rPr>
                <w:rFonts w:ascii="宋体" w:hAnsi="宋体"/>
                <w:color w:val="auto"/>
                <w:kern w:val="0"/>
                <w:highlight w:val="none"/>
              </w:rPr>
              <w:t>章“</w:t>
            </w:r>
            <w:r>
              <w:rPr>
                <w:rFonts w:hint="eastAsia" w:ascii="宋体" w:hAnsi="宋体"/>
                <w:color w:val="auto"/>
                <w:kern w:val="0"/>
                <w:highlight w:val="none"/>
              </w:rPr>
              <w:t>投标人须知</w:t>
            </w:r>
            <w:r>
              <w:rPr>
                <w:rFonts w:ascii="宋体" w:hAnsi="宋体"/>
                <w:color w:val="auto"/>
                <w:kern w:val="0"/>
                <w:highlight w:val="none"/>
              </w:rPr>
              <w:t>”</w:t>
            </w:r>
            <w:r>
              <w:rPr>
                <w:rFonts w:hint="eastAsia" w:ascii="宋体" w:hAnsi="宋体"/>
                <w:color w:val="auto"/>
                <w:kern w:val="0"/>
                <w:highlight w:val="none"/>
              </w:rPr>
              <w:t>第3.7款</w:t>
            </w:r>
            <w:r>
              <w:rPr>
                <w:rFonts w:ascii="宋体" w:hAnsi="宋体"/>
                <w:color w:val="auto"/>
                <w:kern w:val="0"/>
                <w:highlight w:val="none"/>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91" w:type="dxa"/>
            <w:vMerge w:val="continue"/>
            <w:vAlign w:val="center"/>
          </w:tcPr>
          <w:p>
            <w:pPr>
              <w:spacing w:line="300" w:lineRule="exact"/>
              <w:jc w:val="center"/>
              <w:rPr>
                <w:rFonts w:ascii="宋体" w:hAnsi="宋体" w:cs="宋体"/>
                <w:color w:val="auto"/>
                <w:kern w:val="0"/>
                <w:highlight w:val="none"/>
              </w:rPr>
            </w:pPr>
          </w:p>
        </w:tc>
        <w:tc>
          <w:tcPr>
            <w:tcW w:w="1161" w:type="dxa"/>
            <w:vMerge w:val="continue"/>
            <w:vAlign w:val="center"/>
          </w:tcPr>
          <w:p>
            <w:pPr>
              <w:spacing w:line="300" w:lineRule="exact"/>
              <w:jc w:val="center"/>
              <w:rPr>
                <w:rFonts w:ascii="宋体" w:hAnsi="宋体" w:cs="宋体"/>
                <w:color w:val="auto"/>
                <w:kern w:val="0"/>
                <w:highlight w:val="none"/>
              </w:rPr>
            </w:pPr>
          </w:p>
        </w:tc>
        <w:tc>
          <w:tcPr>
            <w:tcW w:w="1506" w:type="dxa"/>
            <w:vAlign w:val="center"/>
          </w:tcPr>
          <w:p>
            <w:pPr>
              <w:spacing w:line="300" w:lineRule="exact"/>
              <w:jc w:val="center"/>
              <w:rPr>
                <w:rFonts w:ascii="宋体" w:hAnsi="宋体"/>
                <w:color w:val="auto"/>
                <w:kern w:val="0"/>
                <w:highlight w:val="none"/>
              </w:rPr>
            </w:pPr>
            <w:r>
              <w:rPr>
                <w:rFonts w:hint="eastAsia" w:ascii="宋体" w:hAnsi="宋体"/>
                <w:color w:val="auto"/>
                <w:kern w:val="0"/>
                <w:highlight w:val="none"/>
              </w:rPr>
              <w:t>投标文件份数</w:t>
            </w:r>
          </w:p>
        </w:tc>
        <w:tc>
          <w:tcPr>
            <w:tcW w:w="6323" w:type="dxa"/>
            <w:vAlign w:val="center"/>
          </w:tcPr>
          <w:p>
            <w:pPr>
              <w:spacing w:line="300" w:lineRule="exact"/>
              <w:rPr>
                <w:rFonts w:ascii="宋体" w:hAnsi="宋体"/>
                <w:color w:val="auto"/>
                <w:kern w:val="0"/>
                <w:highlight w:val="none"/>
              </w:rPr>
            </w:pPr>
            <w:r>
              <w:rPr>
                <w:rFonts w:hint="eastAsia" w:ascii="宋体" w:hAnsi="宋体"/>
                <w:color w:val="auto"/>
                <w:kern w:val="0"/>
                <w:highlight w:val="none"/>
              </w:rPr>
              <w:t>符合第二章“投标人须知”第3.7.4项规定。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91" w:type="dxa"/>
            <w:vMerge w:val="continue"/>
            <w:vAlign w:val="center"/>
          </w:tcPr>
          <w:p>
            <w:pPr>
              <w:spacing w:line="300" w:lineRule="exact"/>
              <w:jc w:val="center"/>
              <w:rPr>
                <w:rFonts w:ascii="宋体" w:hAnsi="宋体" w:cs="宋体"/>
                <w:color w:val="auto"/>
                <w:kern w:val="0"/>
                <w:highlight w:val="none"/>
              </w:rPr>
            </w:pPr>
          </w:p>
        </w:tc>
        <w:tc>
          <w:tcPr>
            <w:tcW w:w="1161" w:type="dxa"/>
            <w:vMerge w:val="continue"/>
            <w:vAlign w:val="center"/>
          </w:tcPr>
          <w:p>
            <w:pPr>
              <w:spacing w:line="300" w:lineRule="exact"/>
              <w:jc w:val="center"/>
              <w:rPr>
                <w:rFonts w:ascii="宋体" w:hAnsi="宋体" w:cs="宋体"/>
                <w:color w:val="auto"/>
                <w:kern w:val="0"/>
                <w:highlight w:val="none"/>
              </w:rPr>
            </w:pPr>
          </w:p>
        </w:tc>
        <w:tc>
          <w:tcPr>
            <w:tcW w:w="1506" w:type="dxa"/>
            <w:vAlign w:val="center"/>
          </w:tcPr>
          <w:p>
            <w:pPr>
              <w:spacing w:line="300" w:lineRule="exact"/>
              <w:jc w:val="center"/>
              <w:rPr>
                <w:rFonts w:ascii="宋体" w:hAnsi="宋体" w:cs="宋体"/>
                <w:color w:val="auto"/>
                <w:kern w:val="0"/>
                <w:highlight w:val="none"/>
              </w:rPr>
            </w:pPr>
            <w:r>
              <w:rPr>
                <w:rFonts w:hint="eastAsia" w:ascii="宋体" w:hAnsi="宋体" w:cs="宋体"/>
                <w:color w:val="auto"/>
                <w:kern w:val="0"/>
                <w:highlight w:val="none"/>
              </w:rPr>
              <w:t>报价唯一</w:t>
            </w:r>
          </w:p>
        </w:tc>
        <w:tc>
          <w:tcPr>
            <w:tcW w:w="6323" w:type="dxa"/>
            <w:vAlign w:val="center"/>
          </w:tcPr>
          <w:p>
            <w:pPr>
              <w:spacing w:line="300" w:lineRule="exact"/>
              <w:rPr>
                <w:rFonts w:ascii="宋体" w:hAnsi="宋体" w:cs="宋体"/>
                <w:color w:val="auto"/>
                <w:kern w:val="0"/>
                <w:highlight w:val="none"/>
              </w:rPr>
            </w:pPr>
            <w:r>
              <w:rPr>
                <w:rFonts w:ascii="宋体" w:hAnsi="宋体"/>
                <w:color w:val="auto"/>
                <w:kern w:val="0"/>
                <w:highlight w:val="none"/>
              </w:rPr>
              <w:t>只能有一个有效报价，在招标文件没有规定的情况下，不得提交选择性报价。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91" w:type="dxa"/>
            <w:vMerge w:val="continue"/>
            <w:vAlign w:val="center"/>
          </w:tcPr>
          <w:p>
            <w:pPr>
              <w:spacing w:line="300" w:lineRule="exact"/>
              <w:jc w:val="center"/>
              <w:rPr>
                <w:rFonts w:ascii="宋体" w:hAnsi="宋体" w:cs="宋体"/>
                <w:color w:val="auto"/>
                <w:kern w:val="0"/>
                <w:highlight w:val="none"/>
              </w:rPr>
            </w:pPr>
          </w:p>
        </w:tc>
        <w:tc>
          <w:tcPr>
            <w:tcW w:w="1161" w:type="dxa"/>
            <w:vMerge w:val="continue"/>
            <w:vAlign w:val="center"/>
          </w:tcPr>
          <w:p>
            <w:pPr>
              <w:spacing w:line="300" w:lineRule="exact"/>
              <w:jc w:val="center"/>
              <w:rPr>
                <w:rFonts w:ascii="宋体" w:hAnsi="宋体" w:cs="宋体"/>
                <w:color w:val="auto"/>
                <w:kern w:val="0"/>
                <w:highlight w:val="none"/>
              </w:rPr>
            </w:pPr>
          </w:p>
        </w:tc>
        <w:tc>
          <w:tcPr>
            <w:tcW w:w="1506" w:type="dxa"/>
            <w:vAlign w:val="center"/>
          </w:tcPr>
          <w:p>
            <w:pPr>
              <w:spacing w:line="300" w:lineRule="exact"/>
              <w:jc w:val="center"/>
              <w:rPr>
                <w:rFonts w:ascii="宋体" w:hAnsi="宋体" w:cs="宋体"/>
                <w:color w:val="auto"/>
                <w:kern w:val="0"/>
                <w:highlight w:val="none"/>
              </w:rPr>
            </w:pPr>
            <w:r>
              <w:rPr>
                <w:rFonts w:hint="eastAsia" w:ascii="宋体" w:hAnsi="宋体" w:cs="宋体"/>
                <w:color w:val="auto"/>
                <w:kern w:val="0"/>
                <w:highlight w:val="none"/>
              </w:rPr>
              <w:t>投标文件的签署</w:t>
            </w:r>
          </w:p>
        </w:tc>
        <w:tc>
          <w:tcPr>
            <w:tcW w:w="6323" w:type="dxa"/>
            <w:vAlign w:val="center"/>
          </w:tcPr>
          <w:p>
            <w:pPr>
              <w:spacing w:line="300" w:lineRule="exact"/>
              <w:rPr>
                <w:rFonts w:ascii="宋体" w:hAnsi="宋体" w:cs="宋体"/>
                <w:color w:val="auto"/>
                <w:kern w:val="0"/>
                <w:highlight w:val="none"/>
              </w:rPr>
            </w:pPr>
            <w:r>
              <w:rPr>
                <w:rFonts w:hint="eastAsia" w:ascii="宋体" w:hAnsi="宋体"/>
                <w:color w:val="auto"/>
                <w:highlight w:val="none"/>
              </w:rPr>
              <w:t>第五章</w:t>
            </w:r>
            <w:r>
              <w:rPr>
                <w:rFonts w:hint="eastAsia" w:ascii="宋体" w:hAnsi="宋体" w:cs="宋体"/>
                <w:color w:val="auto"/>
                <w:kern w:val="0"/>
                <w:highlight w:val="none"/>
              </w:rPr>
              <w:t xml:space="preserve"> 投标文件格式要求法定代表人或其委托代理人签字（或盖章）的须齐全。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91" w:type="dxa"/>
            <w:vMerge w:val="continue"/>
            <w:vAlign w:val="center"/>
          </w:tcPr>
          <w:p>
            <w:pPr>
              <w:spacing w:line="300" w:lineRule="exact"/>
              <w:jc w:val="center"/>
              <w:rPr>
                <w:rFonts w:ascii="宋体" w:hAnsi="宋体" w:cs="宋体"/>
                <w:color w:val="auto"/>
                <w:kern w:val="0"/>
                <w:highlight w:val="none"/>
              </w:rPr>
            </w:pPr>
          </w:p>
        </w:tc>
        <w:tc>
          <w:tcPr>
            <w:tcW w:w="1161" w:type="dxa"/>
            <w:vMerge w:val="continue"/>
            <w:vAlign w:val="center"/>
          </w:tcPr>
          <w:p>
            <w:pPr>
              <w:spacing w:line="300" w:lineRule="exact"/>
              <w:jc w:val="center"/>
              <w:rPr>
                <w:rFonts w:ascii="宋体" w:hAnsi="宋体" w:cs="宋体"/>
                <w:color w:val="auto"/>
                <w:kern w:val="0"/>
                <w:highlight w:val="none"/>
              </w:rPr>
            </w:pPr>
          </w:p>
        </w:tc>
        <w:tc>
          <w:tcPr>
            <w:tcW w:w="1506" w:type="dxa"/>
            <w:vAlign w:val="center"/>
          </w:tcPr>
          <w:p>
            <w:pPr>
              <w:spacing w:line="300" w:lineRule="exact"/>
              <w:jc w:val="center"/>
              <w:rPr>
                <w:rFonts w:ascii="宋体" w:hAnsi="宋体" w:cs="宋体"/>
                <w:color w:val="auto"/>
                <w:kern w:val="0"/>
                <w:highlight w:val="none"/>
              </w:rPr>
            </w:pPr>
            <w:r>
              <w:rPr>
                <w:rFonts w:hint="eastAsia" w:ascii="宋体" w:hAnsi="宋体" w:cs="宋体"/>
                <w:color w:val="auto"/>
                <w:kern w:val="0"/>
                <w:highlight w:val="none"/>
              </w:rPr>
              <w:t>委托代理人</w:t>
            </w:r>
          </w:p>
        </w:tc>
        <w:tc>
          <w:tcPr>
            <w:tcW w:w="6323" w:type="dxa"/>
            <w:vAlign w:val="center"/>
          </w:tcPr>
          <w:p>
            <w:pPr>
              <w:spacing w:line="300" w:lineRule="exact"/>
              <w:rPr>
                <w:rFonts w:ascii="宋体" w:hAnsi="宋体" w:cs="宋体"/>
                <w:color w:val="auto"/>
                <w:kern w:val="0"/>
                <w:highlight w:val="none"/>
              </w:rPr>
            </w:pPr>
            <w:r>
              <w:rPr>
                <w:rFonts w:hint="eastAsia" w:ascii="宋体" w:hAnsi="宋体" w:cs="宋体"/>
                <w:color w:val="auto"/>
                <w:kern w:val="0"/>
                <w:highlight w:val="none"/>
              </w:rPr>
              <w:t>投标人法定代表人的委托代理人有法定代表人签署的授权委托书，且其授权委托书符合招标文件规定的格式。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91" w:type="dxa"/>
            <w:vMerge w:val="restart"/>
            <w:vAlign w:val="center"/>
          </w:tcPr>
          <w:p>
            <w:pPr>
              <w:spacing w:line="300" w:lineRule="exact"/>
              <w:jc w:val="center"/>
              <w:rPr>
                <w:rFonts w:ascii="宋体" w:hAnsi="宋体" w:cs="宋体"/>
                <w:color w:val="auto"/>
                <w:kern w:val="0"/>
                <w:highlight w:val="none"/>
              </w:rPr>
            </w:pPr>
            <w:r>
              <w:rPr>
                <w:rFonts w:hint="eastAsia" w:ascii="宋体" w:hAnsi="宋体" w:cs="宋体"/>
                <w:color w:val="auto"/>
                <w:kern w:val="0"/>
                <w:highlight w:val="none"/>
              </w:rPr>
              <w:t>2.1.3</w:t>
            </w:r>
          </w:p>
        </w:tc>
        <w:tc>
          <w:tcPr>
            <w:tcW w:w="1161" w:type="dxa"/>
            <w:vMerge w:val="restart"/>
            <w:vAlign w:val="center"/>
          </w:tcPr>
          <w:p>
            <w:pPr>
              <w:spacing w:line="300" w:lineRule="exact"/>
              <w:jc w:val="center"/>
              <w:rPr>
                <w:rFonts w:ascii="宋体" w:hAnsi="宋体" w:cs="宋体"/>
                <w:color w:val="auto"/>
                <w:kern w:val="0"/>
                <w:highlight w:val="none"/>
              </w:rPr>
            </w:pPr>
            <w:r>
              <w:rPr>
                <w:rFonts w:hint="eastAsia" w:ascii="宋体" w:hAnsi="宋体" w:cs="宋体"/>
                <w:color w:val="auto"/>
                <w:kern w:val="0"/>
                <w:highlight w:val="none"/>
              </w:rPr>
              <w:t>响应性评审标准</w:t>
            </w:r>
          </w:p>
        </w:tc>
        <w:tc>
          <w:tcPr>
            <w:tcW w:w="1506" w:type="dxa"/>
            <w:vAlign w:val="center"/>
          </w:tcPr>
          <w:p>
            <w:pPr>
              <w:spacing w:line="300" w:lineRule="exact"/>
              <w:jc w:val="center"/>
              <w:rPr>
                <w:rFonts w:ascii="宋体" w:hAnsi="宋体" w:cs="宋体"/>
                <w:color w:val="auto"/>
                <w:kern w:val="0"/>
                <w:highlight w:val="none"/>
              </w:rPr>
            </w:pPr>
            <w:r>
              <w:rPr>
                <w:rFonts w:hint="eastAsia" w:ascii="宋体" w:hAnsi="宋体" w:cs="宋体"/>
                <w:color w:val="auto"/>
                <w:kern w:val="0"/>
                <w:highlight w:val="none"/>
              </w:rPr>
              <w:t>投标报价</w:t>
            </w:r>
          </w:p>
        </w:tc>
        <w:tc>
          <w:tcPr>
            <w:tcW w:w="6323" w:type="dxa"/>
            <w:vAlign w:val="center"/>
          </w:tcPr>
          <w:p>
            <w:pPr>
              <w:spacing w:line="300" w:lineRule="exact"/>
              <w:rPr>
                <w:rFonts w:ascii="宋体" w:hAnsi="宋体" w:cs="宋体"/>
                <w:color w:val="auto"/>
                <w:kern w:val="0"/>
                <w:highlight w:val="none"/>
              </w:rPr>
            </w:pPr>
            <w:r>
              <w:rPr>
                <w:rFonts w:hint="eastAsia" w:ascii="宋体" w:hAnsi="宋体" w:cs="宋体"/>
                <w:color w:val="auto"/>
                <w:kern w:val="0"/>
                <w:highlight w:val="none"/>
              </w:rPr>
              <w:t>投标人所填报的投标</w:t>
            </w:r>
            <w:r>
              <w:rPr>
                <w:rFonts w:hint="eastAsia" w:ascii="宋体" w:hAnsi="宋体" w:cs="宋体"/>
                <w:color w:val="auto"/>
                <w:kern w:val="0"/>
                <w:highlight w:val="none"/>
                <w:lang w:val="en-US" w:eastAsia="zh-CN"/>
              </w:rPr>
              <w:t>单价及</w:t>
            </w:r>
            <w:r>
              <w:rPr>
                <w:rFonts w:hint="eastAsia" w:ascii="宋体" w:hAnsi="宋体" w:cs="宋体"/>
                <w:color w:val="auto"/>
                <w:kern w:val="0"/>
                <w:highlight w:val="none"/>
              </w:rPr>
              <w:t>总报价不得超过招标人给出的最高</w:t>
            </w:r>
            <w:r>
              <w:rPr>
                <w:rFonts w:hint="eastAsia" w:ascii="宋体" w:hAnsi="宋体" w:cs="宋体"/>
                <w:color w:val="auto"/>
                <w:kern w:val="0"/>
                <w:highlight w:val="none"/>
                <w:lang w:val="en-US" w:eastAsia="zh-CN"/>
              </w:rPr>
              <w:t>单价限价及</w:t>
            </w:r>
            <w:r>
              <w:rPr>
                <w:rFonts w:hint="eastAsia" w:ascii="宋体" w:hAnsi="宋体" w:cs="宋体"/>
                <w:color w:val="auto"/>
                <w:kern w:val="0"/>
                <w:highlight w:val="none"/>
              </w:rPr>
              <w:t>总限价，否则作否决投标处理。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91" w:type="dxa"/>
            <w:vMerge w:val="continue"/>
            <w:vAlign w:val="center"/>
          </w:tcPr>
          <w:p>
            <w:pPr>
              <w:spacing w:line="300" w:lineRule="exact"/>
              <w:jc w:val="center"/>
              <w:rPr>
                <w:rFonts w:ascii="宋体" w:hAnsi="宋体" w:cs="宋体"/>
                <w:color w:val="auto"/>
                <w:kern w:val="0"/>
                <w:highlight w:val="none"/>
              </w:rPr>
            </w:pPr>
          </w:p>
        </w:tc>
        <w:tc>
          <w:tcPr>
            <w:tcW w:w="1161" w:type="dxa"/>
            <w:vMerge w:val="continue"/>
            <w:vAlign w:val="center"/>
          </w:tcPr>
          <w:p>
            <w:pPr>
              <w:spacing w:line="300" w:lineRule="exact"/>
              <w:jc w:val="center"/>
              <w:rPr>
                <w:rFonts w:ascii="宋体" w:hAnsi="宋体" w:cs="宋体"/>
                <w:b/>
                <w:color w:val="auto"/>
                <w:kern w:val="0"/>
                <w:highlight w:val="none"/>
              </w:rPr>
            </w:pPr>
          </w:p>
        </w:tc>
        <w:tc>
          <w:tcPr>
            <w:tcW w:w="1506" w:type="dxa"/>
            <w:vAlign w:val="center"/>
          </w:tcPr>
          <w:p>
            <w:pPr>
              <w:spacing w:line="300" w:lineRule="exact"/>
              <w:jc w:val="center"/>
              <w:rPr>
                <w:rFonts w:ascii="宋体" w:hAnsi="宋体" w:cs="宋体"/>
                <w:color w:val="auto"/>
                <w:kern w:val="0"/>
                <w:highlight w:val="none"/>
              </w:rPr>
            </w:pPr>
            <w:r>
              <w:rPr>
                <w:rFonts w:hint="eastAsia" w:ascii="宋体" w:hAnsi="宋体" w:cs="宋体"/>
                <w:color w:val="auto"/>
                <w:kern w:val="0"/>
                <w:highlight w:val="none"/>
              </w:rPr>
              <w:t>投标内容</w:t>
            </w:r>
          </w:p>
        </w:tc>
        <w:tc>
          <w:tcPr>
            <w:tcW w:w="6323" w:type="dxa"/>
            <w:vAlign w:val="center"/>
          </w:tcPr>
          <w:p>
            <w:pPr>
              <w:spacing w:line="300" w:lineRule="exact"/>
              <w:rPr>
                <w:rFonts w:ascii="宋体" w:hAnsi="宋体" w:cs="宋体"/>
                <w:color w:val="auto"/>
                <w:kern w:val="0"/>
                <w:highlight w:val="none"/>
              </w:rPr>
            </w:pPr>
            <w:r>
              <w:rPr>
                <w:rFonts w:hint="eastAsia" w:ascii="宋体" w:hAnsi="宋体" w:cs="宋体"/>
                <w:color w:val="auto"/>
                <w:kern w:val="0"/>
                <w:highlight w:val="none"/>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91" w:type="dxa"/>
            <w:vMerge w:val="continue"/>
            <w:vAlign w:val="center"/>
          </w:tcPr>
          <w:p>
            <w:pPr>
              <w:spacing w:line="300" w:lineRule="exact"/>
              <w:jc w:val="center"/>
              <w:rPr>
                <w:rFonts w:ascii="宋体" w:hAnsi="宋体" w:cs="宋体"/>
                <w:color w:val="auto"/>
                <w:kern w:val="0"/>
                <w:highlight w:val="none"/>
              </w:rPr>
            </w:pPr>
          </w:p>
        </w:tc>
        <w:tc>
          <w:tcPr>
            <w:tcW w:w="1161" w:type="dxa"/>
            <w:vMerge w:val="continue"/>
            <w:vAlign w:val="center"/>
          </w:tcPr>
          <w:p>
            <w:pPr>
              <w:spacing w:line="300" w:lineRule="exact"/>
              <w:jc w:val="center"/>
              <w:rPr>
                <w:rFonts w:ascii="宋体" w:hAnsi="宋体" w:cs="宋体"/>
                <w:b/>
                <w:color w:val="auto"/>
                <w:kern w:val="0"/>
                <w:highlight w:val="none"/>
              </w:rPr>
            </w:pPr>
          </w:p>
        </w:tc>
        <w:tc>
          <w:tcPr>
            <w:tcW w:w="1506" w:type="dxa"/>
            <w:vAlign w:val="center"/>
          </w:tcPr>
          <w:p>
            <w:pPr>
              <w:spacing w:line="300" w:lineRule="exact"/>
              <w:jc w:val="center"/>
              <w:rPr>
                <w:rFonts w:ascii="宋体" w:hAnsi="宋体" w:cs="宋体"/>
                <w:color w:val="auto"/>
                <w:kern w:val="0"/>
                <w:highlight w:val="none"/>
              </w:rPr>
            </w:pPr>
            <w:r>
              <w:rPr>
                <w:rFonts w:hint="eastAsia" w:ascii="宋体" w:hAnsi="宋体" w:cs="宋体"/>
                <w:color w:val="auto"/>
                <w:kern w:val="0"/>
                <w:highlight w:val="none"/>
              </w:rPr>
              <w:t>服务期限</w:t>
            </w:r>
          </w:p>
        </w:tc>
        <w:tc>
          <w:tcPr>
            <w:tcW w:w="6323" w:type="dxa"/>
          </w:tcPr>
          <w:p>
            <w:pPr>
              <w:spacing w:line="300" w:lineRule="exact"/>
              <w:jc w:val="left"/>
              <w:rPr>
                <w:rFonts w:ascii="宋体" w:hAnsi="宋体" w:cs="宋体"/>
                <w:color w:val="auto"/>
                <w:kern w:val="0"/>
                <w:highlight w:val="none"/>
              </w:rPr>
            </w:pPr>
            <w:r>
              <w:rPr>
                <w:rFonts w:hint="eastAsia" w:ascii="宋体" w:hAnsi="宋体" w:cs="宋体"/>
                <w:color w:val="auto"/>
                <w:kern w:val="0"/>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91" w:type="dxa"/>
            <w:vMerge w:val="continue"/>
            <w:vAlign w:val="center"/>
          </w:tcPr>
          <w:p>
            <w:pPr>
              <w:spacing w:line="300" w:lineRule="exact"/>
              <w:jc w:val="center"/>
              <w:rPr>
                <w:rFonts w:ascii="宋体" w:hAnsi="宋体" w:cs="宋体"/>
                <w:color w:val="auto"/>
                <w:kern w:val="0"/>
                <w:highlight w:val="none"/>
              </w:rPr>
            </w:pPr>
          </w:p>
        </w:tc>
        <w:tc>
          <w:tcPr>
            <w:tcW w:w="1161" w:type="dxa"/>
            <w:vMerge w:val="continue"/>
            <w:vAlign w:val="center"/>
          </w:tcPr>
          <w:p>
            <w:pPr>
              <w:spacing w:line="300" w:lineRule="exact"/>
              <w:jc w:val="center"/>
              <w:rPr>
                <w:rFonts w:ascii="宋体" w:hAnsi="宋体" w:cs="宋体"/>
                <w:b/>
                <w:color w:val="auto"/>
                <w:kern w:val="0"/>
                <w:highlight w:val="none"/>
              </w:rPr>
            </w:pPr>
          </w:p>
        </w:tc>
        <w:tc>
          <w:tcPr>
            <w:tcW w:w="1506" w:type="dxa"/>
            <w:vAlign w:val="center"/>
          </w:tcPr>
          <w:p>
            <w:pPr>
              <w:spacing w:line="300" w:lineRule="exact"/>
              <w:jc w:val="center"/>
              <w:rPr>
                <w:rFonts w:ascii="宋体" w:hAnsi="宋体" w:cs="宋体"/>
                <w:color w:val="auto"/>
                <w:kern w:val="0"/>
                <w:highlight w:val="none"/>
              </w:rPr>
            </w:pPr>
            <w:r>
              <w:rPr>
                <w:rFonts w:hint="eastAsia" w:ascii="宋体" w:hAnsi="宋体" w:cs="宋体"/>
                <w:color w:val="auto"/>
                <w:kern w:val="0"/>
                <w:highlight w:val="none"/>
              </w:rPr>
              <w:t>服务内容</w:t>
            </w:r>
          </w:p>
        </w:tc>
        <w:tc>
          <w:tcPr>
            <w:tcW w:w="6323" w:type="dxa"/>
          </w:tcPr>
          <w:p>
            <w:pPr>
              <w:spacing w:line="300" w:lineRule="exact"/>
              <w:jc w:val="left"/>
              <w:rPr>
                <w:rFonts w:ascii="宋体" w:hAnsi="宋体" w:cs="宋体"/>
                <w:color w:val="auto"/>
                <w:kern w:val="0"/>
                <w:highlight w:val="none"/>
              </w:rPr>
            </w:pPr>
            <w:r>
              <w:rPr>
                <w:rFonts w:hint="eastAsia" w:ascii="宋体" w:hAnsi="宋体" w:cs="宋体"/>
                <w:color w:val="auto"/>
                <w:kern w:val="0"/>
                <w:highlight w:val="none"/>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91" w:type="dxa"/>
            <w:vMerge w:val="continue"/>
            <w:vAlign w:val="center"/>
          </w:tcPr>
          <w:p>
            <w:pPr>
              <w:spacing w:line="300" w:lineRule="exact"/>
              <w:jc w:val="center"/>
              <w:rPr>
                <w:rFonts w:ascii="宋体" w:hAnsi="宋体" w:cs="宋体"/>
                <w:color w:val="auto"/>
                <w:kern w:val="0"/>
                <w:highlight w:val="none"/>
              </w:rPr>
            </w:pPr>
          </w:p>
        </w:tc>
        <w:tc>
          <w:tcPr>
            <w:tcW w:w="1161" w:type="dxa"/>
            <w:vMerge w:val="continue"/>
            <w:vAlign w:val="center"/>
          </w:tcPr>
          <w:p>
            <w:pPr>
              <w:spacing w:line="300" w:lineRule="exact"/>
              <w:jc w:val="center"/>
              <w:rPr>
                <w:rFonts w:ascii="宋体" w:hAnsi="宋体" w:cs="宋体"/>
                <w:b/>
                <w:color w:val="auto"/>
                <w:kern w:val="0"/>
                <w:highlight w:val="none"/>
              </w:rPr>
            </w:pPr>
          </w:p>
        </w:tc>
        <w:tc>
          <w:tcPr>
            <w:tcW w:w="1506" w:type="dxa"/>
            <w:vAlign w:val="center"/>
          </w:tcPr>
          <w:p>
            <w:pPr>
              <w:spacing w:line="300" w:lineRule="exact"/>
              <w:jc w:val="center"/>
              <w:rPr>
                <w:rFonts w:ascii="宋体" w:hAnsi="宋体" w:cs="宋体"/>
                <w:color w:val="auto"/>
                <w:kern w:val="0"/>
                <w:highlight w:val="none"/>
              </w:rPr>
            </w:pPr>
            <w:r>
              <w:rPr>
                <w:rFonts w:hint="eastAsia" w:ascii="宋体" w:hAnsi="宋体" w:cs="宋体"/>
                <w:color w:val="auto"/>
                <w:kern w:val="0"/>
                <w:highlight w:val="none"/>
              </w:rPr>
              <w:t>投标有效期</w:t>
            </w:r>
          </w:p>
        </w:tc>
        <w:tc>
          <w:tcPr>
            <w:tcW w:w="6323" w:type="dxa"/>
          </w:tcPr>
          <w:p>
            <w:pPr>
              <w:spacing w:line="300" w:lineRule="exact"/>
              <w:jc w:val="left"/>
              <w:rPr>
                <w:rFonts w:ascii="宋体" w:hAnsi="宋体" w:cs="宋体"/>
                <w:color w:val="auto"/>
                <w:kern w:val="0"/>
                <w:highlight w:val="none"/>
              </w:rPr>
            </w:pPr>
            <w:r>
              <w:rPr>
                <w:rFonts w:hint="eastAsia" w:ascii="宋体" w:hAnsi="宋体" w:cs="宋体"/>
                <w:color w:val="auto"/>
                <w:kern w:val="0"/>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91" w:type="dxa"/>
            <w:vMerge w:val="continue"/>
            <w:vAlign w:val="center"/>
          </w:tcPr>
          <w:p>
            <w:pPr>
              <w:spacing w:line="300" w:lineRule="exact"/>
              <w:jc w:val="center"/>
              <w:rPr>
                <w:rFonts w:ascii="宋体" w:hAnsi="宋体" w:cs="宋体"/>
                <w:color w:val="auto"/>
                <w:kern w:val="0"/>
                <w:highlight w:val="none"/>
              </w:rPr>
            </w:pPr>
          </w:p>
        </w:tc>
        <w:tc>
          <w:tcPr>
            <w:tcW w:w="1161" w:type="dxa"/>
            <w:vMerge w:val="continue"/>
            <w:vAlign w:val="center"/>
          </w:tcPr>
          <w:p>
            <w:pPr>
              <w:spacing w:line="300" w:lineRule="exact"/>
              <w:jc w:val="center"/>
              <w:rPr>
                <w:rFonts w:ascii="宋体" w:hAnsi="宋体" w:cs="宋体"/>
                <w:b/>
                <w:color w:val="auto"/>
                <w:kern w:val="0"/>
                <w:highlight w:val="none"/>
              </w:rPr>
            </w:pPr>
          </w:p>
        </w:tc>
        <w:tc>
          <w:tcPr>
            <w:tcW w:w="1506" w:type="dxa"/>
            <w:vAlign w:val="center"/>
          </w:tcPr>
          <w:p>
            <w:pPr>
              <w:spacing w:line="300" w:lineRule="exact"/>
              <w:jc w:val="center"/>
              <w:rPr>
                <w:rFonts w:ascii="宋体" w:hAnsi="宋体" w:cs="宋体"/>
                <w:color w:val="auto"/>
                <w:kern w:val="0"/>
                <w:highlight w:val="none"/>
              </w:rPr>
            </w:pPr>
            <w:r>
              <w:rPr>
                <w:rFonts w:hint="eastAsia" w:ascii="宋体" w:hAnsi="宋体" w:cs="宋体"/>
                <w:color w:val="auto"/>
                <w:kern w:val="0"/>
                <w:highlight w:val="none"/>
              </w:rPr>
              <w:t>投标保证金</w:t>
            </w:r>
          </w:p>
        </w:tc>
        <w:tc>
          <w:tcPr>
            <w:tcW w:w="6323" w:type="dxa"/>
            <w:vAlign w:val="center"/>
          </w:tcPr>
          <w:p>
            <w:pPr>
              <w:spacing w:line="300" w:lineRule="exact"/>
              <w:jc w:val="left"/>
              <w:rPr>
                <w:rFonts w:ascii="宋体" w:hAnsi="宋体" w:cs="宋体"/>
                <w:color w:val="auto"/>
                <w:kern w:val="0"/>
                <w:highlight w:val="none"/>
              </w:rPr>
            </w:pPr>
            <w:r>
              <w:rPr>
                <w:rFonts w:hint="eastAsia" w:ascii="宋体" w:hAnsi="宋体" w:cs="宋体"/>
                <w:color w:val="auto"/>
                <w:kern w:val="0"/>
                <w:highlight w:val="none"/>
              </w:rPr>
              <w:t>符合第二章投标人须知前附表第3.4.1项规定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91" w:type="dxa"/>
            <w:vMerge w:val="continue"/>
            <w:vAlign w:val="center"/>
          </w:tcPr>
          <w:p>
            <w:pPr>
              <w:spacing w:line="300" w:lineRule="exact"/>
              <w:jc w:val="center"/>
              <w:rPr>
                <w:rFonts w:ascii="宋体" w:hAnsi="宋体" w:cs="宋体"/>
                <w:color w:val="auto"/>
                <w:kern w:val="0"/>
                <w:highlight w:val="none"/>
              </w:rPr>
            </w:pPr>
          </w:p>
        </w:tc>
        <w:tc>
          <w:tcPr>
            <w:tcW w:w="1161" w:type="dxa"/>
            <w:vMerge w:val="continue"/>
            <w:vAlign w:val="center"/>
          </w:tcPr>
          <w:p>
            <w:pPr>
              <w:spacing w:line="300" w:lineRule="exact"/>
              <w:jc w:val="center"/>
              <w:rPr>
                <w:rFonts w:ascii="宋体" w:hAnsi="宋体" w:cs="宋体"/>
                <w:color w:val="auto"/>
                <w:kern w:val="0"/>
                <w:highlight w:val="none"/>
              </w:rPr>
            </w:pPr>
          </w:p>
        </w:tc>
        <w:tc>
          <w:tcPr>
            <w:tcW w:w="1506" w:type="dxa"/>
            <w:vAlign w:val="center"/>
          </w:tcPr>
          <w:p>
            <w:pPr>
              <w:spacing w:line="300" w:lineRule="exact"/>
              <w:jc w:val="center"/>
              <w:rPr>
                <w:rFonts w:ascii="宋体" w:hAnsi="宋体" w:cs="宋体"/>
                <w:color w:val="auto"/>
                <w:kern w:val="0"/>
                <w:highlight w:val="none"/>
              </w:rPr>
            </w:pPr>
            <w:r>
              <w:rPr>
                <w:rFonts w:hint="eastAsia" w:ascii="宋体" w:hAnsi="宋体" w:cs="宋体"/>
                <w:color w:val="auto"/>
                <w:kern w:val="0"/>
                <w:highlight w:val="none"/>
              </w:rPr>
              <w:t>权利义务</w:t>
            </w:r>
          </w:p>
        </w:tc>
        <w:tc>
          <w:tcPr>
            <w:tcW w:w="6323" w:type="dxa"/>
            <w:vAlign w:val="center"/>
          </w:tcPr>
          <w:p>
            <w:pPr>
              <w:spacing w:line="300" w:lineRule="exact"/>
              <w:rPr>
                <w:rFonts w:ascii="宋体" w:hAnsi="宋体" w:cs="宋体"/>
                <w:color w:val="auto"/>
                <w:kern w:val="0"/>
                <w:highlight w:val="none"/>
              </w:rPr>
            </w:pPr>
            <w:r>
              <w:rPr>
                <w:rFonts w:hint="eastAsia" w:ascii="宋体" w:hAnsi="宋体" w:cs="宋体"/>
                <w:color w:val="auto"/>
                <w:kern w:val="0"/>
                <w:highlight w:val="none"/>
              </w:rPr>
              <w:t>符合第四章“合同条款及格式”规定，投标文件不应附有招标人不能接受的条件。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91" w:type="dxa"/>
            <w:vMerge w:val="continue"/>
            <w:vAlign w:val="center"/>
          </w:tcPr>
          <w:p>
            <w:pPr>
              <w:spacing w:line="300" w:lineRule="exact"/>
              <w:jc w:val="center"/>
              <w:rPr>
                <w:rFonts w:ascii="宋体" w:hAnsi="宋体" w:cs="宋体"/>
                <w:color w:val="auto"/>
                <w:kern w:val="0"/>
                <w:highlight w:val="none"/>
              </w:rPr>
            </w:pPr>
          </w:p>
        </w:tc>
        <w:tc>
          <w:tcPr>
            <w:tcW w:w="1161" w:type="dxa"/>
            <w:vMerge w:val="continue"/>
            <w:vAlign w:val="center"/>
          </w:tcPr>
          <w:p>
            <w:pPr>
              <w:spacing w:line="300" w:lineRule="exact"/>
              <w:jc w:val="center"/>
              <w:rPr>
                <w:rFonts w:ascii="宋体" w:hAnsi="宋体" w:cs="宋体"/>
                <w:color w:val="auto"/>
                <w:kern w:val="0"/>
                <w:highlight w:val="none"/>
              </w:rPr>
            </w:pPr>
          </w:p>
        </w:tc>
        <w:tc>
          <w:tcPr>
            <w:tcW w:w="1506" w:type="dxa"/>
            <w:vAlign w:val="center"/>
          </w:tcPr>
          <w:p>
            <w:pPr>
              <w:spacing w:line="300" w:lineRule="exact"/>
              <w:jc w:val="center"/>
              <w:rPr>
                <w:rFonts w:ascii="宋体" w:hAnsi="宋体" w:cs="宋体"/>
                <w:color w:val="auto"/>
                <w:kern w:val="0"/>
                <w:highlight w:val="none"/>
              </w:rPr>
            </w:pPr>
            <w:r>
              <w:rPr>
                <w:rFonts w:hint="eastAsia" w:ascii="宋体" w:hAnsi="宋体" w:cs="宋体"/>
                <w:color w:val="auto"/>
                <w:kern w:val="0"/>
                <w:highlight w:val="none"/>
              </w:rPr>
              <w:t>服务标准和要求</w:t>
            </w:r>
          </w:p>
        </w:tc>
        <w:tc>
          <w:tcPr>
            <w:tcW w:w="6323" w:type="dxa"/>
            <w:vAlign w:val="center"/>
          </w:tcPr>
          <w:p>
            <w:pPr>
              <w:spacing w:line="300" w:lineRule="exact"/>
              <w:rPr>
                <w:rFonts w:ascii="宋体" w:hAnsi="宋体" w:cs="宋体"/>
                <w:color w:val="auto"/>
                <w:kern w:val="0"/>
                <w:highlight w:val="none"/>
              </w:rPr>
            </w:pPr>
            <w:r>
              <w:rPr>
                <w:rFonts w:hint="eastAsia" w:ascii="宋体" w:hAnsi="宋体" w:cs="宋体"/>
                <w:color w:val="auto"/>
                <w:kern w:val="0"/>
                <w:highlight w:val="none"/>
              </w:rPr>
              <w:t>符合</w:t>
            </w:r>
            <w:r>
              <w:rPr>
                <w:rFonts w:hint="eastAsia" w:ascii="宋体" w:hAnsi="宋体" w:cs="宋体"/>
                <w:color w:val="auto"/>
                <w:highlight w:val="none"/>
              </w:rPr>
              <w:t>第五章“服务标准和要求”的规定。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91" w:type="dxa"/>
            <w:vMerge w:val="continue"/>
            <w:vAlign w:val="center"/>
          </w:tcPr>
          <w:p>
            <w:pPr>
              <w:spacing w:line="300" w:lineRule="exact"/>
              <w:jc w:val="center"/>
              <w:rPr>
                <w:rFonts w:ascii="宋体" w:hAnsi="宋体" w:cs="宋体"/>
                <w:color w:val="auto"/>
                <w:kern w:val="0"/>
                <w:highlight w:val="none"/>
              </w:rPr>
            </w:pPr>
          </w:p>
        </w:tc>
        <w:tc>
          <w:tcPr>
            <w:tcW w:w="1161" w:type="dxa"/>
            <w:vMerge w:val="continue"/>
            <w:vAlign w:val="center"/>
          </w:tcPr>
          <w:p>
            <w:pPr>
              <w:spacing w:line="300" w:lineRule="exact"/>
              <w:jc w:val="center"/>
              <w:rPr>
                <w:rFonts w:ascii="宋体" w:hAnsi="宋体" w:cs="宋体"/>
                <w:color w:val="auto"/>
                <w:kern w:val="0"/>
                <w:highlight w:val="none"/>
              </w:rPr>
            </w:pPr>
          </w:p>
        </w:tc>
        <w:tc>
          <w:tcPr>
            <w:tcW w:w="1506" w:type="dxa"/>
            <w:vAlign w:val="center"/>
          </w:tcPr>
          <w:p>
            <w:pPr>
              <w:spacing w:line="300" w:lineRule="exact"/>
              <w:jc w:val="center"/>
              <w:rPr>
                <w:rFonts w:ascii="宋体" w:hAnsi="宋体" w:cs="宋体"/>
                <w:color w:val="auto"/>
                <w:kern w:val="0"/>
                <w:highlight w:val="none"/>
              </w:rPr>
            </w:pPr>
            <w:r>
              <w:rPr>
                <w:rFonts w:ascii="宋体" w:hAnsi="宋体"/>
                <w:color w:val="auto"/>
                <w:kern w:val="0"/>
                <w:highlight w:val="none"/>
              </w:rPr>
              <w:t>实质性要求</w:t>
            </w:r>
          </w:p>
        </w:tc>
        <w:tc>
          <w:tcPr>
            <w:tcW w:w="6323" w:type="dxa"/>
            <w:vAlign w:val="center"/>
          </w:tcPr>
          <w:p>
            <w:pPr>
              <w:numPr>
                <w:ilvl w:val="0"/>
                <w:numId w:val="6"/>
              </w:numPr>
              <w:spacing w:line="300" w:lineRule="exact"/>
              <w:rPr>
                <w:rFonts w:ascii="宋体" w:hAnsi="宋体" w:cs="宋体"/>
                <w:bCs/>
                <w:color w:val="auto"/>
                <w:highlight w:val="none"/>
              </w:rPr>
            </w:pPr>
            <w:r>
              <w:rPr>
                <w:rFonts w:hint="eastAsia" w:ascii="宋体" w:hAnsi="宋体" w:cs="宋体"/>
                <w:bCs/>
                <w:color w:val="auto"/>
                <w:highlight w:val="none"/>
              </w:rPr>
              <w:t>符合第二章“投标人须知”第1.4.3项规定。</w:t>
            </w:r>
          </w:p>
          <w:p>
            <w:pPr>
              <w:numPr>
                <w:ilvl w:val="0"/>
                <w:numId w:val="6"/>
              </w:numPr>
              <w:spacing w:line="300" w:lineRule="exact"/>
              <w:rPr>
                <w:rFonts w:ascii="宋体" w:hAnsi="宋体" w:cs="宋体"/>
                <w:bCs/>
                <w:color w:val="auto"/>
                <w:highlight w:val="none"/>
              </w:rPr>
            </w:pPr>
            <w:r>
              <w:rPr>
                <w:rFonts w:hint="eastAsia" w:ascii="宋体" w:hAnsi="宋体" w:cs="宋体"/>
                <w:bCs/>
                <w:color w:val="auto"/>
                <w:highlight w:val="none"/>
              </w:rPr>
              <w:t>本次投标不得有串通投标、弄虚作假等其他违反招投标相关法律、法规行为。</w:t>
            </w:r>
          </w:p>
          <w:p>
            <w:pPr>
              <w:numPr>
                <w:ilvl w:val="0"/>
                <w:numId w:val="6"/>
              </w:numPr>
              <w:spacing w:line="300" w:lineRule="exact"/>
              <w:rPr>
                <w:rFonts w:ascii="宋体" w:hAnsi="宋体" w:cs="宋体"/>
                <w:color w:val="auto"/>
                <w:kern w:val="0"/>
                <w:highlight w:val="none"/>
              </w:rPr>
            </w:pPr>
            <w:r>
              <w:rPr>
                <w:rFonts w:hint="eastAsia" w:ascii="宋体" w:hAnsi="宋体" w:cs="宋体"/>
                <w:bCs/>
                <w:color w:val="auto"/>
                <w:highlight w:val="none"/>
              </w:rPr>
              <w:t>按评标委员会要求澄清、说明或补正。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91" w:type="dxa"/>
            <w:vAlign w:val="center"/>
          </w:tcPr>
          <w:p>
            <w:pPr>
              <w:spacing w:line="300" w:lineRule="exact"/>
              <w:jc w:val="center"/>
              <w:rPr>
                <w:rFonts w:ascii="宋体" w:hAnsi="宋体" w:cs="宋体"/>
                <w:color w:val="auto"/>
                <w:kern w:val="0"/>
                <w:highlight w:val="none"/>
              </w:rPr>
            </w:pPr>
            <w:r>
              <w:rPr>
                <w:rFonts w:hint="eastAsia" w:ascii="宋体" w:hAnsi="宋体" w:cs="宋体"/>
                <w:color w:val="auto"/>
                <w:kern w:val="0"/>
                <w:highlight w:val="none"/>
              </w:rPr>
              <w:t>3.1.3</w:t>
            </w:r>
          </w:p>
        </w:tc>
        <w:tc>
          <w:tcPr>
            <w:tcW w:w="1161" w:type="dxa"/>
            <w:vAlign w:val="center"/>
          </w:tcPr>
          <w:p>
            <w:pPr>
              <w:spacing w:line="300" w:lineRule="exact"/>
              <w:jc w:val="center"/>
              <w:rPr>
                <w:rFonts w:ascii="宋体" w:hAnsi="宋体" w:cs="宋体"/>
                <w:color w:val="auto"/>
                <w:kern w:val="0"/>
                <w:highlight w:val="none"/>
              </w:rPr>
            </w:pPr>
            <w:r>
              <w:rPr>
                <w:rFonts w:hint="eastAsia" w:ascii="宋体" w:hAnsi="宋体"/>
                <w:color w:val="auto"/>
                <w:highlight w:val="none"/>
              </w:rPr>
              <w:t>投标报价算术错误修正</w:t>
            </w:r>
          </w:p>
        </w:tc>
        <w:tc>
          <w:tcPr>
            <w:tcW w:w="7829" w:type="dxa"/>
            <w:gridSpan w:val="2"/>
            <w:vAlign w:val="center"/>
          </w:tcPr>
          <w:p>
            <w:pPr>
              <w:spacing w:line="360" w:lineRule="exact"/>
              <w:ind w:firstLine="420" w:firstLineChars="200"/>
              <w:rPr>
                <w:rFonts w:ascii="宋体" w:hAnsi="宋体"/>
                <w:color w:val="auto"/>
                <w:highlight w:val="none"/>
              </w:rPr>
            </w:pPr>
            <w:r>
              <w:rPr>
                <w:rFonts w:ascii="宋体" w:hAnsi="宋体"/>
                <w:color w:val="auto"/>
                <w:highlight w:val="none"/>
              </w:rPr>
              <w:t>投标报价有算术错误及其他错误的，评标委员会按以下原则要求投标人对投标报价进行修正，并要求投标人书面澄清确认。投标人拒不澄清确认的，评标委员会应当否决其投标：</w:t>
            </w:r>
          </w:p>
          <w:p>
            <w:pPr>
              <w:spacing w:line="360" w:lineRule="exact"/>
              <w:ind w:firstLine="420" w:firstLineChars="200"/>
              <w:rPr>
                <w:rFonts w:ascii="宋体" w:hAnsi="宋体"/>
                <w:color w:val="auto"/>
                <w:highlight w:val="none"/>
              </w:rPr>
            </w:pPr>
            <w:r>
              <w:rPr>
                <w:rFonts w:ascii="宋体" w:hAnsi="宋体"/>
                <w:color w:val="auto"/>
                <w:highlight w:val="none"/>
              </w:rPr>
              <w:t>（1）投标文件中的大写金额与小写金额不一致的，以大写金额为准；</w:t>
            </w:r>
          </w:p>
          <w:p>
            <w:pPr>
              <w:spacing w:line="360" w:lineRule="exact"/>
              <w:ind w:firstLine="420" w:firstLineChars="200"/>
              <w:rPr>
                <w:rFonts w:ascii="宋体" w:hAnsi="宋体"/>
                <w:color w:val="auto"/>
                <w:highlight w:val="none"/>
              </w:rPr>
            </w:pPr>
            <w:r>
              <w:rPr>
                <w:rFonts w:ascii="宋体" w:hAnsi="宋体"/>
                <w:color w:val="auto"/>
                <w:highlight w:val="none"/>
              </w:rPr>
              <w:t>（2）总价金额与单价金额不一致的，以单价金额为准，但单价金额小数点有明显错误的除外；</w:t>
            </w:r>
          </w:p>
          <w:p>
            <w:pPr>
              <w:spacing w:line="360" w:lineRule="exact"/>
              <w:ind w:firstLine="420" w:firstLineChars="200"/>
              <w:rPr>
                <w:rFonts w:ascii="宋体" w:hAnsi="宋体"/>
                <w:caps/>
                <w:color w:val="auto"/>
                <w:highlight w:val="none"/>
              </w:rPr>
            </w:pPr>
            <w:r>
              <w:rPr>
                <w:rFonts w:ascii="宋体" w:hAnsi="宋体"/>
                <w:color w:val="auto"/>
                <w:highlight w:val="none"/>
              </w:rPr>
              <w:t>（3）投标报价为各分项报价金额之和，投标报价与分项报价的合价不一致的，应以各分项合价累计数为准，修正投标报价；</w:t>
            </w:r>
          </w:p>
          <w:p>
            <w:pPr>
              <w:spacing w:line="300" w:lineRule="exact"/>
              <w:rPr>
                <w:rFonts w:ascii="宋体" w:hAnsi="宋体" w:cs="宋体"/>
                <w:bCs/>
                <w:color w:val="auto"/>
                <w:highlight w:val="none"/>
              </w:rPr>
            </w:pPr>
            <w:r>
              <w:rPr>
                <w:rFonts w:ascii="宋体" w:hAnsi="宋体"/>
                <w:color w:val="auto"/>
                <w:highlight w:val="none"/>
              </w:rPr>
              <w:t>（4）如果分项报价中存在缺漏项，则视为缺漏项价格已包含在其他分项报价之中。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1" w:type="dxa"/>
            <w:vAlign w:val="center"/>
          </w:tcPr>
          <w:p>
            <w:pPr>
              <w:spacing w:line="300" w:lineRule="exact"/>
              <w:jc w:val="center"/>
              <w:rPr>
                <w:rFonts w:ascii="宋体" w:hAnsi="宋体" w:cs="宋体"/>
                <w:color w:val="auto"/>
                <w:kern w:val="0"/>
                <w:highlight w:val="none"/>
              </w:rPr>
            </w:pPr>
            <w:r>
              <w:rPr>
                <w:rFonts w:hint="eastAsia" w:ascii="宋体" w:hAnsi="宋体" w:cs="宋体"/>
                <w:color w:val="auto"/>
                <w:kern w:val="0"/>
                <w:highlight w:val="none"/>
              </w:rPr>
              <w:t>3.2.3</w:t>
            </w:r>
          </w:p>
        </w:tc>
        <w:tc>
          <w:tcPr>
            <w:tcW w:w="1161" w:type="dxa"/>
            <w:vAlign w:val="center"/>
          </w:tcPr>
          <w:p>
            <w:pPr>
              <w:widowControl/>
              <w:spacing w:line="300" w:lineRule="exact"/>
              <w:jc w:val="center"/>
              <w:rPr>
                <w:rFonts w:ascii="宋体" w:hAnsi="宋体" w:cs="宋体"/>
                <w:color w:val="auto"/>
                <w:kern w:val="0"/>
                <w:highlight w:val="none"/>
              </w:rPr>
            </w:pPr>
            <w:r>
              <w:rPr>
                <w:rFonts w:hint="eastAsia" w:ascii="宋体" w:hAnsi="宋体" w:cs="宋体"/>
                <w:color w:val="auto"/>
                <w:kern w:val="0"/>
                <w:highlight w:val="none"/>
              </w:rPr>
              <w:t>评标结果</w:t>
            </w:r>
          </w:p>
        </w:tc>
        <w:tc>
          <w:tcPr>
            <w:tcW w:w="7829" w:type="dxa"/>
            <w:gridSpan w:val="2"/>
            <w:vAlign w:val="center"/>
          </w:tcPr>
          <w:p>
            <w:pPr>
              <w:spacing w:line="300" w:lineRule="exact"/>
              <w:rPr>
                <w:rFonts w:ascii="宋体" w:hAnsi="宋体" w:cs="宋体"/>
                <w:color w:val="auto"/>
                <w:highlight w:val="none"/>
              </w:rPr>
            </w:pPr>
            <w:r>
              <w:rPr>
                <w:rFonts w:hint="eastAsia" w:ascii="宋体" w:hAnsi="宋体" w:cs="宋体"/>
                <w:color w:val="auto"/>
                <w:highlight w:val="none"/>
              </w:rPr>
              <w:t>本项目评标采用经评审的最低投标价法，对通过详细评审的有效投标人按照投标报价由低到高先后顺序，依次推荐1-3名中标候选人。若不足3名，则只选取相应的数量</w:t>
            </w:r>
            <w:r>
              <w:rPr>
                <w:rStyle w:val="29"/>
                <w:rFonts w:hint="eastAsia"/>
                <w:color w:val="auto"/>
                <w:highlight w:val="none"/>
                <w:lang w:eastAsia="zh-CN"/>
              </w:rPr>
              <w:t>，</w:t>
            </w:r>
            <w:r>
              <w:rPr>
                <w:rFonts w:hint="eastAsia" w:ascii="宋体" w:hAnsi="宋体" w:cs="宋体"/>
                <w:color w:val="auto"/>
                <w:szCs w:val="21"/>
                <w:highlight w:val="none"/>
              </w:rPr>
              <w:t>若出现投标总报价相同时，按本章第1条原则推荐</w:t>
            </w:r>
            <w:r>
              <w:rPr>
                <w:rFonts w:hint="eastAsia" w:ascii="宋体" w:hAnsi="宋体" w:cs="宋体"/>
                <w:color w:val="auto"/>
                <w:highlight w:val="none"/>
              </w:rPr>
              <w:t>。</w:t>
            </w:r>
          </w:p>
        </w:tc>
      </w:tr>
    </w:tbl>
    <w:p>
      <w:pPr>
        <w:spacing w:line="360" w:lineRule="auto"/>
        <w:rPr>
          <w:rFonts w:ascii="宋体" w:hAnsi="宋体" w:cs="宋体"/>
          <w:b/>
          <w:bCs/>
          <w:color w:val="auto"/>
          <w:highlight w:val="none"/>
        </w:rPr>
        <w:sectPr>
          <w:headerReference r:id="rId7" w:type="default"/>
          <w:footerReference r:id="rId8" w:type="default"/>
          <w:pgSz w:w="11906" w:h="16838"/>
          <w:pgMar w:top="1474" w:right="1304" w:bottom="1247" w:left="1418" w:header="851" w:footer="992" w:gutter="0"/>
          <w:cols w:space="720" w:num="1"/>
        </w:sectPr>
      </w:pPr>
      <w:bookmarkStart w:id="435" w:name="_Toc2216"/>
      <w:bookmarkStart w:id="436" w:name="_Toc38297063"/>
      <w:bookmarkStart w:id="437" w:name="_Toc43455582"/>
      <w:bookmarkStart w:id="438" w:name="_Toc4982"/>
      <w:bookmarkStart w:id="439" w:name="_Toc12228"/>
    </w:p>
    <w:p>
      <w:pPr>
        <w:spacing w:line="360" w:lineRule="auto"/>
        <w:rPr>
          <w:rFonts w:ascii="宋体" w:hAnsi="宋体" w:cs="宋体"/>
          <w:b/>
          <w:bCs/>
          <w:color w:val="auto"/>
          <w:highlight w:val="none"/>
        </w:rPr>
      </w:pPr>
      <w:r>
        <w:rPr>
          <w:rFonts w:hint="eastAsia" w:ascii="宋体" w:hAnsi="宋体" w:cs="宋体"/>
          <w:b/>
          <w:bCs/>
          <w:color w:val="auto"/>
          <w:highlight w:val="none"/>
        </w:rPr>
        <w:t>以下为评标办法正文部分：</w:t>
      </w:r>
      <w:bookmarkEnd w:id="435"/>
      <w:bookmarkEnd w:id="436"/>
      <w:bookmarkEnd w:id="437"/>
    </w:p>
    <w:bookmarkEnd w:id="438"/>
    <w:bookmarkEnd w:id="439"/>
    <w:p>
      <w:pPr>
        <w:pStyle w:val="4"/>
        <w:spacing w:before="0" w:after="0" w:line="360" w:lineRule="exact"/>
        <w:rPr>
          <w:rFonts w:ascii="宋体" w:hAnsi="宋体"/>
          <w:b w:val="0"/>
          <w:snapToGrid w:val="0"/>
          <w:color w:val="auto"/>
          <w:highlight w:val="none"/>
        </w:rPr>
      </w:pPr>
      <w:bookmarkStart w:id="440" w:name="_Toc2957"/>
      <w:bookmarkStart w:id="441" w:name="_Toc57905897"/>
      <w:bookmarkStart w:id="442" w:name="_Toc450645165"/>
      <w:bookmarkStart w:id="443" w:name="_Toc502752470"/>
      <w:bookmarkStart w:id="444" w:name="_Toc478569018"/>
      <w:r>
        <w:rPr>
          <w:rFonts w:ascii="宋体" w:hAnsi="宋体"/>
          <w:b w:val="0"/>
          <w:snapToGrid w:val="0"/>
          <w:color w:val="auto"/>
          <w:highlight w:val="none"/>
        </w:rPr>
        <w:t>1.  评标方法</w:t>
      </w:r>
      <w:bookmarkEnd w:id="440"/>
      <w:bookmarkEnd w:id="441"/>
    </w:p>
    <w:p>
      <w:pPr>
        <w:autoSpaceDE w:val="0"/>
        <w:autoSpaceDN w:val="0"/>
        <w:adjustRightInd w:val="0"/>
        <w:spacing w:line="360" w:lineRule="exact"/>
        <w:ind w:firstLine="420" w:firstLineChars="200"/>
        <w:rPr>
          <w:rFonts w:ascii="宋体" w:hAnsi="宋体"/>
          <w:color w:val="auto"/>
          <w:kern w:val="0"/>
          <w:highlight w:val="none"/>
        </w:rPr>
      </w:pPr>
      <w:r>
        <w:rPr>
          <w:rFonts w:hint="eastAsia" w:ascii="宋体" w:hAnsi="宋体"/>
          <w:color w:val="auto"/>
          <w:kern w:val="0"/>
          <w:highlight w:val="none"/>
        </w:rPr>
        <w:t>本次评标采用经评审的最低投标价法，评标委员会按照本章第2.1款进行详细审查，审查合格的投标人中按报价由低到高推荐中标候选人，或根据招标人授权直接确定中标人。若出现投标人投标报价相同的，以评标办法前附表约定的原则确定排序。</w:t>
      </w:r>
    </w:p>
    <w:p>
      <w:pPr>
        <w:pStyle w:val="4"/>
        <w:spacing w:before="0" w:after="0" w:line="360" w:lineRule="exact"/>
        <w:rPr>
          <w:rFonts w:ascii="宋体" w:hAnsi="宋体"/>
          <w:b w:val="0"/>
          <w:snapToGrid w:val="0"/>
          <w:color w:val="auto"/>
          <w:highlight w:val="none"/>
        </w:rPr>
      </w:pPr>
      <w:bookmarkStart w:id="445" w:name="_Toc430530501"/>
      <w:bookmarkStart w:id="446" w:name="_Toc28040"/>
      <w:bookmarkStart w:id="447" w:name="_Toc287607813"/>
      <w:bookmarkStart w:id="448" w:name="_Toc287620752"/>
      <w:bookmarkStart w:id="449" w:name="_Toc277082619"/>
      <w:bookmarkStart w:id="450" w:name="_Toc200513199"/>
      <w:bookmarkStart w:id="451" w:name="_Toc509218777"/>
      <w:bookmarkStart w:id="452" w:name="_Toc224103385"/>
      <w:bookmarkStart w:id="453" w:name="_Toc57905898"/>
      <w:r>
        <w:rPr>
          <w:rFonts w:ascii="宋体" w:hAnsi="宋体"/>
          <w:b w:val="0"/>
          <w:snapToGrid w:val="0"/>
          <w:color w:val="auto"/>
          <w:highlight w:val="none"/>
        </w:rPr>
        <w:t>2.  评审标准</w:t>
      </w:r>
      <w:bookmarkEnd w:id="445"/>
      <w:bookmarkEnd w:id="446"/>
      <w:bookmarkEnd w:id="447"/>
      <w:bookmarkEnd w:id="448"/>
      <w:bookmarkEnd w:id="449"/>
      <w:bookmarkEnd w:id="450"/>
      <w:bookmarkEnd w:id="451"/>
      <w:bookmarkEnd w:id="452"/>
      <w:bookmarkEnd w:id="453"/>
    </w:p>
    <w:p>
      <w:pPr>
        <w:pStyle w:val="2"/>
        <w:spacing w:before="0" w:after="0" w:line="360" w:lineRule="exact"/>
        <w:rPr>
          <w:rFonts w:ascii="宋体" w:hAnsi="宋体"/>
          <w:b w:val="0"/>
          <w:snapToGrid w:val="0"/>
          <w:color w:val="auto"/>
          <w:sz w:val="24"/>
          <w:szCs w:val="24"/>
          <w:highlight w:val="none"/>
        </w:rPr>
      </w:pPr>
      <w:bookmarkStart w:id="454" w:name="_Toc277082620"/>
      <w:bookmarkStart w:id="455" w:name="_Toc509218778"/>
      <w:bookmarkStart w:id="456" w:name="_Toc430530502"/>
      <w:bookmarkStart w:id="457" w:name="_Toc2588"/>
      <w:bookmarkStart w:id="458" w:name="_Toc57905899"/>
      <w:bookmarkStart w:id="459" w:name="_Toc287620753"/>
      <w:bookmarkStart w:id="460" w:name="_Toc287607814"/>
      <w:bookmarkStart w:id="461" w:name="_Toc224103386"/>
      <w:bookmarkStart w:id="462" w:name="_Toc200513200"/>
      <w:r>
        <w:rPr>
          <w:rFonts w:ascii="宋体" w:hAnsi="宋体"/>
          <w:b w:val="0"/>
          <w:snapToGrid w:val="0"/>
          <w:color w:val="auto"/>
          <w:sz w:val="24"/>
          <w:szCs w:val="24"/>
          <w:highlight w:val="none"/>
        </w:rPr>
        <w:t xml:space="preserve">2.1  </w:t>
      </w:r>
      <w:r>
        <w:rPr>
          <w:rFonts w:hint="eastAsia" w:ascii="宋体" w:hAnsi="宋体"/>
          <w:b w:val="0"/>
          <w:snapToGrid w:val="0"/>
          <w:color w:val="auto"/>
          <w:sz w:val="24"/>
          <w:szCs w:val="24"/>
          <w:highlight w:val="none"/>
        </w:rPr>
        <w:t>详细</w:t>
      </w:r>
      <w:r>
        <w:rPr>
          <w:rFonts w:ascii="宋体" w:hAnsi="宋体"/>
          <w:b w:val="0"/>
          <w:snapToGrid w:val="0"/>
          <w:color w:val="auto"/>
          <w:sz w:val="24"/>
          <w:szCs w:val="24"/>
          <w:highlight w:val="none"/>
        </w:rPr>
        <w:t>评审标准</w:t>
      </w:r>
      <w:bookmarkEnd w:id="454"/>
      <w:bookmarkEnd w:id="455"/>
      <w:bookmarkEnd w:id="456"/>
      <w:bookmarkEnd w:id="457"/>
      <w:bookmarkEnd w:id="458"/>
      <w:bookmarkEnd w:id="459"/>
      <w:bookmarkEnd w:id="460"/>
      <w:bookmarkEnd w:id="461"/>
      <w:bookmarkEnd w:id="462"/>
    </w:p>
    <w:p>
      <w:pPr>
        <w:autoSpaceDE w:val="0"/>
        <w:autoSpaceDN w:val="0"/>
        <w:adjustRightInd w:val="0"/>
        <w:spacing w:line="360" w:lineRule="exact"/>
        <w:ind w:firstLine="420" w:firstLineChars="200"/>
        <w:rPr>
          <w:rFonts w:ascii="宋体" w:hAnsi="宋体"/>
          <w:color w:val="auto"/>
          <w:kern w:val="0"/>
          <w:highlight w:val="none"/>
        </w:rPr>
      </w:pPr>
      <w:r>
        <w:rPr>
          <w:rFonts w:ascii="宋体" w:hAnsi="宋体"/>
          <w:color w:val="auto"/>
          <w:kern w:val="0"/>
          <w:highlight w:val="none"/>
        </w:rPr>
        <w:t>2.1.</w:t>
      </w:r>
      <w:r>
        <w:rPr>
          <w:rFonts w:hint="eastAsia" w:ascii="宋体" w:hAnsi="宋体"/>
          <w:color w:val="auto"/>
          <w:kern w:val="0"/>
          <w:highlight w:val="none"/>
        </w:rPr>
        <w:t>1</w:t>
      </w:r>
      <w:r>
        <w:rPr>
          <w:rFonts w:ascii="宋体" w:hAnsi="宋体"/>
          <w:color w:val="auto"/>
          <w:kern w:val="0"/>
          <w:highlight w:val="none"/>
        </w:rPr>
        <w:t xml:space="preserve"> 资格评审标准：见评标办法前附表。</w:t>
      </w:r>
    </w:p>
    <w:p>
      <w:pPr>
        <w:autoSpaceDE w:val="0"/>
        <w:autoSpaceDN w:val="0"/>
        <w:adjustRightInd w:val="0"/>
        <w:spacing w:line="360" w:lineRule="exact"/>
        <w:ind w:firstLine="420" w:firstLineChars="200"/>
        <w:rPr>
          <w:rFonts w:ascii="宋体" w:hAnsi="宋体"/>
          <w:color w:val="auto"/>
          <w:kern w:val="0"/>
          <w:highlight w:val="none"/>
        </w:rPr>
      </w:pPr>
      <w:r>
        <w:rPr>
          <w:rFonts w:ascii="宋体" w:hAnsi="宋体"/>
          <w:color w:val="auto"/>
          <w:kern w:val="0"/>
          <w:highlight w:val="none"/>
        </w:rPr>
        <w:t>2.1.</w:t>
      </w:r>
      <w:r>
        <w:rPr>
          <w:rFonts w:hint="eastAsia" w:ascii="宋体" w:hAnsi="宋体"/>
          <w:color w:val="auto"/>
          <w:kern w:val="0"/>
          <w:highlight w:val="none"/>
        </w:rPr>
        <w:t>2</w:t>
      </w:r>
      <w:r>
        <w:rPr>
          <w:rFonts w:ascii="宋体" w:hAnsi="宋体"/>
          <w:color w:val="auto"/>
          <w:kern w:val="0"/>
          <w:highlight w:val="none"/>
        </w:rPr>
        <w:t xml:space="preserve"> 形式评审标准：见评标办法前附表。</w:t>
      </w:r>
    </w:p>
    <w:p>
      <w:pPr>
        <w:autoSpaceDE w:val="0"/>
        <w:autoSpaceDN w:val="0"/>
        <w:adjustRightInd w:val="0"/>
        <w:spacing w:line="360" w:lineRule="exact"/>
        <w:ind w:firstLine="420" w:firstLineChars="200"/>
        <w:rPr>
          <w:rFonts w:ascii="宋体" w:hAnsi="宋体"/>
          <w:color w:val="auto"/>
          <w:kern w:val="0"/>
          <w:highlight w:val="none"/>
        </w:rPr>
      </w:pPr>
      <w:r>
        <w:rPr>
          <w:rFonts w:ascii="宋体" w:hAnsi="宋体"/>
          <w:color w:val="auto"/>
          <w:kern w:val="0"/>
          <w:highlight w:val="none"/>
        </w:rPr>
        <w:t>2.1.3 响应性评审标准：见评标办法前附表。</w:t>
      </w:r>
    </w:p>
    <w:p>
      <w:pPr>
        <w:pStyle w:val="4"/>
        <w:spacing w:before="0" w:after="0" w:line="360" w:lineRule="exact"/>
        <w:rPr>
          <w:rFonts w:ascii="宋体" w:hAnsi="宋体"/>
          <w:b w:val="0"/>
          <w:snapToGrid w:val="0"/>
          <w:color w:val="auto"/>
          <w:highlight w:val="none"/>
        </w:rPr>
      </w:pPr>
      <w:bookmarkStart w:id="463" w:name="_Toc277082622"/>
      <w:bookmarkStart w:id="464" w:name="_Toc224103388"/>
      <w:bookmarkStart w:id="465" w:name="_Toc57905901"/>
      <w:bookmarkStart w:id="466" w:name="_Toc430530504"/>
      <w:bookmarkStart w:id="467" w:name="_Toc287620755"/>
      <w:bookmarkStart w:id="468" w:name="_Toc200513202"/>
      <w:bookmarkStart w:id="469" w:name="_Toc4568"/>
      <w:bookmarkStart w:id="470" w:name="_Toc287607816"/>
      <w:bookmarkStart w:id="471" w:name="_Toc509218780"/>
      <w:r>
        <w:rPr>
          <w:rFonts w:ascii="宋体" w:hAnsi="宋体"/>
          <w:b w:val="0"/>
          <w:snapToGrid w:val="0"/>
          <w:color w:val="auto"/>
          <w:highlight w:val="none"/>
        </w:rPr>
        <w:t>3.  评标程序</w:t>
      </w:r>
      <w:bookmarkEnd w:id="463"/>
      <w:bookmarkEnd w:id="464"/>
      <w:bookmarkEnd w:id="465"/>
      <w:bookmarkEnd w:id="466"/>
      <w:bookmarkEnd w:id="467"/>
      <w:bookmarkEnd w:id="468"/>
      <w:bookmarkEnd w:id="469"/>
      <w:bookmarkEnd w:id="470"/>
      <w:bookmarkEnd w:id="471"/>
    </w:p>
    <w:p>
      <w:pPr>
        <w:pStyle w:val="2"/>
        <w:spacing w:before="0" w:after="0" w:line="360" w:lineRule="exact"/>
        <w:rPr>
          <w:rFonts w:ascii="宋体" w:hAnsi="宋体"/>
          <w:b w:val="0"/>
          <w:snapToGrid w:val="0"/>
          <w:color w:val="auto"/>
          <w:sz w:val="24"/>
          <w:szCs w:val="24"/>
          <w:highlight w:val="none"/>
        </w:rPr>
      </w:pPr>
      <w:bookmarkStart w:id="472" w:name="_Toc277082623"/>
      <w:bookmarkStart w:id="473" w:name="_Toc509218781"/>
      <w:bookmarkStart w:id="474" w:name="_Toc287607817"/>
      <w:bookmarkStart w:id="475" w:name="_Toc224103389"/>
      <w:bookmarkStart w:id="476" w:name="_Toc287620756"/>
      <w:bookmarkStart w:id="477" w:name="_Toc57905902"/>
      <w:bookmarkStart w:id="478" w:name="_Toc200513203"/>
      <w:bookmarkStart w:id="479" w:name="_Toc430530505"/>
      <w:bookmarkStart w:id="480" w:name="_Toc21102"/>
      <w:r>
        <w:rPr>
          <w:rFonts w:ascii="宋体" w:hAnsi="宋体"/>
          <w:b w:val="0"/>
          <w:snapToGrid w:val="0"/>
          <w:color w:val="auto"/>
          <w:sz w:val="24"/>
          <w:szCs w:val="24"/>
          <w:highlight w:val="none"/>
        </w:rPr>
        <w:t xml:space="preserve">3.1  </w:t>
      </w:r>
      <w:r>
        <w:rPr>
          <w:rFonts w:hint="eastAsia" w:ascii="宋体" w:hAnsi="宋体"/>
          <w:b w:val="0"/>
          <w:snapToGrid w:val="0"/>
          <w:color w:val="auto"/>
          <w:sz w:val="24"/>
          <w:szCs w:val="24"/>
          <w:highlight w:val="none"/>
        </w:rPr>
        <w:t>详细</w:t>
      </w:r>
      <w:r>
        <w:rPr>
          <w:rFonts w:ascii="宋体" w:hAnsi="宋体"/>
          <w:b w:val="0"/>
          <w:snapToGrid w:val="0"/>
          <w:color w:val="auto"/>
          <w:sz w:val="24"/>
          <w:szCs w:val="24"/>
          <w:highlight w:val="none"/>
        </w:rPr>
        <w:t>评审</w:t>
      </w:r>
      <w:bookmarkEnd w:id="472"/>
      <w:bookmarkEnd w:id="473"/>
      <w:bookmarkEnd w:id="474"/>
      <w:bookmarkEnd w:id="475"/>
      <w:bookmarkEnd w:id="476"/>
      <w:bookmarkEnd w:id="477"/>
      <w:bookmarkEnd w:id="478"/>
      <w:bookmarkEnd w:id="479"/>
      <w:bookmarkEnd w:id="480"/>
    </w:p>
    <w:p>
      <w:pPr>
        <w:autoSpaceDE w:val="0"/>
        <w:autoSpaceDN w:val="0"/>
        <w:adjustRightInd w:val="0"/>
        <w:spacing w:line="360" w:lineRule="exact"/>
        <w:ind w:firstLine="420" w:firstLineChars="200"/>
        <w:rPr>
          <w:rFonts w:ascii="宋体" w:hAnsi="宋体"/>
          <w:color w:val="auto"/>
          <w:kern w:val="0"/>
          <w:highlight w:val="none"/>
        </w:rPr>
      </w:pPr>
      <w:r>
        <w:rPr>
          <w:rFonts w:ascii="宋体" w:hAnsi="宋体"/>
          <w:color w:val="auto"/>
          <w:kern w:val="0"/>
          <w:highlight w:val="none"/>
        </w:rPr>
        <w:t>3.1.1  评标委员会依据本章第 2.1 款规定的标准对投标文件进行</w:t>
      </w:r>
      <w:r>
        <w:rPr>
          <w:rFonts w:hint="eastAsia" w:ascii="宋体" w:hAnsi="宋体"/>
          <w:color w:val="auto"/>
          <w:kern w:val="0"/>
          <w:highlight w:val="none"/>
        </w:rPr>
        <w:t>详细</w:t>
      </w:r>
      <w:r>
        <w:rPr>
          <w:rFonts w:ascii="宋体" w:hAnsi="宋体"/>
          <w:color w:val="auto"/>
          <w:kern w:val="0"/>
          <w:highlight w:val="none"/>
        </w:rPr>
        <w:t>评审。有一项不符合评审标准的，作否决投标处理。</w:t>
      </w:r>
    </w:p>
    <w:p>
      <w:pPr>
        <w:autoSpaceDE w:val="0"/>
        <w:autoSpaceDN w:val="0"/>
        <w:adjustRightInd w:val="0"/>
        <w:spacing w:line="360" w:lineRule="exact"/>
        <w:ind w:firstLine="420" w:firstLineChars="200"/>
        <w:rPr>
          <w:rFonts w:ascii="宋体" w:hAnsi="宋体"/>
          <w:color w:val="auto"/>
          <w:kern w:val="0"/>
          <w:highlight w:val="none"/>
        </w:rPr>
      </w:pPr>
      <w:r>
        <w:rPr>
          <w:rFonts w:ascii="宋体" w:hAnsi="宋体"/>
          <w:color w:val="auto"/>
          <w:kern w:val="0"/>
          <w:highlight w:val="none"/>
        </w:rPr>
        <w:t>3.1.2  投标人有以下情形之一的，其投标作否决投标处理：</w:t>
      </w:r>
    </w:p>
    <w:p>
      <w:pPr>
        <w:autoSpaceDE w:val="0"/>
        <w:autoSpaceDN w:val="0"/>
        <w:adjustRightInd w:val="0"/>
        <w:spacing w:line="360" w:lineRule="exact"/>
        <w:ind w:firstLine="420" w:firstLineChars="200"/>
        <w:rPr>
          <w:rFonts w:ascii="宋体" w:hAnsi="宋体"/>
          <w:color w:val="auto"/>
          <w:kern w:val="0"/>
          <w:highlight w:val="none"/>
        </w:rPr>
      </w:pPr>
      <w:r>
        <w:rPr>
          <w:rFonts w:ascii="宋体" w:hAnsi="宋体"/>
          <w:color w:val="auto"/>
          <w:kern w:val="0"/>
          <w:highlight w:val="none"/>
        </w:rPr>
        <w:t>（</w:t>
      </w:r>
      <w:r>
        <w:rPr>
          <w:rFonts w:ascii="宋体" w:hAnsi="宋体"/>
          <w:color w:val="auto"/>
          <w:spacing w:val="1"/>
          <w:kern w:val="0"/>
          <w:highlight w:val="none"/>
        </w:rPr>
        <w:t>1</w:t>
      </w:r>
      <w:r>
        <w:rPr>
          <w:rFonts w:ascii="宋体" w:hAnsi="宋体"/>
          <w:color w:val="auto"/>
          <w:kern w:val="0"/>
          <w:highlight w:val="none"/>
        </w:rPr>
        <w:t>）第二</w:t>
      </w:r>
      <w:r>
        <w:rPr>
          <w:rFonts w:ascii="宋体" w:hAnsi="宋体"/>
          <w:color w:val="auto"/>
          <w:spacing w:val="-1"/>
          <w:kern w:val="0"/>
          <w:highlight w:val="none"/>
        </w:rPr>
        <w:t>章</w:t>
      </w:r>
      <w:r>
        <w:rPr>
          <w:rFonts w:ascii="宋体" w:hAnsi="宋体"/>
          <w:color w:val="auto"/>
          <w:kern w:val="0"/>
          <w:highlight w:val="none"/>
        </w:rPr>
        <w:t>“投标人须知”第</w:t>
      </w:r>
      <w:r>
        <w:rPr>
          <w:rFonts w:ascii="宋体" w:hAnsi="宋体"/>
          <w:color w:val="auto"/>
          <w:spacing w:val="1"/>
          <w:kern w:val="0"/>
          <w:highlight w:val="none"/>
        </w:rPr>
        <w:t>1</w:t>
      </w:r>
      <w:r>
        <w:rPr>
          <w:rFonts w:ascii="宋体" w:hAnsi="宋体"/>
          <w:color w:val="auto"/>
          <w:spacing w:val="-1"/>
          <w:kern w:val="0"/>
          <w:highlight w:val="none"/>
        </w:rPr>
        <w:t>.</w:t>
      </w:r>
      <w:r>
        <w:rPr>
          <w:rFonts w:ascii="宋体" w:hAnsi="宋体"/>
          <w:color w:val="auto"/>
          <w:spacing w:val="1"/>
          <w:kern w:val="0"/>
          <w:highlight w:val="none"/>
        </w:rPr>
        <w:t>4</w:t>
      </w:r>
      <w:r>
        <w:rPr>
          <w:rFonts w:ascii="宋体" w:hAnsi="宋体"/>
          <w:color w:val="auto"/>
          <w:spacing w:val="-1"/>
          <w:kern w:val="0"/>
          <w:highlight w:val="none"/>
        </w:rPr>
        <w:t>.</w:t>
      </w:r>
      <w:r>
        <w:rPr>
          <w:rFonts w:ascii="宋体" w:hAnsi="宋体"/>
          <w:color w:val="auto"/>
          <w:kern w:val="0"/>
          <w:highlight w:val="none"/>
        </w:rPr>
        <w:t>3项规定的任何一种情形的；</w:t>
      </w:r>
    </w:p>
    <w:p>
      <w:pPr>
        <w:autoSpaceDE w:val="0"/>
        <w:autoSpaceDN w:val="0"/>
        <w:adjustRightInd w:val="0"/>
        <w:spacing w:line="360" w:lineRule="exact"/>
        <w:ind w:firstLine="420" w:firstLineChars="200"/>
        <w:rPr>
          <w:rFonts w:ascii="宋体" w:hAnsi="宋体"/>
          <w:color w:val="auto"/>
          <w:kern w:val="0"/>
          <w:highlight w:val="none"/>
        </w:rPr>
      </w:pPr>
      <w:r>
        <w:rPr>
          <w:rFonts w:ascii="宋体" w:hAnsi="宋体"/>
          <w:color w:val="auto"/>
          <w:kern w:val="0"/>
          <w:highlight w:val="none"/>
        </w:rPr>
        <w:t>（</w:t>
      </w:r>
      <w:r>
        <w:rPr>
          <w:rFonts w:ascii="宋体" w:hAnsi="宋体"/>
          <w:color w:val="auto"/>
          <w:spacing w:val="1"/>
          <w:kern w:val="0"/>
          <w:highlight w:val="none"/>
        </w:rPr>
        <w:t>2</w:t>
      </w:r>
      <w:r>
        <w:rPr>
          <w:rFonts w:ascii="宋体" w:hAnsi="宋体"/>
          <w:color w:val="auto"/>
          <w:kern w:val="0"/>
          <w:highlight w:val="none"/>
        </w:rPr>
        <w:t>）</w:t>
      </w:r>
      <w:r>
        <w:rPr>
          <w:rFonts w:hint="eastAsia" w:ascii="宋体" w:hAnsi="宋体" w:cs="宋体"/>
          <w:color w:val="auto"/>
          <w:highlight w:val="none"/>
        </w:rPr>
        <w:t>本次投标有串通投标、弄虚作假等其他违反招投标相关法律、法规行为的</w:t>
      </w:r>
      <w:r>
        <w:rPr>
          <w:rFonts w:ascii="宋体" w:hAnsi="宋体"/>
          <w:color w:val="auto"/>
          <w:kern w:val="0"/>
          <w:highlight w:val="none"/>
        </w:rPr>
        <w:t>；</w:t>
      </w:r>
    </w:p>
    <w:p>
      <w:pPr>
        <w:autoSpaceDE w:val="0"/>
        <w:autoSpaceDN w:val="0"/>
        <w:adjustRightInd w:val="0"/>
        <w:spacing w:line="360" w:lineRule="exact"/>
        <w:ind w:firstLine="420" w:firstLineChars="200"/>
        <w:rPr>
          <w:rFonts w:ascii="宋体" w:hAnsi="宋体"/>
          <w:color w:val="auto"/>
          <w:kern w:val="0"/>
          <w:highlight w:val="none"/>
        </w:rPr>
      </w:pPr>
      <w:r>
        <w:rPr>
          <w:rFonts w:ascii="宋体" w:hAnsi="宋体"/>
          <w:color w:val="auto"/>
          <w:kern w:val="0"/>
          <w:highlight w:val="none"/>
        </w:rPr>
        <w:t>（</w:t>
      </w:r>
      <w:r>
        <w:rPr>
          <w:rFonts w:ascii="宋体" w:hAnsi="宋体"/>
          <w:color w:val="auto"/>
          <w:spacing w:val="1"/>
          <w:kern w:val="0"/>
          <w:highlight w:val="none"/>
        </w:rPr>
        <w:t>3</w:t>
      </w:r>
      <w:r>
        <w:rPr>
          <w:rFonts w:ascii="宋体" w:hAnsi="宋体"/>
          <w:color w:val="auto"/>
          <w:kern w:val="0"/>
          <w:highlight w:val="none"/>
        </w:rPr>
        <w:t>）</w:t>
      </w:r>
      <w:r>
        <w:rPr>
          <w:rFonts w:hint="eastAsia" w:ascii="宋体" w:hAnsi="宋体"/>
          <w:color w:val="auto"/>
          <w:kern w:val="0"/>
          <w:highlight w:val="none"/>
        </w:rPr>
        <w:t>拒绝</w:t>
      </w:r>
      <w:r>
        <w:rPr>
          <w:rFonts w:ascii="宋体" w:hAnsi="宋体"/>
          <w:color w:val="auto"/>
          <w:kern w:val="0"/>
          <w:highlight w:val="none"/>
        </w:rPr>
        <w:t>按</w:t>
      </w:r>
      <w:r>
        <w:rPr>
          <w:rFonts w:ascii="宋体" w:hAnsi="宋体"/>
          <w:color w:val="auto"/>
          <w:spacing w:val="-1"/>
          <w:kern w:val="0"/>
          <w:highlight w:val="none"/>
        </w:rPr>
        <w:t>评</w:t>
      </w:r>
      <w:r>
        <w:rPr>
          <w:rFonts w:ascii="宋体" w:hAnsi="宋体"/>
          <w:color w:val="auto"/>
          <w:kern w:val="0"/>
          <w:highlight w:val="none"/>
        </w:rPr>
        <w:t>标委员会要求澄清、说明或补正的</w:t>
      </w:r>
      <w:r>
        <w:rPr>
          <w:rFonts w:hint="eastAsia" w:ascii="宋体" w:hAnsi="宋体"/>
          <w:color w:val="auto"/>
          <w:kern w:val="0"/>
          <w:highlight w:val="none"/>
        </w:rPr>
        <w:t>。</w:t>
      </w:r>
    </w:p>
    <w:p>
      <w:pPr>
        <w:autoSpaceDE w:val="0"/>
        <w:autoSpaceDN w:val="0"/>
        <w:adjustRightInd w:val="0"/>
        <w:spacing w:line="360" w:lineRule="exact"/>
        <w:ind w:firstLine="420" w:firstLineChars="200"/>
        <w:rPr>
          <w:rFonts w:ascii="宋体" w:hAnsi="宋体"/>
          <w:color w:val="auto"/>
          <w:kern w:val="0"/>
          <w:highlight w:val="none"/>
        </w:rPr>
      </w:pPr>
      <w:r>
        <w:rPr>
          <w:rFonts w:ascii="宋体" w:hAnsi="宋体"/>
          <w:color w:val="auto"/>
          <w:kern w:val="0"/>
          <w:highlight w:val="none"/>
        </w:rPr>
        <w:t>3.1.3  投标报价有算术错误的，评标委员会按以下原则对投标报价进行修正，修正的价格经投标人书面确认后具有约束力</w:t>
      </w:r>
      <w:r>
        <w:rPr>
          <w:rFonts w:hint="eastAsia" w:ascii="宋体" w:hAnsi="宋体"/>
          <w:color w:val="auto"/>
          <w:kern w:val="0"/>
          <w:highlight w:val="none"/>
        </w:rPr>
        <w:t>，修正原则如下：</w:t>
      </w:r>
    </w:p>
    <w:p>
      <w:pPr>
        <w:autoSpaceDE w:val="0"/>
        <w:autoSpaceDN w:val="0"/>
        <w:adjustRightInd w:val="0"/>
        <w:spacing w:line="360" w:lineRule="exact"/>
        <w:ind w:firstLine="532"/>
        <w:rPr>
          <w:rFonts w:ascii="宋体" w:hAnsi="宋体"/>
          <w:color w:val="auto"/>
          <w:kern w:val="0"/>
          <w:highlight w:val="none"/>
        </w:rPr>
      </w:pPr>
      <w:r>
        <w:rPr>
          <w:rFonts w:ascii="宋体" w:hAnsi="宋体"/>
          <w:color w:val="auto"/>
          <w:spacing w:val="-1"/>
          <w:kern w:val="0"/>
          <w:highlight w:val="none"/>
        </w:rPr>
        <w:t>（1）投标文件中的大写金额与小写金额不一致的，以大写金</w:t>
      </w:r>
      <w:r>
        <w:rPr>
          <w:rFonts w:ascii="宋体" w:hAnsi="宋体"/>
          <w:color w:val="auto"/>
          <w:kern w:val="0"/>
          <w:highlight w:val="none"/>
        </w:rPr>
        <w:t>额为准</w:t>
      </w:r>
      <w:r>
        <w:rPr>
          <w:rFonts w:hint="eastAsia" w:ascii="宋体" w:hAnsi="宋体"/>
          <w:color w:val="auto"/>
          <w:kern w:val="0"/>
          <w:highlight w:val="none"/>
        </w:rPr>
        <w:t>；</w:t>
      </w:r>
    </w:p>
    <w:p>
      <w:pPr>
        <w:autoSpaceDE w:val="0"/>
        <w:autoSpaceDN w:val="0"/>
        <w:adjustRightInd w:val="0"/>
        <w:spacing w:line="360" w:lineRule="exact"/>
        <w:ind w:firstLine="532"/>
        <w:rPr>
          <w:rFonts w:ascii="宋体" w:hAnsi="宋体"/>
          <w:color w:val="auto"/>
          <w:kern w:val="0"/>
          <w:highlight w:val="none"/>
        </w:rPr>
      </w:pPr>
      <w:r>
        <w:rPr>
          <w:rFonts w:hint="eastAsia" w:ascii="宋体" w:hAnsi="宋体"/>
          <w:color w:val="auto"/>
          <w:kern w:val="0"/>
          <w:highlight w:val="none"/>
        </w:rPr>
        <w:t>（2）投标函中的总报价与</w:t>
      </w:r>
      <w:r>
        <w:rPr>
          <w:rFonts w:hint="eastAsia"/>
          <w:color w:val="auto"/>
          <w:highlight w:val="none"/>
        </w:rPr>
        <w:t>分项报价表</w:t>
      </w:r>
      <w:r>
        <w:rPr>
          <w:rFonts w:hint="eastAsia" w:ascii="宋体" w:hAnsi="宋体"/>
          <w:color w:val="auto"/>
          <w:kern w:val="0"/>
          <w:highlight w:val="none"/>
        </w:rPr>
        <w:t>总报价不一致的，由评标委员会作否决投标处理。</w:t>
      </w:r>
    </w:p>
    <w:p>
      <w:pPr>
        <w:pStyle w:val="2"/>
        <w:spacing w:before="0" w:after="0" w:line="360" w:lineRule="exact"/>
        <w:rPr>
          <w:rFonts w:ascii="宋体" w:hAnsi="宋体"/>
          <w:b w:val="0"/>
          <w:snapToGrid w:val="0"/>
          <w:color w:val="auto"/>
          <w:sz w:val="24"/>
          <w:szCs w:val="24"/>
          <w:highlight w:val="none"/>
        </w:rPr>
      </w:pPr>
      <w:bookmarkStart w:id="481" w:name="_Toc509218783"/>
      <w:bookmarkStart w:id="482" w:name="_Toc29615"/>
      <w:bookmarkStart w:id="483" w:name="_Toc277082625"/>
      <w:bookmarkStart w:id="484" w:name="_Toc287620758"/>
      <w:bookmarkStart w:id="485" w:name="_Toc430530507"/>
      <w:bookmarkStart w:id="486" w:name="_Toc57905904"/>
      <w:bookmarkStart w:id="487" w:name="_Toc200513205"/>
      <w:bookmarkStart w:id="488" w:name="_Toc224103391"/>
      <w:bookmarkStart w:id="489" w:name="_Toc287607819"/>
      <w:r>
        <w:rPr>
          <w:rFonts w:ascii="宋体" w:hAnsi="宋体"/>
          <w:b w:val="0"/>
          <w:snapToGrid w:val="0"/>
          <w:color w:val="auto"/>
          <w:sz w:val="24"/>
          <w:szCs w:val="24"/>
          <w:highlight w:val="none"/>
        </w:rPr>
        <w:t>3.3  投标文件的澄清和补正</w:t>
      </w:r>
      <w:bookmarkEnd w:id="481"/>
      <w:bookmarkEnd w:id="482"/>
      <w:bookmarkEnd w:id="483"/>
      <w:bookmarkEnd w:id="484"/>
      <w:bookmarkEnd w:id="485"/>
      <w:bookmarkEnd w:id="486"/>
      <w:bookmarkEnd w:id="487"/>
      <w:bookmarkEnd w:id="488"/>
      <w:bookmarkEnd w:id="489"/>
    </w:p>
    <w:p>
      <w:pPr>
        <w:autoSpaceDE w:val="0"/>
        <w:autoSpaceDN w:val="0"/>
        <w:adjustRightInd w:val="0"/>
        <w:spacing w:line="360" w:lineRule="exact"/>
        <w:ind w:firstLine="420" w:firstLineChars="200"/>
        <w:rPr>
          <w:rFonts w:ascii="宋体" w:hAnsi="宋体"/>
          <w:color w:val="auto"/>
          <w:kern w:val="0"/>
          <w:highlight w:val="none"/>
        </w:rPr>
      </w:pPr>
      <w:r>
        <w:rPr>
          <w:rFonts w:hint="eastAsia" w:ascii="宋体" w:hAnsi="宋体"/>
          <w:color w:val="auto"/>
          <w:kern w:val="0"/>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pPr>
        <w:autoSpaceDE w:val="0"/>
        <w:autoSpaceDN w:val="0"/>
        <w:adjustRightInd w:val="0"/>
        <w:spacing w:line="360" w:lineRule="exact"/>
        <w:ind w:firstLine="420" w:firstLineChars="200"/>
        <w:rPr>
          <w:rFonts w:ascii="宋体" w:hAnsi="宋体"/>
          <w:color w:val="auto"/>
          <w:kern w:val="0"/>
          <w:highlight w:val="none"/>
        </w:rPr>
      </w:pPr>
      <w:r>
        <w:rPr>
          <w:rFonts w:hint="eastAsia" w:ascii="宋体" w:hAnsi="宋体"/>
          <w:color w:val="auto"/>
          <w:kern w:val="0"/>
          <w:highlight w:val="none"/>
        </w:rPr>
        <w:t>3.3.2 澄清、说明和补正不得改变投标文件的实质性内容（算术性错误修正的除外）。投标人的书面澄清、说明和补正属于投标文件的组成部分。</w:t>
      </w:r>
    </w:p>
    <w:p>
      <w:pPr>
        <w:autoSpaceDE w:val="0"/>
        <w:autoSpaceDN w:val="0"/>
        <w:adjustRightInd w:val="0"/>
        <w:spacing w:line="360" w:lineRule="exact"/>
        <w:ind w:firstLine="420" w:firstLineChars="200"/>
        <w:rPr>
          <w:rFonts w:ascii="宋体" w:hAnsi="宋体"/>
          <w:color w:val="auto"/>
          <w:kern w:val="0"/>
          <w:highlight w:val="none"/>
        </w:rPr>
      </w:pPr>
      <w:r>
        <w:rPr>
          <w:rFonts w:hint="eastAsia" w:ascii="宋体" w:hAnsi="宋体"/>
          <w:color w:val="auto"/>
          <w:kern w:val="0"/>
          <w:highlight w:val="none"/>
        </w:rPr>
        <w:t>3.3.3 评标委员会对投标人提交的澄清、说明或补正有疑问的，可以要求投标人进一步澄清、说明或补正，直至满足评标委员会的要求。</w:t>
      </w:r>
    </w:p>
    <w:p>
      <w:pPr>
        <w:pStyle w:val="2"/>
        <w:spacing w:before="0" w:after="0" w:line="360" w:lineRule="exact"/>
        <w:rPr>
          <w:rFonts w:ascii="宋体" w:hAnsi="宋体"/>
          <w:b w:val="0"/>
          <w:snapToGrid w:val="0"/>
          <w:color w:val="auto"/>
          <w:sz w:val="24"/>
          <w:szCs w:val="24"/>
          <w:highlight w:val="none"/>
        </w:rPr>
      </w:pPr>
      <w:bookmarkStart w:id="490" w:name="_Toc17868"/>
      <w:bookmarkStart w:id="491" w:name="_Toc200513206"/>
      <w:bookmarkStart w:id="492" w:name="_Toc430530508"/>
      <w:bookmarkStart w:id="493" w:name="_Toc509218784"/>
      <w:bookmarkStart w:id="494" w:name="_Toc277082626"/>
      <w:bookmarkStart w:id="495" w:name="_Toc287607820"/>
      <w:bookmarkStart w:id="496" w:name="_Toc57905905"/>
      <w:bookmarkStart w:id="497" w:name="_Toc287620759"/>
      <w:bookmarkStart w:id="498" w:name="_Toc224103392"/>
      <w:r>
        <w:rPr>
          <w:rFonts w:ascii="宋体" w:hAnsi="宋体"/>
          <w:b w:val="0"/>
          <w:snapToGrid w:val="0"/>
          <w:color w:val="auto"/>
          <w:sz w:val="24"/>
          <w:szCs w:val="24"/>
          <w:highlight w:val="none"/>
        </w:rPr>
        <w:t>3.4  评标结果</w:t>
      </w:r>
      <w:bookmarkEnd w:id="490"/>
      <w:bookmarkEnd w:id="491"/>
      <w:bookmarkEnd w:id="492"/>
      <w:bookmarkEnd w:id="493"/>
      <w:bookmarkEnd w:id="494"/>
      <w:bookmarkEnd w:id="495"/>
      <w:bookmarkEnd w:id="496"/>
      <w:bookmarkEnd w:id="497"/>
      <w:bookmarkEnd w:id="498"/>
    </w:p>
    <w:p>
      <w:pPr>
        <w:autoSpaceDE w:val="0"/>
        <w:autoSpaceDN w:val="0"/>
        <w:adjustRightInd w:val="0"/>
        <w:spacing w:line="360" w:lineRule="exact"/>
        <w:ind w:firstLine="420" w:firstLineChars="200"/>
        <w:rPr>
          <w:rFonts w:ascii="宋体" w:hAnsi="宋体"/>
          <w:color w:val="auto"/>
          <w:kern w:val="0"/>
          <w:highlight w:val="none"/>
        </w:rPr>
      </w:pPr>
      <w:r>
        <w:rPr>
          <w:rFonts w:hint="eastAsia" w:ascii="宋体" w:hAnsi="宋体"/>
          <w:color w:val="auto"/>
          <w:kern w:val="0"/>
          <w:highlight w:val="none"/>
        </w:rPr>
        <w:t>3.4.1除第二章“投标人须知”前附表授权直接确定中标人外，评标委员会按经评审的最低投标价法推荐中标候选人。</w:t>
      </w:r>
    </w:p>
    <w:p>
      <w:pPr>
        <w:autoSpaceDE w:val="0"/>
        <w:autoSpaceDN w:val="0"/>
        <w:adjustRightInd w:val="0"/>
        <w:spacing w:line="360" w:lineRule="exact"/>
        <w:ind w:firstLine="420" w:firstLineChars="200"/>
        <w:rPr>
          <w:rFonts w:ascii="宋体" w:hAnsi="宋体" w:cs="宋体"/>
          <w:color w:val="auto"/>
          <w:szCs w:val="24"/>
          <w:highlight w:val="none"/>
        </w:rPr>
      </w:pPr>
      <w:r>
        <w:rPr>
          <w:rFonts w:hint="eastAsia" w:ascii="宋体" w:hAnsi="宋体"/>
          <w:color w:val="auto"/>
          <w:kern w:val="0"/>
          <w:highlight w:val="none"/>
        </w:rPr>
        <w:t>3.4.2 评标委员会完成评标后，应当向招标人提交书面评标报告和中标候选人名单。</w:t>
      </w:r>
      <w:bookmarkEnd w:id="442"/>
    </w:p>
    <w:p>
      <w:pPr>
        <w:spacing w:line="320" w:lineRule="exact"/>
        <w:ind w:firstLine="420" w:firstLineChars="200"/>
        <w:jc w:val="left"/>
        <w:rPr>
          <w:rFonts w:ascii="宋体" w:hAnsi="宋体" w:cs="宋体"/>
          <w:color w:val="auto"/>
          <w:szCs w:val="24"/>
          <w:highlight w:val="none"/>
        </w:rPr>
      </w:pPr>
    </w:p>
    <w:p>
      <w:pPr>
        <w:spacing w:line="320" w:lineRule="exact"/>
        <w:ind w:firstLine="420" w:firstLineChars="200"/>
        <w:jc w:val="left"/>
        <w:rPr>
          <w:rFonts w:ascii="宋体" w:hAnsi="宋体" w:cs="宋体"/>
          <w:color w:val="auto"/>
          <w:szCs w:val="24"/>
          <w:highlight w:val="none"/>
        </w:rPr>
      </w:pPr>
    </w:p>
    <w:bookmarkEnd w:id="443"/>
    <w:bookmarkEnd w:id="444"/>
    <w:p>
      <w:pPr>
        <w:pStyle w:val="3"/>
        <w:jc w:val="center"/>
        <w:rPr>
          <w:rFonts w:ascii="宋体" w:hAnsi="宋体"/>
          <w:color w:val="auto"/>
          <w:highlight w:val="none"/>
        </w:rPr>
        <w:sectPr>
          <w:pgSz w:w="11906" w:h="16838"/>
          <w:pgMar w:top="1474" w:right="1304" w:bottom="1247" w:left="1418" w:header="851" w:footer="992" w:gutter="0"/>
          <w:cols w:space="720" w:num="1"/>
        </w:sectPr>
      </w:pPr>
      <w:bookmarkStart w:id="499" w:name="_Toc246996252"/>
      <w:bookmarkStart w:id="500" w:name="_Toc5343"/>
      <w:bookmarkStart w:id="501" w:name="_Toc179632627"/>
      <w:bookmarkStart w:id="502" w:name="_Toc502752469"/>
      <w:bookmarkStart w:id="503" w:name="_Toc11880"/>
      <w:bookmarkStart w:id="504" w:name="_Toc246996995"/>
      <w:bookmarkStart w:id="505" w:name="_Toc27538"/>
      <w:bookmarkStart w:id="506" w:name="_Toc43455588"/>
      <w:bookmarkStart w:id="507" w:name="_Toc10342"/>
      <w:bookmarkStart w:id="508" w:name="_Toc15795"/>
      <w:bookmarkStart w:id="509" w:name="_Toc247085767"/>
      <w:bookmarkStart w:id="510" w:name="_Toc2063"/>
      <w:bookmarkStart w:id="511" w:name="_Toc467164256"/>
      <w:bookmarkStart w:id="512" w:name="_Toc424558727"/>
      <w:bookmarkStart w:id="513" w:name="_Toc152042546"/>
      <w:bookmarkStart w:id="514" w:name="_Toc509390695"/>
      <w:bookmarkStart w:id="515" w:name="_Toc144974826"/>
      <w:bookmarkStart w:id="516" w:name="_Toc152045767"/>
    </w:p>
    <w:p>
      <w:pPr>
        <w:pStyle w:val="3"/>
        <w:numPr>
          <w:ilvl w:val="-1"/>
          <w:numId w:val="0"/>
        </w:numPr>
        <w:ind w:right="1418" w:rightChars="675"/>
        <w:jc w:val="center"/>
        <w:rPr>
          <w:rFonts w:hint="eastAsia" w:ascii="宋体" w:hAnsi="宋体"/>
          <w:color w:val="auto"/>
          <w:highlight w:val="none"/>
        </w:rPr>
      </w:pPr>
      <w:bookmarkStart w:id="517" w:name="_Toc7546"/>
      <w:r>
        <w:rPr>
          <w:rFonts w:hint="eastAsia" w:ascii="宋体" w:hAnsi="宋体"/>
          <w:color w:val="auto"/>
          <w:highlight w:val="none"/>
          <w:lang w:val="en-US" w:eastAsia="zh-CN"/>
        </w:rPr>
        <w:t>第四章</w:t>
      </w:r>
      <w:r>
        <w:rPr>
          <w:rFonts w:hint="eastAsia" w:ascii="宋体" w:hAnsi="宋体"/>
          <w:color w:val="auto"/>
          <w:highlight w:val="none"/>
        </w:rPr>
        <w:t>合同条款及格式</w:t>
      </w:r>
      <w:bookmarkEnd w:id="499"/>
      <w:bookmarkEnd w:id="500"/>
      <w:bookmarkEnd w:id="501"/>
      <w:bookmarkEnd w:id="502"/>
      <w:bookmarkEnd w:id="503"/>
      <w:bookmarkEnd w:id="504"/>
      <w:bookmarkEnd w:id="505"/>
      <w:bookmarkEnd w:id="506"/>
      <w:bookmarkEnd w:id="507"/>
      <w:bookmarkEnd w:id="508"/>
      <w:bookmarkEnd w:id="509"/>
      <w:bookmarkEnd w:id="510"/>
      <w:bookmarkEnd w:id="517"/>
    </w:p>
    <w:p>
      <w:pPr>
        <w:jc w:val="center"/>
        <w:rPr>
          <w:rFonts w:hint="eastAsia" w:ascii="宋体" w:hAnsi="宋体"/>
          <w:color w:val="auto"/>
          <w:highlight w:val="none"/>
        </w:rPr>
      </w:pPr>
      <w:r>
        <w:rPr>
          <w:rFonts w:hint="eastAsia" w:ascii="宋体" w:hAnsi="宋体"/>
          <w:color w:val="auto"/>
          <w:highlight w:val="none"/>
        </w:rPr>
        <w:br w:type="page"/>
      </w:r>
    </w:p>
    <w:p>
      <w:pPr>
        <w:spacing w:before="88" w:line="500" w:lineRule="exact"/>
        <w:ind w:left="0" w:firstLine="492" w:firstLineChars="200"/>
        <w:jc w:val="center"/>
        <w:outlineLvl w:val="1"/>
        <w:rPr>
          <w:rFonts w:hint="eastAsia" w:ascii="方正小标宋_GBK" w:hAnsi="方正小标宋_GBK" w:eastAsia="方正小标宋_GBK" w:cs="方正小标宋_GBK"/>
          <w:b w:val="0"/>
          <w:bCs w:val="0"/>
          <w:color w:val="auto"/>
          <w:spacing w:val="3"/>
          <w:position w:val="17"/>
          <w:sz w:val="24"/>
          <w:szCs w:val="24"/>
          <w:highlight w:val="none"/>
        </w:rPr>
      </w:pPr>
      <w:r>
        <w:rPr>
          <w:rFonts w:hint="eastAsia" w:ascii="方正小标宋_GBK" w:hAnsi="方正小标宋_GBK" w:eastAsia="方正小标宋_GBK" w:cs="方正小标宋_GBK"/>
          <w:b w:val="0"/>
          <w:bCs w:val="0"/>
          <w:color w:val="auto"/>
          <w:spacing w:val="3"/>
          <w:position w:val="17"/>
          <w:sz w:val="24"/>
          <w:szCs w:val="24"/>
          <w:highlight w:val="none"/>
        </w:rPr>
        <w:t>2023年重庆渝广梁忠高速公路有限公司</w:t>
      </w:r>
    </w:p>
    <w:p>
      <w:pPr>
        <w:spacing w:before="88" w:line="500" w:lineRule="exact"/>
        <w:ind w:left="0" w:firstLine="492" w:firstLineChars="200"/>
        <w:jc w:val="center"/>
        <w:outlineLvl w:val="1"/>
        <w:rPr>
          <w:rFonts w:hint="eastAsia" w:ascii="方正小标宋_GBK" w:hAnsi="方正小标宋_GBK" w:eastAsia="方正小标宋_GBK" w:cs="方正小标宋_GBK"/>
          <w:color w:val="auto"/>
          <w:spacing w:val="3"/>
          <w:position w:val="17"/>
          <w:sz w:val="24"/>
          <w:szCs w:val="24"/>
          <w:highlight w:val="none"/>
        </w:rPr>
      </w:pPr>
      <w:r>
        <w:rPr>
          <w:rFonts w:hint="eastAsia" w:ascii="方正小标宋_GBK" w:hAnsi="方正小标宋_GBK" w:eastAsia="方正小标宋_GBK" w:cs="方正小标宋_GBK"/>
          <w:b w:val="0"/>
          <w:bCs w:val="0"/>
          <w:color w:val="auto"/>
          <w:spacing w:val="3"/>
          <w:position w:val="17"/>
          <w:sz w:val="24"/>
          <w:szCs w:val="24"/>
          <w:highlight w:val="none"/>
        </w:rPr>
        <w:t>交通车驾驶员业务外包服务项目合同</w:t>
      </w:r>
    </w:p>
    <w:p>
      <w:pPr>
        <w:spacing w:line="500" w:lineRule="exact"/>
        <w:rPr>
          <w:rFonts w:ascii="Arial"/>
          <w:color w:val="auto"/>
          <w:sz w:val="18"/>
          <w:szCs w:val="18"/>
          <w:highlight w:val="none"/>
        </w:rPr>
      </w:pPr>
    </w:p>
    <w:p>
      <w:pPr>
        <w:spacing w:before="88" w:line="500" w:lineRule="exact"/>
        <w:ind w:left="2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pacing w:val="6"/>
          <w:sz w:val="24"/>
          <w:szCs w:val="24"/>
          <w:highlight w:val="none"/>
        </w:rPr>
        <w:t>甲方：重庆渝广梁忠高速公路有限公司</w:t>
      </w:r>
    </w:p>
    <w:p>
      <w:pPr>
        <w:spacing w:line="5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pacing w:val="6"/>
          <w:sz w:val="24"/>
          <w:szCs w:val="24"/>
          <w:highlight w:val="none"/>
        </w:rPr>
        <w:t>乙方：</w:t>
      </w:r>
    </w:p>
    <w:p>
      <w:pPr>
        <w:spacing w:before="88" w:line="500" w:lineRule="exact"/>
        <w:ind w:left="571"/>
        <w:rPr>
          <w:rFonts w:hint="eastAsia" w:ascii="方正仿宋_GBK" w:hAnsi="方正仿宋_GBK" w:eastAsia="方正仿宋_GBK" w:cs="方正仿宋_GBK"/>
          <w:color w:val="auto"/>
          <w:spacing w:val="3"/>
          <w:position w:val="17"/>
          <w:sz w:val="24"/>
          <w:szCs w:val="24"/>
          <w:highlight w:val="none"/>
        </w:rPr>
      </w:pPr>
    </w:p>
    <w:p>
      <w:pPr>
        <w:spacing w:before="88" w:line="500" w:lineRule="exact"/>
        <w:ind w:left="0" w:firstLine="492" w:firstLineChars="200"/>
        <w:jc w:val="left"/>
        <w:rPr>
          <w:rFonts w:hint="eastAsia" w:ascii="方正仿宋_GBK" w:hAnsi="方正仿宋_GBK" w:eastAsia="方正仿宋_GBK" w:cs="方正仿宋_GBK"/>
          <w:color w:val="auto"/>
          <w:spacing w:val="3"/>
          <w:position w:val="17"/>
          <w:sz w:val="24"/>
          <w:szCs w:val="24"/>
          <w:highlight w:val="none"/>
        </w:rPr>
      </w:pPr>
      <w:r>
        <w:rPr>
          <w:rFonts w:hint="eastAsia" w:ascii="方正仿宋_GBK" w:hAnsi="方正仿宋_GBK" w:eastAsia="方正仿宋_GBK" w:cs="方正仿宋_GBK"/>
          <w:color w:val="auto"/>
          <w:spacing w:val="3"/>
          <w:position w:val="17"/>
          <w:sz w:val="24"/>
          <w:szCs w:val="24"/>
          <w:highlight w:val="none"/>
        </w:rPr>
        <w:t>根据《民法典》等相关法律法规的规定，经甲、乙双方充分平等协商，现就乙方向甲方提供代驾服务有关事宜，约定如下：</w:t>
      </w:r>
    </w:p>
    <w:p>
      <w:pPr>
        <w:spacing w:before="0" w:line="500" w:lineRule="exact"/>
        <w:ind w:left="491" w:leftChars="234" w:firstLine="0" w:firstLineChars="0"/>
        <w:jc w:val="left"/>
        <w:rPr>
          <w:rFonts w:hint="eastAsia" w:ascii="方正黑体_GBK" w:hAnsi="方正黑体_GBK" w:eastAsia="方正黑体_GBK" w:cs="方正黑体_GBK"/>
          <w:b w:val="0"/>
          <w:bCs w:val="0"/>
          <w:color w:val="auto"/>
          <w:spacing w:val="4"/>
          <w:position w:val="21"/>
          <w:sz w:val="24"/>
          <w:szCs w:val="24"/>
          <w:highlight w:val="none"/>
          <w:lang w:eastAsia="zh-CN"/>
        </w:rPr>
      </w:pPr>
      <w:r>
        <w:rPr>
          <w:rFonts w:hint="eastAsia" w:ascii="方正黑体_GBK" w:hAnsi="方正黑体_GBK" w:eastAsia="方正黑体_GBK" w:cs="方正黑体_GBK"/>
          <w:b w:val="0"/>
          <w:bCs w:val="0"/>
          <w:color w:val="auto"/>
          <w:spacing w:val="4"/>
          <w:position w:val="21"/>
          <w:sz w:val="24"/>
          <w:szCs w:val="24"/>
          <w:highlight w:val="none"/>
        </w:rPr>
        <w:t>一</w:t>
      </w:r>
      <w:r>
        <w:rPr>
          <w:rFonts w:hint="eastAsia" w:ascii="方正黑体_GBK" w:hAnsi="方正黑体_GBK" w:eastAsia="方正黑体_GBK" w:cs="方正黑体_GBK"/>
          <w:color w:val="auto"/>
          <w:spacing w:val="-70"/>
          <w:position w:val="21"/>
          <w:sz w:val="24"/>
          <w:szCs w:val="24"/>
          <w:highlight w:val="none"/>
        </w:rPr>
        <w:t xml:space="preserve"> </w:t>
      </w:r>
      <w:r>
        <w:rPr>
          <w:rFonts w:hint="eastAsia" w:ascii="方正黑体_GBK" w:hAnsi="方正黑体_GBK" w:eastAsia="方正黑体_GBK" w:cs="方正黑体_GBK"/>
          <w:b w:val="0"/>
          <w:bCs w:val="0"/>
          <w:color w:val="auto"/>
          <w:spacing w:val="4"/>
          <w:position w:val="21"/>
          <w:sz w:val="24"/>
          <w:szCs w:val="24"/>
          <w:highlight w:val="none"/>
        </w:rPr>
        <w:t>、乙方委派</w:t>
      </w:r>
      <w:r>
        <w:rPr>
          <w:rFonts w:hint="eastAsia" w:ascii="方正黑体_GBK" w:hAnsi="方正黑体_GBK" w:eastAsia="方正黑体_GBK" w:cs="方正黑体_GBK"/>
          <w:b w:val="0"/>
          <w:bCs w:val="0"/>
          <w:color w:val="auto"/>
          <w:spacing w:val="4"/>
          <w:position w:val="21"/>
          <w:sz w:val="24"/>
          <w:szCs w:val="24"/>
          <w:highlight w:val="none"/>
          <w:lang w:val="en-US" w:eastAsia="zh-CN"/>
        </w:rPr>
        <w:t>9</w:t>
      </w:r>
      <w:r>
        <w:rPr>
          <w:rFonts w:hint="eastAsia" w:ascii="方正黑体_GBK" w:hAnsi="方正黑体_GBK" w:eastAsia="方正黑体_GBK" w:cs="方正黑体_GBK"/>
          <w:b w:val="0"/>
          <w:bCs w:val="0"/>
          <w:color w:val="auto"/>
          <w:spacing w:val="4"/>
          <w:position w:val="21"/>
          <w:sz w:val="24"/>
          <w:szCs w:val="24"/>
          <w:highlight w:val="none"/>
        </w:rPr>
        <w:t>名</w:t>
      </w:r>
      <w:r>
        <w:rPr>
          <w:rFonts w:hint="eastAsia" w:ascii="方正黑体_GBK" w:hAnsi="方正黑体_GBK" w:eastAsia="方正黑体_GBK" w:cs="方正黑体_GBK"/>
          <w:b w:val="0"/>
          <w:bCs w:val="0"/>
          <w:color w:val="auto"/>
          <w:spacing w:val="4"/>
          <w:position w:val="21"/>
          <w:sz w:val="24"/>
          <w:szCs w:val="24"/>
          <w:highlight w:val="none"/>
          <w:lang w:val="en-US" w:eastAsia="zh-CN"/>
        </w:rPr>
        <w:t>A1驾照</w:t>
      </w:r>
      <w:r>
        <w:rPr>
          <w:rFonts w:hint="eastAsia" w:ascii="方正黑体_GBK" w:hAnsi="方正黑体_GBK" w:eastAsia="方正黑体_GBK" w:cs="方正黑体_GBK"/>
          <w:b w:val="0"/>
          <w:bCs w:val="0"/>
          <w:color w:val="auto"/>
          <w:spacing w:val="4"/>
          <w:position w:val="21"/>
          <w:sz w:val="24"/>
          <w:szCs w:val="24"/>
          <w:highlight w:val="none"/>
        </w:rPr>
        <w:t>驾驶员负责甲方交通线路的交通车及甲方正常公务活动服务</w:t>
      </w:r>
      <w:r>
        <w:rPr>
          <w:rFonts w:hint="eastAsia" w:ascii="方正黑体_GBK" w:hAnsi="方正黑体_GBK" w:eastAsia="方正黑体_GBK" w:cs="方正黑体_GBK"/>
          <w:b w:val="0"/>
          <w:bCs w:val="0"/>
          <w:color w:val="auto"/>
          <w:spacing w:val="4"/>
          <w:position w:val="21"/>
          <w:sz w:val="24"/>
          <w:szCs w:val="24"/>
          <w:highlight w:val="none"/>
          <w:lang w:eastAsia="zh-CN"/>
        </w:rPr>
        <w:t>。</w:t>
      </w:r>
    </w:p>
    <w:p>
      <w:pPr>
        <w:spacing w:before="0" w:line="500" w:lineRule="exact"/>
        <w:ind w:left="491" w:leftChars="234" w:firstLine="492" w:firstLineChars="200"/>
        <w:jc w:val="left"/>
        <w:rPr>
          <w:rFonts w:hint="eastAsia" w:ascii="方正仿宋_GBK" w:hAnsi="方正仿宋_GBK" w:eastAsia="方正仿宋_GBK" w:cs="方正仿宋_GBK"/>
          <w:color w:val="auto"/>
          <w:spacing w:val="3"/>
          <w:position w:val="17"/>
          <w:sz w:val="24"/>
          <w:szCs w:val="24"/>
          <w:highlight w:val="none"/>
        </w:rPr>
      </w:pPr>
      <w:r>
        <w:rPr>
          <w:rFonts w:hint="eastAsia" w:ascii="方正仿宋_GBK" w:hAnsi="方正仿宋_GBK" w:eastAsia="方正仿宋_GBK" w:cs="方正仿宋_GBK"/>
          <w:b w:val="0"/>
          <w:bCs w:val="0"/>
          <w:color w:val="auto"/>
          <w:spacing w:val="3"/>
          <w:position w:val="17"/>
          <w:sz w:val="24"/>
          <w:szCs w:val="24"/>
          <w:highlight w:val="none"/>
          <w:lang w:val="en-US" w:eastAsia="zh-CN"/>
        </w:rPr>
        <w:t>渝</w:t>
      </w:r>
      <w:r>
        <w:rPr>
          <w:rFonts w:hint="eastAsia" w:ascii="方正仿宋_GBK" w:hAnsi="方正仿宋_GBK" w:eastAsia="方正仿宋_GBK" w:cs="方正仿宋_GBK"/>
          <w:color w:val="auto"/>
          <w:spacing w:val="3"/>
          <w:position w:val="17"/>
          <w:sz w:val="24"/>
          <w:szCs w:val="24"/>
          <w:highlight w:val="none"/>
          <w:lang w:val="en-US" w:eastAsia="zh-CN"/>
        </w:rPr>
        <w:t>广路四条交通车线路（南坪-渝广沿线、沙坪坝-渝广沿线、合川-渝广沿线、主城-公司），配置5名驾驶员（含1名机动，其中负责主城-公司的驾驶员需负责渝广路交通车维修、保养、年检以及其他驾驶任务）；梁忠路三条交通车线路（梁平-重百-管理中心-袁驿、梁平管理中心-拔山沿线、忠县交警车管所-拔山），配置4名驾驶员（含1名机动）。</w:t>
      </w:r>
    </w:p>
    <w:p>
      <w:pPr>
        <w:spacing w:before="0" w:line="500" w:lineRule="exact"/>
        <w:ind w:left="491" w:leftChars="234" w:firstLine="0" w:firstLineChars="0"/>
        <w:jc w:val="left"/>
        <w:rPr>
          <w:rFonts w:hint="eastAsia" w:ascii="方正黑体_GBK" w:hAnsi="方正黑体_GBK" w:eastAsia="方正黑体_GBK" w:cs="方正黑体_GBK"/>
          <w:color w:val="auto"/>
          <w:spacing w:val="4"/>
          <w:position w:val="21"/>
          <w:sz w:val="24"/>
          <w:szCs w:val="24"/>
          <w:highlight w:val="none"/>
        </w:rPr>
      </w:pPr>
      <w:r>
        <w:rPr>
          <w:rFonts w:hint="eastAsia" w:ascii="方正黑体_GBK" w:hAnsi="方正黑体_GBK" w:eastAsia="方正黑体_GBK" w:cs="方正黑体_GBK"/>
          <w:b w:val="0"/>
          <w:bCs w:val="0"/>
          <w:color w:val="auto"/>
          <w:spacing w:val="4"/>
          <w:position w:val="21"/>
          <w:sz w:val="24"/>
          <w:szCs w:val="24"/>
          <w:highlight w:val="none"/>
        </w:rPr>
        <w:t>二、</w:t>
      </w:r>
      <w:r>
        <w:rPr>
          <w:rFonts w:hint="eastAsia" w:ascii="方正黑体_GBK" w:hAnsi="方正黑体_GBK" w:eastAsia="方正黑体_GBK" w:cs="方正黑体_GBK"/>
          <w:color w:val="auto"/>
          <w:spacing w:val="4"/>
          <w:position w:val="21"/>
          <w:sz w:val="24"/>
          <w:szCs w:val="24"/>
          <w:highlight w:val="none"/>
        </w:rPr>
        <w:t xml:space="preserve"> </w:t>
      </w:r>
      <w:r>
        <w:rPr>
          <w:rFonts w:hint="eastAsia" w:ascii="方正黑体_GBK" w:hAnsi="方正黑体_GBK" w:eastAsia="方正黑体_GBK" w:cs="方正黑体_GBK"/>
          <w:b w:val="0"/>
          <w:bCs w:val="0"/>
          <w:color w:val="auto"/>
          <w:spacing w:val="4"/>
          <w:position w:val="21"/>
          <w:sz w:val="24"/>
          <w:szCs w:val="24"/>
          <w:highlight w:val="none"/>
        </w:rPr>
        <w:t>合同期限：</w:t>
      </w:r>
      <w:r>
        <w:rPr>
          <w:rFonts w:hint="eastAsia" w:ascii="方正黑体_GBK" w:hAnsi="方正黑体_GBK" w:eastAsia="方正黑体_GBK" w:cs="方正黑体_GBK"/>
          <w:b w:val="0"/>
          <w:bCs w:val="0"/>
          <w:color w:val="auto"/>
          <w:spacing w:val="4"/>
          <w:position w:val="21"/>
          <w:sz w:val="24"/>
          <w:szCs w:val="24"/>
          <w:highlight w:val="none"/>
          <w:u w:val="single"/>
          <w:lang w:val="en-US" w:eastAsia="zh-CN"/>
        </w:rPr>
        <w:t xml:space="preserve">               </w:t>
      </w:r>
    </w:p>
    <w:p>
      <w:pPr>
        <w:spacing w:before="0" w:line="500" w:lineRule="exact"/>
        <w:ind w:left="491" w:leftChars="234" w:firstLine="0" w:firstLineChars="0"/>
        <w:jc w:val="left"/>
        <w:rPr>
          <w:rFonts w:hint="eastAsia" w:ascii="方正黑体_GBK" w:hAnsi="方正黑体_GBK" w:eastAsia="方正黑体_GBK" w:cs="方正黑体_GBK"/>
          <w:color w:val="auto"/>
          <w:spacing w:val="4"/>
          <w:position w:val="21"/>
          <w:sz w:val="24"/>
          <w:szCs w:val="24"/>
          <w:highlight w:val="none"/>
        </w:rPr>
      </w:pPr>
      <w:r>
        <w:rPr>
          <w:rFonts w:hint="eastAsia" w:ascii="方正黑体_GBK" w:hAnsi="方正黑体_GBK" w:eastAsia="方正黑体_GBK" w:cs="方正黑体_GBK"/>
          <w:b w:val="0"/>
          <w:bCs w:val="0"/>
          <w:color w:val="auto"/>
          <w:spacing w:val="4"/>
          <w:position w:val="21"/>
          <w:sz w:val="24"/>
          <w:szCs w:val="24"/>
          <w:highlight w:val="none"/>
        </w:rPr>
        <w:t>三</w:t>
      </w:r>
      <w:r>
        <w:rPr>
          <w:rFonts w:hint="eastAsia" w:ascii="方正黑体_GBK" w:hAnsi="方正黑体_GBK" w:eastAsia="方正黑体_GBK" w:cs="方正黑体_GBK"/>
          <w:color w:val="auto"/>
          <w:spacing w:val="4"/>
          <w:position w:val="21"/>
          <w:sz w:val="24"/>
          <w:szCs w:val="24"/>
          <w:highlight w:val="none"/>
        </w:rPr>
        <w:t xml:space="preserve"> </w:t>
      </w:r>
      <w:r>
        <w:rPr>
          <w:rFonts w:hint="eastAsia" w:ascii="方正黑体_GBK" w:hAnsi="方正黑体_GBK" w:eastAsia="方正黑体_GBK" w:cs="方正黑体_GBK"/>
          <w:b w:val="0"/>
          <w:bCs w:val="0"/>
          <w:color w:val="auto"/>
          <w:spacing w:val="4"/>
          <w:position w:val="21"/>
          <w:sz w:val="24"/>
          <w:szCs w:val="24"/>
          <w:highlight w:val="none"/>
        </w:rPr>
        <w:t>、服务费用：</w:t>
      </w:r>
    </w:p>
    <w:p>
      <w:pPr>
        <w:numPr>
          <w:ilvl w:val="-1"/>
          <w:numId w:val="0"/>
        </w:numPr>
        <w:adjustRightInd w:val="0"/>
        <w:snapToGrid w:val="0"/>
        <w:spacing w:line="500" w:lineRule="exact"/>
        <w:ind w:left="0" w:firstLine="528" w:firstLineChars="200"/>
        <w:rPr>
          <w:rFonts w:hint="eastAsia" w:ascii="方正仿宋_GBK" w:hAnsi="方正仿宋_GBK" w:eastAsia="方正仿宋_GBK" w:cs="方正仿宋_GBK"/>
          <w:bCs w:val="0"/>
          <w:color w:val="auto"/>
          <w:spacing w:val="7"/>
          <w:sz w:val="24"/>
          <w:szCs w:val="24"/>
          <w:highlight w:val="none"/>
        </w:rPr>
      </w:pPr>
      <w:r>
        <w:rPr>
          <w:rFonts w:hint="eastAsia" w:ascii="方正仿宋_GBK" w:hAnsi="方正仿宋_GBK" w:eastAsia="方正仿宋_GBK" w:cs="方正仿宋_GBK"/>
          <w:color w:val="auto"/>
          <w:spacing w:val="12"/>
          <w:sz w:val="24"/>
          <w:szCs w:val="24"/>
          <w:highlight w:val="none"/>
          <w:lang w:val="en-US" w:eastAsia="zh-CN"/>
        </w:rPr>
        <w:t>1.</w:t>
      </w:r>
      <w:r>
        <w:rPr>
          <w:rFonts w:hint="eastAsia" w:ascii="方正仿宋_GBK" w:hAnsi="方正仿宋_GBK" w:eastAsia="方正仿宋_GBK" w:cs="方正仿宋_GBK"/>
          <w:color w:val="auto"/>
          <w:spacing w:val="12"/>
          <w:sz w:val="24"/>
          <w:szCs w:val="24"/>
          <w:highlight w:val="none"/>
        </w:rPr>
        <w:t>甲方支付乙方服务费金额：￥</w:t>
      </w:r>
      <w:r>
        <w:rPr>
          <w:rFonts w:hint="eastAsia" w:ascii="方正仿宋_GBK" w:hAnsi="方正仿宋_GBK" w:eastAsia="方正仿宋_GBK" w:cs="方正仿宋_GBK"/>
          <w:color w:val="auto"/>
          <w:spacing w:val="12"/>
          <w:sz w:val="24"/>
          <w:szCs w:val="24"/>
          <w:highlight w:val="none"/>
          <w:u w:val="single"/>
        </w:rPr>
        <w:t xml:space="preserve">        </w:t>
      </w:r>
      <w:r>
        <w:rPr>
          <w:rFonts w:hint="eastAsia" w:ascii="方正仿宋_GBK" w:hAnsi="方正仿宋_GBK" w:eastAsia="方正仿宋_GBK" w:cs="方正仿宋_GBK"/>
          <w:color w:val="auto"/>
          <w:spacing w:val="12"/>
          <w:sz w:val="24"/>
          <w:szCs w:val="24"/>
          <w:highlight w:val="none"/>
        </w:rPr>
        <w:t xml:space="preserve"> 元(大写：</w:t>
      </w:r>
      <w:r>
        <w:rPr>
          <w:rFonts w:hint="eastAsia" w:ascii="方正仿宋_GBK" w:hAnsi="方正仿宋_GBK" w:eastAsia="方正仿宋_GBK" w:cs="方正仿宋_GBK"/>
          <w:color w:val="auto"/>
          <w:spacing w:val="10"/>
          <w:sz w:val="24"/>
          <w:szCs w:val="24"/>
          <w:highlight w:val="none"/>
        </w:rPr>
        <w:t xml:space="preserve"> </w:t>
      </w:r>
      <w:r>
        <w:rPr>
          <w:rFonts w:hint="eastAsia" w:ascii="方正仿宋_GBK" w:hAnsi="方正仿宋_GBK" w:eastAsia="方正仿宋_GBK" w:cs="方正仿宋_GBK"/>
          <w:color w:val="auto"/>
          <w:spacing w:val="10"/>
          <w:sz w:val="24"/>
          <w:szCs w:val="24"/>
          <w:highlight w:val="none"/>
          <w:lang w:val="en-US" w:eastAsia="zh-CN"/>
        </w:rPr>
        <w:t xml:space="preserve">  </w:t>
      </w:r>
      <w:r>
        <w:rPr>
          <w:rFonts w:hint="eastAsia" w:ascii="方正仿宋_GBK" w:hAnsi="方正仿宋_GBK" w:eastAsia="方正仿宋_GBK" w:cs="方正仿宋_GBK"/>
          <w:color w:val="auto"/>
          <w:spacing w:val="7"/>
          <w:sz w:val="24"/>
          <w:szCs w:val="24"/>
          <w:highlight w:val="none"/>
        </w:rPr>
        <w:t>)此款包括但不限于乙方驾驶员薪酬、</w:t>
      </w:r>
      <w:r>
        <w:rPr>
          <w:rFonts w:hint="eastAsia" w:ascii="方正仿宋_GBK" w:hAnsi="方正仿宋_GBK" w:eastAsia="方正仿宋_GBK" w:cs="方正仿宋_GBK"/>
          <w:color w:val="auto"/>
          <w:spacing w:val="16"/>
          <w:sz w:val="24"/>
          <w:szCs w:val="24"/>
          <w:highlight w:val="none"/>
        </w:rPr>
        <w:t xml:space="preserve"> </w:t>
      </w:r>
      <w:r>
        <w:rPr>
          <w:rFonts w:hint="eastAsia" w:ascii="方正仿宋_GBK" w:hAnsi="方正仿宋_GBK" w:eastAsia="方正仿宋_GBK" w:cs="方正仿宋_GBK"/>
          <w:color w:val="auto"/>
          <w:spacing w:val="5"/>
          <w:sz w:val="24"/>
          <w:szCs w:val="24"/>
          <w:highlight w:val="none"/>
        </w:rPr>
        <w:t>税费、住宿、交通、加班、餐补、保险、工伤以及乙方对驾驶员实施</w:t>
      </w:r>
      <w:r>
        <w:rPr>
          <w:rFonts w:hint="eastAsia" w:ascii="方正仿宋_GBK" w:hAnsi="方正仿宋_GBK" w:eastAsia="方正仿宋_GBK" w:cs="方正仿宋_GBK"/>
          <w:color w:val="auto"/>
          <w:spacing w:val="3"/>
          <w:sz w:val="24"/>
          <w:szCs w:val="24"/>
          <w:highlight w:val="none"/>
        </w:rPr>
        <w:t>劳动或劳务管理等各项</w:t>
      </w:r>
      <w:r>
        <w:rPr>
          <w:rFonts w:hint="eastAsia" w:ascii="方正仿宋_GBK" w:hAnsi="方正仿宋_GBK" w:eastAsia="方正仿宋_GBK" w:cs="方正仿宋_GBK"/>
          <w:color w:val="auto"/>
          <w:spacing w:val="7"/>
          <w:sz w:val="24"/>
          <w:szCs w:val="24"/>
          <w:highlight w:val="none"/>
        </w:rPr>
        <w:t>费用。</w:t>
      </w:r>
      <w:r>
        <w:rPr>
          <w:rFonts w:hint="eastAsia" w:ascii="方正仿宋_GBK" w:hAnsi="方正仿宋_GBK" w:eastAsia="方正仿宋_GBK" w:cs="方正仿宋_GBK"/>
          <w:bCs w:val="0"/>
          <w:color w:val="auto"/>
          <w:spacing w:val="7"/>
          <w:sz w:val="24"/>
          <w:szCs w:val="24"/>
          <w:highlight w:val="none"/>
        </w:rPr>
        <w:t>除此之外，甲方无需就本合同项下服务向乙方</w:t>
      </w:r>
      <w:r>
        <w:rPr>
          <w:rFonts w:hint="eastAsia" w:ascii="方正仿宋_GBK" w:hAnsi="方正仿宋_GBK" w:eastAsia="方正仿宋_GBK" w:cs="方正仿宋_GBK"/>
          <w:bCs w:val="0"/>
          <w:color w:val="auto"/>
          <w:spacing w:val="7"/>
          <w:sz w:val="24"/>
          <w:szCs w:val="24"/>
          <w:highlight w:val="none"/>
          <w:lang w:val="en-US" w:eastAsia="zh-CN"/>
        </w:rPr>
        <w:t>和（</w:t>
      </w:r>
      <w:r>
        <w:rPr>
          <w:rFonts w:hint="eastAsia" w:ascii="方正仿宋_GBK" w:hAnsi="方正仿宋_GBK" w:eastAsia="方正仿宋_GBK" w:cs="方正仿宋_GBK"/>
          <w:bCs w:val="0"/>
          <w:color w:val="auto"/>
          <w:spacing w:val="7"/>
          <w:sz w:val="24"/>
          <w:szCs w:val="24"/>
          <w:highlight w:val="none"/>
        </w:rPr>
        <w:t>或</w:t>
      </w:r>
      <w:r>
        <w:rPr>
          <w:rFonts w:hint="eastAsia" w:ascii="方正仿宋_GBK" w:hAnsi="方正仿宋_GBK" w:eastAsia="方正仿宋_GBK" w:cs="方正仿宋_GBK"/>
          <w:bCs w:val="0"/>
          <w:color w:val="auto"/>
          <w:spacing w:val="7"/>
          <w:sz w:val="24"/>
          <w:szCs w:val="24"/>
          <w:highlight w:val="none"/>
          <w:lang w:val="en-US" w:eastAsia="zh-CN"/>
        </w:rPr>
        <w:t>）</w:t>
      </w:r>
      <w:r>
        <w:rPr>
          <w:rFonts w:hint="eastAsia" w:ascii="方正仿宋_GBK" w:hAnsi="方正仿宋_GBK" w:eastAsia="方正仿宋_GBK" w:cs="方正仿宋_GBK"/>
          <w:bCs w:val="0"/>
          <w:color w:val="auto"/>
          <w:spacing w:val="7"/>
          <w:sz w:val="24"/>
          <w:szCs w:val="24"/>
          <w:highlight w:val="none"/>
        </w:rPr>
        <w:t>第三方支付任何其他费用。</w:t>
      </w:r>
    </w:p>
    <w:p>
      <w:pPr>
        <w:numPr>
          <w:ilvl w:val="-1"/>
          <w:numId w:val="0"/>
        </w:numPr>
        <w:spacing w:before="88" w:line="500" w:lineRule="exact"/>
        <w:ind w:left="0" w:right="0" w:firstLine="492" w:firstLineChars="200"/>
        <w:jc w:val="left"/>
        <w:rPr>
          <w:rFonts w:hint="eastAsia" w:ascii="方正仿宋_GBK" w:hAnsi="方正仿宋_GBK" w:eastAsia="方正仿宋_GBK" w:cs="方正仿宋_GBK"/>
          <w:bCs w:val="0"/>
          <w:color w:val="auto"/>
          <w:spacing w:val="3"/>
          <w:position w:val="17"/>
          <w:sz w:val="24"/>
          <w:szCs w:val="24"/>
          <w:highlight w:val="none"/>
        </w:rPr>
      </w:pPr>
      <w:r>
        <w:rPr>
          <w:rFonts w:hint="eastAsia" w:ascii="方正仿宋_GBK" w:hAnsi="方正仿宋_GBK" w:eastAsia="方正仿宋_GBK" w:cs="方正仿宋_GBK"/>
          <w:bCs w:val="0"/>
          <w:color w:val="auto"/>
          <w:spacing w:val="3"/>
          <w:position w:val="17"/>
          <w:sz w:val="24"/>
          <w:szCs w:val="24"/>
          <w:highlight w:val="none"/>
          <w:lang w:val="en-US" w:eastAsia="zh-CN"/>
        </w:rPr>
        <w:t>2.该合同为单价、总价双限价，</w:t>
      </w:r>
      <w:r>
        <w:rPr>
          <w:rFonts w:hint="eastAsia" w:ascii="方正仿宋_GBK" w:hAnsi="方正仿宋_GBK" w:eastAsia="方正仿宋_GBK" w:cs="方正仿宋_GBK"/>
          <w:bCs w:val="0"/>
          <w:color w:val="auto"/>
          <w:spacing w:val="3"/>
          <w:position w:val="17"/>
          <w:sz w:val="24"/>
          <w:szCs w:val="24"/>
          <w:highlight w:val="none"/>
        </w:rPr>
        <w:t>不因任何原因（包括但不限于</w:t>
      </w:r>
      <w:r>
        <w:rPr>
          <w:rFonts w:hint="eastAsia" w:ascii="方正仿宋_GBK" w:hAnsi="方正仿宋_GBK" w:eastAsia="方正仿宋_GBK" w:cs="方正仿宋_GBK"/>
          <w:bCs w:val="0"/>
          <w:color w:val="auto"/>
          <w:spacing w:val="3"/>
          <w:position w:val="17"/>
          <w:sz w:val="24"/>
          <w:szCs w:val="24"/>
          <w:highlight w:val="none"/>
          <w:lang w:val="en-US" w:eastAsia="zh-CN"/>
        </w:rPr>
        <w:t>疫情影响、</w:t>
      </w:r>
      <w:r>
        <w:rPr>
          <w:rFonts w:hint="eastAsia" w:ascii="方正仿宋_GBK" w:hAnsi="方正仿宋_GBK" w:eastAsia="方正仿宋_GBK" w:cs="方正仿宋_GBK"/>
          <w:bCs w:val="0"/>
          <w:color w:val="auto"/>
          <w:spacing w:val="3"/>
          <w:position w:val="17"/>
          <w:sz w:val="24"/>
          <w:szCs w:val="24"/>
          <w:highlight w:val="none"/>
        </w:rPr>
        <w:t>服务期限调整、物价波动、汇率浮动、最低工资标准或社保交费基数调整、国家或地方政府法律法规变动、国家或地方政府相关部门发布的任何调价文件等）而上调</w:t>
      </w:r>
      <w:r>
        <w:rPr>
          <w:rFonts w:hint="eastAsia" w:ascii="方正仿宋_GBK" w:hAnsi="方正仿宋_GBK" w:eastAsia="方正仿宋_GBK" w:cs="方正仿宋_GBK"/>
          <w:bCs w:val="0"/>
          <w:color w:val="auto"/>
          <w:spacing w:val="3"/>
          <w:position w:val="17"/>
          <w:sz w:val="24"/>
          <w:szCs w:val="24"/>
          <w:highlight w:val="none"/>
          <w:lang w:eastAsia="zh-CN"/>
        </w:rPr>
        <w:t>，相关风险由乙方自行承担</w:t>
      </w:r>
      <w:r>
        <w:rPr>
          <w:rFonts w:hint="eastAsia" w:ascii="方正仿宋_GBK" w:hAnsi="方正仿宋_GBK" w:eastAsia="方正仿宋_GBK" w:cs="方正仿宋_GBK"/>
          <w:bCs w:val="0"/>
          <w:color w:val="auto"/>
          <w:spacing w:val="3"/>
          <w:position w:val="17"/>
          <w:sz w:val="24"/>
          <w:szCs w:val="24"/>
          <w:highlight w:val="none"/>
        </w:rPr>
        <w:t>。</w:t>
      </w:r>
    </w:p>
    <w:p>
      <w:pPr>
        <w:numPr>
          <w:ilvl w:val="-1"/>
          <w:numId w:val="0"/>
        </w:numPr>
        <w:spacing w:before="88" w:line="500" w:lineRule="exact"/>
        <w:ind w:left="0" w:right="0" w:firstLine="492" w:firstLineChars="200"/>
        <w:jc w:val="left"/>
        <w:rPr>
          <w:rFonts w:hint="eastAsia" w:ascii="方正仿宋_GBK" w:hAnsi="方正仿宋_GBK" w:eastAsia="方正仿宋_GBK" w:cs="方正仿宋_GBK"/>
          <w:color w:val="auto"/>
          <w:spacing w:val="3"/>
          <w:position w:val="17"/>
          <w:sz w:val="24"/>
          <w:szCs w:val="24"/>
          <w:highlight w:val="none"/>
        </w:rPr>
      </w:pPr>
      <w:r>
        <w:rPr>
          <w:rFonts w:hint="eastAsia" w:ascii="方正仿宋_GBK" w:hAnsi="方正仿宋_GBK" w:eastAsia="方正仿宋_GBK" w:cs="方正仿宋_GBK"/>
          <w:bCs w:val="0"/>
          <w:color w:val="auto"/>
          <w:spacing w:val="3"/>
          <w:position w:val="17"/>
          <w:sz w:val="24"/>
          <w:szCs w:val="24"/>
          <w:highlight w:val="none"/>
          <w:lang w:val="en-US" w:eastAsia="zh-CN"/>
        </w:rPr>
        <w:t>3.</w:t>
      </w:r>
      <w:r>
        <w:rPr>
          <w:rFonts w:hint="eastAsia" w:ascii="方正仿宋_GBK" w:hAnsi="方正仿宋_GBK" w:eastAsia="方正仿宋_GBK" w:cs="方正仿宋_GBK"/>
          <w:bCs w:val="0"/>
          <w:color w:val="auto"/>
          <w:spacing w:val="3"/>
          <w:position w:val="17"/>
          <w:sz w:val="24"/>
          <w:szCs w:val="24"/>
          <w:highlight w:val="none"/>
        </w:rPr>
        <w:t>甲方要求乙方临时增加服务人员完成某非本合同约定服务范围内的专项工作的，经甲方确认的该增加人员费用按照投标价格和完成情况进行核算另行支付。其余人员费用乙方已纳入投标报价、签约合同价，甲方不另行向乙方和（或）第三方支付任何费用。</w:t>
      </w:r>
    </w:p>
    <w:p>
      <w:pPr>
        <w:spacing w:before="0" w:line="500" w:lineRule="exact"/>
        <w:ind w:left="649" w:leftChars="309" w:firstLine="0" w:firstLineChars="0"/>
        <w:jc w:val="left"/>
        <w:outlineLvl w:val="9"/>
        <w:rPr>
          <w:rFonts w:hint="eastAsia" w:ascii="方正黑体_GBK" w:hAnsi="方正黑体_GBK" w:eastAsia="方正黑体_GBK" w:cs="方正黑体_GBK"/>
          <w:b w:val="0"/>
          <w:bCs w:val="0"/>
          <w:color w:val="auto"/>
          <w:spacing w:val="4"/>
          <w:position w:val="21"/>
          <w:sz w:val="24"/>
          <w:szCs w:val="24"/>
          <w:highlight w:val="none"/>
        </w:rPr>
      </w:pPr>
      <w:r>
        <w:rPr>
          <w:rFonts w:hint="eastAsia" w:ascii="方正黑体_GBK" w:hAnsi="方正黑体_GBK" w:eastAsia="方正黑体_GBK" w:cs="方正黑体_GBK"/>
          <w:b w:val="0"/>
          <w:bCs w:val="0"/>
          <w:color w:val="auto"/>
          <w:spacing w:val="4"/>
          <w:position w:val="21"/>
          <w:sz w:val="24"/>
          <w:szCs w:val="24"/>
          <w:highlight w:val="none"/>
        </w:rPr>
        <w:t>四</w:t>
      </w:r>
      <w:r>
        <w:rPr>
          <w:rFonts w:hint="eastAsia" w:ascii="方正黑体_GBK" w:hAnsi="方正黑体_GBK" w:eastAsia="方正黑体_GBK" w:cs="方正黑体_GBK"/>
          <w:color w:val="auto"/>
          <w:spacing w:val="4"/>
          <w:position w:val="21"/>
          <w:sz w:val="24"/>
          <w:szCs w:val="24"/>
          <w:highlight w:val="none"/>
        </w:rPr>
        <w:t xml:space="preserve"> </w:t>
      </w:r>
      <w:r>
        <w:rPr>
          <w:rFonts w:hint="eastAsia" w:ascii="方正黑体_GBK" w:hAnsi="方正黑体_GBK" w:eastAsia="方正黑体_GBK" w:cs="方正黑体_GBK"/>
          <w:b w:val="0"/>
          <w:bCs w:val="0"/>
          <w:color w:val="auto"/>
          <w:spacing w:val="4"/>
          <w:position w:val="21"/>
          <w:sz w:val="24"/>
          <w:szCs w:val="24"/>
          <w:highlight w:val="none"/>
        </w:rPr>
        <w:t>、费用的支付</w:t>
      </w:r>
    </w:p>
    <w:p>
      <w:pPr>
        <w:spacing w:before="0" w:line="500" w:lineRule="exact"/>
        <w:ind w:left="0" w:leftChars="0" w:firstLine="492" w:firstLineChars="200"/>
        <w:jc w:val="left"/>
        <w:outlineLvl w:val="9"/>
        <w:rPr>
          <w:rFonts w:hint="eastAsia" w:ascii="方正仿宋_GBK" w:hAnsi="方正仿宋_GBK" w:eastAsia="方正仿宋_GBK" w:cs="方正仿宋_GBK"/>
          <w:color w:val="auto"/>
          <w:spacing w:val="3"/>
          <w:position w:val="17"/>
          <w:sz w:val="24"/>
          <w:szCs w:val="24"/>
          <w:highlight w:val="none"/>
        </w:rPr>
      </w:pPr>
      <w:r>
        <w:rPr>
          <w:rFonts w:hint="eastAsia" w:ascii="方正仿宋_GBK" w:hAnsi="方正仿宋_GBK" w:eastAsia="方正仿宋_GBK" w:cs="方正仿宋_GBK"/>
          <w:color w:val="auto"/>
          <w:spacing w:val="3"/>
          <w:position w:val="17"/>
          <w:sz w:val="24"/>
          <w:szCs w:val="24"/>
          <w:highlight w:val="none"/>
        </w:rPr>
        <w:t>服务费用甲方按</w:t>
      </w:r>
      <w:r>
        <w:rPr>
          <w:rFonts w:hint="eastAsia" w:ascii="方正仿宋_GBK" w:hAnsi="方正仿宋_GBK" w:eastAsia="方正仿宋_GBK" w:cs="方正仿宋_GBK"/>
          <w:color w:val="auto"/>
          <w:spacing w:val="3"/>
          <w:position w:val="17"/>
          <w:sz w:val="24"/>
          <w:szCs w:val="24"/>
          <w:highlight w:val="none"/>
          <w:lang w:val="en-US" w:eastAsia="zh-CN"/>
        </w:rPr>
        <w:t>月</w:t>
      </w:r>
      <w:r>
        <w:rPr>
          <w:rFonts w:hint="eastAsia" w:ascii="方正仿宋_GBK" w:hAnsi="方正仿宋_GBK" w:eastAsia="方正仿宋_GBK" w:cs="方正仿宋_GBK"/>
          <w:color w:val="auto"/>
          <w:spacing w:val="3"/>
          <w:position w:val="17"/>
          <w:sz w:val="24"/>
          <w:szCs w:val="24"/>
          <w:highlight w:val="none"/>
        </w:rPr>
        <w:t>度支付给乙方。乙方向甲方开具正式的增值税普</w:t>
      </w:r>
      <w:r>
        <w:rPr>
          <w:rFonts w:hint="eastAsia" w:ascii="方正仿宋_GBK" w:hAnsi="方正仿宋_GBK" w:eastAsia="方正仿宋_GBK" w:cs="方正仿宋_GBK"/>
          <w:color w:val="auto"/>
          <w:spacing w:val="3"/>
          <w:position w:val="17"/>
          <w:sz w:val="24"/>
          <w:szCs w:val="24"/>
          <w:highlight w:val="none"/>
          <w:lang w:eastAsia="zh-CN"/>
        </w:rPr>
        <w:t>（</w:t>
      </w:r>
      <w:r>
        <w:rPr>
          <w:rFonts w:hint="eastAsia" w:ascii="方正仿宋_GBK" w:hAnsi="方正仿宋_GBK" w:eastAsia="方正仿宋_GBK" w:cs="方正仿宋_GBK"/>
          <w:color w:val="auto"/>
          <w:spacing w:val="3"/>
          <w:position w:val="17"/>
          <w:sz w:val="24"/>
          <w:szCs w:val="24"/>
          <w:highlight w:val="none"/>
          <w:lang w:val="en-US" w:eastAsia="zh-CN"/>
        </w:rPr>
        <w:t>专</w:t>
      </w:r>
      <w:r>
        <w:rPr>
          <w:rFonts w:hint="eastAsia" w:ascii="方正仿宋_GBK" w:hAnsi="方正仿宋_GBK" w:eastAsia="方正仿宋_GBK" w:cs="方正仿宋_GBK"/>
          <w:color w:val="auto"/>
          <w:spacing w:val="3"/>
          <w:position w:val="17"/>
          <w:sz w:val="24"/>
          <w:szCs w:val="24"/>
          <w:highlight w:val="none"/>
          <w:lang w:eastAsia="zh-CN"/>
        </w:rPr>
        <w:t>）</w:t>
      </w:r>
      <w:r>
        <w:rPr>
          <w:rFonts w:hint="eastAsia" w:ascii="方正仿宋_GBK" w:hAnsi="方正仿宋_GBK" w:eastAsia="方正仿宋_GBK" w:cs="方正仿宋_GBK"/>
          <w:color w:val="auto"/>
          <w:spacing w:val="3"/>
          <w:position w:val="17"/>
          <w:sz w:val="24"/>
          <w:szCs w:val="24"/>
          <w:highlight w:val="none"/>
        </w:rPr>
        <w:t>票。甲方于收到发票后1</w:t>
      </w:r>
      <w:r>
        <w:rPr>
          <w:rFonts w:hint="eastAsia" w:ascii="方正仿宋_GBK" w:hAnsi="方正仿宋_GBK" w:eastAsia="方正仿宋_GBK" w:cs="方正仿宋_GBK"/>
          <w:color w:val="auto"/>
          <w:spacing w:val="3"/>
          <w:position w:val="17"/>
          <w:sz w:val="24"/>
          <w:szCs w:val="24"/>
          <w:highlight w:val="none"/>
          <w:lang w:eastAsia="zh-CN"/>
        </w:rPr>
        <w:t>5</w:t>
      </w:r>
      <w:r>
        <w:rPr>
          <w:rFonts w:hint="eastAsia" w:ascii="方正仿宋_GBK" w:hAnsi="方正仿宋_GBK" w:eastAsia="方正仿宋_GBK" w:cs="方正仿宋_GBK"/>
          <w:color w:val="auto"/>
          <w:spacing w:val="3"/>
          <w:position w:val="17"/>
          <w:sz w:val="24"/>
          <w:szCs w:val="24"/>
          <w:highlight w:val="none"/>
        </w:rPr>
        <w:t>个工作日内，将费用支付给乙方。</w:t>
      </w:r>
    </w:p>
    <w:p>
      <w:pPr>
        <w:spacing w:before="0" w:line="500" w:lineRule="exact"/>
        <w:ind w:left="23" w:right="28" w:firstLine="550"/>
        <w:rPr>
          <w:rFonts w:hint="eastAsia" w:ascii="方正仿宋_GBK" w:hAnsi="方正仿宋_GBK" w:eastAsia="方正仿宋_GBK" w:cs="方正仿宋_GBK"/>
          <w:color w:val="auto"/>
          <w:spacing w:val="3"/>
          <w:sz w:val="24"/>
          <w:szCs w:val="24"/>
          <w:highlight w:val="none"/>
        </w:rPr>
      </w:pPr>
      <w:r>
        <w:rPr>
          <w:rFonts w:hint="eastAsia" w:ascii="方正仿宋_GBK" w:hAnsi="方正仿宋_GBK" w:eastAsia="方正仿宋_GBK" w:cs="方正仿宋_GBK"/>
          <w:color w:val="auto"/>
          <w:spacing w:val="3"/>
          <w:sz w:val="24"/>
          <w:szCs w:val="24"/>
          <w:highlight w:val="none"/>
        </w:rPr>
        <w:t>乙方账户如下：</w:t>
      </w:r>
    </w:p>
    <w:p>
      <w:pPr>
        <w:spacing w:before="0" w:line="500" w:lineRule="exact"/>
        <w:ind w:left="23" w:right="28" w:firstLine="550"/>
        <w:rPr>
          <w:rFonts w:hint="eastAsia" w:ascii="方正仿宋_GBK" w:hAnsi="方正仿宋_GBK" w:eastAsia="方正仿宋_GBK" w:cs="方正仿宋_GBK"/>
          <w:color w:val="auto"/>
          <w:spacing w:val="3"/>
          <w:sz w:val="24"/>
          <w:szCs w:val="24"/>
          <w:highlight w:val="none"/>
        </w:rPr>
      </w:pPr>
      <w:r>
        <w:rPr>
          <w:rFonts w:hint="eastAsia" w:ascii="方正仿宋_GBK" w:hAnsi="方正仿宋_GBK" w:eastAsia="方正仿宋_GBK" w:cs="方正仿宋_GBK"/>
          <w:color w:val="auto"/>
          <w:spacing w:val="3"/>
          <w:sz w:val="24"/>
          <w:szCs w:val="24"/>
          <w:highlight w:val="none"/>
        </w:rPr>
        <w:t>开户行：</w:t>
      </w:r>
    </w:p>
    <w:p>
      <w:pPr>
        <w:spacing w:before="0" w:line="500" w:lineRule="exact"/>
        <w:ind w:left="23" w:right="28" w:firstLine="550"/>
        <w:rPr>
          <w:rFonts w:hint="eastAsia" w:ascii="方正仿宋_GBK" w:hAnsi="方正仿宋_GBK" w:eastAsia="方正仿宋_GBK" w:cs="方正仿宋_GBK"/>
          <w:color w:val="auto"/>
          <w:spacing w:val="3"/>
          <w:sz w:val="24"/>
          <w:szCs w:val="24"/>
          <w:highlight w:val="none"/>
        </w:rPr>
      </w:pPr>
      <w:r>
        <w:rPr>
          <w:rFonts w:hint="eastAsia" w:ascii="方正仿宋_GBK" w:hAnsi="方正仿宋_GBK" w:eastAsia="方正仿宋_GBK" w:cs="方正仿宋_GBK"/>
          <w:color w:val="auto"/>
          <w:spacing w:val="3"/>
          <w:position w:val="0"/>
          <w:sz w:val="24"/>
          <w:szCs w:val="24"/>
          <w:highlight w:val="none"/>
        </w:rPr>
        <w:t>户  名：</w:t>
      </w:r>
    </w:p>
    <w:p>
      <w:pPr>
        <w:adjustRightInd/>
        <w:snapToGrid/>
        <w:spacing w:line="500" w:lineRule="exact"/>
        <w:ind w:left="23" w:right="28" w:firstLine="550"/>
        <w:rPr>
          <w:rFonts w:hint="eastAsia" w:ascii="方正黑体_GBK" w:hAnsi="方正黑体_GBK" w:eastAsia="方正黑体_GBK" w:cs="方正黑体_GBK"/>
          <w:color w:val="auto"/>
          <w:spacing w:val="4"/>
          <w:position w:val="21"/>
          <w:sz w:val="24"/>
          <w:szCs w:val="24"/>
          <w:highlight w:val="none"/>
          <w:lang w:val="en-US" w:eastAsia="zh-CN"/>
        </w:rPr>
      </w:pPr>
      <w:r>
        <w:rPr>
          <w:rFonts w:hint="eastAsia" w:ascii="方正仿宋_GBK" w:hAnsi="方正仿宋_GBK" w:eastAsia="方正仿宋_GBK" w:cs="方正仿宋_GBK"/>
          <w:color w:val="auto"/>
          <w:spacing w:val="3"/>
          <w:sz w:val="24"/>
          <w:szCs w:val="24"/>
          <w:highlight w:val="none"/>
        </w:rPr>
        <w:t xml:space="preserve">账  号： </w:t>
      </w:r>
      <w:bookmarkStart w:id="518" w:name="_Toc28301"/>
      <w:bookmarkStart w:id="519" w:name="_Toc14091"/>
      <w:bookmarkStart w:id="520" w:name="_Toc878"/>
    </w:p>
    <w:bookmarkEnd w:id="518"/>
    <w:bookmarkEnd w:id="519"/>
    <w:bookmarkEnd w:id="520"/>
    <w:p>
      <w:pPr>
        <w:numPr>
          <w:ilvl w:val="0"/>
          <w:numId w:val="0"/>
        </w:numPr>
        <w:adjustRightInd w:val="0"/>
        <w:snapToGrid w:val="0"/>
        <w:spacing w:before="0" w:line="500" w:lineRule="exact"/>
        <w:ind w:left="0" w:firstLine="508" w:firstLineChars="200"/>
        <w:jc w:val="left"/>
        <w:outlineLvl w:val="9"/>
        <w:rPr>
          <w:rFonts w:hint="eastAsia" w:ascii="方正黑体_GBK" w:hAnsi="方正黑体_GBK" w:eastAsia="方正黑体_GBK" w:cs="方正黑体_GBK"/>
          <w:b w:val="0"/>
          <w:bCs w:val="0"/>
          <w:color w:val="auto"/>
          <w:spacing w:val="4"/>
          <w:position w:val="21"/>
          <w:sz w:val="24"/>
          <w:szCs w:val="24"/>
          <w:highlight w:val="none"/>
        </w:rPr>
      </w:pPr>
      <w:r>
        <w:rPr>
          <w:rFonts w:hint="eastAsia" w:ascii="方正黑体_GBK" w:hAnsi="方正黑体_GBK" w:eastAsia="方正黑体_GBK" w:cs="方正黑体_GBK"/>
          <w:color w:val="auto"/>
          <w:spacing w:val="7"/>
          <w:sz w:val="24"/>
          <w:szCs w:val="24"/>
          <w:highlight w:val="none"/>
          <w:lang w:val="en-US" w:eastAsia="zh-CN"/>
        </w:rPr>
        <w:t>五、甲方的责任与义务</w:t>
      </w:r>
    </w:p>
    <w:p>
      <w:pPr>
        <w:numPr>
          <w:ilvl w:val="0"/>
          <w:numId w:val="0"/>
        </w:numPr>
        <w:adjustRightInd w:val="0"/>
        <w:snapToGrid w:val="0"/>
        <w:spacing w:before="0" w:line="500" w:lineRule="exact"/>
        <w:ind w:left="0" w:firstLine="492" w:firstLineChars="200"/>
        <w:outlineLvl w:val="9"/>
        <w:rPr>
          <w:rFonts w:hint="eastAsia" w:ascii="方正仿宋_GBK" w:hAnsi="方正仿宋_GBK" w:eastAsia="方正仿宋_GBK" w:cs="方正仿宋_GBK"/>
          <w:color w:val="auto"/>
          <w:spacing w:val="3"/>
          <w:sz w:val="24"/>
          <w:szCs w:val="24"/>
          <w:highlight w:val="none"/>
        </w:rPr>
      </w:pPr>
      <w:r>
        <w:rPr>
          <w:rFonts w:hint="eastAsia" w:ascii="方正仿宋_GBK" w:hAnsi="方正仿宋_GBK" w:eastAsia="方正仿宋_GBK" w:cs="方正仿宋_GBK"/>
          <w:bCs w:val="0"/>
          <w:color w:val="auto"/>
          <w:spacing w:val="3"/>
          <w:sz w:val="24"/>
          <w:szCs w:val="24"/>
          <w:highlight w:val="none"/>
        </w:rPr>
        <w:t>1.甲方对本合同项下的外包服务事项有知情权和了解权</w:t>
      </w:r>
      <w:r>
        <w:rPr>
          <w:rFonts w:hint="eastAsia" w:ascii="方正仿宋_GBK" w:hAnsi="方正仿宋_GBK" w:eastAsia="方正仿宋_GBK" w:cs="方正仿宋_GBK"/>
          <w:bCs w:val="0"/>
          <w:color w:val="auto"/>
          <w:spacing w:val="3"/>
          <w:sz w:val="24"/>
          <w:szCs w:val="24"/>
          <w:highlight w:val="none"/>
          <w:lang w:eastAsia="zh-CN"/>
        </w:rPr>
        <w:t>，并有权根据工作需要调整</w:t>
      </w:r>
      <w:r>
        <w:rPr>
          <w:rFonts w:hint="eastAsia" w:ascii="方正仿宋_GBK" w:hAnsi="方正仿宋_GBK" w:eastAsia="方正仿宋_GBK" w:cs="方正仿宋_GBK"/>
          <w:bCs w:val="0"/>
          <w:color w:val="auto"/>
          <w:spacing w:val="3"/>
          <w:sz w:val="24"/>
          <w:szCs w:val="24"/>
          <w:highlight w:val="none"/>
          <w:lang w:val="en-US" w:eastAsia="zh-CN"/>
        </w:rPr>
        <w:t>本合同项下的</w:t>
      </w:r>
      <w:r>
        <w:rPr>
          <w:rFonts w:hint="eastAsia" w:ascii="方正仿宋_GBK" w:hAnsi="方正仿宋_GBK" w:eastAsia="方正仿宋_GBK" w:cs="方正仿宋_GBK"/>
          <w:bCs w:val="0"/>
          <w:color w:val="auto"/>
          <w:spacing w:val="3"/>
          <w:sz w:val="24"/>
          <w:szCs w:val="24"/>
          <w:highlight w:val="none"/>
          <w:lang w:eastAsia="zh-CN"/>
        </w:rPr>
        <w:t>服务范围、服务数量</w:t>
      </w:r>
      <w:r>
        <w:rPr>
          <w:rFonts w:hint="eastAsia" w:ascii="方正仿宋_GBK" w:hAnsi="方正仿宋_GBK" w:eastAsia="方正仿宋_GBK" w:cs="方正仿宋_GBK"/>
          <w:bCs w:val="0"/>
          <w:color w:val="auto"/>
          <w:spacing w:val="3"/>
          <w:sz w:val="24"/>
          <w:szCs w:val="24"/>
          <w:highlight w:val="none"/>
          <w:lang w:val="en-US" w:eastAsia="zh-CN"/>
        </w:rPr>
        <w:t>等</w:t>
      </w:r>
      <w:r>
        <w:rPr>
          <w:rFonts w:hint="eastAsia" w:ascii="方正仿宋_GBK" w:hAnsi="方正仿宋_GBK" w:eastAsia="方正仿宋_GBK" w:cs="方正仿宋_GBK"/>
          <w:bCs w:val="0"/>
          <w:color w:val="auto"/>
          <w:spacing w:val="3"/>
          <w:sz w:val="24"/>
          <w:szCs w:val="24"/>
          <w:highlight w:val="none"/>
          <w:lang w:eastAsia="zh-CN"/>
        </w:rPr>
        <w:t>，乙方应无条件按甲方要求执行。</w:t>
      </w:r>
    </w:p>
    <w:p>
      <w:pPr>
        <w:numPr>
          <w:ilvl w:val="0"/>
          <w:numId w:val="0"/>
        </w:numPr>
        <w:adjustRightInd w:val="0"/>
        <w:snapToGrid w:val="0"/>
        <w:spacing w:line="500" w:lineRule="exact"/>
        <w:ind w:firstLine="492" w:firstLineChars="200"/>
        <w:rPr>
          <w:rFonts w:hint="eastAsia" w:ascii="方正仿宋_GBK" w:hAnsi="方正仿宋_GBK" w:eastAsia="方正仿宋_GBK" w:cs="方正仿宋_GBK"/>
          <w:bCs w:val="0"/>
          <w:color w:val="auto"/>
          <w:spacing w:val="3"/>
          <w:sz w:val="24"/>
          <w:szCs w:val="24"/>
          <w:highlight w:val="none"/>
        </w:rPr>
      </w:pPr>
      <w:r>
        <w:rPr>
          <w:rFonts w:hint="eastAsia" w:ascii="方正仿宋_GBK" w:hAnsi="方正仿宋_GBK" w:eastAsia="方正仿宋_GBK" w:cs="方正仿宋_GBK"/>
          <w:bCs w:val="0"/>
          <w:color w:val="auto"/>
          <w:spacing w:val="3"/>
          <w:sz w:val="24"/>
          <w:szCs w:val="24"/>
          <w:highlight w:val="none"/>
        </w:rPr>
        <w:t>2.甲方有权对本合同项下的外包服务内容进行指导、监督、检查、考</w:t>
      </w:r>
      <w:r>
        <w:rPr>
          <w:rFonts w:hint="eastAsia" w:ascii="方正仿宋_GBK" w:hAnsi="方正仿宋_GBK" w:eastAsia="方正仿宋_GBK" w:cs="方正仿宋_GBK"/>
          <w:bCs w:val="0"/>
          <w:color w:val="auto"/>
          <w:spacing w:val="3"/>
          <w:sz w:val="24"/>
          <w:szCs w:val="24"/>
          <w:highlight w:val="none"/>
          <w:lang w:val="en-US" w:eastAsia="zh-CN"/>
        </w:rPr>
        <w:t>核、评价</w:t>
      </w:r>
      <w:r>
        <w:rPr>
          <w:rFonts w:hint="eastAsia" w:ascii="方正仿宋_GBK" w:hAnsi="方正仿宋_GBK" w:eastAsia="方正仿宋_GBK" w:cs="方正仿宋_GBK"/>
          <w:bCs w:val="0"/>
          <w:color w:val="auto"/>
          <w:spacing w:val="3"/>
          <w:sz w:val="24"/>
          <w:szCs w:val="24"/>
          <w:highlight w:val="none"/>
        </w:rPr>
        <w:t>等，但任何情况下甲方的培训、监督、检查、验收、考核、评价等的实施和（或）通过并不代表甲方放弃对于乙方违约所引起的相关损失的索赔权利，也并不减轻和（或）免除乙方应履行的合同义务和应承担的责任。</w:t>
      </w:r>
    </w:p>
    <w:p>
      <w:pPr>
        <w:numPr>
          <w:ilvl w:val="0"/>
          <w:numId w:val="0"/>
        </w:numPr>
        <w:adjustRightInd w:val="0"/>
        <w:snapToGrid w:val="0"/>
        <w:spacing w:line="500" w:lineRule="exact"/>
        <w:ind w:firstLine="492" w:firstLineChars="200"/>
        <w:rPr>
          <w:rFonts w:hint="eastAsia" w:ascii="方正仿宋_GBK" w:hAnsi="方正仿宋_GBK" w:eastAsia="方正仿宋_GBK" w:cs="方正仿宋_GBK"/>
          <w:bCs w:val="0"/>
          <w:color w:val="auto"/>
          <w:spacing w:val="3"/>
          <w:sz w:val="24"/>
          <w:szCs w:val="24"/>
          <w:highlight w:val="none"/>
        </w:rPr>
      </w:pPr>
      <w:r>
        <w:rPr>
          <w:rFonts w:hint="eastAsia" w:ascii="方正仿宋_GBK" w:hAnsi="方正仿宋_GBK" w:eastAsia="方正仿宋_GBK" w:cs="方正仿宋_GBK"/>
          <w:bCs w:val="0"/>
          <w:color w:val="auto"/>
          <w:spacing w:val="3"/>
          <w:sz w:val="24"/>
          <w:szCs w:val="24"/>
          <w:highlight w:val="none"/>
        </w:rPr>
        <w:t>3.甲方有权根据工作需要制定、调整考核指标和（或）奖惩标准；有权每月对乙方服务情况进行考</w:t>
      </w:r>
      <w:r>
        <w:rPr>
          <w:rFonts w:hint="eastAsia" w:ascii="方正仿宋_GBK" w:hAnsi="方正仿宋_GBK" w:eastAsia="方正仿宋_GBK" w:cs="方正仿宋_GBK"/>
          <w:bCs w:val="0"/>
          <w:color w:val="auto"/>
          <w:spacing w:val="3"/>
          <w:sz w:val="24"/>
          <w:szCs w:val="24"/>
          <w:highlight w:val="none"/>
          <w:lang w:val="en-US" w:eastAsia="zh-CN"/>
        </w:rPr>
        <w:t>核、</w:t>
      </w:r>
      <w:r>
        <w:rPr>
          <w:rFonts w:hint="eastAsia" w:ascii="方正仿宋_GBK" w:hAnsi="方正仿宋_GBK" w:eastAsia="方正仿宋_GBK" w:cs="方正仿宋_GBK"/>
          <w:bCs w:val="0"/>
          <w:color w:val="auto"/>
          <w:spacing w:val="3"/>
          <w:sz w:val="24"/>
          <w:szCs w:val="24"/>
          <w:highlight w:val="none"/>
        </w:rPr>
        <w:t>评</w:t>
      </w:r>
      <w:r>
        <w:rPr>
          <w:rFonts w:hint="eastAsia" w:ascii="方正仿宋_GBK" w:hAnsi="方正仿宋_GBK" w:eastAsia="方正仿宋_GBK" w:cs="方正仿宋_GBK"/>
          <w:bCs w:val="0"/>
          <w:color w:val="auto"/>
          <w:spacing w:val="3"/>
          <w:sz w:val="24"/>
          <w:szCs w:val="24"/>
          <w:highlight w:val="none"/>
          <w:lang w:val="en-US" w:eastAsia="zh-CN"/>
        </w:rPr>
        <w:t>价</w:t>
      </w:r>
      <w:r>
        <w:rPr>
          <w:rFonts w:hint="eastAsia" w:ascii="方正仿宋_GBK" w:hAnsi="方正仿宋_GBK" w:eastAsia="方正仿宋_GBK" w:cs="方正仿宋_GBK"/>
          <w:bCs w:val="0"/>
          <w:color w:val="auto"/>
          <w:spacing w:val="3"/>
          <w:sz w:val="24"/>
          <w:szCs w:val="24"/>
          <w:highlight w:val="none"/>
        </w:rPr>
        <w:t>，并有权根据乙方服务情况提出整改意见和投诉建议。</w:t>
      </w:r>
    </w:p>
    <w:p>
      <w:pPr>
        <w:numPr>
          <w:ilvl w:val="0"/>
          <w:numId w:val="0"/>
        </w:numPr>
        <w:adjustRightInd w:val="0"/>
        <w:snapToGrid w:val="0"/>
        <w:spacing w:line="500" w:lineRule="exact"/>
        <w:ind w:firstLine="492" w:firstLineChars="200"/>
        <w:rPr>
          <w:rFonts w:hint="eastAsia" w:ascii="方正仿宋_GBK" w:hAnsi="方正仿宋_GBK" w:eastAsia="方正仿宋_GBK" w:cs="方正仿宋_GBK"/>
          <w:bCs w:val="0"/>
          <w:color w:val="auto"/>
          <w:spacing w:val="7"/>
          <w:sz w:val="24"/>
          <w:szCs w:val="24"/>
          <w:highlight w:val="none"/>
        </w:rPr>
      </w:pPr>
      <w:r>
        <w:rPr>
          <w:rFonts w:hint="eastAsia" w:ascii="方正仿宋_GBK" w:hAnsi="方正仿宋_GBK" w:eastAsia="方正仿宋_GBK" w:cs="方正仿宋_GBK"/>
          <w:bCs w:val="0"/>
          <w:color w:val="auto"/>
          <w:spacing w:val="3"/>
          <w:sz w:val="24"/>
          <w:szCs w:val="24"/>
          <w:highlight w:val="none"/>
        </w:rPr>
        <w:t>4.甲方有权考察考核乙方服务人员的身份资料</w:t>
      </w:r>
      <w:r>
        <w:rPr>
          <w:rFonts w:hint="eastAsia" w:ascii="方正仿宋_GBK" w:hAnsi="方正仿宋_GBK" w:eastAsia="方正仿宋_GBK" w:cs="方正仿宋_GBK"/>
          <w:bCs w:val="0"/>
          <w:color w:val="auto"/>
          <w:spacing w:val="3"/>
          <w:sz w:val="24"/>
          <w:szCs w:val="24"/>
          <w:highlight w:val="none"/>
          <w:lang w:eastAsia="zh-CN"/>
        </w:rPr>
        <w:t>、</w:t>
      </w:r>
      <w:r>
        <w:rPr>
          <w:rFonts w:hint="eastAsia" w:ascii="方正仿宋_GBK" w:hAnsi="方正仿宋_GBK" w:eastAsia="方正仿宋_GBK" w:cs="方正仿宋_GBK"/>
          <w:bCs w:val="0"/>
          <w:color w:val="auto"/>
          <w:spacing w:val="3"/>
          <w:sz w:val="24"/>
          <w:szCs w:val="24"/>
          <w:highlight w:val="none"/>
          <w:lang w:val="en-US" w:eastAsia="zh-CN"/>
        </w:rPr>
        <w:t>能力</w:t>
      </w:r>
      <w:r>
        <w:rPr>
          <w:rFonts w:hint="eastAsia" w:ascii="方正仿宋_GBK" w:hAnsi="方正仿宋_GBK" w:eastAsia="方正仿宋_GBK" w:cs="方正仿宋_GBK"/>
          <w:bCs w:val="0"/>
          <w:color w:val="auto"/>
          <w:spacing w:val="3"/>
          <w:sz w:val="24"/>
          <w:szCs w:val="24"/>
          <w:highlight w:val="none"/>
        </w:rPr>
        <w:t>等是否</w:t>
      </w:r>
      <w:r>
        <w:rPr>
          <w:rFonts w:hint="eastAsia" w:ascii="方正仿宋_GBK" w:hAnsi="方正仿宋_GBK" w:eastAsia="方正仿宋_GBK" w:cs="方正仿宋_GBK"/>
          <w:bCs w:val="0"/>
          <w:color w:val="auto"/>
          <w:spacing w:val="3"/>
          <w:sz w:val="24"/>
          <w:szCs w:val="24"/>
          <w:highlight w:val="none"/>
          <w:lang w:val="en-US" w:eastAsia="zh-CN"/>
        </w:rPr>
        <w:t>符合合同及附件、招标文件、投标文件等要求</w:t>
      </w:r>
      <w:r>
        <w:rPr>
          <w:rFonts w:hint="eastAsia" w:ascii="方正仿宋_GBK" w:hAnsi="方正仿宋_GBK" w:eastAsia="方正仿宋_GBK" w:cs="方正仿宋_GBK"/>
          <w:bCs w:val="0"/>
          <w:color w:val="auto"/>
          <w:spacing w:val="3"/>
          <w:sz w:val="24"/>
          <w:szCs w:val="24"/>
          <w:highlight w:val="none"/>
        </w:rPr>
        <w:t>，如经考察考核发现乙方服务人员身份资料不合格、不</w:t>
      </w:r>
      <w:r>
        <w:rPr>
          <w:rFonts w:hint="eastAsia" w:ascii="方正仿宋_GBK" w:hAnsi="方正仿宋_GBK" w:eastAsia="方正仿宋_GBK" w:cs="方正仿宋_GBK"/>
          <w:bCs w:val="0"/>
          <w:color w:val="auto"/>
          <w:spacing w:val="3"/>
          <w:sz w:val="24"/>
          <w:szCs w:val="24"/>
          <w:highlight w:val="none"/>
          <w:lang w:val="en-US" w:eastAsia="zh-CN"/>
        </w:rPr>
        <w:t>满足合同第四条约定的服务人员要求</w:t>
      </w:r>
      <w:r>
        <w:rPr>
          <w:rFonts w:hint="eastAsia" w:ascii="方正仿宋_GBK" w:hAnsi="方正仿宋_GBK" w:eastAsia="方正仿宋_GBK" w:cs="方正仿宋_GBK"/>
          <w:bCs w:val="0"/>
          <w:color w:val="auto"/>
          <w:spacing w:val="3"/>
          <w:sz w:val="24"/>
          <w:szCs w:val="24"/>
          <w:highlight w:val="none"/>
        </w:rPr>
        <w:t>和（或）不符合合同及附件、招标文件、投标文件</w:t>
      </w:r>
      <w:r>
        <w:rPr>
          <w:rFonts w:hint="eastAsia" w:ascii="方正仿宋_GBK" w:hAnsi="方正仿宋_GBK" w:eastAsia="方正仿宋_GBK" w:cs="方正仿宋_GBK"/>
          <w:bCs w:val="0"/>
          <w:color w:val="auto"/>
          <w:spacing w:val="3"/>
          <w:sz w:val="24"/>
          <w:szCs w:val="24"/>
          <w:highlight w:val="none"/>
          <w:lang w:val="en-US" w:eastAsia="zh-CN"/>
        </w:rPr>
        <w:t>及</w:t>
      </w:r>
      <w:r>
        <w:rPr>
          <w:rFonts w:hint="eastAsia" w:ascii="方正仿宋_GBK" w:hAnsi="方正仿宋_GBK" w:eastAsia="方正仿宋_GBK" w:cs="方正仿宋_GBK"/>
          <w:bCs w:val="0"/>
          <w:color w:val="auto"/>
          <w:spacing w:val="3"/>
          <w:sz w:val="24"/>
          <w:szCs w:val="24"/>
          <w:highlight w:val="none"/>
        </w:rPr>
        <w:t>甲方要求的，和（或）乙方服务人员有下列情形之一的，乙方除应按约承担违约责任外，甲方还有权提前【</w:t>
      </w:r>
      <w:r>
        <w:rPr>
          <w:rFonts w:hint="eastAsia" w:ascii="方正仿宋_GBK" w:hAnsi="方正仿宋_GBK" w:eastAsia="方正仿宋_GBK" w:cs="方正仿宋_GBK"/>
          <w:bCs w:val="0"/>
          <w:color w:val="auto"/>
          <w:spacing w:val="3"/>
          <w:sz w:val="24"/>
          <w:szCs w:val="24"/>
          <w:highlight w:val="none"/>
          <w:lang w:val="en-US" w:eastAsia="zh-CN"/>
        </w:rPr>
        <w:t>3</w:t>
      </w:r>
      <w:r>
        <w:rPr>
          <w:rFonts w:hint="eastAsia" w:ascii="方正仿宋_GBK" w:hAnsi="方正仿宋_GBK" w:eastAsia="方正仿宋_GBK" w:cs="方正仿宋_GBK"/>
          <w:bCs w:val="0"/>
          <w:color w:val="auto"/>
          <w:spacing w:val="3"/>
          <w:sz w:val="24"/>
          <w:szCs w:val="24"/>
          <w:highlight w:val="none"/>
        </w:rPr>
        <w:t>】日通知乙方</w:t>
      </w:r>
      <w:r>
        <w:rPr>
          <w:rFonts w:hint="eastAsia" w:ascii="方正仿宋_GBK" w:hAnsi="方正仿宋_GBK" w:eastAsia="方正仿宋_GBK" w:cs="方正仿宋_GBK"/>
          <w:bCs w:val="0"/>
          <w:color w:val="auto"/>
          <w:spacing w:val="3"/>
          <w:sz w:val="24"/>
          <w:szCs w:val="24"/>
          <w:highlight w:val="none"/>
          <w:lang w:val="en-US" w:eastAsia="zh-CN"/>
        </w:rPr>
        <w:t>更换服务人员</w:t>
      </w:r>
      <w:r>
        <w:rPr>
          <w:rFonts w:hint="eastAsia" w:ascii="方正仿宋_GBK" w:hAnsi="方正仿宋_GBK" w:eastAsia="方正仿宋_GBK" w:cs="方正仿宋_GBK"/>
          <w:bCs w:val="0"/>
          <w:color w:val="auto"/>
          <w:spacing w:val="3"/>
          <w:sz w:val="24"/>
          <w:szCs w:val="24"/>
          <w:highlight w:val="none"/>
        </w:rPr>
        <w:t>，乙方应在收到甲方通知【</w:t>
      </w:r>
      <w:r>
        <w:rPr>
          <w:rFonts w:hint="eastAsia" w:ascii="方正仿宋_GBK" w:hAnsi="方正仿宋_GBK" w:eastAsia="方正仿宋_GBK" w:cs="方正仿宋_GBK"/>
          <w:bCs w:val="0"/>
          <w:color w:val="auto"/>
          <w:spacing w:val="3"/>
          <w:sz w:val="24"/>
          <w:szCs w:val="24"/>
          <w:highlight w:val="none"/>
          <w:lang w:val="en-US" w:eastAsia="zh-CN"/>
        </w:rPr>
        <w:t>3</w:t>
      </w:r>
      <w:r>
        <w:rPr>
          <w:rFonts w:hint="eastAsia" w:ascii="方正仿宋_GBK" w:hAnsi="方正仿宋_GBK" w:eastAsia="方正仿宋_GBK" w:cs="方正仿宋_GBK"/>
          <w:bCs w:val="0"/>
          <w:color w:val="auto"/>
          <w:spacing w:val="3"/>
          <w:sz w:val="24"/>
          <w:szCs w:val="24"/>
          <w:highlight w:val="none"/>
        </w:rPr>
        <w:t>】日内无条件按甲方要求</w:t>
      </w:r>
      <w:r>
        <w:rPr>
          <w:rFonts w:hint="eastAsia" w:ascii="方正仿宋_GBK" w:hAnsi="方正仿宋_GBK" w:eastAsia="方正仿宋_GBK" w:cs="方正仿宋_GBK"/>
          <w:bCs w:val="0"/>
          <w:color w:val="auto"/>
          <w:spacing w:val="3"/>
          <w:sz w:val="24"/>
          <w:szCs w:val="24"/>
          <w:highlight w:val="none"/>
          <w:lang w:val="en-US" w:eastAsia="zh-CN"/>
        </w:rPr>
        <w:t>完成更换</w:t>
      </w:r>
      <w:r>
        <w:rPr>
          <w:rFonts w:hint="eastAsia" w:ascii="方正仿宋_GBK" w:hAnsi="方正仿宋_GBK" w:eastAsia="方正仿宋_GBK" w:cs="方正仿宋_GBK"/>
          <w:bCs w:val="0"/>
          <w:color w:val="auto"/>
          <w:spacing w:val="3"/>
          <w:sz w:val="24"/>
          <w:szCs w:val="24"/>
          <w:highlight w:val="none"/>
        </w:rPr>
        <w:t>且更换</w:t>
      </w:r>
      <w:r>
        <w:rPr>
          <w:rFonts w:hint="eastAsia" w:ascii="方正仿宋_GBK" w:hAnsi="方正仿宋_GBK" w:eastAsia="方正仿宋_GBK" w:cs="方正仿宋_GBK"/>
          <w:bCs w:val="0"/>
          <w:color w:val="auto"/>
          <w:spacing w:val="3"/>
          <w:sz w:val="24"/>
          <w:szCs w:val="24"/>
          <w:highlight w:val="none"/>
          <w:lang w:val="en-US" w:eastAsia="zh-CN"/>
        </w:rPr>
        <w:t>后</w:t>
      </w:r>
      <w:r>
        <w:rPr>
          <w:rFonts w:hint="eastAsia" w:ascii="方正仿宋_GBK" w:hAnsi="方正仿宋_GBK" w:eastAsia="方正仿宋_GBK" w:cs="方正仿宋_GBK"/>
          <w:bCs w:val="0"/>
          <w:color w:val="auto"/>
          <w:spacing w:val="3"/>
          <w:sz w:val="24"/>
          <w:szCs w:val="24"/>
          <w:highlight w:val="none"/>
        </w:rPr>
        <w:t>的服务人员业务技能经甲方考核认可后方可上岗，由此产生一切风险、费用、损失、责任等均由乙方承担。乙方</w:t>
      </w:r>
      <w:r>
        <w:rPr>
          <w:rFonts w:hint="eastAsia" w:ascii="方正仿宋_GBK" w:hAnsi="方正仿宋_GBK" w:eastAsia="方正仿宋_GBK" w:cs="方正仿宋_GBK"/>
          <w:bCs w:val="0"/>
          <w:color w:val="auto"/>
          <w:spacing w:val="3"/>
          <w:sz w:val="24"/>
          <w:szCs w:val="24"/>
          <w:highlight w:val="none"/>
          <w:lang w:val="en-US" w:eastAsia="zh-CN"/>
        </w:rPr>
        <w:t>更换服务人员</w:t>
      </w:r>
      <w:r>
        <w:rPr>
          <w:rFonts w:hint="eastAsia" w:ascii="方正仿宋_GBK" w:hAnsi="方正仿宋_GBK" w:eastAsia="方正仿宋_GBK" w:cs="方正仿宋_GBK"/>
          <w:bCs w:val="0"/>
          <w:color w:val="auto"/>
          <w:spacing w:val="3"/>
          <w:sz w:val="24"/>
          <w:szCs w:val="24"/>
          <w:highlight w:val="none"/>
        </w:rPr>
        <w:t>时应做好交接工作，保证工作质量、工作时间连续不间断。如因乙方未及时</w:t>
      </w:r>
      <w:r>
        <w:rPr>
          <w:rFonts w:hint="eastAsia" w:ascii="方正仿宋_GBK" w:hAnsi="方正仿宋_GBK" w:eastAsia="方正仿宋_GBK" w:cs="方正仿宋_GBK"/>
          <w:bCs w:val="0"/>
          <w:color w:val="auto"/>
          <w:spacing w:val="3"/>
          <w:sz w:val="24"/>
          <w:szCs w:val="24"/>
          <w:highlight w:val="none"/>
          <w:lang w:val="en-US" w:eastAsia="zh-CN"/>
        </w:rPr>
        <w:t>更</w:t>
      </w:r>
      <w:r>
        <w:rPr>
          <w:rFonts w:hint="eastAsia" w:ascii="方正仿宋_GBK" w:hAnsi="方正仿宋_GBK" w:eastAsia="方正仿宋_GBK" w:cs="方正仿宋_GBK"/>
          <w:bCs w:val="0"/>
          <w:color w:val="auto"/>
          <w:spacing w:val="3"/>
          <w:sz w:val="24"/>
          <w:szCs w:val="24"/>
          <w:highlight w:val="none"/>
        </w:rPr>
        <w:t>换服</w:t>
      </w:r>
      <w:r>
        <w:rPr>
          <w:rFonts w:hint="eastAsia" w:ascii="方正仿宋_GBK" w:hAnsi="方正仿宋_GBK" w:eastAsia="方正仿宋_GBK" w:cs="方正仿宋_GBK"/>
          <w:bCs w:val="0"/>
          <w:color w:val="auto"/>
          <w:spacing w:val="7"/>
          <w:sz w:val="24"/>
          <w:szCs w:val="24"/>
          <w:highlight w:val="none"/>
        </w:rPr>
        <w:t>务人员给甲方造成损失的，乙方应完全赔偿甲方损失。</w:t>
      </w:r>
    </w:p>
    <w:p>
      <w:pPr>
        <w:numPr>
          <w:ilvl w:val="-1"/>
          <w:numId w:val="0"/>
        </w:numPr>
        <w:adjustRightInd w:val="0"/>
        <w:snapToGrid w:val="0"/>
        <w:spacing w:line="500" w:lineRule="exact"/>
        <w:ind w:left="0" w:firstLine="508" w:firstLineChars="200"/>
        <w:rPr>
          <w:rFonts w:hint="eastAsia" w:ascii="方正仿宋_GBK" w:hAnsi="方正仿宋_GBK" w:eastAsia="方正仿宋_GBK" w:cs="方正仿宋_GBK"/>
          <w:bCs w:val="0"/>
          <w:color w:val="auto"/>
          <w:spacing w:val="7"/>
          <w:sz w:val="24"/>
          <w:szCs w:val="24"/>
          <w:highlight w:val="none"/>
        </w:rPr>
      </w:pPr>
      <w:r>
        <w:rPr>
          <w:rFonts w:hint="eastAsia" w:ascii="方正仿宋_GBK" w:hAnsi="方正仿宋_GBK" w:eastAsia="方正仿宋_GBK" w:cs="方正仿宋_GBK"/>
          <w:bCs w:val="0"/>
          <w:color w:val="auto"/>
          <w:spacing w:val="7"/>
          <w:sz w:val="24"/>
          <w:szCs w:val="24"/>
          <w:highlight w:val="none"/>
        </w:rPr>
        <w:t>（1）服务人员严重违反甲方各类规章制度、岗位职责、劳动纪律的；</w:t>
      </w:r>
    </w:p>
    <w:p>
      <w:pPr>
        <w:numPr>
          <w:ilvl w:val="-1"/>
          <w:numId w:val="0"/>
        </w:numPr>
        <w:adjustRightInd w:val="0"/>
        <w:snapToGrid w:val="0"/>
        <w:spacing w:line="500" w:lineRule="exact"/>
        <w:ind w:left="0" w:firstLine="508" w:firstLineChars="200"/>
        <w:rPr>
          <w:rFonts w:hint="eastAsia" w:ascii="方正仿宋_GBK" w:hAnsi="方正仿宋_GBK" w:eastAsia="方正仿宋_GBK" w:cs="方正仿宋_GBK"/>
          <w:bCs w:val="0"/>
          <w:color w:val="auto"/>
          <w:spacing w:val="7"/>
          <w:sz w:val="24"/>
          <w:szCs w:val="24"/>
          <w:highlight w:val="none"/>
        </w:rPr>
      </w:pPr>
      <w:r>
        <w:rPr>
          <w:rFonts w:hint="eastAsia" w:ascii="方正仿宋_GBK" w:hAnsi="方正仿宋_GBK" w:eastAsia="方正仿宋_GBK" w:cs="方正仿宋_GBK"/>
          <w:bCs w:val="0"/>
          <w:color w:val="auto"/>
          <w:spacing w:val="7"/>
          <w:sz w:val="24"/>
          <w:szCs w:val="24"/>
          <w:highlight w:val="none"/>
        </w:rPr>
        <w:t>（2）服务人员提供的资料、信息（包括但不限于简历、身份证、资格证、健康状况等）不真实的和（或）隐瞒患有癌症、传染病、精神病等病史，被有关部门查证或在提供本合同项下</w:t>
      </w:r>
      <w:r>
        <w:rPr>
          <w:rFonts w:hint="eastAsia" w:ascii="方正仿宋_GBK" w:hAnsi="方正仿宋_GBK" w:eastAsia="方正仿宋_GBK" w:cs="方正仿宋_GBK"/>
          <w:bCs w:val="0"/>
          <w:color w:val="auto"/>
          <w:spacing w:val="7"/>
          <w:sz w:val="24"/>
          <w:szCs w:val="24"/>
          <w:highlight w:val="none"/>
          <w:lang w:val="en-US" w:eastAsia="zh-CN"/>
        </w:rPr>
        <w:t>服务</w:t>
      </w:r>
      <w:r>
        <w:rPr>
          <w:rFonts w:hint="eastAsia" w:ascii="方正仿宋_GBK" w:hAnsi="方正仿宋_GBK" w:eastAsia="方正仿宋_GBK" w:cs="方正仿宋_GBK"/>
          <w:bCs w:val="0"/>
          <w:color w:val="auto"/>
          <w:spacing w:val="7"/>
          <w:sz w:val="24"/>
          <w:szCs w:val="24"/>
          <w:highlight w:val="none"/>
        </w:rPr>
        <w:t>期间发病的；</w:t>
      </w:r>
    </w:p>
    <w:p>
      <w:pPr>
        <w:numPr>
          <w:ilvl w:val="-1"/>
          <w:numId w:val="0"/>
        </w:numPr>
        <w:adjustRightInd w:val="0"/>
        <w:snapToGrid w:val="0"/>
        <w:spacing w:line="500" w:lineRule="exact"/>
        <w:ind w:left="0" w:firstLine="508" w:firstLineChars="200"/>
        <w:rPr>
          <w:rFonts w:hint="eastAsia" w:ascii="方正仿宋_GBK" w:hAnsi="方正仿宋_GBK" w:eastAsia="方正仿宋_GBK" w:cs="方正仿宋_GBK"/>
          <w:bCs w:val="0"/>
          <w:color w:val="auto"/>
          <w:spacing w:val="7"/>
          <w:sz w:val="24"/>
          <w:szCs w:val="24"/>
          <w:highlight w:val="none"/>
        </w:rPr>
      </w:pPr>
      <w:r>
        <w:rPr>
          <w:rFonts w:hint="eastAsia" w:ascii="方正仿宋_GBK" w:hAnsi="方正仿宋_GBK" w:eastAsia="方正仿宋_GBK" w:cs="方正仿宋_GBK"/>
          <w:bCs w:val="0"/>
          <w:color w:val="auto"/>
          <w:spacing w:val="7"/>
          <w:sz w:val="24"/>
          <w:szCs w:val="24"/>
          <w:highlight w:val="none"/>
        </w:rPr>
        <w:t>（3）服务人员被依法追究刑事责任或被追究治安处罚责任的；</w:t>
      </w:r>
    </w:p>
    <w:p>
      <w:pPr>
        <w:numPr>
          <w:ilvl w:val="-1"/>
          <w:numId w:val="0"/>
        </w:numPr>
        <w:adjustRightInd w:val="0"/>
        <w:snapToGrid w:val="0"/>
        <w:spacing w:line="500" w:lineRule="exact"/>
        <w:ind w:left="0" w:firstLine="508" w:firstLineChars="200"/>
        <w:rPr>
          <w:rFonts w:hint="eastAsia" w:ascii="方正仿宋_GBK" w:hAnsi="方正仿宋_GBK" w:eastAsia="方正仿宋_GBK" w:cs="方正仿宋_GBK"/>
          <w:bCs w:val="0"/>
          <w:color w:val="auto"/>
          <w:spacing w:val="7"/>
          <w:sz w:val="24"/>
          <w:szCs w:val="24"/>
          <w:highlight w:val="none"/>
        </w:rPr>
      </w:pPr>
      <w:r>
        <w:rPr>
          <w:rFonts w:hint="eastAsia" w:ascii="方正仿宋_GBK" w:hAnsi="方正仿宋_GBK" w:eastAsia="方正仿宋_GBK" w:cs="方正仿宋_GBK"/>
          <w:bCs w:val="0"/>
          <w:color w:val="auto"/>
          <w:spacing w:val="7"/>
          <w:sz w:val="24"/>
          <w:szCs w:val="24"/>
          <w:highlight w:val="none"/>
        </w:rPr>
        <w:t>（4）服务人员不执行、不认真履行工作职责的；</w:t>
      </w:r>
    </w:p>
    <w:p>
      <w:pPr>
        <w:numPr>
          <w:ilvl w:val="-1"/>
          <w:numId w:val="0"/>
        </w:numPr>
        <w:adjustRightInd w:val="0"/>
        <w:snapToGrid w:val="0"/>
        <w:spacing w:line="500" w:lineRule="exact"/>
        <w:ind w:left="0" w:firstLine="508" w:firstLineChars="200"/>
        <w:rPr>
          <w:rFonts w:hint="eastAsia" w:ascii="方正仿宋_GBK" w:hAnsi="方正仿宋_GBK" w:eastAsia="方正仿宋_GBK" w:cs="方正仿宋_GBK"/>
          <w:bCs w:val="0"/>
          <w:color w:val="auto"/>
          <w:spacing w:val="7"/>
          <w:sz w:val="24"/>
          <w:szCs w:val="24"/>
          <w:highlight w:val="none"/>
        </w:rPr>
      </w:pPr>
      <w:r>
        <w:rPr>
          <w:rFonts w:hint="eastAsia" w:ascii="方正仿宋_GBK" w:hAnsi="方正仿宋_GBK" w:eastAsia="方正仿宋_GBK" w:cs="方正仿宋_GBK"/>
          <w:bCs w:val="0"/>
          <w:color w:val="auto"/>
          <w:spacing w:val="7"/>
          <w:sz w:val="24"/>
          <w:szCs w:val="24"/>
          <w:highlight w:val="none"/>
        </w:rPr>
        <w:t>（5）服务人员在工作中谩骂他人；</w:t>
      </w:r>
    </w:p>
    <w:p>
      <w:pPr>
        <w:numPr>
          <w:ilvl w:val="-1"/>
          <w:numId w:val="0"/>
        </w:numPr>
        <w:adjustRightInd w:val="0"/>
        <w:snapToGrid w:val="0"/>
        <w:spacing w:line="500" w:lineRule="exact"/>
        <w:ind w:left="0" w:firstLine="508" w:firstLineChars="200"/>
        <w:rPr>
          <w:rFonts w:hint="eastAsia" w:ascii="方正仿宋_GBK" w:hAnsi="方正仿宋_GBK" w:eastAsia="方正仿宋_GBK" w:cs="方正仿宋_GBK"/>
          <w:bCs w:val="0"/>
          <w:color w:val="auto"/>
          <w:spacing w:val="7"/>
          <w:sz w:val="24"/>
          <w:szCs w:val="24"/>
          <w:highlight w:val="none"/>
        </w:rPr>
      </w:pPr>
      <w:r>
        <w:rPr>
          <w:rFonts w:hint="eastAsia" w:ascii="方正仿宋_GBK" w:hAnsi="方正仿宋_GBK" w:eastAsia="方正仿宋_GBK" w:cs="方正仿宋_GBK"/>
          <w:bCs w:val="0"/>
          <w:color w:val="auto"/>
          <w:spacing w:val="7"/>
          <w:sz w:val="24"/>
          <w:szCs w:val="24"/>
          <w:highlight w:val="none"/>
        </w:rPr>
        <w:t>（6）服务期</w:t>
      </w:r>
      <w:r>
        <w:rPr>
          <w:rFonts w:hint="eastAsia" w:ascii="方正仿宋_GBK" w:hAnsi="方正仿宋_GBK" w:eastAsia="方正仿宋_GBK" w:cs="方正仿宋_GBK"/>
          <w:bCs w:val="0"/>
          <w:color w:val="auto"/>
          <w:spacing w:val="7"/>
          <w:sz w:val="24"/>
          <w:szCs w:val="24"/>
          <w:highlight w:val="none"/>
          <w:lang w:val="en-US" w:eastAsia="zh-CN"/>
        </w:rPr>
        <w:t>内</w:t>
      </w:r>
      <w:r>
        <w:rPr>
          <w:rFonts w:hint="eastAsia" w:ascii="方正仿宋_GBK" w:hAnsi="方正仿宋_GBK" w:eastAsia="方正仿宋_GBK" w:cs="方正仿宋_GBK"/>
          <w:bCs w:val="0"/>
          <w:color w:val="auto"/>
          <w:spacing w:val="7"/>
          <w:sz w:val="24"/>
          <w:szCs w:val="24"/>
          <w:highlight w:val="none"/>
        </w:rPr>
        <w:t>服务人员提出离职或擅自离岗的；</w:t>
      </w:r>
    </w:p>
    <w:p>
      <w:pPr>
        <w:numPr>
          <w:ilvl w:val="-1"/>
          <w:numId w:val="0"/>
        </w:numPr>
        <w:adjustRightInd w:val="0"/>
        <w:snapToGrid w:val="0"/>
        <w:spacing w:line="500" w:lineRule="exact"/>
        <w:ind w:left="0" w:firstLine="508" w:firstLineChars="200"/>
        <w:rPr>
          <w:rFonts w:hint="eastAsia" w:ascii="方正仿宋_GBK" w:hAnsi="方正仿宋_GBK" w:eastAsia="方正仿宋_GBK" w:cs="方正仿宋_GBK"/>
          <w:bCs w:val="0"/>
          <w:color w:val="auto"/>
          <w:spacing w:val="7"/>
          <w:sz w:val="24"/>
          <w:szCs w:val="24"/>
          <w:highlight w:val="none"/>
        </w:rPr>
      </w:pPr>
      <w:r>
        <w:rPr>
          <w:rFonts w:hint="eastAsia" w:ascii="方正仿宋_GBK" w:hAnsi="方正仿宋_GBK" w:eastAsia="方正仿宋_GBK" w:cs="方正仿宋_GBK"/>
          <w:bCs w:val="0"/>
          <w:color w:val="auto"/>
          <w:spacing w:val="7"/>
          <w:sz w:val="24"/>
          <w:szCs w:val="24"/>
          <w:highlight w:val="none"/>
        </w:rPr>
        <w:t>（7）服务人员因身体原因不能正常履职</w:t>
      </w:r>
      <w:r>
        <w:rPr>
          <w:rFonts w:hint="eastAsia" w:ascii="方正仿宋_GBK" w:hAnsi="方正仿宋_GBK" w:eastAsia="方正仿宋_GBK" w:cs="方正仿宋_GBK"/>
          <w:bCs w:val="0"/>
          <w:color w:val="auto"/>
          <w:spacing w:val="7"/>
          <w:sz w:val="24"/>
          <w:szCs w:val="24"/>
          <w:highlight w:val="none"/>
          <w:lang w:val="en-US" w:eastAsia="zh-CN"/>
        </w:rPr>
        <w:t>的</w:t>
      </w:r>
      <w:r>
        <w:rPr>
          <w:rFonts w:hint="eastAsia" w:ascii="方正仿宋_GBK" w:hAnsi="方正仿宋_GBK" w:eastAsia="方正仿宋_GBK" w:cs="方正仿宋_GBK"/>
          <w:bCs w:val="0"/>
          <w:color w:val="auto"/>
          <w:spacing w:val="7"/>
          <w:sz w:val="24"/>
          <w:szCs w:val="24"/>
          <w:highlight w:val="none"/>
        </w:rPr>
        <w:t>；</w:t>
      </w:r>
    </w:p>
    <w:p>
      <w:pPr>
        <w:numPr>
          <w:ilvl w:val="-1"/>
          <w:numId w:val="0"/>
        </w:numPr>
        <w:adjustRightInd w:val="0"/>
        <w:snapToGrid w:val="0"/>
        <w:spacing w:line="500" w:lineRule="exact"/>
        <w:ind w:left="0" w:firstLine="508" w:firstLineChars="200"/>
        <w:rPr>
          <w:rFonts w:hint="eastAsia" w:ascii="方正仿宋_GBK" w:hAnsi="方正仿宋_GBK" w:eastAsia="方正仿宋_GBK" w:cs="方正仿宋_GBK"/>
          <w:bCs w:val="0"/>
          <w:color w:val="auto"/>
          <w:spacing w:val="7"/>
          <w:sz w:val="24"/>
          <w:szCs w:val="24"/>
          <w:highlight w:val="none"/>
        </w:rPr>
      </w:pPr>
      <w:r>
        <w:rPr>
          <w:rFonts w:hint="eastAsia" w:ascii="方正仿宋_GBK" w:hAnsi="方正仿宋_GBK" w:eastAsia="方正仿宋_GBK" w:cs="方正仿宋_GBK"/>
          <w:bCs w:val="0"/>
          <w:color w:val="auto"/>
          <w:spacing w:val="7"/>
          <w:sz w:val="24"/>
          <w:szCs w:val="24"/>
          <w:highlight w:val="none"/>
        </w:rPr>
        <w:t>（8）</w:t>
      </w:r>
      <w:r>
        <w:rPr>
          <w:rFonts w:hint="eastAsia" w:ascii="方正仿宋_GBK" w:hAnsi="方正仿宋_GBK" w:eastAsia="方正仿宋_GBK" w:cs="方正仿宋_GBK"/>
          <w:bCs w:val="0"/>
          <w:color w:val="auto"/>
          <w:spacing w:val="7"/>
          <w:sz w:val="24"/>
          <w:szCs w:val="24"/>
          <w:highlight w:val="none"/>
          <w:lang w:val="en-US" w:eastAsia="zh-CN"/>
        </w:rPr>
        <w:t>双方约定的</w:t>
      </w:r>
      <w:r>
        <w:rPr>
          <w:rFonts w:hint="eastAsia" w:ascii="方正仿宋_GBK" w:hAnsi="方正仿宋_GBK" w:eastAsia="方正仿宋_GBK" w:cs="方正仿宋_GBK"/>
          <w:bCs w:val="0"/>
          <w:color w:val="auto"/>
          <w:spacing w:val="7"/>
          <w:sz w:val="24"/>
          <w:szCs w:val="24"/>
          <w:highlight w:val="none"/>
        </w:rPr>
        <w:t>其他情形。</w:t>
      </w:r>
    </w:p>
    <w:p>
      <w:pPr>
        <w:numPr>
          <w:ilvl w:val="-1"/>
          <w:numId w:val="0"/>
        </w:numPr>
        <w:adjustRightInd w:val="0"/>
        <w:snapToGrid w:val="0"/>
        <w:spacing w:before="0" w:line="500" w:lineRule="exact"/>
        <w:ind w:left="0" w:firstLine="508" w:firstLineChars="200"/>
        <w:jc w:val="left"/>
        <w:rPr>
          <w:rFonts w:hint="eastAsia" w:ascii="方正仿宋_GBK" w:hAnsi="方正仿宋_GBK" w:eastAsia="方正仿宋_GBK" w:cs="方正仿宋_GBK"/>
          <w:color w:val="auto"/>
          <w:spacing w:val="7"/>
          <w:sz w:val="24"/>
          <w:szCs w:val="24"/>
          <w:highlight w:val="none"/>
        </w:rPr>
      </w:pPr>
      <w:r>
        <w:rPr>
          <w:rFonts w:hint="eastAsia" w:ascii="方正仿宋_GBK" w:hAnsi="方正仿宋_GBK" w:eastAsia="方正仿宋_GBK" w:cs="方正仿宋_GBK"/>
          <w:color w:val="auto"/>
          <w:spacing w:val="7"/>
          <w:sz w:val="24"/>
          <w:szCs w:val="24"/>
          <w:highlight w:val="none"/>
          <w:lang w:eastAsia="zh-CN"/>
        </w:rPr>
        <w:t>5</w:t>
      </w:r>
      <w:r>
        <w:rPr>
          <w:rFonts w:hint="eastAsia" w:ascii="方正仿宋_GBK" w:hAnsi="方正仿宋_GBK" w:eastAsia="方正仿宋_GBK" w:cs="方正仿宋_GBK"/>
          <w:color w:val="auto"/>
          <w:spacing w:val="7"/>
          <w:position w:val="0"/>
          <w:sz w:val="24"/>
          <w:szCs w:val="24"/>
          <w:highlight w:val="none"/>
        </w:rPr>
        <w:t>. 甲方交通车必须购买车险(包含但不限于交强险、第三责任险</w:t>
      </w:r>
      <w:r>
        <w:rPr>
          <w:rFonts w:hint="eastAsia" w:ascii="方正仿宋_GBK" w:hAnsi="方正仿宋_GBK" w:eastAsia="方正仿宋_GBK" w:cs="方正仿宋_GBK"/>
          <w:color w:val="auto"/>
          <w:spacing w:val="7"/>
          <w:sz w:val="24"/>
          <w:szCs w:val="24"/>
          <w:highlight w:val="none"/>
          <w:lang w:eastAsia="zh-CN"/>
        </w:rPr>
        <w:t>1</w:t>
      </w:r>
      <w:r>
        <w:rPr>
          <w:rFonts w:hint="eastAsia" w:ascii="方正仿宋_GBK" w:hAnsi="方正仿宋_GBK" w:eastAsia="方正仿宋_GBK" w:cs="方正仿宋_GBK"/>
          <w:color w:val="auto"/>
          <w:spacing w:val="7"/>
          <w:sz w:val="24"/>
          <w:szCs w:val="24"/>
          <w:highlight w:val="none"/>
        </w:rPr>
        <w:t>00万元</w:t>
      </w:r>
      <w:r>
        <w:rPr>
          <w:rFonts w:hint="eastAsia" w:ascii="方正仿宋_GBK" w:hAnsi="方正仿宋_GBK" w:eastAsia="方正仿宋_GBK" w:cs="方正仿宋_GBK"/>
          <w:color w:val="auto"/>
          <w:spacing w:val="7"/>
          <w:sz w:val="24"/>
          <w:szCs w:val="24"/>
          <w:highlight w:val="none"/>
          <w:lang w:eastAsia="zh-CN"/>
        </w:rPr>
        <w:t>、</w:t>
      </w:r>
      <w:r>
        <w:rPr>
          <w:rFonts w:hint="eastAsia" w:ascii="方正仿宋_GBK" w:hAnsi="方正仿宋_GBK" w:eastAsia="方正仿宋_GBK" w:cs="方正仿宋_GBK"/>
          <w:color w:val="auto"/>
          <w:spacing w:val="7"/>
          <w:sz w:val="24"/>
          <w:szCs w:val="24"/>
          <w:highlight w:val="none"/>
        </w:rPr>
        <w:t>不计免赔险、车损险、乘坐险5万以上)。</w:t>
      </w:r>
    </w:p>
    <w:p>
      <w:pPr>
        <w:numPr>
          <w:ilvl w:val="-1"/>
          <w:numId w:val="0"/>
        </w:numPr>
        <w:adjustRightInd w:val="0"/>
        <w:snapToGrid w:val="0"/>
        <w:spacing w:before="0" w:line="500" w:lineRule="exact"/>
        <w:ind w:left="0" w:firstLine="508" w:firstLineChars="200"/>
        <w:jc w:val="left"/>
        <w:rPr>
          <w:rFonts w:hint="eastAsia" w:ascii="方正黑体_GBK" w:hAnsi="方正黑体_GBK" w:eastAsia="方正黑体_GBK" w:cs="方正黑体_GBK"/>
          <w:color w:val="auto"/>
          <w:spacing w:val="7"/>
          <w:sz w:val="24"/>
          <w:szCs w:val="24"/>
          <w:highlight w:val="none"/>
          <w:lang w:val="en-US" w:eastAsia="zh-CN"/>
        </w:rPr>
      </w:pPr>
      <w:r>
        <w:rPr>
          <w:rFonts w:hint="eastAsia" w:ascii="方正黑体_GBK" w:hAnsi="方正黑体_GBK" w:eastAsia="方正黑体_GBK" w:cs="方正黑体_GBK"/>
          <w:color w:val="auto"/>
          <w:spacing w:val="7"/>
          <w:sz w:val="24"/>
          <w:szCs w:val="24"/>
          <w:highlight w:val="none"/>
          <w:lang w:val="en-US" w:eastAsia="zh-CN"/>
        </w:rPr>
        <w:t>六、乙方的责任与义务</w:t>
      </w:r>
    </w:p>
    <w:p>
      <w:pPr>
        <w:numPr>
          <w:ilvl w:val="0"/>
          <w:numId w:val="0"/>
        </w:numPr>
        <w:adjustRightInd w:val="0"/>
        <w:snapToGrid w:val="0"/>
        <w:spacing w:before="0" w:line="500" w:lineRule="exact"/>
        <w:ind w:left="0" w:firstLine="508" w:firstLineChars="200"/>
        <w:jc w:val="left"/>
        <w:rPr>
          <w:rFonts w:hint="eastAsia" w:ascii="方正仿宋_GBK" w:hAnsi="方正仿宋_GBK" w:eastAsia="方正仿宋_GBK" w:cs="方正仿宋_GBK"/>
          <w:color w:val="auto"/>
          <w:spacing w:val="7"/>
          <w:sz w:val="24"/>
          <w:szCs w:val="24"/>
          <w:highlight w:val="none"/>
        </w:rPr>
      </w:pPr>
      <w:r>
        <w:rPr>
          <w:rFonts w:hint="eastAsia" w:ascii="方正仿宋_GBK" w:hAnsi="方正仿宋_GBK" w:eastAsia="方正仿宋_GBK" w:cs="方正仿宋_GBK"/>
          <w:color w:val="auto"/>
          <w:spacing w:val="7"/>
          <w:sz w:val="24"/>
          <w:szCs w:val="24"/>
          <w:highlight w:val="none"/>
        </w:rPr>
        <w:t>1.向甲方提供</w:t>
      </w:r>
      <w:r>
        <w:rPr>
          <w:rFonts w:hint="eastAsia" w:ascii="方正仿宋_GBK" w:hAnsi="方正仿宋_GBK" w:eastAsia="方正仿宋_GBK" w:cs="方正仿宋_GBK"/>
          <w:color w:val="auto"/>
          <w:spacing w:val="7"/>
          <w:sz w:val="24"/>
          <w:szCs w:val="24"/>
          <w:highlight w:val="none"/>
          <w:lang w:eastAsia="zh-CN"/>
        </w:rPr>
        <w:t>9</w:t>
      </w:r>
      <w:r>
        <w:rPr>
          <w:rFonts w:hint="eastAsia" w:ascii="方正仿宋_GBK" w:hAnsi="方正仿宋_GBK" w:eastAsia="方正仿宋_GBK" w:cs="方正仿宋_GBK"/>
          <w:color w:val="auto"/>
          <w:spacing w:val="7"/>
          <w:sz w:val="24"/>
          <w:szCs w:val="24"/>
          <w:highlight w:val="none"/>
        </w:rPr>
        <w:t>名</w:t>
      </w:r>
      <w:r>
        <w:rPr>
          <w:rFonts w:hint="eastAsia" w:ascii="方正仿宋_GBK" w:hAnsi="方正仿宋_GBK" w:eastAsia="方正仿宋_GBK" w:cs="方正仿宋_GBK"/>
          <w:color w:val="auto"/>
          <w:spacing w:val="7"/>
          <w:sz w:val="24"/>
          <w:szCs w:val="24"/>
          <w:highlight w:val="none"/>
          <w:lang w:val="en-US" w:eastAsia="zh-CN"/>
        </w:rPr>
        <w:t>A1驾照</w:t>
      </w:r>
      <w:r>
        <w:rPr>
          <w:rFonts w:hint="eastAsia" w:ascii="方正仿宋_GBK" w:hAnsi="方正仿宋_GBK" w:eastAsia="方正仿宋_GBK" w:cs="方正仿宋_GBK"/>
          <w:color w:val="auto"/>
          <w:spacing w:val="7"/>
          <w:sz w:val="24"/>
          <w:szCs w:val="24"/>
          <w:highlight w:val="none"/>
        </w:rPr>
        <w:t>驾驶员，负责</w:t>
      </w:r>
      <w:r>
        <w:rPr>
          <w:rFonts w:hint="eastAsia" w:ascii="方正仿宋_GBK" w:hAnsi="方正仿宋_GBK" w:eastAsia="方正仿宋_GBK" w:cs="方正仿宋_GBK"/>
          <w:color w:val="auto"/>
          <w:spacing w:val="7"/>
          <w:sz w:val="24"/>
          <w:szCs w:val="24"/>
          <w:highlight w:val="none"/>
          <w:lang w:eastAsia="zh-CN"/>
        </w:rPr>
        <w:t>七</w:t>
      </w:r>
      <w:r>
        <w:rPr>
          <w:rFonts w:hint="eastAsia" w:ascii="方正仿宋_GBK" w:hAnsi="方正仿宋_GBK" w:eastAsia="方正仿宋_GBK" w:cs="方正仿宋_GBK"/>
          <w:color w:val="auto"/>
          <w:spacing w:val="7"/>
          <w:sz w:val="24"/>
          <w:szCs w:val="24"/>
          <w:highlight w:val="none"/>
        </w:rPr>
        <w:t>条交通线路的代驾服务， 并确定两名班长负责管理。在驾驶员正常工作时间内，负责甲方正常公务活动的服务。</w:t>
      </w:r>
    </w:p>
    <w:p>
      <w:pPr>
        <w:numPr>
          <w:ilvl w:val="0"/>
          <w:numId w:val="0"/>
        </w:numPr>
        <w:adjustRightInd w:val="0"/>
        <w:snapToGrid w:val="0"/>
        <w:spacing w:before="0" w:line="500" w:lineRule="exact"/>
        <w:ind w:left="0" w:firstLine="508" w:firstLineChars="200"/>
        <w:jc w:val="left"/>
        <w:rPr>
          <w:rFonts w:hint="eastAsia" w:ascii="方正仿宋_GBK" w:hAnsi="方正仿宋_GBK" w:eastAsia="方正仿宋_GBK" w:cs="方正仿宋_GBK"/>
          <w:color w:val="auto"/>
          <w:spacing w:val="7"/>
          <w:sz w:val="24"/>
          <w:szCs w:val="24"/>
          <w:highlight w:val="none"/>
        </w:rPr>
      </w:pPr>
      <w:r>
        <w:rPr>
          <w:rFonts w:hint="eastAsia" w:ascii="方正仿宋_GBK" w:hAnsi="方正仿宋_GBK" w:eastAsia="方正仿宋_GBK" w:cs="方正仿宋_GBK"/>
          <w:color w:val="auto"/>
          <w:spacing w:val="7"/>
          <w:sz w:val="24"/>
          <w:szCs w:val="24"/>
          <w:highlight w:val="none"/>
        </w:rPr>
        <w:t>2.乙方负责所委派驾驶员薪酬发放</w:t>
      </w:r>
      <w:r>
        <w:rPr>
          <w:rFonts w:hint="eastAsia" w:ascii="方正仿宋_GBK" w:hAnsi="方正仿宋_GBK" w:eastAsia="方正仿宋_GBK" w:cs="方正仿宋_GBK"/>
          <w:color w:val="auto"/>
          <w:spacing w:val="7"/>
          <w:sz w:val="24"/>
          <w:szCs w:val="24"/>
          <w:highlight w:val="none"/>
          <w:lang w:eastAsia="zh-CN"/>
        </w:rPr>
        <w:t>，</w:t>
      </w:r>
      <w:r>
        <w:rPr>
          <w:rFonts w:hint="eastAsia" w:ascii="方正仿宋_GBK" w:hAnsi="方正仿宋_GBK" w:eastAsia="方正仿宋_GBK" w:cs="方正仿宋_GBK"/>
          <w:color w:val="auto"/>
          <w:spacing w:val="7"/>
          <w:sz w:val="24"/>
          <w:szCs w:val="24"/>
          <w:highlight w:val="none"/>
          <w:lang w:val="en-US" w:eastAsia="zh-CN"/>
        </w:rPr>
        <w:t>并为驾驶员缴纳符合国家规定的保险等福利</w:t>
      </w:r>
      <w:r>
        <w:rPr>
          <w:rFonts w:hint="eastAsia" w:ascii="方正仿宋_GBK" w:hAnsi="方正仿宋_GBK" w:eastAsia="方正仿宋_GBK" w:cs="方正仿宋_GBK"/>
          <w:color w:val="auto"/>
          <w:spacing w:val="7"/>
          <w:sz w:val="24"/>
          <w:szCs w:val="24"/>
          <w:highlight w:val="none"/>
        </w:rPr>
        <w:t>。</w:t>
      </w:r>
    </w:p>
    <w:p>
      <w:pPr>
        <w:numPr>
          <w:ilvl w:val="0"/>
          <w:numId w:val="0"/>
        </w:numPr>
        <w:adjustRightInd w:val="0"/>
        <w:snapToGrid w:val="0"/>
        <w:spacing w:before="0" w:line="500" w:lineRule="exact"/>
        <w:ind w:left="0" w:firstLine="508" w:firstLineChars="200"/>
        <w:jc w:val="left"/>
        <w:rPr>
          <w:rFonts w:hint="eastAsia" w:ascii="方正仿宋_GBK" w:hAnsi="方正仿宋_GBK" w:eastAsia="方正仿宋_GBK" w:cs="方正仿宋_GBK"/>
          <w:color w:val="auto"/>
          <w:spacing w:val="7"/>
          <w:sz w:val="24"/>
          <w:szCs w:val="24"/>
          <w:highlight w:val="none"/>
        </w:rPr>
      </w:pPr>
      <w:r>
        <w:rPr>
          <w:rFonts w:hint="eastAsia" w:ascii="方正仿宋_GBK" w:hAnsi="方正仿宋_GBK" w:eastAsia="方正仿宋_GBK" w:cs="方正仿宋_GBK"/>
          <w:bCs w:val="0"/>
          <w:color w:val="auto"/>
          <w:spacing w:val="7"/>
          <w:sz w:val="24"/>
          <w:szCs w:val="24"/>
          <w:highlight w:val="none"/>
          <w:lang w:val="en-US" w:eastAsia="zh-CN"/>
        </w:rPr>
        <w:t>3.</w:t>
      </w:r>
      <w:r>
        <w:rPr>
          <w:rFonts w:hint="eastAsia" w:ascii="方正仿宋_GBK" w:hAnsi="方正仿宋_GBK" w:eastAsia="方正仿宋_GBK" w:cs="方正仿宋_GBK"/>
          <w:bCs w:val="0"/>
          <w:color w:val="auto"/>
          <w:spacing w:val="7"/>
          <w:sz w:val="24"/>
          <w:szCs w:val="24"/>
          <w:highlight w:val="none"/>
        </w:rPr>
        <w:t>乙方保证其具有履行本合同的法定资质，具备提供本</w:t>
      </w:r>
      <w:r>
        <w:rPr>
          <w:rFonts w:hint="eastAsia" w:ascii="方正仿宋_GBK" w:hAnsi="方正仿宋_GBK" w:eastAsia="方正仿宋_GBK" w:cs="方正仿宋_GBK"/>
          <w:bCs w:val="0"/>
          <w:color w:val="auto"/>
          <w:spacing w:val="7"/>
          <w:sz w:val="24"/>
          <w:szCs w:val="24"/>
          <w:highlight w:val="none"/>
          <w:lang w:val="en-US" w:eastAsia="zh-CN"/>
        </w:rPr>
        <w:t>合同期限内</w:t>
      </w:r>
      <w:r>
        <w:rPr>
          <w:rFonts w:hint="eastAsia" w:ascii="方正仿宋_GBK" w:hAnsi="方正仿宋_GBK" w:eastAsia="方正仿宋_GBK" w:cs="方正仿宋_GBK"/>
          <w:bCs w:val="0"/>
          <w:color w:val="auto"/>
          <w:spacing w:val="7"/>
          <w:sz w:val="24"/>
          <w:szCs w:val="24"/>
          <w:highlight w:val="none"/>
        </w:rPr>
        <w:t>合同项下外包服务的合法资格，并负责办理涉及的全部审批、备案等相关合法合规营运手续</w:t>
      </w:r>
      <w:r>
        <w:rPr>
          <w:rFonts w:hint="eastAsia" w:ascii="方正仿宋_GBK" w:hAnsi="方正仿宋_GBK" w:eastAsia="方正仿宋_GBK" w:cs="方正仿宋_GBK"/>
          <w:bCs w:val="0"/>
          <w:color w:val="auto"/>
          <w:spacing w:val="7"/>
          <w:sz w:val="24"/>
          <w:szCs w:val="24"/>
          <w:highlight w:val="none"/>
          <w:lang w:eastAsia="zh-CN"/>
        </w:rPr>
        <w:t>。</w:t>
      </w:r>
    </w:p>
    <w:p>
      <w:pPr>
        <w:numPr>
          <w:ilvl w:val="0"/>
          <w:numId w:val="0"/>
        </w:numPr>
        <w:adjustRightInd w:val="0"/>
        <w:snapToGrid w:val="0"/>
        <w:spacing w:before="0" w:line="500" w:lineRule="exact"/>
        <w:ind w:left="0" w:firstLine="508" w:firstLineChars="200"/>
        <w:jc w:val="left"/>
        <w:rPr>
          <w:rFonts w:hint="eastAsia" w:ascii="方正仿宋_GBK" w:hAnsi="方正仿宋_GBK" w:eastAsia="方正仿宋_GBK" w:cs="方正仿宋_GBK"/>
          <w:color w:val="auto"/>
          <w:spacing w:val="7"/>
          <w:sz w:val="24"/>
          <w:szCs w:val="24"/>
          <w:highlight w:val="none"/>
        </w:rPr>
      </w:pPr>
      <w:r>
        <w:rPr>
          <w:rFonts w:hint="eastAsia" w:ascii="方正仿宋_GBK" w:hAnsi="方正仿宋_GBK" w:eastAsia="方正仿宋_GBK" w:cs="方正仿宋_GBK"/>
          <w:color w:val="auto"/>
          <w:spacing w:val="7"/>
          <w:sz w:val="24"/>
          <w:szCs w:val="24"/>
          <w:highlight w:val="none"/>
          <w:lang w:eastAsia="zh-CN"/>
        </w:rPr>
        <w:t>4</w:t>
      </w:r>
      <w:r>
        <w:rPr>
          <w:rFonts w:hint="eastAsia" w:ascii="方正仿宋_GBK" w:hAnsi="方正仿宋_GBK" w:eastAsia="方正仿宋_GBK" w:cs="方正仿宋_GBK"/>
          <w:color w:val="auto"/>
          <w:spacing w:val="7"/>
          <w:sz w:val="24"/>
          <w:szCs w:val="24"/>
          <w:highlight w:val="none"/>
        </w:rPr>
        <w:t>.负责驾驶员的服务礼仪、交通法规及安全知识培训。</w:t>
      </w:r>
    </w:p>
    <w:p>
      <w:pPr>
        <w:numPr>
          <w:ilvl w:val="0"/>
          <w:numId w:val="0"/>
        </w:numPr>
        <w:adjustRightInd w:val="0"/>
        <w:snapToGrid w:val="0"/>
        <w:spacing w:before="0" w:line="500" w:lineRule="exact"/>
        <w:ind w:left="0" w:firstLine="508" w:firstLineChars="200"/>
        <w:jc w:val="left"/>
        <w:rPr>
          <w:rFonts w:hint="eastAsia" w:ascii="方正仿宋_GBK" w:hAnsi="方正仿宋_GBK" w:eastAsia="方正仿宋_GBK" w:cs="方正仿宋_GBK"/>
          <w:color w:val="auto"/>
          <w:spacing w:val="7"/>
          <w:sz w:val="24"/>
          <w:szCs w:val="24"/>
          <w:highlight w:val="none"/>
        </w:rPr>
      </w:pPr>
      <w:r>
        <w:rPr>
          <w:rFonts w:hint="eastAsia" w:ascii="方正仿宋_GBK" w:hAnsi="方正仿宋_GBK" w:eastAsia="方正仿宋_GBK" w:cs="方正仿宋_GBK"/>
          <w:color w:val="auto"/>
          <w:spacing w:val="7"/>
          <w:position w:val="0"/>
          <w:sz w:val="24"/>
          <w:szCs w:val="24"/>
          <w:highlight w:val="none"/>
          <w:lang w:eastAsia="zh-CN"/>
        </w:rPr>
        <w:t>5</w:t>
      </w:r>
      <w:r>
        <w:rPr>
          <w:rFonts w:hint="eastAsia" w:ascii="方正仿宋_GBK" w:hAnsi="方正仿宋_GBK" w:eastAsia="方正仿宋_GBK" w:cs="方正仿宋_GBK"/>
          <w:color w:val="auto"/>
          <w:spacing w:val="7"/>
          <w:position w:val="0"/>
          <w:sz w:val="24"/>
          <w:szCs w:val="24"/>
          <w:highlight w:val="none"/>
        </w:rPr>
        <w:t>.负责定期审验驾驶员的驾驶资质及身体体检，合理安排驾驶员</w:t>
      </w:r>
      <w:r>
        <w:rPr>
          <w:rFonts w:hint="eastAsia" w:ascii="方正仿宋_GBK" w:hAnsi="方正仿宋_GBK" w:eastAsia="方正仿宋_GBK" w:cs="方正仿宋_GBK"/>
          <w:color w:val="auto"/>
          <w:spacing w:val="7"/>
          <w:sz w:val="24"/>
          <w:szCs w:val="24"/>
          <w:highlight w:val="none"/>
        </w:rPr>
        <w:t>作息时间，保证行车安全。</w:t>
      </w:r>
    </w:p>
    <w:p>
      <w:pPr>
        <w:numPr>
          <w:ilvl w:val="0"/>
          <w:numId w:val="0"/>
        </w:numPr>
        <w:adjustRightInd w:val="0"/>
        <w:snapToGrid w:val="0"/>
        <w:spacing w:before="0" w:line="500" w:lineRule="exact"/>
        <w:ind w:left="0" w:firstLine="508" w:firstLineChars="200"/>
        <w:rPr>
          <w:rFonts w:hint="eastAsia" w:ascii="方正仿宋_GBK" w:hAnsi="方正仿宋_GBK" w:eastAsia="方正仿宋_GBK" w:cs="方正仿宋_GBK"/>
          <w:color w:val="auto"/>
          <w:spacing w:val="7"/>
          <w:sz w:val="24"/>
          <w:szCs w:val="24"/>
          <w:highlight w:val="none"/>
        </w:rPr>
      </w:pPr>
      <w:r>
        <w:rPr>
          <w:rFonts w:hint="eastAsia" w:ascii="方正仿宋_GBK" w:hAnsi="方正仿宋_GBK" w:eastAsia="方正仿宋_GBK" w:cs="方正仿宋_GBK"/>
          <w:color w:val="auto"/>
          <w:spacing w:val="7"/>
          <w:sz w:val="24"/>
          <w:szCs w:val="24"/>
          <w:highlight w:val="none"/>
          <w:lang w:eastAsia="zh-CN"/>
        </w:rPr>
        <w:t>6</w:t>
      </w:r>
      <w:r>
        <w:rPr>
          <w:rFonts w:hint="eastAsia" w:ascii="方正仿宋_GBK" w:hAnsi="方正仿宋_GBK" w:eastAsia="方正仿宋_GBK" w:cs="方正仿宋_GBK"/>
          <w:color w:val="auto"/>
          <w:spacing w:val="7"/>
          <w:sz w:val="24"/>
          <w:szCs w:val="24"/>
          <w:highlight w:val="none"/>
        </w:rPr>
        <w:t>.如因乙方管理失误、驾驶员交通违法行为、疲劳驾驶、驾驶操作不当等原因造成交通事故，保险公司能解决的由保险公司承担，超出部分由乙方承担， 一切相关事宜均由乙方负责处理，甲方负责安排相应工作人员进行协调配合。若发生交通事故，甲方车辆保费第二年上浮部分(含本应下调部分)由乙方承担，驾驶员按</w:t>
      </w:r>
      <w:r>
        <w:rPr>
          <w:rFonts w:hint="eastAsia" w:ascii="方正仿宋_GBK" w:hAnsi="方正仿宋_GBK" w:eastAsia="方正仿宋_GBK" w:cs="方正仿宋_GBK"/>
          <w:color w:val="auto"/>
          <w:spacing w:val="7"/>
          <w:sz w:val="24"/>
          <w:szCs w:val="24"/>
          <w:highlight w:val="none"/>
          <w:lang w:val="en-US" w:eastAsia="zh-CN"/>
        </w:rPr>
        <w:t>车辆及驾驶员管理办法</w:t>
      </w:r>
      <w:r>
        <w:rPr>
          <w:rFonts w:hint="eastAsia" w:ascii="方正仿宋_GBK" w:hAnsi="方正仿宋_GBK" w:eastAsia="方正仿宋_GBK" w:cs="方正仿宋_GBK"/>
          <w:color w:val="auto"/>
          <w:spacing w:val="7"/>
          <w:sz w:val="24"/>
          <w:szCs w:val="24"/>
          <w:highlight w:val="none"/>
        </w:rPr>
        <w:t>处理。</w:t>
      </w:r>
    </w:p>
    <w:p>
      <w:pPr>
        <w:numPr>
          <w:ilvl w:val="0"/>
          <w:numId w:val="0"/>
        </w:numPr>
        <w:adjustRightInd w:val="0"/>
        <w:snapToGrid w:val="0"/>
        <w:spacing w:before="0" w:line="500" w:lineRule="exact"/>
        <w:ind w:left="0" w:firstLine="508" w:firstLineChars="200"/>
        <w:rPr>
          <w:rFonts w:hint="eastAsia" w:ascii="方正仿宋_GBK" w:hAnsi="方正仿宋_GBK" w:eastAsia="方正仿宋_GBK" w:cs="方正仿宋_GBK"/>
          <w:color w:val="auto"/>
          <w:spacing w:val="7"/>
          <w:sz w:val="24"/>
          <w:szCs w:val="24"/>
          <w:highlight w:val="none"/>
        </w:rPr>
      </w:pPr>
      <w:r>
        <w:rPr>
          <w:rFonts w:hint="eastAsia" w:ascii="方正仿宋_GBK" w:hAnsi="方正仿宋_GBK" w:eastAsia="方正仿宋_GBK" w:cs="方正仿宋_GBK"/>
          <w:color w:val="auto"/>
          <w:spacing w:val="7"/>
          <w:sz w:val="24"/>
          <w:szCs w:val="24"/>
          <w:highlight w:val="none"/>
          <w:lang w:eastAsia="zh-CN"/>
        </w:rPr>
        <w:t>7</w:t>
      </w:r>
      <w:r>
        <w:rPr>
          <w:rFonts w:hint="eastAsia" w:ascii="方正仿宋_GBK" w:hAnsi="方正仿宋_GBK" w:eastAsia="方正仿宋_GBK" w:cs="方正仿宋_GBK"/>
          <w:color w:val="auto"/>
          <w:spacing w:val="7"/>
          <w:sz w:val="24"/>
          <w:szCs w:val="24"/>
          <w:highlight w:val="none"/>
        </w:rPr>
        <w:t>.在服务期间，如车辆在甲方指定的停车场被盗，与乙方无关(司机作案或与司机联合作案除外),如乙方司机未将车辆停放在甲方指 定的停车场造成车辆丢失或被盗，乙方应赔偿甲方车辆损失及停车运行的一切损失。</w:t>
      </w:r>
    </w:p>
    <w:p>
      <w:pPr>
        <w:numPr>
          <w:ilvl w:val="0"/>
          <w:numId w:val="0"/>
        </w:numPr>
        <w:adjustRightInd w:val="0"/>
        <w:snapToGrid w:val="0"/>
        <w:spacing w:line="500" w:lineRule="exact"/>
        <w:ind w:left="0" w:firstLine="508" w:firstLineChars="200"/>
        <w:rPr>
          <w:rFonts w:hint="eastAsia" w:ascii="方正仿宋_GBK" w:hAnsi="方正仿宋_GBK" w:eastAsia="方正仿宋_GBK" w:cs="方正仿宋_GBK"/>
          <w:color w:val="auto"/>
          <w:spacing w:val="7"/>
          <w:sz w:val="24"/>
          <w:szCs w:val="24"/>
          <w:highlight w:val="none"/>
        </w:rPr>
      </w:pPr>
      <w:r>
        <w:rPr>
          <w:rFonts w:hint="eastAsia" w:ascii="方正仿宋_GBK" w:hAnsi="方正仿宋_GBK" w:eastAsia="方正仿宋_GBK" w:cs="方正仿宋_GBK"/>
          <w:color w:val="auto"/>
          <w:spacing w:val="7"/>
          <w:position w:val="0"/>
          <w:sz w:val="24"/>
          <w:szCs w:val="24"/>
          <w:highlight w:val="none"/>
          <w:lang w:eastAsia="zh-CN"/>
        </w:rPr>
        <w:t>8</w:t>
      </w:r>
      <w:r>
        <w:rPr>
          <w:rFonts w:hint="eastAsia" w:ascii="方正仿宋_GBK" w:hAnsi="方正仿宋_GBK" w:eastAsia="方正仿宋_GBK" w:cs="方正仿宋_GBK"/>
          <w:color w:val="auto"/>
          <w:spacing w:val="7"/>
          <w:position w:val="0"/>
          <w:sz w:val="24"/>
          <w:szCs w:val="24"/>
          <w:highlight w:val="none"/>
        </w:rPr>
        <w:t>.驾驶员如因法定的病事假等原因不能提供服务，休假期间乙方</w:t>
      </w:r>
      <w:r>
        <w:rPr>
          <w:rFonts w:hint="eastAsia" w:ascii="方正仿宋_GBK" w:hAnsi="方正仿宋_GBK" w:eastAsia="方正仿宋_GBK" w:cs="方正仿宋_GBK"/>
          <w:color w:val="auto"/>
          <w:spacing w:val="7"/>
          <w:sz w:val="24"/>
          <w:szCs w:val="24"/>
          <w:highlight w:val="none"/>
          <w:lang w:val="en-US" w:eastAsia="zh-CN"/>
        </w:rPr>
        <w:t>应</w:t>
      </w:r>
      <w:r>
        <w:rPr>
          <w:rFonts w:hint="eastAsia" w:ascii="方正仿宋_GBK" w:hAnsi="方正仿宋_GBK" w:eastAsia="方正仿宋_GBK" w:cs="方正仿宋_GBK"/>
          <w:color w:val="auto"/>
          <w:spacing w:val="7"/>
          <w:sz w:val="24"/>
          <w:szCs w:val="24"/>
          <w:highlight w:val="none"/>
        </w:rPr>
        <w:t>提供其他驾驶员替代，同时提前一天通知甲方。</w:t>
      </w:r>
    </w:p>
    <w:p>
      <w:pPr>
        <w:numPr>
          <w:ilvl w:val="0"/>
          <w:numId w:val="0"/>
        </w:numPr>
        <w:adjustRightInd w:val="0"/>
        <w:snapToGrid w:val="0"/>
        <w:spacing w:line="500" w:lineRule="exact"/>
        <w:ind w:left="0" w:firstLine="508" w:firstLineChars="200"/>
        <w:rPr>
          <w:rFonts w:hint="eastAsia" w:ascii="方正仿宋_GBK" w:hAnsi="方正仿宋_GBK" w:eastAsia="方正仿宋_GBK" w:cs="方正仿宋_GBK"/>
          <w:color w:val="auto"/>
          <w:spacing w:val="7"/>
          <w:sz w:val="24"/>
          <w:szCs w:val="24"/>
          <w:highlight w:val="none"/>
        </w:rPr>
      </w:pPr>
      <w:r>
        <w:rPr>
          <w:rFonts w:hint="eastAsia" w:ascii="方正仿宋_GBK" w:hAnsi="方正仿宋_GBK" w:eastAsia="方正仿宋_GBK" w:cs="方正仿宋_GBK"/>
          <w:color w:val="auto"/>
          <w:spacing w:val="7"/>
          <w:sz w:val="24"/>
          <w:szCs w:val="24"/>
          <w:highlight w:val="none"/>
          <w:lang w:eastAsia="zh-CN"/>
        </w:rPr>
        <w:t>9</w:t>
      </w:r>
      <w:r>
        <w:rPr>
          <w:rFonts w:hint="eastAsia" w:ascii="方正仿宋_GBK" w:hAnsi="方正仿宋_GBK" w:eastAsia="方正仿宋_GBK" w:cs="方正仿宋_GBK"/>
          <w:color w:val="auto"/>
          <w:spacing w:val="7"/>
          <w:sz w:val="24"/>
          <w:szCs w:val="24"/>
          <w:highlight w:val="none"/>
        </w:rPr>
        <w:t>.乙方驾驶员应按车辆使用说明书规定填写维修保养车辆申请， 若因驾驶员原因导致车辆维护保养未能如期进行而造成的损失，由乙方负责赔偿处理。</w:t>
      </w:r>
    </w:p>
    <w:p>
      <w:pPr>
        <w:numPr>
          <w:ilvl w:val="0"/>
          <w:numId w:val="0"/>
        </w:numPr>
        <w:adjustRightInd w:val="0"/>
        <w:snapToGrid w:val="0"/>
        <w:spacing w:before="0" w:line="500" w:lineRule="exact"/>
        <w:ind w:left="0" w:firstLine="508" w:firstLineChars="200"/>
        <w:rPr>
          <w:rFonts w:hint="eastAsia" w:ascii="方正仿宋_GBK" w:hAnsi="方正仿宋_GBK" w:eastAsia="方正仿宋_GBK" w:cs="方正仿宋_GBK"/>
          <w:color w:val="auto"/>
          <w:spacing w:val="7"/>
          <w:sz w:val="24"/>
          <w:szCs w:val="24"/>
          <w:highlight w:val="none"/>
        </w:rPr>
      </w:pPr>
      <w:r>
        <w:rPr>
          <w:rFonts w:hint="eastAsia" w:ascii="方正仿宋_GBK" w:hAnsi="方正仿宋_GBK" w:eastAsia="方正仿宋_GBK" w:cs="方正仿宋_GBK"/>
          <w:color w:val="auto"/>
          <w:spacing w:val="7"/>
          <w:position w:val="0"/>
          <w:sz w:val="24"/>
          <w:szCs w:val="24"/>
          <w:highlight w:val="none"/>
          <w:lang w:eastAsia="zh-CN"/>
        </w:rPr>
        <w:t>1</w:t>
      </w:r>
      <w:r>
        <w:rPr>
          <w:rFonts w:hint="eastAsia" w:ascii="方正仿宋_GBK" w:hAnsi="方正仿宋_GBK" w:eastAsia="方正仿宋_GBK" w:cs="方正仿宋_GBK"/>
          <w:color w:val="auto"/>
          <w:spacing w:val="7"/>
          <w:position w:val="0"/>
          <w:sz w:val="24"/>
          <w:szCs w:val="24"/>
          <w:highlight w:val="none"/>
          <w:lang w:val="en-US" w:eastAsia="zh-CN"/>
        </w:rPr>
        <w:t>0</w:t>
      </w:r>
      <w:r>
        <w:rPr>
          <w:rFonts w:hint="eastAsia" w:ascii="方正仿宋_GBK" w:hAnsi="方正仿宋_GBK" w:eastAsia="方正仿宋_GBK" w:cs="方正仿宋_GBK"/>
          <w:color w:val="auto"/>
          <w:spacing w:val="7"/>
          <w:position w:val="0"/>
          <w:sz w:val="24"/>
          <w:szCs w:val="24"/>
          <w:highlight w:val="none"/>
        </w:rPr>
        <w:t>. 车辆年审需乙方驾驶员将车辆按时驾驶至指定地点</w:t>
      </w:r>
      <w:r>
        <w:rPr>
          <w:rFonts w:hint="eastAsia" w:ascii="方正仿宋_GBK" w:hAnsi="方正仿宋_GBK" w:eastAsia="方正仿宋_GBK" w:cs="方正仿宋_GBK"/>
          <w:color w:val="auto"/>
          <w:spacing w:val="7"/>
          <w:position w:val="0"/>
          <w:sz w:val="24"/>
          <w:szCs w:val="24"/>
          <w:highlight w:val="none"/>
          <w:lang w:val="en-US" w:eastAsia="zh-CN"/>
        </w:rPr>
        <w:t>年审</w:t>
      </w:r>
      <w:r>
        <w:rPr>
          <w:rFonts w:hint="eastAsia" w:ascii="方正仿宋_GBK" w:hAnsi="方正仿宋_GBK" w:eastAsia="方正仿宋_GBK" w:cs="方正仿宋_GBK"/>
          <w:color w:val="auto"/>
          <w:spacing w:val="7"/>
          <w:position w:val="0"/>
          <w:sz w:val="24"/>
          <w:szCs w:val="24"/>
          <w:highlight w:val="none"/>
        </w:rPr>
        <w:t>，甲方</w:t>
      </w:r>
      <w:r>
        <w:rPr>
          <w:rFonts w:hint="eastAsia" w:ascii="方正仿宋_GBK" w:hAnsi="方正仿宋_GBK" w:eastAsia="方正仿宋_GBK" w:cs="方正仿宋_GBK"/>
          <w:color w:val="auto"/>
          <w:spacing w:val="7"/>
          <w:sz w:val="24"/>
          <w:szCs w:val="24"/>
          <w:highlight w:val="none"/>
        </w:rPr>
        <w:t>负责</w:t>
      </w:r>
      <w:r>
        <w:rPr>
          <w:rFonts w:hint="eastAsia" w:ascii="方正仿宋_GBK" w:hAnsi="方正仿宋_GBK" w:eastAsia="方正仿宋_GBK" w:cs="方正仿宋_GBK"/>
          <w:color w:val="auto"/>
          <w:spacing w:val="7"/>
          <w:sz w:val="24"/>
          <w:szCs w:val="24"/>
          <w:highlight w:val="none"/>
          <w:lang w:val="en-US" w:eastAsia="zh-CN"/>
        </w:rPr>
        <w:t>费用</w:t>
      </w:r>
      <w:r>
        <w:rPr>
          <w:rFonts w:hint="eastAsia" w:ascii="方正仿宋_GBK" w:hAnsi="方正仿宋_GBK" w:eastAsia="方正仿宋_GBK" w:cs="方正仿宋_GBK"/>
          <w:color w:val="auto"/>
          <w:spacing w:val="7"/>
          <w:sz w:val="24"/>
          <w:szCs w:val="24"/>
          <w:highlight w:val="none"/>
        </w:rPr>
        <w:t>报销。</w:t>
      </w:r>
    </w:p>
    <w:p>
      <w:pPr>
        <w:numPr>
          <w:ilvl w:val="0"/>
          <w:numId w:val="0"/>
        </w:numPr>
        <w:adjustRightInd w:val="0"/>
        <w:snapToGrid w:val="0"/>
        <w:spacing w:before="0" w:line="500" w:lineRule="exact"/>
        <w:ind w:left="0" w:firstLine="508" w:firstLineChars="200"/>
        <w:rPr>
          <w:rFonts w:hint="default" w:ascii="方正仿宋_GBK" w:hAnsi="方正仿宋_GBK" w:eastAsia="方正仿宋_GBK" w:cs="方正仿宋_GBK"/>
          <w:color w:val="auto"/>
          <w:spacing w:val="7"/>
          <w:sz w:val="24"/>
          <w:szCs w:val="24"/>
          <w:highlight w:val="none"/>
          <w:lang w:val="en-US" w:eastAsia="zh-CN"/>
        </w:rPr>
      </w:pPr>
      <w:r>
        <w:rPr>
          <w:rFonts w:hint="eastAsia" w:ascii="方正仿宋_GBK" w:hAnsi="方正仿宋_GBK" w:eastAsia="方正仿宋_GBK" w:cs="方正仿宋_GBK"/>
          <w:color w:val="auto"/>
          <w:spacing w:val="7"/>
          <w:sz w:val="24"/>
          <w:szCs w:val="24"/>
          <w:highlight w:val="none"/>
          <w:lang w:val="en-US" w:eastAsia="zh-CN"/>
        </w:rPr>
        <w:t>11.乙方驾驶员应遵守甲方的《车辆及驾驶员管理规定》。</w:t>
      </w:r>
    </w:p>
    <w:p>
      <w:pPr>
        <w:numPr>
          <w:ilvl w:val="0"/>
          <w:numId w:val="0"/>
        </w:numPr>
        <w:adjustRightInd w:val="0"/>
        <w:snapToGrid w:val="0"/>
        <w:spacing w:before="0" w:beforeLines="50" w:after="10" w:line="500" w:lineRule="exact"/>
        <w:ind w:left="0" w:firstLine="508" w:firstLineChars="200"/>
        <w:jc w:val="left"/>
        <w:outlineLvl w:val="0"/>
        <w:rPr>
          <w:rFonts w:hint="eastAsia" w:ascii="方正黑体_GBK" w:hAnsi="方正黑体_GBK" w:eastAsia="方正黑体_GBK" w:cs="方正黑体_GBK"/>
          <w:color w:val="auto"/>
          <w:spacing w:val="4"/>
          <w:position w:val="21"/>
          <w:sz w:val="24"/>
          <w:szCs w:val="24"/>
          <w:highlight w:val="none"/>
        </w:rPr>
      </w:pPr>
      <w:r>
        <w:rPr>
          <w:rFonts w:hint="eastAsia" w:ascii="方正黑体_GBK" w:hAnsi="方正黑体_GBK" w:eastAsia="方正黑体_GBK" w:cs="方正黑体_GBK"/>
          <w:color w:val="auto"/>
          <w:spacing w:val="7"/>
          <w:sz w:val="24"/>
          <w:szCs w:val="24"/>
          <w:highlight w:val="none"/>
          <w:lang w:val="en-US" w:eastAsia="zh-CN"/>
        </w:rPr>
        <w:t>七、安全责任</w:t>
      </w:r>
    </w:p>
    <w:p>
      <w:pPr>
        <w:numPr>
          <w:ilvl w:val="0"/>
          <w:numId w:val="0"/>
        </w:numPr>
        <w:adjustRightInd w:val="0"/>
        <w:snapToGrid w:val="0"/>
        <w:spacing w:line="500" w:lineRule="exact"/>
        <w:ind w:firstLine="508" w:firstLineChars="200"/>
        <w:rPr>
          <w:rFonts w:hint="eastAsia" w:ascii="方正仿宋_GBK" w:hAnsi="方正仿宋_GBK" w:eastAsia="方正仿宋_GBK" w:cs="方正仿宋_GBK"/>
          <w:bCs w:val="0"/>
          <w:color w:val="auto"/>
          <w:spacing w:val="7"/>
          <w:sz w:val="24"/>
          <w:szCs w:val="24"/>
          <w:highlight w:val="none"/>
        </w:rPr>
      </w:pPr>
      <w:r>
        <w:rPr>
          <w:rFonts w:hint="eastAsia" w:ascii="方正仿宋_GBK" w:hAnsi="方正仿宋_GBK" w:eastAsia="方正仿宋_GBK" w:cs="方正仿宋_GBK"/>
          <w:bCs w:val="0"/>
          <w:color w:val="auto"/>
          <w:spacing w:val="7"/>
          <w:sz w:val="24"/>
          <w:szCs w:val="24"/>
          <w:highlight w:val="none"/>
        </w:rPr>
        <w:t>1.乙方对服务人员的工作、生活、安全等方面承担全部责任。</w:t>
      </w:r>
    </w:p>
    <w:p>
      <w:pPr>
        <w:numPr>
          <w:ilvl w:val="0"/>
          <w:numId w:val="0"/>
        </w:numPr>
        <w:adjustRightInd w:val="0"/>
        <w:snapToGrid w:val="0"/>
        <w:spacing w:before="0" w:line="500" w:lineRule="exact"/>
        <w:ind w:left="0" w:firstLine="508" w:firstLineChars="200"/>
        <w:rPr>
          <w:rFonts w:hint="eastAsia" w:ascii="方正仿宋_GBK" w:hAnsi="方正仿宋_GBK" w:eastAsia="方正仿宋_GBK" w:cs="方正仿宋_GBK"/>
          <w:bCs w:val="0"/>
          <w:color w:val="auto"/>
          <w:spacing w:val="7"/>
          <w:sz w:val="24"/>
          <w:szCs w:val="24"/>
          <w:highlight w:val="none"/>
          <w:lang w:val="en-US" w:eastAsia="zh-CN"/>
        </w:rPr>
      </w:pPr>
      <w:r>
        <w:rPr>
          <w:rFonts w:hint="eastAsia" w:ascii="方正仿宋_GBK" w:hAnsi="方正仿宋_GBK" w:eastAsia="方正仿宋_GBK" w:cs="方正仿宋_GBK"/>
          <w:bCs w:val="0"/>
          <w:color w:val="auto"/>
          <w:spacing w:val="7"/>
          <w:sz w:val="24"/>
          <w:szCs w:val="24"/>
          <w:highlight w:val="none"/>
        </w:rPr>
        <w:t>2.当乙方服务人员在</w:t>
      </w:r>
      <w:r>
        <w:rPr>
          <w:rFonts w:hint="eastAsia" w:ascii="方正仿宋_GBK" w:hAnsi="方正仿宋_GBK" w:eastAsia="方正仿宋_GBK" w:cs="方正仿宋_GBK"/>
          <w:bCs w:val="0"/>
          <w:color w:val="auto"/>
          <w:spacing w:val="7"/>
          <w:sz w:val="24"/>
          <w:szCs w:val="24"/>
          <w:highlight w:val="none"/>
          <w:lang w:val="en-US" w:eastAsia="zh-CN"/>
        </w:rPr>
        <w:t>履行</w:t>
      </w:r>
      <w:r>
        <w:rPr>
          <w:rFonts w:hint="eastAsia" w:ascii="方正仿宋_GBK" w:hAnsi="方正仿宋_GBK" w:eastAsia="方正仿宋_GBK" w:cs="方正仿宋_GBK"/>
          <w:bCs w:val="0"/>
          <w:color w:val="auto"/>
          <w:spacing w:val="7"/>
          <w:sz w:val="24"/>
          <w:szCs w:val="24"/>
          <w:highlight w:val="none"/>
        </w:rPr>
        <w:t>本合同约定的服务过程中，发生人员伤亡或致甲方、第三人人身及财产损害时，</w:t>
      </w:r>
      <w:r>
        <w:rPr>
          <w:rFonts w:hint="eastAsia" w:ascii="方正仿宋_GBK" w:hAnsi="方正仿宋_GBK" w:eastAsia="方正仿宋_GBK" w:cs="方正仿宋_GBK"/>
          <w:bCs w:val="0"/>
          <w:color w:val="auto"/>
          <w:spacing w:val="7"/>
          <w:sz w:val="24"/>
          <w:szCs w:val="24"/>
          <w:highlight w:val="none"/>
          <w:lang w:val="en-US" w:eastAsia="zh-CN"/>
        </w:rPr>
        <w:t>乙方第一时间妥善处理。</w:t>
      </w:r>
    </w:p>
    <w:p>
      <w:pPr>
        <w:numPr>
          <w:ilvl w:val="0"/>
          <w:numId w:val="0"/>
        </w:numPr>
        <w:adjustRightInd w:val="0"/>
        <w:snapToGrid w:val="0"/>
        <w:spacing w:before="0" w:line="500" w:lineRule="exact"/>
        <w:ind w:left="0" w:firstLine="508" w:firstLineChars="200"/>
        <w:rPr>
          <w:rFonts w:hint="default" w:ascii="方正仿宋_GBK" w:hAnsi="方正仿宋_GBK" w:eastAsia="方正仿宋_GBK" w:cs="方正仿宋_GBK"/>
          <w:bCs w:val="0"/>
          <w:color w:val="auto"/>
          <w:spacing w:val="7"/>
          <w:sz w:val="24"/>
          <w:szCs w:val="24"/>
          <w:highlight w:val="none"/>
          <w:lang w:val="en-US" w:eastAsia="zh-CN"/>
        </w:rPr>
      </w:pPr>
      <w:r>
        <w:rPr>
          <w:rFonts w:hint="eastAsia" w:ascii="方正仿宋_GBK" w:hAnsi="方正仿宋_GBK" w:eastAsia="方正仿宋_GBK" w:cs="方正仿宋_GBK"/>
          <w:bCs w:val="0"/>
          <w:color w:val="auto"/>
          <w:spacing w:val="7"/>
          <w:sz w:val="24"/>
          <w:szCs w:val="24"/>
          <w:highlight w:val="none"/>
          <w:lang w:val="en-US" w:eastAsia="zh-CN"/>
        </w:rPr>
        <w:t>3. 乙方负责所提供驾驶员的定期安全教育交通法规等培训。</w:t>
      </w:r>
    </w:p>
    <w:p>
      <w:pPr>
        <w:numPr>
          <w:ilvl w:val="0"/>
          <w:numId w:val="0"/>
        </w:numPr>
        <w:adjustRightInd w:val="0"/>
        <w:snapToGrid w:val="0"/>
        <w:spacing w:before="0" w:beforeLines="50" w:after="10" w:line="500" w:lineRule="exact"/>
        <w:ind w:firstLine="508" w:firstLineChars="200"/>
        <w:outlineLvl w:val="0"/>
        <w:rPr>
          <w:rFonts w:hint="eastAsia" w:ascii="方正黑体_GBK" w:hAnsi="方正黑体_GBK" w:eastAsia="方正黑体_GBK" w:cs="方正黑体_GBK"/>
          <w:color w:val="auto"/>
          <w:spacing w:val="7"/>
          <w:sz w:val="24"/>
          <w:szCs w:val="24"/>
          <w:highlight w:val="none"/>
        </w:rPr>
      </w:pPr>
      <w:r>
        <w:rPr>
          <w:rFonts w:hint="eastAsia" w:ascii="方正黑体_GBK" w:hAnsi="方正黑体_GBK" w:eastAsia="方正黑体_GBK" w:cs="方正黑体_GBK"/>
          <w:color w:val="auto"/>
          <w:spacing w:val="7"/>
          <w:sz w:val="24"/>
          <w:szCs w:val="24"/>
          <w:highlight w:val="none"/>
          <w:lang w:val="en-US" w:eastAsia="zh-CN"/>
        </w:rPr>
        <w:t>八、</w:t>
      </w:r>
      <w:r>
        <w:rPr>
          <w:rFonts w:hint="eastAsia" w:ascii="方正黑体_GBK" w:hAnsi="方正黑体_GBK" w:eastAsia="方正黑体_GBK" w:cs="方正黑体_GBK"/>
          <w:color w:val="auto"/>
          <w:spacing w:val="7"/>
          <w:sz w:val="24"/>
          <w:szCs w:val="24"/>
          <w:highlight w:val="none"/>
        </w:rPr>
        <w:t>合同解除和终止</w:t>
      </w:r>
    </w:p>
    <w:p>
      <w:pPr>
        <w:numPr>
          <w:ilvl w:val="0"/>
          <w:numId w:val="0"/>
        </w:numPr>
        <w:adjustRightInd w:val="0"/>
        <w:snapToGrid w:val="0"/>
        <w:spacing w:line="500" w:lineRule="exact"/>
        <w:ind w:firstLine="508" w:firstLineChars="200"/>
        <w:rPr>
          <w:rFonts w:hint="eastAsia" w:ascii="方正仿宋_GBK" w:hAnsi="方正仿宋_GBK" w:eastAsia="方正仿宋_GBK" w:cs="方正仿宋_GBK"/>
          <w:bCs w:val="0"/>
          <w:color w:val="auto"/>
          <w:spacing w:val="7"/>
          <w:sz w:val="24"/>
          <w:szCs w:val="24"/>
          <w:highlight w:val="none"/>
        </w:rPr>
      </w:pPr>
      <w:r>
        <w:rPr>
          <w:rFonts w:hint="eastAsia" w:ascii="方正仿宋_GBK" w:hAnsi="方正仿宋_GBK" w:eastAsia="方正仿宋_GBK" w:cs="方正仿宋_GBK"/>
          <w:bCs w:val="0"/>
          <w:color w:val="auto"/>
          <w:spacing w:val="7"/>
          <w:sz w:val="24"/>
          <w:szCs w:val="24"/>
          <w:highlight w:val="none"/>
        </w:rPr>
        <w:t>乙方及其服务人员应当严格按合同约定履行义务，发生以下情形之一的，甲方有权单方解除/终止合同并没收履约保证金，由此产生的一切风险、损失、</w:t>
      </w:r>
      <w:r>
        <w:rPr>
          <w:rFonts w:hint="eastAsia" w:ascii="方正仿宋_GBK" w:hAnsi="方正仿宋_GBK" w:eastAsia="方正仿宋_GBK" w:cs="方正仿宋_GBK"/>
          <w:bCs w:val="0"/>
          <w:color w:val="auto"/>
          <w:spacing w:val="7"/>
          <w:sz w:val="24"/>
          <w:szCs w:val="24"/>
          <w:highlight w:val="none"/>
          <w:lang w:val="en-US" w:eastAsia="zh-CN"/>
        </w:rPr>
        <w:t>费用、</w:t>
      </w:r>
      <w:r>
        <w:rPr>
          <w:rFonts w:hint="eastAsia" w:ascii="方正仿宋_GBK" w:hAnsi="方正仿宋_GBK" w:eastAsia="方正仿宋_GBK" w:cs="方正仿宋_GBK"/>
          <w:bCs w:val="0"/>
          <w:color w:val="auto"/>
          <w:spacing w:val="7"/>
          <w:sz w:val="24"/>
          <w:szCs w:val="24"/>
          <w:highlight w:val="none"/>
        </w:rPr>
        <w:t>责任等均由乙方承担：</w:t>
      </w:r>
    </w:p>
    <w:p>
      <w:pPr>
        <w:numPr>
          <w:ilvl w:val="0"/>
          <w:numId w:val="0"/>
        </w:numPr>
        <w:adjustRightInd w:val="0"/>
        <w:snapToGrid w:val="0"/>
        <w:spacing w:line="500" w:lineRule="exact"/>
        <w:ind w:firstLine="508" w:firstLineChars="200"/>
        <w:rPr>
          <w:rFonts w:hint="eastAsia" w:ascii="方正仿宋_GBK" w:hAnsi="方正仿宋_GBK" w:eastAsia="方正仿宋_GBK" w:cs="方正仿宋_GBK"/>
          <w:bCs w:val="0"/>
          <w:color w:val="auto"/>
          <w:spacing w:val="7"/>
          <w:sz w:val="24"/>
          <w:szCs w:val="24"/>
          <w:highlight w:val="none"/>
        </w:rPr>
      </w:pPr>
      <w:r>
        <w:rPr>
          <w:rFonts w:hint="eastAsia" w:ascii="方正仿宋_GBK" w:hAnsi="方正仿宋_GBK" w:eastAsia="方正仿宋_GBK" w:cs="方正仿宋_GBK"/>
          <w:bCs w:val="0"/>
          <w:color w:val="auto"/>
          <w:spacing w:val="7"/>
          <w:sz w:val="24"/>
          <w:szCs w:val="24"/>
          <w:highlight w:val="none"/>
        </w:rPr>
        <w:t>（1）乙方出现破产、清算、资不抵债、成为失信被执行人等可能丧失履约能力的情形，且未能提供令甲方满意的履约担保；</w:t>
      </w:r>
    </w:p>
    <w:p>
      <w:pPr>
        <w:numPr>
          <w:ilvl w:val="0"/>
          <w:numId w:val="0"/>
        </w:numPr>
        <w:adjustRightInd w:val="0"/>
        <w:snapToGrid w:val="0"/>
        <w:spacing w:line="500" w:lineRule="exact"/>
        <w:ind w:firstLine="508" w:firstLineChars="200"/>
        <w:rPr>
          <w:rFonts w:hint="eastAsia" w:ascii="方正仿宋_GBK" w:hAnsi="方正仿宋_GBK" w:eastAsia="方正仿宋_GBK" w:cs="方正仿宋_GBK"/>
          <w:bCs w:val="0"/>
          <w:color w:val="auto"/>
          <w:spacing w:val="7"/>
          <w:sz w:val="24"/>
          <w:szCs w:val="24"/>
          <w:highlight w:val="none"/>
        </w:rPr>
      </w:pPr>
      <w:r>
        <w:rPr>
          <w:rFonts w:hint="eastAsia" w:ascii="方正仿宋_GBK" w:hAnsi="方正仿宋_GBK" w:eastAsia="方正仿宋_GBK" w:cs="方正仿宋_GBK"/>
          <w:bCs w:val="0"/>
          <w:color w:val="auto"/>
          <w:spacing w:val="7"/>
          <w:sz w:val="24"/>
          <w:szCs w:val="24"/>
          <w:highlight w:val="none"/>
        </w:rPr>
        <w:t>（2）乙方无法继续履行或明确表示不履行或实质上已停止履行合同；</w:t>
      </w:r>
    </w:p>
    <w:p>
      <w:pPr>
        <w:numPr>
          <w:ilvl w:val="0"/>
          <w:numId w:val="0"/>
        </w:numPr>
        <w:adjustRightInd w:val="0"/>
        <w:snapToGrid w:val="0"/>
        <w:spacing w:line="500" w:lineRule="exact"/>
        <w:ind w:firstLine="508" w:firstLineChars="200"/>
        <w:rPr>
          <w:rFonts w:hint="eastAsia" w:ascii="方正仿宋_GBK" w:hAnsi="方正仿宋_GBK" w:eastAsia="方正仿宋_GBK" w:cs="方正仿宋_GBK"/>
          <w:bCs w:val="0"/>
          <w:color w:val="auto"/>
          <w:spacing w:val="7"/>
          <w:sz w:val="24"/>
          <w:szCs w:val="24"/>
          <w:highlight w:val="none"/>
        </w:rPr>
      </w:pPr>
      <w:r>
        <w:rPr>
          <w:rFonts w:hint="eastAsia" w:ascii="方正仿宋_GBK" w:hAnsi="方正仿宋_GBK" w:eastAsia="方正仿宋_GBK" w:cs="方正仿宋_GBK"/>
          <w:bCs w:val="0"/>
          <w:color w:val="auto"/>
          <w:spacing w:val="7"/>
          <w:sz w:val="24"/>
          <w:szCs w:val="24"/>
          <w:highlight w:val="none"/>
        </w:rPr>
        <w:t>（3）乙方服务人员造成甲方损失和（或）乙方服务质量未达到甲方要求；</w:t>
      </w:r>
    </w:p>
    <w:p>
      <w:pPr>
        <w:numPr>
          <w:ilvl w:val="0"/>
          <w:numId w:val="0"/>
        </w:numPr>
        <w:adjustRightInd w:val="0"/>
        <w:snapToGrid w:val="0"/>
        <w:spacing w:line="500" w:lineRule="exact"/>
        <w:ind w:firstLine="508" w:firstLineChars="200"/>
        <w:rPr>
          <w:rFonts w:hint="eastAsia" w:ascii="方正仿宋_GBK" w:hAnsi="方正仿宋_GBK" w:eastAsia="方正仿宋_GBK" w:cs="方正仿宋_GBK"/>
          <w:bCs w:val="0"/>
          <w:color w:val="auto"/>
          <w:spacing w:val="7"/>
          <w:sz w:val="24"/>
          <w:szCs w:val="24"/>
          <w:highlight w:val="none"/>
        </w:rPr>
      </w:pPr>
      <w:r>
        <w:rPr>
          <w:rFonts w:hint="eastAsia" w:ascii="方正仿宋_GBK" w:hAnsi="方正仿宋_GBK" w:eastAsia="方正仿宋_GBK" w:cs="方正仿宋_GBK"/>
          <w:bCs w:val="0"/>
          <w:color w:val="auto"/>
          <w:spacing w:val="7"/>
          <w:sz w:val="24"/>
          <w:szCs w:val="24"/>
          <w:highlight w:val="none"/>
        </w:rPr>
        <w:t>（4）乙方未按投标时的各项承诺履行义务；</w:t>
      </w:r>
    </w:p>
    <w:p>
      <w:pPr>
        <w:numPr>
          <w:ilvl w:val="0"/>
          <w:numId w:val="0"/>
        </w:numPr>
        <w:adjustRightInd w:val="0"/>
        <w:snapToGrid w:val="0"/>
        <w:spacing w:line="500" w:lineRule="exact"/>
        <w:ind w:firstLine="508" w:firstLineChars="200"/>
        <w:rPr>
          <w:rFonts w:hint="eastAsia" w:ascii="方正仿宋_GBK" w:hAnsi="方正仿宋_GBK" w:eastAsia="方正仿宋_GBK" w:cs="方正仿宋_GBK"/>
          <w:bCs w:val="0"/>
          <w:color w:val="auto"/>
          <w:spacing w:val="7"/>
          <w:sz w:val="24"/>
          <w:szCs w:val="24"/>
          <w:highlight w:val="none"/>
        </w:rPr>
      </w:pPr>
      <w:r>
        <w:rPr>
          <w:rFonts w:hint="eastAsia" w:ascii="方正仿宋_GBK" w:hAnsi="方正仿宋_GBK" w:eastAsia="方正仿宋_GBK" w:cs="方正仿宋_GBK"/>
          <w:bCs w:val="0"/>
          <w:color w:val="auto"/>
          <w:spacing w:val="7"/>
          <w:sz w:val="24"/>
          <w:szCs w:val="24"/>
          <w:highlight w:val="none"/>
          <w:lang w:eastAsia="zh-CN"/>
        </w:rPr>
        <w:t>（</w:t>
      </w:r>
      <w:r>
        <w:rPr>
          <w:rFonts w:hint="eastAsia" w:ascii="方正仿宋_GBK" w:hAnsi="方正仿宋_GBK" w:eastAsia="方正仿宋_GBK" w:cs="方正仿宋_GBK"/>
          <w:bCs w:val="0"/>
          <w:color w:val="auto"/>
          <w:spacing w:val="7"/>
          <w:sz w:val="24"/>
          <w:szCs w:val="24"/>
          <w:highlight w:val="none"/>
          <w:lang w:val="en-US" w:eastAsia="zh-CN"/>
        </w:rPr>
        <w:t>5</w:t>
      </w:r>
      <w:r>
        <w:rPr>
          <w:rFonts w:hint="eastAsia" w:ascii="方正仿宋_GBK" w:hAnsi="方正仿宋_GBK" w:eastAsia="方正仿宋_GBK" w:cs="方正仿宋_GBK"/>
          <w:bCs w:val="0"/>
          <w:color w:val="auto"/>
          <w:spacing w:val="7"/>
          <w:sz w:val="24"/>
          <w:szCs w:val="24"/>
          <w:highlight w:val="none"/>
          <w:lang w:eastAsia="zh-CN"/>
        </w:rPr>
        <w:t>）</w:t>
      </w:r>
      <w:r>
        <w:rPr>
          <w:rFonts w:hint="eastAsia" w:ascii="方正仿宋_GBK" w:hAnsi="方正仿宋_GBK" w:eastAsia="方正仿宋_GBK" w:cs="方正仿宋_GBK"/>
          <w:bCs w:val="0"/>
          <w:color w:val="auto"/>
          <w:spacing w:val="7"/>
          <w:sz w:val="24"/>
          <w:szCs w:val="24"/>
          <w:highlight w:val="none"/>
        </w:rPr>
        <w:t>乙方及其服务人员有违反本合同的行为，经甲方提醒</w:t>
      </w:r>
      <w:r>
        <w:rPr>
          <w:rFonts w:hint="eastAsia" w:ascii="方正仿宋_GBK" w:hAnsi="方正仿宋_GBK" w:eastAsia="方正仿宋_GBK" w:cs="方正仿宋_GBK"/>
          <w:bCs w:val="0"/>
          <w:color w:val="auto"/>
          <w:spacing w:val="7"/>
          <w:sz w:val="24"/>
          <w:szCs w:val="24"/>
          <w:highlight w:val="none"/>
          <w:lang w:val="en-US" w:eastAsia="zh-CN"/>
        </w:rPr>
        <w:t>1次后</w:t>
      </w:r>
      <w:r>
        <w:rPr>
          <w:rFonts w:hint="eastAsia" w:ascii="方正仿宋_GBK" w:hAnsi="方正仿宋_GBK" w:eastAsia="方正仿宋_GBK" w:cs="方正仿宋_GBK"/>
          <w:bCs w:val="0"/>
          <w:color w:val="auto"/>
          <w:spacing w:val="7"/>
          <w:sz w:val="24"/>
          <w:szCs w:val="24"/>
          <w:highlight w:val="none"/>
        </w:rPr>
        <w:t>，乙方未能纠正其违约行为的</w:t>
      </w:r>
      <w:r>
        <w:rPr>
          <w:rFonts w:hint="eastAsia" w:ascii="方正仿宋_GBK" w:hAnsi="方正仿宋_GBK" w:eastAsia="方正仿宋_GBK" w:cs="方正仿宋_GBK"/>
          <w:bCs w:val="0"/>
          <w:color w:val="auto"/>
          <w:spacing w:val="7"/>
          <w:sz w:val="24"/>
          <w:szCs w:val="24"/>
          <w:highlight w:val="none"/>
          <w:lang w:eastAsia="zh-CN"/>
        </w:rPr>
        <w:t>；</w:t>
      </w:r>
    </w:p>
    <w:p>
      <w:pPr>
        <w:numPr>
          <w:ilvl w:val="0"/>
          <w:numId w:val="0"/>
        </w:numPr>
        <w:adjustRightInd w:val="0"/>
        <w:snapToGrid w:val="0"/>
        <w:spacing w:before="0" w:line="500" w:lineRule="exact"/>
        <w:ind w:left="0" w:firstLine="508" w:firstLineChars="200"/>
        <w:rPr>
          <w:rFonts w:hint="eastAsia" w:ascii="方正仿宋_GBK" w:hAnsi="方正仿宋_GBK" w:eastAsia="方正仿宋_GBK" w:cs="方正仿宋_GBK"/>
          <w:bCs w:val="0"/>
          <w:color w:val="auto"/>
          <w:spacing w:val="7"/>
          <w:sz w:val="24"/>
          <w:szCs w:val="24"/>
          <w:highlight w:val="none"/>
        </w:rPr>
      </w:pPr>
      <w:r>
        <w:rPr>
          <w:rFonts w:hint="eastAsia" w:ascii="方正仿宋_GBK" w:hAnsi="方正仿宋_GBK" w:eastAsia="方正仿宋_GBK" w:cs="方正仿宋_GBK"/>
          <w:bCs w:val="0"/>
          <w:color w:val="auto"/>
          <w:spacing w:val="7"/>
          <w:sz w:val="24"/>
          <w:szCs w:val="24"/>
          <w:highlight w:val="none"/>
        </w:rPr>
        <w:t>（</w:t>
      </w:r>
      <w:r>
        <w:rPr>
          <w:rFonts w:hint="eastAsia" w:ascii="方正仿宋_GBK" w:hAnsi="方正仿宋_GBK" w:eastAsia="方正仿宋_GBK" w:cs="方正仿宋_GBK"/>
          <w:bCs w:val="0"/>
          <w:color w:val="auto"/>
          <w:spacing w:val="7"/>
          <w:sz w:val="24"/>
          <w:szCs w:val="24"/>
          <w:highlight w:val="none"/>
          <w:lang w:eastAsia="zh-CN"/>
        </w:rPr>
        <w:t>6</w:t>
      </w:r>
      <w:r>
        <w:rPr>
          <w:rFonts w:hint="eastAsia" w:ascii="方正仿宋_GBK" w:hAnsi="方正仿宋_GBK" w:eastAsia="方正仿宋_GBK" w:cs="方正仿宋_GBK"/>
          <w:bCs w:val="0"/>
          <w:color w:val="auto"/>
          <w:spacing w:val="7"/>
          <w:sz w:val="24"/>
          <w:szCs w:val="24"/>
          <w:highlight w:val="none"/>
        </w:rPr>
        <w:t>）合同约定的其他情形。</w:t>
      </w:r>
    </w:p>
    <w:p>
      <w:pPr>
        <w:numPr>
          <w:ilvl w:val="0"/>
          <w:numId w:val="0"/>
        </w:numPr>
        <w:adjustRightInd w:val="0"/>
        <w:snapToGrid w:val="0"/>
        <w:spacing w:line="500" w:lineRule="exact"/>
        <w:ind w:firstLine="508" w:firstLineChars="200"/>
        <w:rPr>
          <w:rFonts w:hint="eastAsia" w:ascii="方正黑体_GBK" w:hAnsi="方正黑体_GBK" w:eastAsia="方正黑体_GBK" w:cs="方正黑体_GBK"/>
          <w:bCs w:val="0"/>
          <w:color w:val="auto"/>
          <w:spacing w:val="7"/>
          <w:sz w:val="24"/>
          <w:szCs w:val="24"/>
          <w:highlight w:val="none"/>
          <w:lang w:val="en-US" w:eastAsia="zh-CN"/>
        </w:rPr>
      </w:pPr>
      <w:r>
        <w:rPr>
          <w:rFonts w:hint="eastAsia" w:ascii="方正黑体_GBK" w:hAnsi="方正黑体_GBK" w:eastAsia="方正黑体_GBK" w:cs="方正黑体_GBK"/>
          <w:bCs w:val="0"/>
          <w:color w:val="auto"/>
          <w:spacing w:val="7"/>
          <w:sz w:val="24"/>
          <w:szCs w:val="24"/>
          <w:highlight w:val="none"/>
          <w:lang w:val="en-US" w:eastAsia="zh-CN"/>
        </w:rPr>
        <w:t>九、不可抗力</w:t>
      </w:r>
    </w:p>
    <w:p>
      <w:pPr>
        <w:numPr>
          <w:ilvl w:val="0"/>
          <w:numId w:val="0"/>
        </w:numPr>
        <w:adjustRightInd w:val="0"/>
        <w:snapToGrid w:val="0"/>
        <w:spacing w:line="500" w:lineRule="exact"/>
        <w:ind w:firstLine="508" w:firstLineChars="200"/>
        <w:rPr>
          <w:rFonts w:hint="eastAsia" w:ascii="方正仿宋_GBK" w:hAnsi="方正仿宋_GBK" w:eastAsia="方正仿宋_GBK" w:cs="方正仿宋_GBK"/>
          <w:bCs w:val="0"/>
          <w:color w:val="auto"/>
          <w:spacing w:val="7"/>
          <w:sz w:val="24"/>
          <w:szCs w:val="24"/>
          <w:highlight w:val="none"/>
          <w:lang w:eastAsia="zh-CN"/>
        </w:rPr>
      </w:pPr>
      <w:r>
        <w:rPr>
          <w:rFonts w:hint="eastAsia" w:ascii="方正仿宋_GBK" w:hAnsi="方正仿宋_GBK" w:eastAsia="方正仿宋_GBK" w:cs="方正仿宋_GBK"/>
          <w:bCs w:val="0"/>
          <w:color w:val="auto"/>
          <w:spacing w:val="7"/>
          <w:sz w:val="24"/>
          <w:szCs w:val="24"/>
          <w:highlight w:val="none"/>
        </w:rPr>
        <w:t>1</w:t>
      </w:r>
      <w:r>
        <w:rPr>
          <w:rFonts w:hint="eastAsia" w:ascii="方正仿宋_GBK" w:hAnsi="方正仿宋_GBK" w:eastAsia="方正仿宋_GBK" w:cs="方正仿宋_GBK"/>
          <w:bCs w:val="0"/>
          <w:color w:val="auto"/>
          <w:spacing w:val="7"/>
          <w:sz w:val="24"/>
          <w:szCs w:val="24"/>
          <w:highlight w:val="none"/>
          <w:lang w:eastAsia="zh-CN"/>
        </w:rPr>
        <w:t>.</w:t>
      </w:r>
      <w:r>
        <w:rPr>
          <w:rFonts w:hint="eastAsia" w:ascii="方正仿宋_GBK" w:hAnsi="方正仿宋_GBK" w:eastAsia="方正仿宋_GBK" w:cs="方正仿宋_GBK"/>
          <w:bCs w:val="0"/>
          <w:color w:val="auto"/>
          <w:spacing w:val="7"/>
          <w:sz w:val="24"/>
          <w:szCs w:val="24"/>
          <w:highlight w:val="none"/>
        </w:rPr>
        <w:t>不可抗力：指甲乙双方任何一方不能合理预见、不能避免并不能克服的事件或情形。</w:t>
      </w:r>
    </w:p>
    <w:p>
      <w:pPr>
        <w:numPr>
          <w:ilvl w:val="0"/>
          <w:numId w:val="0"/>
        </w:numPr>
        <w:adjustRightInd w:val="0"/>
        <w:snapToGrid w:val="0"/>
        <w:spacing w:line="500" w:lineRule="exact"/>
        <w:ind w:firstLine="508" w:firstLineChars="200"/>
        <w:rPr>
          <w:rFonts w:hint="eastAsia" w:ascii="方正仿宋_GBK" w:hAnsi="方正仿宋_GBK" w:eastAsia="方正仿宋_GBK" w:cs="方正仿宋_GBK"/>
          <w:bCs w:val="0"/>
          <w:color w:val="auto"/>
          <w:spacing w:val="7"/>
          <w:sz w:val="24"/>
          <w:szCs w:val="24"/>
          <w:highlight w:val="none"/>
        </w:rPr>
      </w:pPr>
      <w:r>
        <w:rPr>
          <w:rFonts w:hint="eastAsia" w:ascii="方正仿宋_GBK" w:hAnsi="方正仿宋_GBK" w:eastAsia="方正仿宋_GBK" w:cs="方正仿宋_GBK"/>
          <w:bCs w:val="0"/>
          <w:color w:val="auto"/>
          <w:spacing w:val="7"/>
          <w:sz w:val="24"/>
          <w:szCs w:val="24"/>
          <w:highlight w:val="none"/>
          <w:lang w:val="en-US" w:eastAsia="zh-CN"/>
        </w:rPr>
        <w:t>2.</w:t>
      </w:r>
      <w:r>
        <w:rPr>
          <w:rFonts w:hint="eastAsia" w:ascii="方正仿宋_GBK" w:hAnsi="方正仿宋_GBK" w:eastAsia="方正仿宋_GBK" w:cs="方正仿宋_GBK"/>
          <w:bCs w:val="0"/>
          <w:color w:val="auto"/>
          <w:spacing w:val="7"/>
          <w:sz w:val="24"/>
          <w:szCs w:val="24"/>
          <w:highlight w:val="none"/>
        </w:rPr>
        <w:t>受不可抗力事件影响的一方当事人应采取一切合理且可能的措施以消除或减轻不可抗力事件的影响，并应尽快将不可抗力事件结束或消除的情况通知另一方当事人。</w:t>
      </w:r>
    </w:p>
    <w:p>
      <w:pPr>
        <w:numPr>
          <w:ilvl w:val="0"/>
          <w:numId w:val="0"/>
        </w:numPr>
        <w:adjustRightInd w:val="0"/>
        <w:snapToGrid w:val="0"/>
        <w:spacing w:before="0" w:beforeLines="50" w:after="10" w:line="500" w:lineRule="exact"/>
        <w:ind w:firstLine="508" w:firstLineChars="200"/>
        <w:outlineLvl w:val="0"/>
        <w:rPr>
          <w:rFonts w:hint="eastAsia" w:ascii="方正黑体_GBK" w:hAnsi="方正黑体_GBK" w:eastAsia="方正黑体_GBK" w:cs="方正黑体_GBK"/>
          <w:color w:val="auto"/>
          <w:spacing w:val="7"/>
          <w:sz w:val="24"/>
          <w:szCs w:val="24"/>
          <w:highlight w:val="none"/>
        </w:rPr>
      </w:pPr>
      <w:bookmarkStart w:id="521" w:name="_Toc22023"/>
      <w:bookmarkStart w:id="522" w:name="_Toc62"/>
      <w:bookmarkStart w:id="523" w:name="_Toc12783"/>
      <w:r>
        <w:rPr>
          <w:rFonts w:hint="eastAsia" w:ascii="方正黑体_GBK" w:hAnsi="方正黑体_GBK" w:eastAsia="方正黑体_GBK" w:cs="方正黑体_GBK"/>
          <w:color w:val="auto"/>
          <w:spacing w:val="7"/>
          <w:sz w:val="24"/>
          <w:szCs w:val="24"/>
          <w:highlight w:val="none"/>
          <w:lang w:val="en-US" w:eastAsia="zh-CN"/>
        </w:rPr>
        <w:t>十、</w:t>
      </w:r>
      <w:r>
        <w:rPr>
          <w:rFonts w:hint="eastAsia" w:ascii="方正黑体_GBK" w:hAnsi="方正黑体_GBK" w:eastAsia="方正黑体_GBK" w:cs="方正黑体_GBK"/>
          <w:color w:val="auto"/>
          <w:spacing w:val="7"/>
          <w:sz w:val="24"/>
          <w:szCs w:val="24"/>
          <w:highlight w:val="none"/>
        </w:rPr>
        <w:t>争议解决</w:t>
      </w:r>
      <w:bookmarkEnd w:id="521"/>
      <w:bookmarkEnd w:id="522"/>
      <w:bookmarkEnd w:id="523"/>
    </w:p>
    <w:p>
      <w:pPr>
        <w:numPr>
          <w:ilvl w:val="0"/>
          <w:numId w:val="0"/>
        </w:numPr>
        <w:adjustRightInd w:val="0"/>
        <w:snapToGrid w:val="0"/>
        <w:spacing w:before="0" w:line="500" w:lineRule="exact"/>
        <w:ind w:left="0" w:firstLine="508" w:firstLineChars="200"/>
        <w:rPr>
          <w:rFonts w:hint="eastAsia" w:ascii="方正仿宋_GBK" w:hAnsi="方正仿宋_GBK" w:eastAsia="方正仿宋_GBK" w:cs="方正仿宋_GBK"/>
          <w:color w:val="auto"/>
          <w:spacing w:val="7"/>
          <w:sz w:val="24"/>
          <w:szCs w:val="24"/>
          <w:highlight w:val="none"/>
        </w:rPr>
      </w:pPr>
      <w:r>
        <w:rPr>
          <w:rFonts w:hint="eastAsia" w:ascii="方正仿宋_GBK" w:hAnsi="方正仿宋_GBK" w:eastAsia="方正仿宋_GBK" w:cs="方正仿宋_GBK"/>
          <w:bCs w:val="0"/>
          <w:color w:val="auto"/>
          <w:spacing w:val="7"/>
          <w:sz w:val="24"/>
          <w:szCs w:val="24"/>
          <w:highlight w:val="none"/>
        </w:rPr>
        <w:t>因本合同所产生的争议，由双方协商解决，协商不成的，由甲方所在地有管辖权的人民法院管辖。如因乙方的违约行为导致双方发生争议，甲方通过诉讼、调解非诉等方式向乙方主张权利所发生的一切费用。</w:t>
      </w:r>
    </w:p>
    <w:p>
      <w:pPr>
        <w:numPr>
          <w:ilvl w:val="0"/>
          <w:numId w:val="0"/>
        </w:numPr>
        <w:spacing w:before="0" w:line="500" w:lineRule="exact"/>
        <w:ind w:left="0" w:firstLine="508" w:firstLineChars="200"/>
        <w:outlineLvl w:val="9"/>
        <w:rPr>
          <w:rFonts w:hint="eastAsia" w:ascii="方正黑体_GBK" w:hAnsi="方正黑体_GBK" w:eastAsia="方正黑体_GBK" w:cs="方正黑体_GBK"/>
          <w:color w:val="auto"/>
          <w:spacing w:val="7"/>
          <w:sz w:val="24"/>
          <w:szCs w:val="24"/>
          <w:highlight w:val="none"/>
        </w:rPr>
      </w:pPr>
      <w:r>
        <w:rPr>
          <w:rFonts w:hint="eastAsia" w:ascii="方正黑体_GBK" w:hAnsi="方正黑体_GBK" w:eastAsia="方正黑体_GBK" w:cs="方正黑体_GBK"/>
          <w:b w:val="0"/>
          <w:bCs w:val="0"/>
          <w:color w:val="auto"/>
          <w:spacing w:val="7"/>
          <w:position w:val="0"/>
          <w:sz w:val="24"/>
          <w:szCs w:val="24"/>
          <w:highlight w:val="none"/>
          <w:lang w:val="en-US" w:eastAsia="zh-CN"/>
        </w:rPr>
        <w:t>十一</w:t>
      </w:r>
      <w:r>
        <w:rPr>
          <w:rFonts w:hint="eastAsia" w:ascii="方正黑体_GBK" w:hAnsi="方正黑体_GBK" w:eastAsia="方正黑体_GBK" w:cs="方正黑体_GBK"/>
          <w:b w:val="0"/>
          <w:bCs w:val="0"/>
          <w:color w:val="auto"/>
          <w:spacing w:val="7"/>
          <w:sz w:val="24"/>
          <w:szCs w:val="24"/>
          <w:highlight w:val="none"/>
        </w:rPr>
        <w:t>、其它</w:t>
      </w:r>
    </w:p>
    <w:p>
      <w:pPr>
        <w:numPr>
          <w:ilvl w:val="0"/>
          <w:numId w:val="0"/>
        </w:numPr>
        <w:spacing w:before="0" w:line="500" w:lineRule="exact"/>
        <w:ind w:firstLine="488" w:firstLineChars="200"/>
        <w:rPr>
          <w:rFonts w:hint="eastAsia" w:ascii="方正仿宋_GBK" w:hAnsi="方正仿宋_GBK" w:eastAsia="方正仿宋_GBK" w:cs="方正仿宋_GBK"/>
          <w:color w:val="auto"/>
          <w:spacing w:val="2"/>
          <w:sz w:val="24"/>
          <w:szCs w:val="24"/>
          <w:highlight w:val="none"/>
        </w:rPr>
      </w:pPr>
      <w:r>
        <w:rPr>
          <w:rFonts w:hint="eastAsia" w:ascii="方正仿宋_GBK" w:hAnsi="方正仿宋_GBK" w:eastAsia="方正仿宋_GBK" w:cs="方正仿宋_GBK"/>
          <w:color w:val="auto"/>
          <w:spacing w:val="2"/>
          <w:position w:val="0"/>
          <w:sz w:val="24"/>
          <w:szCs w:val="24"/>
          <w:highlight w:val="none"/>
        </w:rPr>
        <w:t>1.现甲方交通车每天早上的</w:t>
      </w:r>
      <w:r>
        <w:rPr>
          <w:rFonts w:hint="eastAsia" w:ascii="方正仿宋_GBK" w:hAnsi="方正仿宋_GBK" w:eastAsia="方正仿宋_GBK" w:cs="方正仿宋_GBK"/>
          <w:color w:val="auto"/>
          <w:spacing w:val="2"/>
          <w:position w:val="0"/>
          <w:sz w:val="24"/>
          <w:szCs w:val="24"/>
          <w:highlight w:val="none"/>
          <w:lang w:eastAsia="zh-CN"/>
        </w:rPr>
        <w:t>七</w:t>
      </w:r>
      <w:r>
        <w:rPr>
          <w:rFonts w:hint="eastAsia" w:ascii="方正仿宋_GBK" w:hAnsi="方正仿宋_GBK" w:eastAsia="方正仿宋_GBK" w:cs="方正仿宋_GBK"/>
          <w:color w:val="auto"/>
          <w:spacing w:val="2"/>
          <w:position w:val="0"/>
          <w:sz w:val="24"/>
          <w:szCs w:val="24"/>
          <w:highlight w:val="none"/>
        </w:rPr>
        <w:t>个出发点为合川城区、</w:t>
      </w:r>
      <w:r>
        <w:rPr>
          <w:rFonts w:hint="default" w:ascii="方正仿宋_GBK" w:hAnsi="方正仿宋_GBK" w:eastAsia="方正仿宋_GBK" w:cs="方正仿宋_GBK"/>
          <w:color w:val="auto"/>
          <w:spacing w:val="2"/>
          <w:position w:val="0"/>
          <w:sz w:val="24"/>
          <w:szCs w:val="24"/>
          <w:highlight w:val="none"/>
        </w:rPr>
        <w:t>梁平、忠县、</w:t>
      </w:r>
      <w:r>
        <w:rPr>
          <w:rFonts w:hint="eastAsia" w:ascii="方正仿宋_GBK" w:hAnsi="方正仿宋_GBK" w:eastAsia="方正仿宋_GBK" w:cs="方正仿宋_GBK"/>
          <w:color w:val="auto"/>
          <w:spacing w:val="2"/>
          <w:position w:val="0"/>
          <w:sz w:val="24"/>
          <w:szCs w:val="24"/>
          <w:highlight w:val="none"/>
          <w:lang w:val="en-US" w:eastAsia="zh-CN"/>
        </w:rPr>
        <w:t>北环</w:t>
      </w:r>
      <w:r>
        <w:rPr>
          <w:rFonts w:hint="eastAsia" w:ascii="方正仿宋_GBK" w:hAnsi="方正仿宋_GBK" w:eastAsia="方正仿宋_GBK" w:cs="方正仿宋_GBK"/>
          <w:color w:val="auto"/>
          <w:spacing w:val="2"/>
          <w:position w:val="0"/>
          <w:sz w:val="24"/>
          <w:szCs w:val="24"/>
          <w:highlight w:val="none"/>
        </w:rPr>
        <w:t>南坪、石桥</w:t>
      </w:r>
      <w:r>
        <w:rPr>
          <w:rFonts w:hint="eastAsia" w:ascii="方正仿宋_GBK" w:hAnsi="方正仿宋_GBK" w:eastAsia="方正仿宋_GBK" w:cs="方正仿宋_GBK"/>
          <w:color w:val="auto"/>
          <w:spacing w:val="2"/>
          <w:sz w:val="24"/>
          <w:szCs w:val="24"/>
          <w:highlight w:val="none"/>
        </w:rPr>
        <w:t>铺，若有调整甲方须提前半个月告知乙方。</w:t>
      </w:r>
    </w:p>
    <w:p>
      <w:pPr>
        <w:spacing w:before="0" w:line="500" w:lineRule="exact"/>
        <w:ind w:left="0" w:right="14" w:firstLine="488" w:firstLineChars="200"/>
        <w:rPr>
          <w:rFonts w:hint="eastAsia" w:ascii="方正仿宋_GBK" w:hAnsi="方正仿宋_GBK" w:eastAsia="方正仿宋_GBK" w:cs="方正仿宋_GBK"/>
          <w:color w:val="auto"/>
          <w:spacing w:val="2"/>
          <w:sz w:val="24"/>
          <w:szCs w:val="24"/>
          <w:highlight w:val="none"/>
        </w:rPr>
      </w:pPr>
      <w:r>
        <w:rPr>
          <w:rFonts w:hint="eastAsia" w:ascii="方正仿宋_GBK" w:hAnsi="方正仿宋_GBK" w:eastAsia="方正仿宋_GBK" w:cs="方正仿宋_GBK"/>
          <w:color w:val="auto"/>
          <w:spacing w:val="2"/>
          <w:sz w:val="24"/>
          <w:szCs w:val="24"/>
          <w:highlight w:val="none"/>
        </w:rPr>
        <w:t>2.交通车须停放在由甲方指定的停车场，停车费用由甲方承担。</w:t>
      </w:r>
    </w:p>
    <w:p>
      <w:pPr>
        <w:spacing w:before="0" w:line="500" w:lineRule="exact"/>
        <w:ind w:left="0" w:right="14" w:firstLine="488" w:firstLineChars="200"/>
        <w:rPr>
          <w:rFonts w:hint="eastAsia" w:ascii="方正仿宋_GBK" w:hAnsi="方正仿宋_GBK" w:eastAsia="方正仿宋_GBK" w:cs="方正仿宋_GBK"/>
          <w:color w:val="auto"/>
          <w:spacing w:val="2"/>
          <w:sz w:val="24"/>
          <w:szCs w:val="24"/>
          <w:highlight w:val="none"/>
        </w:rPr>
      </w:pPr>
      <w:r>
        <w:rPr>
          <w:rFonts w:hint="eastAsia" w:ascii="方正仿宋_GBK" w:hAnsi="方正仿宋_GBK" w:eastAsia="方正仿宋_GBK" w:cs="方正仿宋_GBK"/>
          <w:color w:val="auto"/>
          <w:spacing w:val="2"/>
          <w:sz w:val="24"/>
          <w:szCs w:val="24"/>
          <w:highlight w:val="none"/>
        </w:rPr>
        <w:t>3.驾驶员须随时保持交通车内外干净、整洁。</w:t>
      </w:r>
    </w:p>
    <w:p>
      <w:pPr>
        <w:spacing w:before="0" w:line="500" w:lineRule="exact"/>
        <w:ind w:left="0" w:right="14" w:firstLine="488" w:firstLineChars="200"/>
        <w:rPr>
          <w:rFonts w:hint="eastAsia" w:ascii="方正仿宋_GBK" w:hAnsi="方正仿宋_GBK" w:eastAsia="方正仿宋_GBK" w:cs="方正仿宋_GBK"/>
          <w:color w:val="auto"/>
          <w:spacing w:val="2"/>
          <w:sz w:val="24"/>
          <w:szCs w:val="24"/>
          <w:highlight w:val="none"/>
        </w:rPr>
      </w:pPr>
      <w:r>
        <w:rPr>
          <w:rFonts w:hint="eastAsia" w:ascii="方正仿宋_GBK" w:hAnsi="方正仿宋_GBK" w:eastAsia="方正仿宋_GBK" w:cs="方正仿宋_GBK"/>
          <w:color w:val="auto"/>
          <w:spacing w:val="2"/>
          <w:sz w:val="24"/>
          <w:szCs w:val="24"/>
          <w:highlight w:val="none"/>
        </w:rPr>
        <w:t>4. 乙方应与本合同约定提供代驾服务的驾驶员签订劳动合同或劳务合同，承担劳动或劳务关系中作为用人单位的各项责任。</w:t>
      </w:r>
    </w:p>
    <w:p>
      <w:pPr>
        <w:numPr>
          <w:ilvl w:val="0"/>
          <w:numId w:val="7"/>
        </w:numPr>
        <w:spacing w:before="0" w:line="500" w:lineRule="exact"/>
        <w:ind w:right="14" w:firstLine="488" w:firstLineChars="200"/>
        <w:rPr>
          <w:rFonts w:hint="eastAsia" w:ascii="方正仿宋_GBK" w:hAnsi="方正仿宋_GBK" w:eastAsia="方正仿宋_GBK" w:cs="方正仿宋_GBK"/>
          <w:color w:val="auto"/>
          <w:spacing w:val="2"/>
          <w:sz w:val="24"/>
          <w:szCs w:val="24"/>
          <w:highlight w:val="none"/>
        </w:rPr>
      </w:pPr>
      <w:r>
        <w:rPr>
          <w:rFonts w:hint="eastAsia" w:ascii="方正仿宋_GBK" w:hAnsi="方正仿宋_GBK" w:eastAsia="方正仿宋_GBK" w:cs="方正仿宋_GBK"/>
          <w:color w:val="auto"/>
          <w:spacing w:val="2"/>
          <w:sz w:val="24"/>
          <w:szCs w:val="24"/>
          <w:highlight w:val="none"/>
        </w:rPr>
        <w:t>如乙方驾驶员提供代驾服务不符合甲方驾驶员管理规章制度，在甲方通知之日起10天内不予更换，甲方有权停止驾驶员服务，直至解除合同。如乙方驾驶员提供代驾服务，甲方未依约支付合同价款，经乙方催讨后超过30天，乙方有权停止服务，直至解除合同。</w:t>
      </w:r>
    </w:p>
    <w:p>
      <w:pPr>
        <w:numPr>
          <w:ilvl w:val="-1"/>
          <w:numId w:val="0"/>
        </w:numPr>
        <w:spacing w:line="500" w:lineRule="exact"/>
        <w:ind w:left="0" w:leftChars="0" w:right="0" w:firstLine="488" w:firstLineChars="200"/>
        <w:jc w:val="left"/>
        <w:rPr>
          <w:rFonts w:hint="eastAsia" w:ascii="方正仿宋_GBK" w:hAnsi="方正仿宋_GBK" w:eastAsia="方正仿宋_GBK" w:cs="方正仿宋_GBK"/>
          <w:color w:val="auto"/>
          <w:spacing w:val="2"/>
          <w:sz w:val="24"/>
          <w:szCs w:val="24"/>
          <w:highlight w:val="none"/>
        </w:rPr>
      </w:pPr>
      <w:r>
        <w:rPr>
          <w:rFonts w:hint="eastAsia" w:ascii="方正仿宋_GBK" w:hAnsi="方正仿宋_GBK" w:eastAsia="方正仿宋_GBK" w:cs="方正仿宋_GBK"/>
          <w:color w:val="auto"/>
          <w:spacing w:val="2"/>
          <w:position w:val="0"/>
          <w:sz w:val="24"/>
          <w:szCs w:val="24"/>
          <w:highlight w:val="none"/>
          <w:lang w:eastAsia="zh-CN"/>
        </w:rPr>
        <w:t>6</w:t>
      </w:r>
      <w:r>
        <w:rPr>
          <w:rFonts w:hint="eastAsia" w:ascii="方正仿宋_GBK" w:hAnsi="方正仿宋_GBK" w:eastAsia="方正仿宋_GBK" w:cs="方正仿宋_GBK"/>
          <w:color w:val="auto"/>
          <w:spacing w:val="2"/>
          <w:position w:val="0"/>
          <w:sz w:val="24"/>
          <w:szCs w:val="24"/>
          <w:highlight w:val="none"/>
        </w:rPr>
        <w:t>.本合同未尽事宜，双方应协商解决，亦可签订补充合同。补充</w:t>
      </w:r>
      <w:r>
        <w:rPr>
          <w:rFonts w:hint="eastAsia" w:ascii="方正仿宋_GBK" w:hAnsi="方正仿宋_GBK" w:eastAsia="方正仿宋_GBK" w:cs="方正仿宋_GBK"/>
          <w:color w:val="auto"/>
          <w:spacing w:val="2"/>
          <w:sz w:val="24"/>
          <w:szCs w:val="24"/>
          <w:highlight w:val="none"/>
        </w:rPr>
        <w:t>合同与本合同具同等法律效力。</w:t>
      </w:r>
    </w:p>
    <w:p>
      <w:pPr>
        <w:numPr>
          <w:ilvl w:val="-1"/>
          <w:numId w:val="0"/>
        </w:numPr>
        <w:spacing w:before="0" w:line="500" w:lineRule="exact"/>
        <w:ind w:left="0" w:leftChars="0" w:right="0" w:firstLine="488" w:firstLineChars="200"/>
        <w:rPr>
          <w:rFonts w:hint="eastAsia" w:ascii="方正仿宋_GBK" w:hAnsi="方正仿宋_GBK" w:eastAsia="方正仿宋_GBK" w:cs="方正仿宋_GBK"/>
          <w:color w:val="auto"/>
          <w:spacing w:val="2"/>
          <w:sz w:val="24"/>
          <w:szCs w:val="24"/>
          <w:highlight w:val="none"/>
        </w:rPr>
      </w:pPr>
      <w:r>
        <w:rPr>
          <w:rFonts w:hint="eastAsia" w:ascii="方正仿宋_GBK" w:hAnsi="方正仿宋_GBK" w:eastAsia="方正仿宋_GBK" w:cs="方正仿宋_GBK"/>
          <w:color w:val="auto"/>
          <w:spacing w:val="2"/>
          <w:sz w:val="24"/>
          <w:szCs w:val="24"/>
          <w:highlight w:val="none"/>
        </w:rPr>
        <w:t>8.本合同一式肆份，甲方叁份，乙方壹份，具有同等法律效力。</w:t>
      </w:r>
    </w:p>
    <w:p>
      <w:pPr>
        <w:numPr>
          <w:ilvl w:val="0"/>
          <w:numId w:val="0"/>
        </w:numPr>
        <w:spacing w:before="0" w:line="500" w:lineRule="exact"/>
        <w:ind w:leftChars="200" w:right="14"/>
        <w:rPr>
          <w:rFonts w:hint="eastAsia" w:ascii="方正仿宋_GBK" w:hAnsi="方正仿宋_GBK" w:eastAsia="方正仿宋_GBK" w:cs="方正仿宋_GBK"/>
          <w:color w:val="auto"/>
          <w:spacing w:val="2"/>
          <w:sz w:val="24"/>
          <w:szCs w:val="24"/>
          <w:highlight w:val="none"/>
          <w:lang w:eastAsia="zh-CN"/>
        </w:rPr>
      </w:pPr>
      <w:r>
        <w:rPr>
          <w:rFonts w:hint="eastAsia" w:ascii="方正仿宋_GBK" w:hAnsi="方正仿宋_GBK" w:eastAsia="方正仿宋_GBK" w:cs="方正仿宋_GBK"/>
          <w:color w:val="auto"/>
          <w:spacing w:val="2"/>
          <w:sz w:val="24"/>
          <w:szCs w:val="24"/>
          <w:highlight w:val="none"/>
        </w:rPr>
        <w:t>9.本合同自双方签字盖章之日起生效</w:t>
      </w:r>
      <w:r>
        <w:rPr>
          <w:rFonts w:hint="eastAsia" w:ascii="方正仿宋_GBK" w:hAnsi="方正仿宋_GBK" w:eastAsia="方正仿宋_GBK" w:cs="方正仿宋_GBK"/>
          <w:color w:val="auto"/>
          <w:spacing w:val="2"/>
          <w:sz w:val="24"/>
          <w:szCs w:val="24"/>
          <w:highlight w:val="none"/>
          <w:lang w:eastAsia="zh-CN"/>
        </w:rPr>
        <w:t>。</w:t>
      </w:r>
    </w:p>
    <w:p>
      <w:pPr>
        <w:numPr>
          <w:ilvl w:val="0"/>
          <w:numId w:val="0"/>
        </w:numPr>
        <w:spacing w:before="0" w:line="500" w:lineRule="exact"/>
        <w:ind w:leftChars="200" w:right="14"/>
        <w:rPr>
          <w:rFonts w:hint="eastAsia" w:ascii="方正仿宋_GBK" w:hAnsi="方正仿宋_GBK" w:eastAsia="方正仿宋_GBK" w:cs="方正仿宋_GBK"/>
          <w:color w:val="auto"/>
          <w:spacing w:val="2"/>
          <w:sz w:val="32"/>
          <w:szCs w:val="32"/>
          <w:highlight w:val="none"/>
          <w:lang w:eastAsia="zh-CN"/>
        </w:rPr>
      </w:pPr>
    </w:p>
    <w:p>
      <w:pPr>
        <w:numPr>
          <w:ilvl w:val="-1"/>
          <w:numId w:val="0"/>
        </w:numPr>
        <w:spacing w:before="72" w:line="500" w:lineRule="exact"/>
        <w:ind w:left="24" w:leftChars="0" w:right="0" w:firstLine="0" w:firstLineChars="0"/>
        <w:rPr>
          <w:rFonts w:hint="eastAsia" w:ascii="方正仿宋_GBK" w:hAnsi="方正仿宋_GBK" w:eastAsia="方正仿宋_GBK" w:cs="方正仿宋_GBK"/>
          <w:color w:val="auto"/>
          <w:spacing w:val="2"/>
          <w:position w:val="0"/>
          <w:sz w:val="24"/>
          <w:szCs w:val="24"/>
          <w:highlight w:val="none"/>
        </w:rPr>
      </w:pPr>
      <w:r>
        <w:rPr>
          <w:rFonts w:hint="eastAsia" w:ascii="方正仿宋_GBK" w:hAnsi="方正仿宋_GBK" w:eastAsia="方正仿宋_GBK" w:cs="方正仿宋_GBK"/>
          <w:color w:val="auto"/>
          <w:spacing w:val="2"/>
          <w:position w:val="0"/>
          <w:sz w:val="24"/>
          <w:szCs w:val="24"/>
          <w:highlight w:val="none"/>
        </w:rPr>
        <w:t xml:space="preserve">甲方(盖章): </w:t>
      </w:r>
      <w:r>
        <w:rPr>
          <w:rFonts w:hint="eastAsia" w:ascii="方正仿宋_GBK" w:hAnsi="方正仿宋_GBK" w:eastAsia="方正仿宋_GBK" w:cs="方正仿宋_GBK"/>
          <w:color w:val="auto"/>
          <w:spacing w:val="2"/>
          <w:position w:val="0"/>
          <w:sz w:val="24"/>
          <w:szCs w:val="24"/>
          <w:highlight w:val="none"/>
          <w:lang w:val="en-US" w:eastAsia="zh-CN"/>
        </w:rPr>
        <w:t xml:space="preserve">                            </w:t>
      </w:r>
      <w:r>
        <w:rPr>
          <w:rFonts w:hint="eastAsia" w:ascii="方正仿宋_GBK" w:hAnsi="方正仿宋_GBK" w:eastAsia="方正仿宋_GBK" w:cs="方正仿宋_GBK"/>
          <w:color w:val="auto"/>
          <w:spacing w:val="2"/>
          <w:sz w:val="24"/>
          <w:szCs w:val="24"/>
          <w:highlight w:val="none"/>
        </w:rPr>
        <w:t>乙方(盖章):</w:t>
      </w:r>
    </w:p>
    <w:p>
      <w:pPr>
        <w:numPr>
          <w:ilvl w:val="-1"/>
          <w:numId w:val="0"/>
        </w:numPr>
        <w:spacing w:before="72" w:line="500" w:lineRule="exact"/>
        <w:ind w:left="24" w:leftChars="0" w:right="0" w:firstLine="0" w:firstLineChars="0"/>
        <w:rPr>
          <w:rFonts w:hint="eastAsia" w:ascii="方正仿宋_GBK" w:hAnsi="方正仿宋_GBK" w:eastAsia="方正仿宋_GBK" w:cs="方正仿宋_GBK"/>
          <w:color w:val="auto"/>
          <w:spacing w:val="2"/>
          <w:sz w:val="24"/>
          <w:szCs w:val="24"/>
          <w:highlight w:val="none"/>
        </w:rPr>
      </w:pPr>
      <w:r>
        <w:rPr>
          <w:rFonts w:hint="eastAsia" w:ascii="方正仿宋_GBK" w:hAnsi="方正仿宋_GBK" w:eastAsia="方正仿宋_GBK" w:cs="方正仿宋_GBK"/>
          <w:color w:val="auto"/>
          <w:spacing w:val="2"/>
          <w:position w:val="0"/>
          <w:sz w:val="24"/>
          <w:szCs w:val="24"/>
          <w:highlight w:val="none"/>
        </w:rPr>
        <w:t>法定代表人代理人：</w:t>
      </w:r>
      <w:r>
        <w:rPr>
          <w:rFonts w:hint="eastAsia" w:ascii="方正仿宋_GBK" w:hAnsi="方正仿宋_GBK" w:eastAsia="方正仿宋_GBK" w:cs="方正仿宋_GBK"/>
          <w:color w:val="auto"/>
          <w:spacing w:val="2"/>
          <w:position w:val="0"/>
          <w:sz w:val="24"/>
          <w:szCs w:val="24"/>
          <w:highlight w:val="none"/>
          <w:lang w:val="en-US" w:eastAsia="zh-CN"/>
        </w:rPr>
        <w:t xml:space="preserve">                     </w:t>
      </w:r>
      <w:r>
        <w:rPr>
          <w:rFonts w:hint="eastAsia" w:ascii="方正仿宋_GBK" w:hAnsi="方正仿宋_GBK" w:eastAsia="方正仿宋_GBK" w:cs="方正仿宋_GBK"/>
          <w:color w:val="auto"/>
          <w:spacing w:val="2"/>
          <w:position w:val="0"/>
          <w:sz w:val="24"/>
          <w:szCs w:val="24"/>
          <w:highlight w:val="none"/>
        </w:rPr>
        <w:t>法定代表人代理人</w:t>
      </w:r>
      <w:r>
        <w:rPr>
          <w:rFonts w:hint="eastAsia" w:ascii="方正仿宋_GBK" w:hAnsi="方正仿宋_GBK" w:eastAsia="方正仿宋_GBK" w:cs="方正仿宋_GBK"/>
          <w:color w:val="auto"/>
          <w:spacing w:val="2"/>
          <w:position w:val="0"/>
          <w:sz w:val="24"/>
          <w:szCs w:val="24"/>
          <w:highlight w:val="none"/>
          <w:lang w:val="en-US" w:eastAsia="zh-CN"/>
        </w:rPr>
        <w:t xml:space="preserve"> ：                     </w:t>
      </w:r>
    </w:p>
    <w:p>
      <w:pPr>
        <w:numPr>
          <w:ilvl w:val="-1"/>
          <w:numId w:val="0"/>
        </w:numPr>
        <w:spacing w:before="72" w:line="500" w:lineRule="exact"/>
        <w:ind w:left="24" w:leftChars="0" w:right="0" w:firstLine="0" w:firstLineChars="0"/>
        <w:rPr>
          <w:rFonts w:hint="eastAsia" w:ascii="方正仿宋_GBK" w:hAnsi="方正仿宋_GBK" w:eastAsia="方正仿宋_GBK" w:cs="方正仿宋_GBK"/>
          <w:color w:val="auto"/>
          <w:spacing w:val="2"/>
          <w:sz w:val="24"/>
          <w:szCs w:val="24"/>
          <w:highlight w:val="none"/>
        </w:rPr>
      </w:pPr>
      <w:r>
        <w:rPr>
          <w:rFonts w:hint="eastAsia" w:ascii="方正仿宋_GBK" w:hAnsi="方正仿宋_GBK" w:eastAsia="方正仿宋_GBK" w:cs="方正仿宋_GBK"/>
          <w:color w:val="auto"/>
          <w:spacing w:val="2"/>
          <w:sz w:val="24"/>
          <w:szCs w:val="24"/>
          <w:highlight w:val="none"/>
        </w:rPr>
        <w:t>部门负责人 :</w:t>
      </w:r>
      <w:r>
        <w:rPr>
          <w:rFonts w:hint="eastAsia" w:ascii="方正仿宋_GBK" w:hAnsi="方正仿宋_GBK" w:eastAsia="方正仿宋_GBK" w:cs="方正仿宋_GBK"/>
          <w:color w:val="auto"/>
          <w:spacing w:val="2"/>
          <w:sz w:val="24"/>
          <w:szCs w:val="24"/>
          <w:highlight w:val="none"/>
          <w:lang w:val="en-US" w:eastAsia="zh-CN"/>
        </w:rPr>
        <w:t xml:space="preserve">                           </w:t>
      </w:r>
      <w:r>
        <w:rPr>
          <w:rFonts w:hint="eastAsia" w:ascii="方正仿宋_GBK" w:hAnsi="方正仿宋_GBK" w:eastAsia="方正仿宋_GBK" w:cs="方正仿宋_GBK"/>
          <w:color w:val="auto"/>
          <w:spacing w:val="2"/>
          <w:sz w:val="24"/>
          <w:szCs w:val="24"/>
          <w:highlight w:val="none"/>
        </w:rPr>
        <w:t>部门负责人 :</w:t>
      </w:r>
    </w:p>
    <w:p>
      <w:pPr>
        <w:numPr>
          <w:ilvl w:val="-1"/>
          <w:numId w:val="0"/>
        </w:numPr>
        <w:spacing w:before="72" w:line="500" w:lineRule="exact"/>
        <w:ind w:left="24" w:leftChars="0" w:right="0" w:firstLine="0" w:firstLineChars="0"/>
        <w:rPr>
          <w:rFonts w:hint="eastAsia" w:ascii="方正仿宋_GBK" w:hAnsi="方正仿宋_GBK" w:eastAsia="方正仿宋_GBK" w:cs="方正仿宋_GBK"/>
          <w:color w:val="auto"/>
          <w:spacing w:val="2"/>
          <w:sz w:val="24"/>
          <w:szCs w:val="24"/>
          <w:highlight w:val="none"/>
        </w:rPr>
      </w:pPr>
      <w:r>
        <w:rPr>
          <w:rFonts w:hint="eastAsia" w:ascii="方正仿宋_GBK" w:hAnsi="方正仿宋_GBK" w:eastAsia="方正仿宋_GBK" w:cs="方正仿宋_GBK"/>
          <w:color w:val="auto"/>
          <w:spacing w:val="2"/>
          <w:sz w:val="24"/>
          <w:szCs w:val="24"/>
          <w:highlight w:val="none"/>
        </w:rPr>
        <w:t>经 办 人 ：</w:t>
      </w:r>
      <w:r>
        <w:rPr>
          <w:rFonts w:hint="eastAsia" w:ascii="方正仿宋_GBK" w:hAnsi="方正仿宋_GBK" w:eastAsia="方正仿宋_GBK" w:cs="方正仿宋_GBK"/>
          <w:color w:val="auto"/>
          <w:spacing w:val="2"/>
          <w:sz w:val="24"/>
          <w:szCs w:val="24"/>
          <w:highlight w:val="none"/>
          <w:lang w:val="en-US" w:eastAsia="zh-CN"/>
        </w:rPr>
        <w:t xml:space="preserve">                            </w:t>
      </w:r>
      <w:r>
        <w:rPr>
          <w:rFonts w:hint="eastAsia" w:ascii="方正仿宋_GBK" w:hAnsi="方正仿宋_GBK" w:eastAsia="方正仿宋_GBK" w:cs="方正仿宋_GBK"/>
          <w:color w:val="auto"/>
          <w:spacing w:val="2"/>
          <w:sz w:val="24"/>
          <w:szCs w:val="24"/>
          <w:highlight w:val="none"/>
        </w:rPr>
        <w:t>经 办 人 ：</w:t>
      </w:r>
    </w:p>
    <w:p>
      <w:pPr>
        <w:numPr>
          <w:ilvl w:val="-1"/>
          <w:numId w:val="0"/>
        </w:numPr>
        <w:spacing w:before="72" w:line="500" w:lineRule="exact"/>
        <w:ind w:left="24" w:leftChars="0" w:right="0" w:firstLine="0" w:firstLineChars="0"/>
        <w:rPr>
          <w:rFonts w:hint="eastAsia" w:ascii="方正仿宋_GBK" w:hAnsi="方正仿宋_GBK" w:eastAsia="方正仿宋_GBK" w:cs="方正仿宋_GBK"/>
          <w:color w:val="auto"/>
          <w:spacing w:val="2"/>
          <w:sz w:val="24"/>
          <w:szCs w:val="24"/>
          <w:highlight w:val="none"/>
        </w:rPr>
      </w:pPr>
      <w:r>
        <w:rPr>
          <w:rFonts w:hint="eastAsia" w:ascii="方正仿宋_GBK" w:hAnsi="方正仿宋_GBK" w:eastAsia="方正仿宋_GBK" w:cs="方正仿宋_GBK"/>
          <w:color w:val="auto"/>
          <w:spacing w:val="2"/>
          <w:sz w:val="24"/>
          <w:szCs w:val="24"/>
          <w:highlight w:val="none"/>
        </w:rPr>
        <w:t>地     址  :</w:t>
      </w:r>
      <w:r>
        <w:rPr>
          <w:rFonts w:hint="eastAsia" w:ascii="方正仿宋_GBK" w:hAnsi="方正仿宋_GBK" w:eastAsia="方正仿宋_GBK" w:cs="方正仿宋_GBK"/>
          <w:color w:val="auto"/>
          <w:spacing w:val="2"/>
          <w:sz w:val="24"/>
          <w:szCs w:val="24"/>
          <w:highlight w:val="none"/>
          <w:lang w:val="en-US" w:eastAsia="zh-CN"/>
        </w:rPr>
        <w:t xml:space="preserve">                           </w:t>
      </w:r>
      <w:r>
        <w:rPr>
          <w:rFonts w:hint="eastAsia" w:ascii="方正仿宋_GBK" w:hAnsi="方正仿宋_GBK" w:eastAsia="方正仿宋_GBK" w:cs="方正仿宋_GBK"/>
          <w:color w:val="auto"/>
          <w:spacing w:val="2"/>
          <w:sz w:val="24"/>
          <w:szCs w:val="24"/>
          <w:highlight w:val="none"/>
        </w:rPr>
        <w:t>地     址  :</w:t>
      </w:r>
    </w:p>
    <w:p>
      <w:pPr>
        <w:numPr>
          <w:ilvl w:val="-1"/>
          <w:numId w:val="0"/>
        </w:numPr>
        <w:spacing w:before="72" w:line="500" w:lineRule="exact"/>
        <w:ind w:left="24" w:leftChars="0" w:right="0" w:firstLine="0" w:firstLineChars="0"/>
        <w:rPr>
          <w:rFonts w:hint="eastAsia" w:ascii="方正仿宋_GBK" w:hAnsi="方正仿宋_GBK" w:eastAsia="方正仿宋_GBK" w:cs="方正仿宋_GBK"/>
          <w:color w:val="auto"/>
          <w:spacing w:val="2"/>
          <w:sz w:val="24"/>
          <w:szCs w:val="24"/>
          <w:highlight w:val="none"/>
        </w:rPr>
      </w:pPr>
      <w:r>
        <w:rPr>
          <w:rFonts w:hint="eastAsia" w:ascii="方正仿宋_GBK" w:hAnsi="方正仿宋_GBK" w:eastAsia="方正仿宋_GBK" w:cs="方正仿宋_GBK"/>
          <w:color w:val="auto"/>
          <w:spacing w:val="2"/>
          <w:position w:val="0"/>
          <w:sz w:val="24"/>
          <w:szCs w:val="24"/>
          <w:highlight w:val="none"/>
        </w:rPr>
        <w:t xml:space="preserve">联 系 电 话 ： </w:t>
      </w:r>
      <w:r>
        <w:rPr>
          <w:rFonts w:hint="eastAsia" w:ascii="方正仿宋_GBK" w:hAnsi="方正仿宋_GBK" w:eastAsia="方正仿宋_GBK" w:cs="方正仿宋_GBK"/>
          <w:color w:val="auto"/>
          <w:spacing w:val="2"/>
          <w:position w:val="0"/>
          <w:sz w:val="24"/>
          <w:szCs w:val="24"/>
          <w:highlight w:val="none"/>
          <w:lang w:val="en-US" w:eastAsia="zh-CN"/>
        </w:rPr>
        <w:t xml:space="preserve">                        </w:t>
      </w:r>
      <w:r>
        <w:rPr>
          <w:rFonts w:hint="eastAsia" w:ascii="方正仿宋_GBK" w:hAnsi="方正仿宋_GBK" w:eastAsia="方正仿宋_GBK" w:cs="方正仿宋_GBK"/>
          <w:color w:val="auto"/>
          <w:spacing w:val="2"/>
          <w:position w:val="0"/>
          <w:sz w:val="24"/>
          <w:szCs w:val="24"/>
          <w:highlight w:val="none"/>
        </w:rPr>
        <w:t>联 系 电 话 ：</w:t>
      </w:r>
    </w:p>
    <w:p>
      <w:pPr>
        <w:numPr>
          <w:ilvl w:val="-1"/>
          <w:numId w:val="0"/>
        </w:numPr>
        <w:spacing w:before="72" w:line="500" w:lineRule="exact"/>
        <w:ind w:left="24" w:leftChars="0" w:right="0" w:firstLine="0" w:firstLineChars="0"/>
        <w:rPr>
          <w:rFonts w:hint="eastAsia" w:ascii="方正仿宋_GBK" w:hAnsi="方正仿宋_GBK" w:eastAsia="方正仿宋_GBK" w:cs="方正仿宋_GBK"/>
          <w:color w:val="auto"/>
          <w:spacing w:val="2"/>
          <w:sz w:val="24"/>
          <w:szCs w:val="24"/>
          <w:highlight w:val="none"/>
        </w:rPr>
      </w:pPr>
      <w:r>
        <w:rPr>
          <w:rFonts w:hint="eastAsia" w:ascii="方正仿宋_GBK" w:hAnsi="方正仿宋_GBK" w:eastAsia="方正仿宋_GBK" w:cs="方正仿宋_GBK"/>
          <w:color w:val="auto"/>
          <w:spacing w:val="2"/>
          <w:sz w:val="24"/>
          <w:szCs w:val="24"/>
          <w:highlight w:val="none"/>
        </w:rPr>
        <w:t>日  期 ：</w:t>
      </w:r>
      <w:r>
        <w:rPr>
          <w:rFonts w:hint="eastAsia" w:ascii="方正仿宋_GBK" w:hAnsi="方正仿宋_GBK" w:eastAsia="方正仿宋_GBK" w:cs="方正仿宋_GBK"/>
          <w:color w:val="auto"/>
          <w:spacing w:val="2"/>
          <w:sz w:val="24"/>
          <w:szCs w:val="24"/>
          <w:highlight w:val="none"/>
          <w:lang w:val="en-US" w:eastAsia="zh-CN"/>
        </w:rPr>
        <w:t xml:space="preserve">                              </w:t>
      </w:r>
      <w:r>
        <w:rPr>
          <w:rFonts w:hint="eastAsia" w:ascii="方正仿宋_GBK" w:hAnsi="方正仿宋_GBK" w:eastAsia="方正仿宋_GBK" w:cs="方正仿宋_GBK"/>
          <w:color w:val="auto"/>
          <w:spacing w:val="2"/>
          <w:sz w:val="24"/>
          <w:szCs w:val="24"/>
          <w:highlight w:val="none"/>
        </w:rPr>
        <w:t>日  期 ：</w:t>
      </w:r>
    </w:p>
    <w:p>
      <w:pPr>
        <w:numPr>
          <w:ilvl w:val="0"/>
          <w:numId w:val="0"/>
        </w:numPr>
        <w:spacing w:before="0" w:line="500" w:lineRule="exact"/>
        <w:ind w:leftChars="200" w:right="14"/>
        <w:rPr>
          <w:rFonts w:hint="eastAsia" w:ascii="方正仿宋_GBK" w:hAnsi="方正仿宋_GBK" w:eastAsia="方正仿宋_GBK" w:cs="方正仿宋_GBK"/>
          <w:color w:val="auto"/>
          <w:spacing w:val="2"/>
          <w:sz w:val="32"/>
          <w:szCs w:val="32"/>
          <w:highlight w:val="none"/>
        </w:rPr>
        <w:sectPr>
          <w:pgSz w:w="11880" w:h="16880"/>
          <w:pgMar w:top="2154" w:right="1719" w:bottom="2041" w:left="1782" w:header="0" w:footer="0" w:gutter="0"/>
          <w:cols w:space="0" w:num="1"/>
          <w:rtlGutter w:val="0"/>
          <w:docGrid w:linePitch="0" w:charSpace="0"/>
        </w:sectPr>
      </w:pPr>
    </w:p>
    <w:p>
      <w:pPr>
        <w:spacing w:line="248" w:lineRule="auto"/>
        <w:rPr>
          <w:rFonts w:ascii="Arial"/>
          <w:color w:val="auto"/>
          <w:highlight w:val="none"/>
        </w:rPr>
      </w:pPr>
    </w:p>
    <w:p>
      <w:pPr>
        <w:spacing w:line="360" w:lineRule="auto"/>
        <w:rPr>
          <w:rFonts w:asciiTheme="minorEastAsia" w:hAnsiTheme="minorEastAsia" w:eastAsiaTheme="minorEastAsia" w:cstheme="minorEastAsia"/>
          <w:b/>
          <w:bCs/>
          <w:color w:val="auto"/>
          <w:highlight w:val="none"/>
        </w:rPr>
      </w:pPr>
      <w:r>
        <w:rPr>
          <w:rFonts w:hint="eastAsia" w:hAnsi="宋体" w:cs="方正黑体_GBK"/>
          <w:color w:val="auto"/>
          <w:highlight w:val="none"/>
        </w:rPr>
        <w:t>附件一：</w:t>
      </w:r>
      <w:r>
        <w:rPr>
          <w:rFonts w:hint="eastAsia" w:ascii="宋体" w:hAnsi="宋体"/>
          <w:color w:val="auto"/>
          <w:highlight w:val="none"/>
        </w:rPr>
        <w:t>低价风险担保保函示范文本（独立保函）（如有）</w:t>
      </w:r>
    </w:p>
    <w:p>
      <w:pPr>
        <w:spacing w:line="380" w:lineRule="exact"/>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低价风险担保保函示范文本</w:t>
      </w:r>
    </w:p>
    <w:p>
      <w:pPr>
        <w:spacing w:line="380" w:lineRule="exact"/>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（独立保函）</w:t>
      </w:r>
    </w:p>
    <w:p>
      <w:pPr>
        <w:wordWrap w:val="0"/>
        <w:spacing w:line="380" w:lineRule="exact"/>
        <w:jc w:val="righ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编号：           </w:t>
      </w:r>
    </w:p>
    <w:p>
      <w:pPr>
        <w:spacing w:line="38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申请人：</w:t>
      </w:r>
    </w:p>
    <w:p>
      <w:pPr>
        <w:spacing w:line="38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地址：</w:t>
      </w:r>
    </w:p>
    <w:p>
      <w:pPr>
        <w:spacing w:line="38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受益人：</w:t>
      </w:r>
    </w:p>
    <w:p>
      <w:pPr>
        <w:spacing w:line="38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地址：</w:t>
      </w:r>
    </w:p>
    <w:p>
      <w:pPr>
        <w:spacing w:line="38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开立人：</w:t>
      </w:r>
    </w:p>
    <w:p>
      <w:pPr>
        <w:spacing w:line="38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地址：</w:t>
      </w:r>
    </w:p>
    <w:p>
      <w:pPr>
        <w:spacing w:line="38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pPr>
        <w:spacing w:line="380" w:lineRule="exac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（受益人名称）： </w:t>
      </w:r>
    </w:p>
    <w:p>
      <w:pPr>
        <w:pStyle w:val="8"/>
        <w:spacing w:after="0" w:line="380" w:lineRule="exact"/>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鉴于</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（以下简称“申请人”）于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日参加</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（以下简称“受益人”）的</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（项目名称）的投标，收到受益人于</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日签发的中标通知书，成为该项目的中标人。基于申请人的请求，我方同意就申请人履行该项目中标通知书、招标文件和投标文件约定的义务，向贵方提供不可撤销、不可转让的见索即付独立保函（以下简称“本保函”）。</w:t>
      </w:r>
    </w:p>
    <w:p>
      <w:pPr>
        <w:pStyle w:val="8"/>
        <w:numPr>
          <w:ilvl w:val="0"/>
          <w:numId w:val="8"/>
        </w:numPr>
        <w:spacing w:after="0" w:line="380" w:lineRule="exact"/>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保函担保范围：申请人未按照中标通知书、招标文件和投标文件约定签订合同或未按签订的合同约定履行相关义务，应当向贵方承担的违约责任和赔偿因此造成的损失、利息、律师费、诉讼费用等实现债权的费用。</w:t>
      </w:r>
    </w:p>
    <w:p>
      <w:pPr>
        <w:spacing w:line="38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二、本保函担保金额最高不超过人民币（大写）</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元（¥</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w:t>
      </w:r>
    </w:p>
    <w:p>
      <w:pPr>
        <w:spacing w:line="38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三、本保函有效期自开立之日起至合同约定的</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日止，最迟不超过</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日。 </w:t>
      </w:r>
    </w:p>
    <w:p>
      <w:pPr>
        <w:spacing w:line="38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四、我方承诺，在收到受益人发来的书面付款通知后的</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工作日内无条件支付，前述书面付款通知即为付款要求之单据，且应满足以下要求：</w:t>
      </w:r>
    </w:p>
    <w:p>
      <w:pPr>
        <w:spacing w:line="38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（1）付款通知到达的日期在本保函的有效期内；</w:t>
      </w:r>
    </w:p>
    <w:p>
      <w:pPr>
        <w:spacing w:line="38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（2）载明要求支付的金额；</w:t>
      </w:r>
    </w:p>
    <w:p>
      <w:pPr>
        <w:spacing w:line="380" w:lineRule="exact"/>
        <w:ind w:firstLine="420" w:firstLineChars="200"/>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（3）载明申请人未按照中标通知书、招标文件和投标文件约定签订合同或违反合同义务的条款和内容；</w:t>
      </w:r>
    </w:p>
    <w:p>
      <w:pPr>
        <w:spacing w:line="38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（4）付款通知中应声明不存在招标文件约定、合同文件约定或我国法律规定免除申请人或开立人支付责任的情形；</w:t>
      </w:r>
    </w:p>
    <w:p>
      <w:pPr>
        <w:spacing w:line="38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（5）付款通知应在本保函有效期内到达的地址是：</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w:t>
      </w:r>
    </w:p>
    <w:p>
      <w:pPr>
        <w:spacing w:line="38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受益人发出的书面付款通知应由其为鉴明受益人法定代表人（负责人）或授权代理人签名加盖公章。</w:t>
      </w:r>
    </w:p>
    <w:p>
      <w:pPr>
        <w:spacing w:line="38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五、本保函项下的权利不得转让，不得设定担保。贵方未经我方书面同意转让本保函或其项下任何权利，对我方不发生法律效力。 </w:t>
      </w:r>
    </w:p>
    <w:p>
      <w:pPr>
        <w:spacing w:line="38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六、与本保函有关的合同不成立、不生效、无效、被撤销、被解除，不影响本保函的独立有效。 </w:t>
      </w:r>
    </w:p>
    <w:p>
      <w:pPr>
        <w:spacing w:line="38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七、贵方应在本保函到期后的七个工作日内将本保函正本退回我方注销，但是不论贵方是否按此要求将本保函正本退回我方，我方在本保函项下的义务和责任均在保函有效期到期后自动消灭。 </w:t>
      </w:r>
    </w:p>
    <w:p>
      <w:pPr>
        <w:spacing w:line="38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八、本保函适用的法律为中华人民共和国法律，争议裁判管辖地为中华人民共和国</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w:t>
      </w:r>
    </w:p>
    <w:p>
      <w:pPr>
        <w:spacing w:line="38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九、本保函自我方法定代表人或授权代表签名并加盖公章之日起生效。 </w:t>
      </w:r>
    </w:p>
    <w:p>
      <w:pPr>
        <w:spacing w:line="38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开 立 人：                              （公章） </w:t>
      </w:r>
    </w:p>
    <w:p>
      <w:pPr>
        <w:spacing w:line="38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法定代表人（或授权代表）：              （签名） </w:t>
      </w:r>
    </w:p>
    <w:p>
      <w:pPr>
        <w:spacing w:line="38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地    址：                                       </w:t>
      </w:r>
    </w:p>
    <w:p>
      <w:pPr>
        <w:spacing w:line="38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邮政编码：                 </w:t>
      </w:r>
    </w:p>
    <w:p>
      <w:pPr>
        <w:spacing w:line="38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电    话：                 </w:t>
      </w:r>
    </w:p>
    <w:p>
      <w:pPr>
        <w:spacing w:line="38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传    真：                 </w:t>
      </w:r>
    </w:p>
    <w:p>
      <w:pPr>
        <w:spacing w:line="380" w:lineRule="exact"/>
        <w:ind w:firstLine="420" w:firstLineChars="200"/>
        <w:rPr>
          <w:rFonts w:ascii="宋体" w:hAnsi="宋体"/>
          <w:color w:val="auto"/>
          <w:szCs w:val="20"/>
          <w:highlight w:val="none"/>
        </w:rPr>
      </w:pPr>
      <w:r>
        <w:rPr>
          <w:rFonts w:hint="eastAsia" w:asciiTheme="minorEastAsia" w:hAnsiTheme="minorEastAsia" w:eastAsiaTheme="minorEastAsia" w:cstheme="minorEastAsia"/>
          <w:color w:val="auto"/>
          <w:highlight w:val="none"/>
        </w:rPr>
        <w:t>开立时间：      年      月        日</w:t>
      </w:r>
      <w:r>
        <w:rPr>
          <w:rFonts w:ascii="宋体" w:hAnsi="宋体"/>
          <w:color w:val="auto"/>
          <w:sz w:val="24"/>
          <w:highlight w:val="none"/>
        </w:rPr>
        <w:br w:type="page"/>
      </w:r>
    </w:p>
    <w:p>
      <w:pPr>
        <w:spacing w:before="212" w:line="560" w:lineRule="exact"/>
        <w:ind w:right="14"/>
        <w:jc w:val="both"/>
        <w:rPr>
          <w:rFonts w:hint="eastAsia" w:ascii="方正仿宋_GBK" w:hAnsi="方正仿宋_GBK" w:eastAsia="方正仿宋_GBK" w:cs="方正仿宋_GBK"/>
          <w:color w:val="auto"/>
          <w:spacing w:val="2"/>
          <w:sz w:val="32"/>
          <w:szCs w:val="32"/>
          <w:highlight w:val="none"/>
        </w:rPr>
        <w:sectPr>
          <w:footerReference r:id="rId9" w:type="default"/>
          <w:pgSz w:w="11907" w:h="16839"/>
          <w:pgMar w:top="2098" w:right="1474" w:bottom="1984" w:left="1587" w:header="0" w:footer="0" w:gutter="0"/>
          <w:cols w:space="0" w:num="1"/>
          <w:rtlGutter w:val="0"/>
          <w:docGrid w:linePitch="0" w:charSpace="0"/>
        </w:sectPr>
      </w:pPr>
    </w:p>
    <w:p>
      <w:pPr>
        <w:pStyle w:val="3"/>
        <w:spacing w:before="120" w:after="120" w:line="480" w:lineRule="auto"/>
        <w:ind w:firstLine="0" w:firstLineChars="0"/>
        <w:jc w:val="center"/>
        <w:rPr>
          <w:rFonts w:hint="eastAsia" w:ascii="宋体" w:hAnsi="宋体"/>
          <w:color w:val="auto"/>
          <w:highlight w:val="none"/>
        </w:rPr>
      </w:pPr>
      <w:r>
        <w:rPr>
          <w:rFonts w:hint="eastAsia" w:ascii="宋体" w:hAnsi="宋体"/>
          <w:color w:val="auto"/>
          <w:highlight w:val="none"/>
        </w:rPr>
        <w:t>第五章 投标文件格式</w:t>
      </w:r>
    </w:p>
    <w:p>
      <w:pPr>
        <w:spacing w:before="120" w:after="120" w:line="480" w:lineRule="auto"/>
        <w:ind w:firstLine="0" w:firstLineChars="0"/>
        <w:rPr>
          <w:rFonts w:hint="eastAsia" w:ascii="宋体" w:hAnsi="宋体"/>
          <w:color w:val="auto"/>
          <w:highlight w:val="none"/>
        </w:rPr>
      </w:pPr>
      <w:r>
        <w:rPr>
          <w:rFonts w:hint="eastAsia" w:ascii="宋体" w:hAnsi="宋体"/>
          <w:color w:val="auto"/>
          <w:highlight w:val="none"/>
        </w:rPr>
        <w:br w:type="page"/>
      </w:r>
    </w:p>
    <w:p>
      <w:pPr>
        <w:tabs>
          <w:tab w:val="left" w:pos="4992"/>
        </w:tabs>
        <w:spacing w:line="380" w:lineRule="exact"/>
        <w:jc w:val="left"/>
        <w:rPr>
          <w:rFonts w:hAnsi="宋体" w:cs="方正黑体_GBK"/>
          <w:color w:val="auto"/>
          <w:highlight w:val="none"/>
        </w:rPr>
      </w:pPr>
    </w:p>
    <w:p>
      <w:pPr>
        <w:rPr>
          <w:color w:val="auto"/>
          <w:highlight w:val="none"/>
        </w:rPr>
      </w:pPr>
    </w:p>
    <w:p>
      <w:pPr>
        <w:jc w:val="center"/>
        <w:rPr>
          <w:color w:val="auto"/>
          <w:sz w:val="44"/>
          <w:szCs w:val="44"/>
          <w:highlight w:val="none"/>
        </w:rPr>
      </w:pPr>
    </w:p>
    <w:p>
      <w:pPr>
        <w:jc w:val="center"/>
        <w:rPr>
          <w:color w:val="auto"/>
          <w:sz w:val="44"/>
          <w:szCs w:val="44"/>
          <w:highlight w:val="none"/>
        </w:rPr>
      </w:pPr>
    </w:p>
    <w:p>
      <w:pPr>
        <w:jc w:val="center"/>
        <w:rPr>
          <w:color w:val="auto"/>
          <w:highlight w:val="none"/>
        </w:rPr>
      </w:pPr>
      <w:r>
        <w:rPr>
          <w:rFonts w:hint="eastAsia"/>
          <w:color w:val="auto"/>
          <w:sz w:val="44"/>
          <w:szCs w:val="44"/>
          <w:highlight w:val="none"/>
        </w:rPr>
        <w:t>2023年重庆渝广梁忠高速公路有限公司渝广路交通车驾驶员业务外包服务</w:t>
      </w:r>
      <w:r>
        <w:rPr>
          <w:rFonts w:hint="eastAsia"/>
          <w:color w:val="auto"/>
          <w:sz w:val="44"/>
          <w:szCs w:val="44"/>
          <w:highlight w:val="none"/>
          <w:lang w:eastAsia="zh-CN"/>
        </w:rPr>
        <w:t>（</w:t>
      </w:r>
      <w:r>
        <w:rPr>
          <w:rFonts w:hint="eastAsia"/>
          <w:color w:val="auto"/>
          <w:sz w:val="44"/>
          <w:szCs w:val="44"/>
          <w:highlight w:val="none"/>
          <w:lang w:val="en-US" w:eastAsia="zh-CN"/>
        </w:rPr>
        <w:t>第二次</w:t>
      </w:r>
      <w:r>
        <w:rPr>
          <w:rFonts w:hint="eastAsia"/>
          <w:color w:val="auto"/>
          <w:sz w:val="44"/>
          <w:szCs w:val="44"/>
          <w:highlight w:val="none"/>
          <w:lang w:eastAsia="zh-CN"/>
        </w:rPr>
        <w:t>）</w:t>
      </w:r>
      <w:r>
        <w:rPr>
          <w:rFonts w:hint="eastAsia"/>
          <w:color w:val="auto"/>
          <w:sz w:val="44"/>
          <w:szCs w:val="44"/>
          <w:highlight w:val="none"/>
        </w:rPr>
        <w:t>项目</w:t>
      </w:r>
    </w:p>
    <w:p>
      <w:pPr>
        <w:jc w:val="center"/>
        <w:rPr>
          <w:color w:val="auto"/>
          <w:highlight w:val="none"/>
        </w:rPr>
      </w:pPr>
    </w:p>
    <w:p>
      <w:pPr>
        <w:rPr>
          <w:color w:val="auto"/>
          <w:highlight w:val="none"/>
        </w:rPr>
      </w:pPr>
    </w:p>
    <w:p>
      <w:pPr>
        <w:rPr>
          <w:color w:val="auto"/>
          <w:highlight w:val="none"/>
        </w:rPr>
      </w:pPr>
    </w:p>
    <w:p>
      <w:pPr>
        <w:rPr>
          <w:color w:val="auto"/>
          <w:highlight w:val="none"/>
        </w:rPr>
      </w:pPr>
    </w:p>
    <w:p>
      <w:pPr>
        <w:jc w:val="center"/>
        <w:rPr>
          <w:color w:val="auto"/>
          <w:sz w:val="44"/>
          <w:szCs w:val="44"/>
          <w:highlight w:val="none"/>
        </w:rPr>
      </w:pPr>
      <w:r>
        <w:rPr>
          <w:rFonts w:hint="eastAsia"/>
          <w:color w:val="auto"/>
          <w:sz w:val="44"/>
          <w:szCs w:val="44"/>
          <w:highlight w:val="none"/>
        </w:rPr>
        <w:t>投  标  文  件</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13"/>
        <w:rPr>
          <w:color w:val="auto"/>
          <w:highlight w:val="none"/>
        </w:rPr>
      </w:pPr>
    </w:p>
    <w:p>
      <w:pPr>
        <w:rPr>
          <w:color w:val="auto"/>
          <w:highlight w:val="none"/>
        </w:rPr>
      </w:pPr>
    </w:p>
    <w:p>
      <w:pPr>
        <w:pStyle w:val="13"/>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jc w:val="center"/>
        <w:rPr>
          <w:color w:val="auto"/>
          <w:sz w:val="32"/>
          <w:szCs w:val="32"/>
          <w:highlight w:val="none"/>
        </w:rPr>
      </w:pPr>
      <w:r>
        <w:rPr>
          <w:rFonts w:hint="eastAsia"/>
          <w:color w:val="auto"/>
          <w:sz w:val="32"/>
          <w:szCs w:val="32"/>
          <w:highlight w:val="none"/>
        </w:rPr>
        <w:t>投标人：</w:t>
      </w:r>
      <w:r>
        <w:rPr>
          <w:rFonts w:hint="eastAsia"/>
          <w:color w:val="auto"/>
          <w:sz w:val="32"/>
          <w:szCs w:val="32"/>
          <w:highlight w:val="none"/>
          <w:u w:val="single"/>
        </w:rPr>
        <w:t xml:space="preserve"> 　　　　      　　</w:t>
      </w:r>
      <w:r>
        <w:rPr>
          <w:rFonts w:hint="eastAsia"/>
          <w:color w:val="auto"/>
          <w:sz w:val="32"/>
          <w:szCs w:val="32"/>
          <w:highlight w:val="none"/>
        </w:rPr>
        <w:t>（盖单位法人章）</w:t>
      </w:r>
    </w:p>
    <w:p>
      <w:pPr>
        <w:jc w:val="center"/>
        <w:rPr>
          <w:color w:val="auto"/>
          <w:highlight w:val="none"/>
        </w:rPr>
      </w:pPr>
    </w:p>
    <w:p>
      <w:pPr>
        <w:jc w:val="center"/>
        <w:rPr>
          <w:color w:val="auto"/>
          <w:sz w:val="32"/>
          <w:szCs w:val="32"/>
          <w:highlight w:val="none"/>
        </w:rPr>
      </w:pPr>
      <w:r>
        <w:rPr>
          <w:rFonts w:hint="eastAsia"/>
          <w:color w:val="auto"/>
          <w:sz w:val="32"/>
          <w:szCs w:val="32"/>
          <w:highlight w:val="none"/>
          <w:u w:val="single"/>
        </w:rPr>
        <w:t xml:space="preserve">     </w:t>
      </w:r>
      <w:r>
        <w:rPr>
          <w:rFonts w:hint="eastAsia"/>
          <w:color w:val="auto"/>
          <w:sz w:val="32"/>
          <w:szCs w:val="32"/>
          <w:highlight w:val="none"/>
        </w:rPr>
        <w:t>年</w:t>
      </w:r>
      <w:r>
        <w:rPr>
          <w:rFonts w:hint="eastAsia"/>
          <w:color w:val="auto"/>
          <w:sz w:val="32"/>
          <w:szCs w:val="32"/>
          <w:highlight w:val="none"/>
          <w:u w:val="single"/>
        </w:rPr>
        <w:t xml:space="preserve">   </w:t>
      </w:r>
      <w:r>
        <w:rPr>
          <w:rFonts w:hint="eastAsia"/>
          <w:color w:val="auto"/>
          <w:sz w:val="32"/>
          <w:szCs w:val="32"/>
          <w:highlight w:val="none"/>
        </w:rPr>
        <w:t>月</w:t>
      </w:r>
      <w:r>
        <w:rPr>
          <w:rFonts w:hint="eastAsia"/>
          <w:color w:val="auto"/>
          <w:sz w:val="32"/>
          <w:szCs w:val="32"/>
          <w:highlight w:val="none"/>
          <w:u w:val="single"/>
        </w:rPr>
        <w:t xml:space="preserve">   </w:t>
      </w:r>
      <w:r>
        <w:rPr>
          <w:rFonts w:hint="eastAsia"/>
          <w:color w:val="auto"/>
          <w:sz w:val="32"/>
          <w:szCs w:val="32"/>
          <w:highlight w:val="none"/>
        </w:rPr>
        <w:t>日</w:t>
      </w:r>
    </w:p>
    <w:p>
      <w:pPr>
        <w:jc w:val="center"/>
        <w:rPr>
          <w:color w:val="auto"/>
          <w:sz w:val="30"/>
          <w:szCs w:val="30"/>
          <w:highlight w:val="none"/>
        </w:rPr>
      </w:pPr>
      <w:r>
        <w:rPr>
          <w:rFonts w:hint="eastAsia"/>
          <w:color w:val="auto"/>
          <w:highlight w:val="none"/>
        </w:rPr>
        <w:br w:type="page"/>
      </w:r>
    </w:p>
    <w:p>
      <w:pPr>
        <w:pStyle w:val="4"/>
        <w:jc w:val="center"/>
        <w:rPr>
          <w:rFonts w:ascii="宋体" w:hAnsi="宋体" w:eastAsia="宋体" w:cs="宋体"/>
          <w:color w:val="auto"/>
          <w:highlight w:val="none"/>
        </w:rPr>
      </w:pPr>
      <w:r>
        <w:rPr>
          <w:rFonts w:hint="eastAsia" w:ascii="宋体" w:hAnsi="宋体" w:eastAsia="宋体" w:cs="宋体"/>
          <w:color w:val="auto"/>
          <w:highlight w:val="none"/>
        </w:rPr>
        <w:t>目    录</w:t>
      </w:r>
    </w:p>
    <w:p>
      <w:pPr>
        <w:numPr>
          <w:ilvl w:val="0"/>
          <w:numId w:val="9"/>
        </w:numPr>
        <w:spacing w:line="360" w:lineRule="auto"/>
        <w:rPr>
          <w:rFonts w:ascii="宋体" w:hAnsi="宋体"/>
          <w:color w:val="auto"/>
          <w:sz w:val="24"/>
          <w:szCs w:val="24"/>
          <w:highlight w:val="none"/>
        </w:rPr>
      </w:pPr>
      <w:r>
        <w:rPr>
          <w:rFonts w:ascii="宋体" w:hAnsi="宋体"/>
          <w:color w:val="auto"/>
          <w:sz w:val="24"/>
          <w:szCs w:val="24"/>
          <w:highlight w:val="none"/>
        </w:rPr>
        <w:t>投标函</w:t>
      </w:r>
    </w:p>
    <w:p>
      <w:pPr>
        <w:numPr>
          <w:ilvl w:val="0"/>
          <w:numId w:val="9"/>
        </w:numPr>
        <w:spacing w:line="360" w:lineRule="auto"/>
        <w:rPr>
          <w:rFonts w:ascii="宋体" w:hAnsi="宋体"/>
          <w:color w:val="auto"/>
          <w:sz w:val="24"/>
          <w:szCs w:val="24"/>
          <w:highlight w:val="none"/>
        </w:rPr>
      </w:pPr>
      <w:r>
        <w:rPr>
          <w:rFonts w:hint="eastAsia" w:ascii="宋体" w:hAnsi="宋体"/>
          <w:color w:val="auto"/>
          <w:sz w:val="24"/>
          <w:szCs w:val="24"/>
          <w:highlight w:val="none"/>
        </w:rPr>
        <w:t>法定代表人身份证明或法定代表人授权委托书</w:t>
      </w:r>
      <w:r>
        <w:rPr>
          <w:rFonts w:ascii="宋体" w:hAnsi="宋体"/>
          <w:color w:val="auto"/>
          <w:sz w:val="24"/>
          <w:szCs w:val="24"/>
          <w:highlight w:val="none"/>
        </w:rPr>
        <w:t xml:space="preserve"> </w:t>
      </w:r>
    </w:p>
    <w:p>
      <w:pPr>
        <w:numPr>
          <w:ilvl w:val="0"/>
          <w:numId w:val="9"/>
        </w:numPr>
        <w:spacing w:line="360" w:lineRule="auto"/>
        <w:rPr>
          <w:color w:val="auto"/>
          <w:sz w:val="24"/>
          <w:szCs w:val="24"/>
          <w:highlight w:val="none"/>
        </w:rPr>
      </w:pPr>
      <w:r>
        <w:rPr>
          <w:rFonts w:hint="eastAsia" w:ascii="宋体" w:hAnsi="宋体"/>
          <w:color w:val="auto"/>
          <w:sz w:val="24"/>
          <w:szCs w:val="24"/>
          <w:highlight w:val="none"/>
        </w:rPr>
        <w:t>低价风险担保提交承诺书</w:t>
      </w:r>
    </w:p>
    <w:p>
      <w:pPr>
        <w:spacing w:line="360" w:lineRule="auto"/>
        <w:rPr>
          <w:rFonts w:ascii="宋体" w:hAnsi="宋体"/>
          <w:color w:val="auto"/>
          <w:sz w:val="24"/>
          <w:szCs w:val="24"/>
          <w:highlight w:val="none"/>
        </w:rPr>
      </w:pPr>
      <w:r>
        <w:rPr>
          <w:rFonts w:ascii="宋体" w:hAnsi="宋体"/>
          <w:color w:val="auto"/>
          <w:sz w:val="24"/>
          <w:szCs w:val="24"/>
          <w:highlight w:val="none"/>
        </w:rPr>
        <w:t>四、投标保证金</w:t>
      </w:r>
    </w:p>
    <w:p>
      <w:pPr>
        <w:spacing w:line="360" w:lineRule="auto"/>
        <w:rPr>
          <w:rFonts w:ascii="宋体" w:hAnsi="宋体"/>
          <w:color w:val="auto"/>
          <w:sz w:val="24"/>
          <w:szCs w:val="24"/>
          <w:highlight w:val="none"/>
        </w:rPr>
      </w:pPr>
      <w:r>
        <w:rPr>
          <w:rFonts w:ascii="宋体" w:hAnsi="宋体"/>
          <w:color w:val="auto"/>
          <w:sz w:val="24"/>
          <w:szCs w:val="24"/>
          <w:highlight w:val="none"/>
        </w:rPr>
        <w:t>五、资格审查资料</w:t>
      </w:r>
    </w:p>
    <w:p>
      <w:pPr>
        <w:spacing w:line="360" w:lineRule="auto"/>
        <w:rPr>
          <w:color w:val="auto"/>
          <w:sz w:val="24"/>
          <w:szCs w:val="24"/>
          <w:highlight w:val="none"/>
        </w:rPr>
      </w:pPr>
      <w:r>
        <w:rPr>
          <w:rFonts w:hint="eastAsia" w:ascii="宋体" w:hAnsi="宋体"/>
          <w:color w:val="auto"/>
          <w:sz w:val="24"/>
          <w:szCs w:val="24"/>
          <w:highlight w:val="none"/>
        </w:rPr>
        <w:t>六、其他资料</w:t>
      </w:r>
    </w:p>
    <w:p>
      <w:pPr>
        <w:pStyle w:val="13"/>
        <w:rPr>
          <w:color w:val="auto"/>
          <w:highlight w:val="none"/>
        </w:rPr>
      </w:pPr>
    </w:p>
    <w:p>
      <w:pPr>
        <w:pStyle w:val="13"/>
        <w:numPr>
          <w:ilvl w:val="255"/>
          <w:numId w:val="0"/>
        </w:numPr>
        <w:rPr>
          <w:color w:val="auto"/>
          <w:highlight w:val="none"/>
        </w:rPr>
      </w:pPr>
    </w:p>
    <w:p>
      <w:pPr>
        <w:pStyle w:val="13"/>
        <w:numPr>
          <w:ilvl w:val="255"/>
          <w:numId w:val="0"/>
        </w:numPr>
        <w:rPr>
          <w:color w:val="auto"/>
          <w:highlight w:val="none"/>
        </w:rPr>
      </w:pPr>
    </w:p>
    <w:p>
      <w:pPr>
        <w:pStyle w:val="4"/>
        <w:numPr>
          <w:ilvl w:val="0"/>
          <w:numId w:val="10"/>
        </w:numPr>
        <w:jc w:val="center"/>
        <w:rPr>
          <w:color w:val="auto"/>
          <w:highlight w:val="none"/>
        </w:rPr>
      </w:pPr>
      <w:r>
        <w:rPr>
          <w:rFonts w:hint="eastAsia"/>
          <w:color w:val="auto"/>
          <w:highlight w:val="none"/>
        </w:rPr>
        <w:br w:type="page"/>
      </w:r>
      <w:r>
        <w:rPr>
          <w:rFonts w:hint="eastAsia"/>
          <w:color w:val="auto"/>
          <w:highlight w:val="none"/>
        </w:rPr>
        <w:t>投标函</w:t>
      </w:r>
    </w:p>
    <w:p>
      <w:pPr>
        <w:spacing w:line="440" w:lineRule="exact"/>
        <w:ind w:firstLine="420" w:firstLineChars="200"/>
        <w:rPr>
          <w:rFonts w:ascii="宋体" w:hAnsi="宋体" w:cs="宋体"/>
          <w:color w:val="auto"/>
          <w:sz w:val="24"/>
          <w:highlight w:val="none"/>
        </w:rPr>
      </w:pPr>
      <w:r>
        <w:rPr>
          <w:rFonts w:hint="eastAsia" w:ascii="宋体" w:hAnsi="宋体" w:cs="宋体"/>
          <w:color w:val="auto"/>
          <w:highlight w:val="none"/>
        </w:rPr>
        <w:t>1．我方已仔细研究了2023年重庆渝广梁忠高速公路有限公司渝广路交通车驾驶员业务外包服务项目</w:t>
      </w:r>
      <w:r>
        <w:rPr>
          <w:rFonts w:hint="eastAsia" w:ascii="宋体" w:hAnsi="宋体" w:cs="宋体"/>
          <w:color w:val="auto"/>
          <w:highlight w:val="none"/>
          <w:lang w:eastAsia="zh-CN"/>
        </w:rPr>
        <w:t>（</w:t>
      </w:r>
      <w:r>
        <w:rPr>
          <w:rFonts w:hint="eastAsia" w:ascii="宋体" w:hAnsi="宋体" w:cs="宋体"/>
          <w:color w:val="auto"/>
          <w:highlight w:val="none"/>
          <w:lang w:val="en-US" w:eastAsia="zh-CN"/>
        </w:rPr>
        <w:t>第二次</w:t>
      </w:r>
      <w:r>
        <w:rPr>
          <w:rFonts w:hint="eastAsia" w:ascii="宋体" w:hAnsi="宋体" w:cs="宋体"/>
          <w:color w:val="auto"/>
          <w:highlight w:val="none"/>
          <w:lang w:eastAsia="zh-CN"/>
        </w:rPr>
        <w:t>）</w:t>
      </w:r>
      <w:r>
        <w:rPr>
          <w:rFonts w:hint="eastAsia" w:ascii="宋体" w:hAnsi="宋体" w:cs="宋体"/>
          <w:color w:val="auto"/>
          <w:highlight w:val="none"/>
        </w:rPr>
        <w:t>招标文件的全部内容，愿意以（含税价）为人民币（大写）：</w:t>
      </w:r>
      <w:r>
        <w:rPr>
          <w:rFonts w:hint="eastAsia" w:ascii="宋体" w:hAnsi="宋体" w:cs="宋体"/>
          <w:color w:val="auto"/>
          <w:highlight w:val="none"/>
          <w:u w:val="single"/>
        </w:rPr>
        <w:t xml:space="preserve">      </w:t>
      </w:r>
      <w:r>
        <w:rPr>
          <w:rFonts w:hint="eastAsia" w:ascii="宋体" w:hAnsi="宋体" w:cs="宋体"/>
          <w:color w:val="auto"/>
          <w:highlight w:val="none"/>
        </w:rPr>
        <w:t>（￥：</w:t>
      </w:r>
      <w:r>
        <w:rPr>
          <w:rFonts w:hint="eastAsia" w:ascii="宋体" w:hAnsi="宋体" w:cs="宋体"/>
          <w:color w:val="auto"/>
          <w:highlight w:val="none"/>
          <w:u w:val="single"/>
        </w:rPr>
        <w:t xml:space="preserve">       </w:t>
      </w:r>
      <w:r>
        <w:rPr>
          <w:rFonts w:hint="eastAsia" w:ascii="宋体" w:hAnsi="宋体" w:cs="宋体"/>
          <w:color w:val="auto"/>
          <w:highlight w:val="none"/>
        </w:rPr>
        <w:t>元）作为本项目投标总报价</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单价报价为：</w:t>
      </w:r>
      <w:r>
        <w:rPr>
          <w:rFonts w:hint="eastAsia" w:ascii="宋体" w:hAnsi="宋体" w:cs="宋体"/>
          <w:color w:val="auto"/>
          <w:highlight w:val="none"/>
          <w:u w:val="single"/>
        </w:rPr>
        <w:t xml:space="preserve">      </w:t>
      </w:r>
      <w:r>
        <w:rPr>
          <w:rFonts w:hint="eastAsia" w:ascii="宋体" w:hAnsi="宋体" w:cs="宋体"/>
          <w:color w:val="auto"/>
          <w:highlight w:val="none"/>
        </w:rPr>
        <w:t>（￥：</w:t>
      </w:r>
      <w:r>
        <w:rPr>
          <w:rFonts w:hint="eastAsia" w:ascii="宋体" w:hAnsi="宋体" w:cs="宋体"/>
          <w:color w:val="auto"/>
          <w:highlight w:val="none"/>
          <w:u w:val="single"/>
        </w:rPr>
        <w:t xml:space="preserve">       </w:t>
      </w:r>
      <w:r>
        <w:rPr>
          <w:rFonts w:hint="eastAsia" w:ascii="宋体" w:hAnsi="宋体" w:cs="宋体"/>
          <w:color w:val="auto"/>
          <w:highlight w:val="none"/>
        </w:rPr>
        <w:t>元）</w:t>
      </w:r>
      <w:r>
        <w:rPr>
          <w:rFonts w:hint="eastAsia" w:ascii="宋体" w:hAnsi="宋体" w:cs="宋体"/>
          <w:color w:val="auto"/>
          <w:highlight w:val="none"/>
          <w:lang w:val="en-US" w:eastAsia="zh-CN"/>
        </w:rPr>
        <w:t xml:space="preserve"> </w:t>
      </w:r>
      <w:r>
        <w:rPr>
          <w:rFonts w:hint="eastAsia" w:ascii="宋体" w:hAnsi="宋体" w:cs="宋体"/>
          <w:color w:val="auto"/>
          <w:highlight w:val="none"/>
        </w:rPr>
        <w:t>，并按需要的时间、地点完成服务以及合同约定提供司机业务外包服务。</w:t>
      </w:r>
    </w:p>
    <w:p>
      <w:pPr>
        <w:spacing w:line="440" w:lineRule="exact"/>
        <w:ind w:firstLine="420" w:firstLineChars="200"/>
        <w:rPr>
          <w:rFonts w:ascii="宋体" w:hAnsi="宋体" w:cs="宋体"/>
          <w:color w:val="auto"/>
          <w:highlight w:val="none"/>
          <w:u w:val="single"/>
        </w:rPr>
      </w:pPr>
      <w:r>
        <w:rPr>
          <w:rFonts w:hint="eastAsia" w:ascii="宋体" w:hAnsi="宋体" w:cs="宋体"/>
          <w:color w:val="auto"/>
          <w:highlight w:val="none"/>
        </w:rPr>
        <w:t>2.服务期限：</w:t>
      </w:r>
      <w:r>
        <w:rPr>
          <w:rFonts w:hint="eastAsia" w:ascii="宋体" w:hAnsi="宋体" w:cs="宋体"/>
          <w:color w:val="auto"/>
          <w:highlight w:val="none"/>
          <w:u w:val="single"/>
        </w:rPr>
        <w:t xml:space="preserve">          </w:t>
      </w:r>
      <w:r>
        <w:rPr>
          <w:rFonts w:hint="eastAsia" w:ascii="宋体" w:hAnsi="宋体" w:cs="宋体"/>
          <w:color w:val="auto"/>
          <w:highlight w:val="none"/>
        </w:rPr>
        <w:t>。</w:t>
      </w:r>
    </w:p>
    <w:p>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3．我方承诺在招标文件规定的投标有效期内不撤销投标文件。</w:t>
      </w:r>
    </w:p>
    <w:p>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4．如我方中标：</w:t>
      </w:r>
    </w:p>
    <w:p>
      <w:pPr>
        <w:spacing w:line="440" w:lineRule="exact"/>
        <w:ind w:firstLine="718" w:firstLineChars="342"/>
        <w:rPr>
          <w:rFonts w:ascii="宋体" w:hAnsi="宋体" w:cs="宋体"/>
          <w:color w:val="auto"/>
          <w:highlight w:val="none"/>
        </w:rPr>
      </w:pPr>
      <w:r>
        <w:rPr>
          <w:rFonts w:hint="eastAsia" w:ascii="宋体" w:hAnsi="宋体" w:cs="宋体"/>
          <w:color w:val="auto"/>
          <w:highlight w:val="none"/>
        </w:rPr>
        <w:t>（1）我方承诺在收到中标通知书后，在中标通知书规定的期限内与你方签订合同；</w:t>
      </w:r>
    </w:p>
    <w:p>
      <w:pPr>
        <w:spacing w:line="440" w:lineRule="exact"/>
        <w:ind w:firstLine="718" w:firstLineChars="342"/>
        <w:rPr>
          <w:rFonts w:ascii="宋体" w:hAnsi="宋体" w:cs="宋体"/>
          <w:color w:val="auto"/>
          <w:highlight w:val="none"/>
        </w:rPr>
      </w:pPr>
      <w:r>
        <w:rPr>
          <w:rFonts w:hint="eastAsia" w:ascii="宋体" w:hAnsi="宋体" w:cs="宋体"/>
          <w:color w:val="auto"/>
          <w:highlight w:val="none"/>
        </w:rPr>
        <w:t>（2）随同本投标函递交的投标函附录属于合同文件的组成部分；</w:t>
      </w:r>
    </w:p>
    <w:p>
      <w:pPr>
        <w:spacing w:line="440" w:lineRule="exact"/>
        <w:ind w:firstLine="718" w:firstLineChars="342"/>
        <w:rPr>
          <w:rFonts w:ascii="宋体" w:hAnsi="宋体" w:cs="宋体"/>
          <w:color w:val="auto"/>
          <w:highlight w:val="none"/>
        </w:rPr>
      </w:pPr>
      <w:r>
        <w:rPr>
          <w:rFonts w:hint="eastAsia" w:ascii="宋体" w:hAnsi="宋体" w:cs="宋体"/>
          <w:color w:val="auto"/>
          <w:highlight w:val="none"/>
        </w:rPr>
        <w:t>（3）我方承诺按照招标文件规定向你方递交履约担保；</w:t>
      </w:r>
    </w:p>
    <w:p>
      <w:pPr>
        <w:spacing w:line="440" w:lineRule="exact"/>
        <w:ind w:firstLine="718" w:firstLineChars="342"/>
        <w:rPr>
          <w:rFonts w:ascii="宋体" w:hAnsi="宋体" w:cs="宋体"/>
          <w:color w:val="auto"/>
          <w:highlight w:val="none"/>
        </w:rPr>
      </w:pPr>
      <w:r>
        <w:rPr>
          <w:rFonts w:hint="eastAsia" w:ascii="宋体" w:hAnsi="宋体" w:cs="宋体"/>
          <w:color w:val="auto"/>
          <w:highlight w:val="none"/>
        </w:rPr>
        <w:t>（4）我方承诺在合同约定的期限内按合同完成规定的全部义务，并提供优质的服务。</w:t>
      </w:r>
    </w:p>
    <w:p>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5．我方在此声明，所递交的投标文件及有关资料内容完整、真实和准确，且不存在第二章“投标人须知”第1.4.3项和第1</w:t>
      </w:r>
      <w:r>
        <w:rPr>
          <w:rFonts w:ascii="宋体" w:hAnsi="宋体" w:cs="宋体"/>
          <w:color w:val="auto"/>
          <w:highlight w:val="none"/>
        </w:rPr>
        <w:t>.4.4</w:t>
      </w:r>
      <w:r>
        <w:rPr>
          <w:rFonts w:hint="eastAsia" w:ascii="宋体" w:hAnsi="宋体" w:cs="宋体"/>
          <w:color w:val="auto"/>
          <w:highlight w:val="none"/>
        </w:rPr>
        <w:t>项规定的任何一种情形。</w:t>
      </w:r>
    </w:p>
    <w:p>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6．在合同协议书正式签署生效之前，本投标函连同你方的中标通知书将构成我们双方之间共同遵守的文件。对双方具有约束力。</w:t>
      </w:r>
    </w:p>
    <w:p>
      <w:pPr>
        <w:spacing w:line="440" w:lineRule="exact"/>
        <w:ind w:firstLine="3675" w:firstLineChars="1750"/>
        <w:rPr>
          <w:rFonts w:ascii="宋体" w:hAnsi="宋体" w:cs="宋体"/>
          <w:color w:val="auto"/>
          <w:highlight w:val="none"/>
        </w:rPr>
      </w:pPr>
      <w:r>
        <w:rPr>
          <w:rFonts w:hint="eastAsia" w:ascii="宋体" w:hAnsi="宋体" w:cs="宋体"/>
          <w:color w:val="auto"/>
          <w:highlight w:val="none"/>
        </w:rPr>
        <w:t>投 标 人：</w:t>
      </w:r>
      <w:r>
        <w:rPr>
          <w:rFonts w:hint="eastAsia" w:ascii="宋体" w:hAnsi="宋体" w:cs="宋体"/>
          <w:color w:val="auto"/>
          <w:highlight w:val="none"/>
          <w:u w:val="single"/>
        </w:rPr>
        <w:t xml:space="preserve">                      </w:t>
      </w:r>
      <w:r>
        <w:rPr>
          <w:rFonts w:hint="eastAsia" w:ascii="宋体" w:hAnsi="宋体" w:cs="宋体"/>
          <w:color w:val="auto"/>
          <w:highlight w:val="none"/>
        </w:rPr>
        <w:t>（盖单位法人章）</w:t>
      </w:r>
    </w:p>
    <w:p>
      <w:pPr>
        <w:spacing w:line="440" w:lineRule="exact"/>
        <w:ind w:firstLine="3675" w:firstLineChars="1750"/>
        <w:rPr>
          <w:rFonts w:ascii="宋体" w:hAnsi="宋体" w:cs="宋体"/>
          <w:color w:val="auto"/>
          <w:highlight w:val="none"/>
        </w:rPr>
      </w:pPr>
      <w:r>
        <w:rPr>
          <w:rFonts w:hint="eastAsia" w:ascii="宋体" w:hAnsi="宋体" w:cs="宋体"/>
          <w:color w:val="auto"/>
          <w:highlight w:val="none"/>
        </w:rPr>
        <w:t>法定代表人或其委托代理人：</w:t>
      </w:r>
      <w:r>
        <w:rPr>
          <w:rFonts w:hint="eastAsia" w:ascii="宋体" w:hAnsi="宋体" w:cs="宋体"/>
          <w:color w:val="auto"/>
          <w:highlight w:val="none"/>
          <w:u w:val="single"/>
        </w:rPr>
        <w:t xml:space="preserve">          </w:t>
      </w:r>
      <w:r>
        <w:rPr>
          <w:rFonts w:hint="eastAsia" w:ascii="宋体" w:hAnsi="宋体" w:cs="宋体"/>
          <w:color w:val="auto"/>
          <w:highlight w:val="none"/>
        </w:rPr>
        <w:t>（签名或盖章）</w:t>
      </w:r>
    </w:p>
    <w:p>
      <w:pPr>
        <w:spacing w:line="440" w:lineRule="exact"/>
        <w:ind w:firstLine="3675" w:firstLineChars="1750"/>
        <w:rPr>
          <w:rFonts w:ascii="宋体" w:hAnsi="宋体" w:cs="宋体"/>
          <w:color w:val="auto"/>
          <w:highlight w:val="none"/>
        </w:rPr>
      </w:pPr>
      <w:r>
        <w:rPr>
          <w:rFonts w:hint="eastAsia" w:ascii="宋体" w:hAnsi="宋体" w:cs="宋体"/>
          <w:color w:val="auto"/>
          <w:highlight w:val="none"/>
        </w:rPr>
        <w:t>地址：</w:t>
      </w:r>
      <w:r>
        <w:rPr>
          <w:rFonts w:hint="eastAsia" w:ascii="宋体" w:hAnsi="宋体" w:cs="宋体"/>
          <w:color w:val="auto"/>
          <w:highlight w:val="none"/>
          <w:u w:val="single"/>
        </w:rPr>
        <w:t xml:space="preserve">                                     </w:t>
      </w:r>
    </w:p>
    <w:p>
      <w:pPr>
        <w:spacing w:line="440" w:lineRule="exact"/>
        <w:ind w:firstLine="3675" w:firstLineChars="1750"/>
        <w:rPr>
          <w:rFonts w:ascii="宋体" w:hAnsi="宋体" w:cs="宋体"/>
          <w:color w:val="auto"/>
          <w:highlight w:val="none"/>
        </w:rPr>
      </w:pPr>
      <w:r>
        <w:rPr>
          <w:rFonts w:hint="eastAsia" w:ascii="宋体" w:hAnsi="宋体" w:cs="宋体"/>
          <w:color w:val="auto"/>
          <w:highlight w:val="none"/>
        </w:rPr>
        <w:t>网址：</w:t>
      </w:r>
      <w:r>
        <w:rPr>
          <w:rFonts w:hint="eastAsia" w:ascii="宋体" w:hAnsi="宋体" w:cs="宋体"/>
          <w:color w:val="auto"/>
          <w:highlight w:val="none"/>
          <w:u w:val="single"/>
        </w:rPr>
        <w:t xml:space="preserve">                                     </w:t>
      </w:r>
    </w:p>
    <w:p>
      <w:pPr>
        <w:spacing w:line="440" w:lineRule="exact"/>
        <w:ind w:firstLine="3675" w:firstLineChars="1750"/>
        <w:rPr>
          <w:rFonts w:ascii="宋体" w:hAnsi="宋体" w:cs="宋体"/>
          <w:color w:val="auto"/>
          <w:highlight w:val="none"/>
        </w:rPr>
      </w:pPr>
      <w:r>
        <w:rPr>
          <w:rFonts w:hint="eastAsia" w:ascii="宋体" w:hAnsi="宋体" w:cs="宋体"/>
          <w:color w:val="auto"/>
          <w:highlight w:val="none"/>
        </w:rPr>
        <w:t>电话：</w:t>
      </w:r>
      <w:r>
        <w:rPr>
          <w:rFonts w:hint="eastAsia" w:ascii="宋体" w:hAnsi="宋体" w:cs="宋体"/>
          <w:color w:val="auto"/>
          <w:highlight w:val="none"/>
          <w:u w:val="single"/>
        </w:rPr>
        <w:t xml:space="preserve">                                     </w:t>
      </w:r>
    </w:p>
    <w:p>
      <w:pPr>
        <w:spacing w:line="440" w:lineRule="exact"/>
        <w:ind w:firstLine="3675" w:firstLineChars="1750"/>
        <w:rPr>
          <w:rFonts w:ascii="宋体" w:hAnsi="宋体" w:cs="宋体"/>
          <w:color w:val="auto"/>
          <w:highlight w:val="none"/>
        </w:rPr>
      </w:pPr>
      <w:r>
        <w:rPr>
          <w:rFonts w:hint="eastAsia" w:ascii="宋体" w:hAnsi="宋体" w:cs="宋体"/>
          <w:color w:val="auto"/>
          <w:highlight w:val="none"/>
        </w:rPr>
        <w:t>传真：</w:t>
      </w:r>
      <w:r>
        <w:rPr>
          <w:rFonts w:hint="eastAsia" w:ascii="宋体" w:hAnsi="宋体" w:cs="宋体"/>
          <w:color w:val="auto"/>
          <w:highlight w:val="none"/>
          <w:u w:val="single"/>
        </w:rPr>
        <w:t xml:space="preserve">                                     </w:t>
      </w:r>
    </w:p>
    <w:p>
      <w:pPr>
        <w:spacing w:line="440" w:lineRule="exact"/>
        <w:ind w:firstLine="3675" w:firstLineChars="1750"/>
        <w:rPr>
          <w:rFonts w:ascii="宋体" w:hAnsi="宋体" w:cs="宋体"/>
          <w:color w:val="auto"/>
          <w:highlight w:val="none"/>
        </w:rPr>
      </w:pPr>
      <w:r>
        <w:rPr>
          <w:rFonts w:hint="eastAsia" w:ascii="宋体" w:hAnsi="宋体" w:cs="宋体"/>
          <w:color w:val="auto"/>
          <w:highlight w:val="none"/>
        </w:rPr>
        <w:t>邮政编码：</w:t>
      </w:r>
      <w:r>
        <w:rPr>
          <w:rFonts w:hint="eastAsia" w:ascii="宋体" w:hAnsi="宋体" w:cs="宋体"/>
          <w:color w:val="auto"/>
          <w:highlight w:val="none"/>
          <w:u w:val="single"/>
        </w:rPr>
        <w:t xml:space="preserve">                                 </w:t>
      </w:r>
    </w:p>
    <w:p>
      <w:pPr>
        <w:spacing w:line="440" w:lineRule="exact"/>
        <w:ind w:firstLine="5040" w:firstLineChars="2400"/>
        <w:rPr>
          <w:rFonts w:ascii="宋体" w:hAnsi="宋体" w:cs="宋体"/>
          <w:color w:val="auto"/>
          <w:highlight w:val="none"/>
          <w:u w:val="single"/>
        </w:rPr>
      </w:pP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p>
    <w:p>
      <w:pPr>
        <w:pStyle w:val="13"/>
        <w:rPr>
          <w:color w:val="auto"/>
          <w:highlight w:val="none"/>
          <w:u w:val="single"/>
        </w:rPr>
      </w:pPr>
    </w:p>
    <w:p>
      <w:pPr>
        <w:rPr>
          <w:rFonts w:ascii="宋体" w:hAnsi="宋体" w:cs="宋体"/>
          <w:color w:val="auto"/>
          <w:highlight w:val="none"/>
          <w:u w:val="single"/>
        </w:rPr>
      </w:pPr>
    </w:p>
    <w:p>
      <w:pPr>
        <w:pStyle w:val="13"/>
        <w:jc w:val="center"/>
        <w:rPr>
          <w:color w:val="auto"/>
          <w:highlight w:val="none"/>
        </w:rPr>
        <w:sectPr>
          <w:footerReference r:id="rId10" w:type="default"/>
          <w:pgSz w:w="11905" w:h="16838"/>
          <w:pgMar w:top="1474" w:right="1304" w:bottom="1247" w:left="1417" w:header="850" w:footer="992" w:gutter="0"/>
          <w:cols w:space="0" w:num="1"/>
        </w:sectPr>
      </w:pPr>
    </w:p>
    <w:p>
      <w:pPr>
        <w:pStyle w:val="4"/>
        <w:ind w:firstLine="964" w:firstLineChars="300"/>
        <w:rPr>
          <w:color w:val="auto"/>
          <w:highlight w:val="none"/>
        </w:rPr>
      </w:pPr>
      <w:r>
        <w:rPr>
          <w:rFonts w:hint="eastAsia"/>
          <w:color w:val="auto"/>
          <w:highlight w:val="none"/>
        </w:rPr>
        <w:t>二、法定代表人身份证明或法定代表人授权委托书</w:t>
      </w:r>
    </w:p>
    <w:p>
      <w:pPr>
        <w:jc w:val="center"/>
        <w:outlineLvl w:val="2"/>
        <w:rPr>
          <w:rFonts w:ascii="宋体" w:hAnsi="宋体" w:cs="宋体"/>
          <w:b/>
          <w:bCs/>
          <w:color w:val="auto"/>
          <w:kern w:val="1"/>
          <w:sz w:val="28"/>
          <w:szCs w:val="28"/>
          <w:highlight w:val="none"/>
        </w:rPr>
      </w:pPr>
      <w:r>
        <w:rPr>
          <w:rFonts w:hint="eastAsia" w:ascii="宋体" w:hAnsi="宋体" w:cs="宋体"/>
          <w:b/>
          <w:bCs/>
          <w:color w:val="auto"/>
          <w:kern w:val="1"/>
          <w:sz w:val="28"/>
          <w:szCs w:val="28"/>
          <w:highlight w:val="none"/>
        </w:rPr>
        <w:t>（一）法定代表人身份证明</w:t>
      </w:r>
    </w:p>
    <w:p>
      <w:pPr>
        <w:spacing w:line="440" w:lineRule="exact"/>
        <w:rPr>
          <w:rFonts w:ascii="宋体" w:hAnsi="宋体" w:cs="宋体"/>
          <w:color w:val="auto"/>
          <w:kern w:val="1"/>
          <w:sz w:val="24"/>
          <w:szCs w:val="24"/>
          <w:highlight w:val="none"/>
        </w:rPr>
      </w:pPr>
    </w:p>
    <w:p>
      <w:pPr>
        <w:spacing w:line="440" w:lineRule="exact"/>
        <w:rPr>
          <w:rFonts w:ascii="宋体" w:hAnsi="宋体"/>
          <w:color w:val="auto"/>
          <w:highlight w:val="none"/>
        </w:rPr>
      </w:pPr>
      <w:r>
        <w:rPr>
          <w:rFonts w:ascii="宋体" w:hAnsi="宋体"/>
          <w:color w:val="auto"/>
          <w:highlight w:val="none"/>
        </w:rPr>
        <w:t>投标人名称：</w:t>
      </w:r>
      <w:r>
        <w:rPr>
          <w:rFonts w:ascii="宋体" w:hAnsi="宋体"/>
          <w:color w:val="auto"/>
          <w:highlight w:val="none"/>
          <w:u w:val="single"/>
        </w:rPr>
        <w:t xml:space="preserve">                        </w:t>
      </w:r>
    </w:p>
    <w:p>
      <w:pPr>
        <w:spacing w:line="440" w:lineRule="exact"/>
        <w:rPr>
          <w:rFonts w:ascii="宋体" w:hAnsi="宋体"/>
          <w:color w:val="auto"/>
          <w:highlight w:val="none"/>
        </w:rPr>
      </w:pPr>
      <w:r>
        <w:rPr>
          <w:rFonts w:ascii="宋体" w:hAnsi="宋体"/>
          <w:color w:val="auto"/>
          <w:highlight w:val="none"/>
        </w:rPr>
        <w:t>姓名：</w:t>
      </w:r>
      <w:r>
        <w:rPr>
          <w:rFonts w:ascii="宋体" w:hAnsi="宋体"/>
          <w:color w:val="auto"/>
          <w:highlight w:val="none"/>
          <w:u w:val="single"/>
        </w:rPr>
        <w:t xml:space="preserve">      </w:t>
      </w:r>
      <w:r>
        <w:rPr>
          <w:rFonts w:hint="eastAsia" w:ascii="宋体" w:hAnsi="宋体"/>
          <w:color w:val="auto"/>
          <w:highlight w:val="none"/>
          <w:u w:val="single"/>
        </w:rPr>
        <w:t>（法定代表人签字）</w:t>
      </w:r>
      <w:r>
        <w:rPr>
          <w:rFonts w:ascii="宋体" w:hAnsi="宋体"/>
          <w:color w:val="auto"/>
          <w:highlight w:val="none"/>
          <w:u w:val="single"/>
        </w:rPr>
        <w:t xml:space="preserve">   </w:t>
      </w:r>
      <w:r>
        <w:rPr>
          <w:rFonts w:ascii="宋体" w:hAnsi="宋体"/>
          <w:color w:val="auto"/>
          <w:highlight w:val="none"/>
        </w:rPr>
        <w:t>性别：</w:t>
      </w:r>
      <w:r>
        <w:rPr>
          <w:rFonts w:ascii="宋体" w:hAnsi="宋体"/>
          <w:color w:val="auto"/>
          <w:highlight w:val="none"/>
          <w:u w:val="single"/>
        </w:rPr>
        <w:t xml:space="preserve">      </w:t>
      </w:r>
      <w:r>
        <w:rPr>
          <w:rFonts w:ascii="宋体" w:hAnsi="宋体"/>
          <w:color w:val="auto"/>
          <w:highlight w:val="none"/>
        </w:rPr>
        <w:t>年龄：</w:t>
      </w:r>
      <w:r>
        <w:rPr>
          <w:rFonts w:ascii="宋体" w:hAnsi="宋体"/>
          <w:color w:val="auto"/>
          <w:highlight w:val="none"/>
          <w:u w:val="single"/>
        </w:rPr>
        <w:t xml:space="preserve">      </w:t>
      </w:r>
      <w:r>
        <w:rPr>
          <w:rFonts w:ascii="宋体" w:hAnsi="宋体"/>
          <w:color w:val="auto"/>
          <w:highlight w:val="none"/>
        </w:rPr>
        <w:t>职务：</w:t>
      </w:r>
      <w:r>
        <w:rPr>
          <w:rFonts w:ascii="宋体" w:hAnsi="宋体"/>
          <w:color w:val="auto"/>
          <w:highlight w:val="none"/>
          <w:u w:val="single"/>
        </w:rPr>
        <w:t xml:space="preserve">     </w:t>
      </w:r>
      <w:r>
        <w:rPr>
          <w:rFonts w:ascii="宋体" w:hAnsi="宋体"/>
          <w:color w:val="auto"/>
          <w:highlight w:val="none"/>
        </w:rPr>
        <w:t>系</w:t>
      </w:r>
      <w:r>
        <w:rPr>
          <w:rFonts w:ascii="宋体" w:hAnsi="宋体"/>
          <w:color w:val="auto"/>
          <w:highlight w:val="none"/>
          <w:u w:val="single"/>
        </w:rPr>
        <w:t xml:space="preserve">    </w:t>
      </w:r>
      <w:r>
        <w:rPr>
          <w:rFonts w:ascii="宋体" w:hAnsi="宋体"/>
          <w:color w:val="auto"/>
          <w:highlight w:val="none"/>
        </w:rPr>
        <w:t>（投标人名称）的法定代表人。</w:t>
      </w:r>
    </w:p>
    <w:p>
      <w:pPr>
        <w:spacing w:line="440" w:lineRule="exact"/>
        <w:ind w:firstLine="420" w:firstLineChars="200"/>
        <w:rPr>
          <w:rFonts w:ascii="宋体" w:hAnsi="宋体"/>
          <w:color w:val="auto"/>
          <w:highlight w:val="none"/>
        </w:rPr>
      </w:pPr>
      <w:r>
        <w:rPr>
          <w:rFonts w:ascii="宋体" w:hAnsi="宋体"/>
          <w:color w:val="auto"/>
          <w:highlight w:val="none"/>
        </w:rPr>
        <w:t>特此证明。</w:t>
      </w:r>
    </w:p>
    <w:p>
      <w:pPr>
        <w:spacing w:line="440" w:lineRule="exact"/>
        <w:rPr>
          <w:rFonts w:ascii="宋体" w:hAnsi="宋体"/>
          <w:color w:val="auto"/>
          <w:highlight w:val="none"/>
        </w:rPr>
      </w:pPr>
    </w:p>
    <w:p>
      <w:pPr>
        <w:spacing w:line="440" w:lineRule="exact"/>
        <w:rPr>
          <w:rFonts w:ascii="宋体" w:hAnsi="宋体"/>
          <w:b/>
          <w:bCs/>
          <w:color w:val="auto"/>
          <w:highlight w:val="none"/>
        </w:rPr>
      </w:pPr>
      <w:r>
        <w:rPr>
          <w:rFonts w:ascii="宋体" w:hAnsi="宋体"/>
          <w:b/>
          <w:bCs/>
          <w:color w:val="auto"/>
          <w:highlight w:val="none"/>
        </w:rPr>
        <w:t>附：法定代表人身份证复印件</w:t>
      </w:r>
      <w:r>
        <w:rPr>
          <w:rFonts w:hint="eastAsia" w:ascii="宋体" w:hAnsi="宋体"/>
          <w:b/>
          <w:bCs/>
          <w:color w:val="auto"/>
          <w:highlight w:val="none"/>
        </w:rPr>
        <w:t>或扫描件</w:t>
      </w:r>
      <w:r>
        <w:rPr>
          <w:rFonts w:ascii="宋体" w:hAnsi="宋体"/>
          <w:b/>
          <w:bCs/>
          <w:color w:val="auto"/>
          <w:highlight w:val="none"/>
        </w:rPr>
        <w:t>。</w:t>
      </w:r>
    </w:p>
    <w:p>
      <w:pPr>
        <w:spacing w:line="440" w:lineRule="exact"/>
        <w:rPr>
          <w:rFonts w:ascii="宋体" w:hAnsi="宋体"/>
          <w:color w:val="auto"/>
          <w:highlight w:val="none"/>
        </w:rPr>
      </w:pPr>
    </w:p>
    <w:p>
      <w:pPr>
        <w:spacing w:line="440" w:lineRule="exact"/>
        <w:jc w:val="center"/>
        <w:rPr>
          <w:rFonts w:ascii="宋体" w:hAnsi="宋体"/>
          <w:color w:val="auto"/>
          <w:highlight w:val="none"/>
        </w:rPr>
      </w:pPr>
      <w:r>
        <w:rPr>
          <w:rFonts w:ascii="宋体" w:hAnsi="宋体"/>
          <w:color w:val="auto"/>
          <w:highlight w:val="none"/>
        </w:rPr>
        <w:t xml:space="preserve">                              投标人：</w:t>
      </w:r>
      <w:r>
        <w:rPr>
          <w:rFonts w:ascii="宋体" w:hAnsi="宋体"/>
          <w:color w:val="auto"/>
          <w:highlight w:val="none"/>
          <w:u w:val="single"/>
        </w:rPr>
        <w:t xml:space="preserve">          </w:t>
      </w:r>
      <w:r>
        <w:rPr>
          <w:rFonts w:ascii="宋体" w:hAnsi="宋体"/>
          <w:color w:val="auto"/>
          <w:highlight w:val="none"/>
          <w:u w:val="single"/>
        </w:rPr>
        <w:tab/>
      </w:r>
      <w:r>
        <w:rPr>
          <w:rFonts w:ascii="宋体" w:hAnsi="宋体"/>
          <w:color w:val="auto"/>
          <w:highlight w:val="none"/>
        </w:rPr>
        <w:t>（</w:t>
      </w:r>
      <w:r>
        <w:rPr>
          <w:rFonts w:hint="eastAsia" w:ascii="宋体" w:hAnsi="宋体"/>
          <w:color w:val="auto"/>
          <w:highlight w:val="none"/>
        </w:rPr>
        <w:t>盖单位鲜公章</w:t>
      </w:r>
      <w:r>
        <w:rPr>
          <w:rFonts w:ascii="宋体" w:hAnsi="宋体"/>
          <w:color w:val="auto"/>
          <w:highlight w:val="none"/>
        </w:rPr>
        <w:t>）</w:t>
      </w:r>
    </w:p>
    <w:p>
      <w:pPr>
        <w:spacing w:line="440" w:lineRule="exact"/>
        <w:rPr>
          <w:rFonts w:ascii="宋体" w:hAnsi="宋体"/>
          <w:color w:val="auto"/>
          <w:highlight w:val="none"/>
        </w:rPr>
      </w:pPr>
    </w:p>
    <w:p>
      <w:pPr>
        <w:spacing w:line="440" w:lineRule="exact"/>
        <w:ind w:firstLine="4620" w:firstLineChars="2200"/>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pPr>
        <w:pStyle w:val="2"/>
        <w:ind w:firstLine="157"/>
        <w:rPr>
          <w:rFonts w:ascii="宋体" w:hAnsi="宋体"/>
          <w:color w:val="auto"/>
          <w:highlight w:val="none"/>
        </w:rPr>
      </w:pPr>
    </w:p>
    <w:p>
      <w:pPr>
        <w:pStyle w:val="2"/>
        <w:jc w:val="center"/>
        <w:rPr>
          <w:color w:val="auto"/>
          <w:highlight w:val="none"/>
        </w:rPr>
        <w:sectPr>
          <w:headerReference r:id="rId11" w:type="default"/>
          <w:footerReference r:id="rId12" w:type="default"/>
          <w:footnotePr>
            <w:numFmt w:val="decimalEnclosedCircleChinese"/>
            <w:numRestart w:val="eachPage"/>
          </w:footnotePr>
          <w:pgSz w:w="11905" w:h="16838"/>
          <w:pgMar w:top="1474" w:right="1304" w:bottom="1247" w:left="1417" w:header="850" w:footer="992" w:gutter="0"/>
          <w:cols w:space="0" w:num="1"/>
        </w:sectPr>
      </w:pPr>
    </w:p>
    <w:p>
      <w:pPr>
        <w:pStyle w:val="4"/>
        <w:jc w:val="center"/>
        <w:rPr>
          <w:rFonts w:ascii="宋体" w:hAnsi="宋体"/>
          <w:color w:val="auto"/>
          <w:sz w:val="28"/>
          <w:szCs w:val="28"/>
          <w:highlight w:val="none"/>
        </w:rPr>
      </w:pPr>
      <w:r>
        <w:rPr>
          <w:rFonts w:hint="eastAsia" w:ascii="宋体" w:hAnsi="宋体"/>
          <w:color w:val="auto"/>
          <w:sz w:val="28"/>
          <w:szCs w:val="28"/>
          <w:highlight w:val="none"/>
        </w:rPr>
        <w:t>（二）法定代表人授权委托书</w:t>
      </w:r>
    </w:p>
    <w:p>
      <w:pPr>
        <w:topLinePunct/>
        <w:spacing w:line="440" w:lineRule="exact"/>
        <w:ind w:firstLine="420" w:firstLineChars="200"/>
        <w:rPr>
          <w:rFonts w:ascii="宋体" w:hAnsi="宋体"/>
          <w:color w:val="auto"/>
          <w:highlight w:val="none"/>
        </w:rPr>
      </w:pPr>
      <w:r>
        <w:rPr>
          <w:rFonts w:ascii="宋体" w:hAnsi="宋体"/>
          <w:color w:val="auto"/>
          <w:highlight w:val="none"/>
        </w:rPr>
        <w:t>本人</w:t>
      </w:r>
      <w:r>
        <w:rPr>
          <w:rFonts w:ascii="宋体" w:hAnsi="宋体"/>
          <w:color w:val="auto"/>
          <w:highlight w:val="none"/>
          <w:u w:val="single"/>
        </w:rPr>
        <w:t xml:space="preserve">              </w:t>
      </w:r>
      <w:r>
        <w:rPr>
          <w:rFonts w:ascii="宋体" w:hAnsi="宋体"/>
          <w:color w:val="auto"/>
          <w:highlight w:val="none"/>
        </w:rPr>
        <w:t>（姓名）系</w:t>
      </w:r>
      <w:r>
        <w:rPr>
          <w:rFonts w:ascii="宋体" w:hAnsi="宋体"/>
          <w:color w:val="auto"/>
          <w:highlight w:val="none"/>
          <w:u w:val="single"/>
        </w:rPr>
        <w:t xml:space="preserve">                    </w:t>
      </w:r>
      <w:r>
        <w:rPr>
          <w:rFonts w:ascii="宋体" w:hAnsi="宋体"/>
          <w:color w:val="auto"/>
          <w:highlight w:val="none"/>
        </w:rPr>
        <w:t>（投标人名称）的法定代表人，现委托</w:t>
      </w:r>
      <w:r>
        <w:rPr>
          <w:rFonts w:ascii="宋体" w:hAnsi="宋体"/>
          <w:color w:val="auto"/>
          <w:highlight w:val="none"/>
          <w:u w:val="single"/>
        </w:rPr>
        <w:t xml:space="preserve">            </w:t>
      </w:r>
      <w:r>
        <w:rPr>
          <w:rFonts w:ascii="宋体" w:hAnsi="宋体"/>
          <w:color w:val="auto"/>
          <w:highlight w:val="none"/>
        </w:rPr>
        <w:t>（姓名）为我方代理人。代理人根据授权，以我方名义签署、澄清确认、递交、撤回、修改材料采购招标项目投标文件、签订合同和处理有关事宜，其法律后果由我方承担。</w:t>
      </w:r>
    </w:p>
    <w:p>
      <w:pPr>
        <w:spacing w:line="440" w:lineRule="exact"/>
        <w:rPr>
          <w:rFonts w:ascii="宋体" w:hAnsi="宋体"/>
          <w:color w:val="auto"/>
          <w:highlight w:val="none"/>
        </w:rPr>
      </w:pPr>
      <w:r>
        <w:rPr>
          <w:rFonts w:ascii="宋体" w:hAnsi="宋体"/>
          <w:color w:val="auto"/>
          <w:highlight w:val="none"/>
        </w:rPr>
        <w:t>委托期限：</w:t>
      </w:r>
      <w:r>
        <w:rPr>
          <w:rFonts w:ascii="宋体" w:hAnsi="宋体"/>
          <w:color w:val="auto"/>
          <w:highlight w:val="none"/>
          <w:u w:val="single"/>
        </w:rPr>
        <w:t xml:space="preserve">                       </w:t>
      </w:r>
      <w:r>
        <w:rPr>
          <w:rFonts w:ascii="宋体" w:hAnsi="宋体"/>
          <w:color w:val="auto"/>
          <w:highlight w:val="none"/>
        </w:rPr>
        <w:t>。</w:t>
      </w:r>
    </w:p>
    <w:p>
      <w:pPr>
        <w:spacing w:line="440" w:lineRule="exact"/>
        <w:ind w:firstLine="420" w:firstLineChars="200"/>
        <w:rPr>
          <w:rFonts w:ascii="宋体" w:hAnsi="宋体"/>
          <w:color w:val="auto"/>
          <w:highlight w:val="none"/>
        </w:rPr>
      </w:pPr>
      <w:r>
        <w:rPr>
          <w:rFonts w:ascii="宋体" w:hAnsi="宋体"/>
          <w:color w:val="auto"/>
          <w:highlight w:val="none"/>
        </w:rPr>
        <w:t>代理人无转委托权。</w:t>
      </w:r>
    </w:p>
    <w:p>
      <w:pPr>
        <w:spacing w:line="440" w:lineRule="exact"/>
        <w:ind w:firstLine="420" w:firstLineChars="200"/>
        <w:rPr>
          <w:rFonts w:ascii="宋体" w:hAnsi="宋体"/>
          <w:color w:val="auto"/>
          <w:highlight w:val="none"/>
        </w:rPr>
      </w:pPr>
    </w:p>
    <w:p>
      <w:pPr>
        <w:spacing w:line="440" w:lineRule="exact"/>
        <w:rPr>
          <w:rFonts w:ascii="宋体" w:hAnsi="宋体"/>
          <w:b/>
          <w:bCs/>
          <w:color w:val="auto"/>
          <w:highlight w:val="none"/>
        </w:rPr>
      </w:pPr>
      <w:r>
        <w:rPr>
          <w:rFonts w:ascii="宋体" w:hAnsi="宋体"/>
          <w:b/>
          <w:bCs/>
          <w:color w:val="auto"/>
          <w:highlight w:val="none"/>
        </w:rPr>
        <w:t>附：法定代表人身份证及委托代理人身份证复印件</w:t>
      </w:r>
      <w:r>
        <w:rPr>
          <w:rFonts w:hint="eastAsia" w:ascii="宋体" w:hAnsi="宋体"/>
          <w:b/>
          <w:bCs/>
          <w:color w:val="auto"/>
          <w:highlight w:val="none"/>
        </w:rPr>
        <w:t>或扫描件。</w:t>
      </w:r>
    </w:p>
    <w:p>
      <w:pPr>
        <w:spacing w:line="440" w:lineRule="exact"/>
        <w:rPr>
          <w:rFonts w:ascii="宋体" w:hAnsi="宋体"/>
          <w:color w:val="auto"/>
          <w:highlight w:val="none"/>
        </w:rPr>
      </w:pPr>
    </w:p>
    <w:p>
      <w:pPr>
        <w:spacing w:line="440" w:lineRule="exact"/>
        <w:ind w:firstLine="2692" w:firstLineChars="1282"/>
        <w:rPr>
          <w:rFonts w:ascii="宋体" w:hAnsi="宋体"/>
          <w:color w:val="auto"/>
          <w:highlight w:val="none"/>
        </w:rPr>
      </w:pPr>
      <w:r>
        <w:rPr>
          <w:rFonts w:ascii="宋体" w:hAnsi="宋体"/>
          <w:color w:val="auto"/>
          <w:highlight w:val="none"/>
        </w:rPr>
        <w:t>投  标  人：</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 xml:space="preserve">                </w:t>
      </w:r>
      <w:r>
        <w:rPr>
          <w:rFonts w:ascii="宋体" w:hAnsi="宋体"/>
          <w:color w:val="auto"/>
          <w:highlight w:val="none"/>
        </w:rPr>
        <w:t>（</w:t>
      </w:r>
      <w:r>
        <w:rPr>
          <w:rFonts w:hint="eastAsia" w:ascii="宋体" w:hAnsi="宋体"/>
          <w:color w:val="auto"/>
          <w:highlight w:val="none"/>
        </w:rPr>
        <w:t>盖单位鲜公章</w:t>
      </w:r>
      <w:r>
        <w:rPr>
          <w:rFonts w:ascii="宋体" w:hAnsi="宋体"/>
          <w:color w:val="auto"/>
          <w:highlight w:val="none"/>
        </w:rPr>
        <w:t>）</w:t>
      </w:r>
    </w:p>
    <w:p>
      <w:pPr>
        <w:spacing w:line="440" w:lineRule="exact"/>
        <w:ind w:firstLine="2690" w:firstLineChars="1281"/>
        <w:jc w:val="left"/>
        <w:rPr>
          <w:rFonts w:ascii="宋体" w:hAnsi="宋体"/>
          <w:color w:val="auto"/>
          <w:highlight w:val="none"/>
        </w:rPr>
      </w:pPr>
      <w:r>
        <w:rPr>
          <w:rFonts w:ascii="宋体" w:hAnsi="宋体"/>
          <w:color w:val="auto"/>
          <w:highlight w:val="none"/>
        </w:rPr>
        <w:t>法定代表人：</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 xml:space="preserve">                </w:t>
      </w:r>
      <w:r>
        <w:rPr>
          <w:rFonts w:ascii="宋体" w:hAnsi="宋体"/>
          <w:color w:val="auto"/>
          <w:highlight w:val="none"/>
          <w:u w:val="single"/>
        </w:rPr>
        <w:tab/>
      </w:r>
      <w:r>
        <w:rPr>
          <w:rFonts w:ascii="宋体" w:hAnsi="宋体"/>
          <w:color w:val="auto"/>
          <w:highlight w:val="none"/>
        </w:rPr>
        <w:t>（签</w:t>
      </w:r>
      <w:r>
        <w:rPr>
          <w:rFonts w:hint="eastAsia" w:ascii="宋体" w:hAnsi="宋体"/>
          <w:color w:val="auto"/>
          <w:highlight w:val="none"/>
        </w:rPr>
        <w:t>字或盖章</w:t>
      </w:r>
      <w:r>
        <w:rPr>
          <w:rFonts w:ascii="宋体" w:hAnsi="宋体"/>
          <w:color w:val="auto"/>
          <w:highlight w:val="none"/>
        </w:rPr>
        <w:t xml:space="preserve"> ）</w:t>
      </w:r>
    </w:p>
    <w:p>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 xml:space="preserve">                            </w:t>
      </w:r>
      <w:r>
        <w:rPr>
          <w:rFonts w:ascii="宋体" w:hAnsi="宋体"/>
          <w:color w:val="auto"/>
          <w:highlight w:val="none"/>
          <w:u w:val="single"/>
        </w:rPr>
        <w:tab/>
      </w:r>
    </w:p>
    <w:p>
      <w:pPr>
        <w:spacing w:line="440" w:lineRule="exact"/>
        <w:ind w:firstLine="2692" w:firstLineChars="1282"/>
        <w:rPr>
          <w:rFonts w:ascii="宋体" w:hAnsi="宋体"/>
          <w:color w:val="auto"/>
          <w:highlight w:val="none"/>
        </w:rPr>
      </w:pPr>
      <w:r>
        <w:rPr>
          <w:rFonts w:ascii="宋体" w:hAnsi="宋体"/>
          <w:color w:val="auto"/>
          <w:highlight w:val="none"/>
        </w:rPr>
        <w:t>委托代理人：</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 xml:space="preserve">                     </w:t>
      </w:r>
      <w:r>
        <w:rPr>
          <w:rFonts w:ascii="宋体" w:hAnsi="宋体"/>
          <w:color w:val="auto"/>
          <w:highlight w:val="none"/>
          <w:u w:val="single"/>
        </w:rPr>
        <w:tab/>
      </w:r>
      <w:r>
        <w:rPr>
          <w:rFonts w:ascii="宋体" w:hAnsi="宋体"/>
          <w:color w:val="auto"/>
          <w:highlight w:val="none"/>
        </w:rPr>
        <w:t>（签</w:t>
      </w:r>
      <w:r>
        <w:rPr>
          <w:rFonts w:hint="eastAsia" w:ascii="宋体" w:hAnsi="宋体"/>
          <w:color w:val="auto"/>
          <w:highlight w:val="none"/>
        </w:rPr>
        <w:t>名</w:t>
      </w:r>
      <w:r>
        <w:rPr>
          <w:rFonts w:ascii="宋体" w:hAnsi="宋体"/>
          <w:color w:val="auto"/>
          <w:highlight w:val="none"/>
        </w:rPr>
        <w:t>）</w:t>
      </w:r>
    </w:p>
    <w:p>
      <w:pPr>
        <w:spacing w:line="440" w:lineRule="exact"/>
        <w:ind w:firstLine="2692" w:firstLineChars="1282"/>
        <w:rPr>
          <w:rFonts w:ascii="宋体" w:hAnsi="宋体"/>
          <w:color w:val="auto"/>
          <w:highlight w:val="none"/>
        </w:rPr>
      </w:pPr>
      <w:r>
        <w:rPr>
          <w:rFonts w:ascii="宋体" w:hAnsi="宋体"/>
          <w:color w:val="auto"/>
          <w:highlight w:val="none"/>
        </w:rPr>
        <w:t>身份证号码：</w:t>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ab/>
      </w:r>
      <w:r>
        <w:rPr>
          <w:rFonts w:ascii="宋体" w:hAnsi="宋体"/>
          <w:color w:val="auto"/>
          <w:highlight w:val="none"/>
          <w:u w:val="single"/>
        </w:rPr>
        <w:t xml:space="preserve">                            </w:t>
      </w:r>
      <w:r>
        <w:rPr>
          <w:rFonts w:ascii="宋体" w:hAnsi="宋体"/>
          <w:color w:val="auto"/>
          <w:highlight w:val="none"/>
          <w:u w:val="single"/>
        </w:rPr>
        <w:tab/>
      </w:r>
    </w:p>
    <w:p>
      <w:pPr>
        <w:spacing w:line="440" w:lineRule="exact"/>
        <w:ind w:firstLine="2692" w:firstLineChars="1282"/>
        <w:rPr>
          <w:rFonts w:ascii="宋体" w:hAnsi="宋体"/>
          <w:color w:val="auto"/>
          <w:highlight w:val="none"/>
        </w:rPr>
      </w:pPr>
    </w:p>
    <w:p>
      <w:pPr>
        <w:spacing w:line="440" w:lineRule="exact"/>
        <w:ind w:firstLine="4057" w:firstLineChars="1932"/>
        <w:jc w:val="right"/>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年</w:t>
      </w:r>
      <w:r>
        <w:rPr>
          <w:rFonts w:ascii="宋体" w:hAnsi="宋体"/>
          <w:color w:val="auto"/>
          <w:highlight w:val="none"/>
          <w:u w:val="single"/>
        </w:rPr>
        <w:t xml:space="preserve">       </w:t>
      </w:r>
      <w:r>
        <w:rPr>
          <w:rFonts w:ascii="宋体" w:hAnsi="宋体"/>
          <w:color w:val="auto"/>
          <w:highlight w:val="none"/>
        </w:rPr>
        <w:t>月</w:t>
      </w:r>
      <w:r>
        <w:rPr>
          <w:rFonts w:ascii="宋体" w:hAnsi="宋体"/>
          <w:color w:val="auto"/>
          <w:highlight w:val="none"/>
          <w:u w:val="single"/>
        </w:rPr>
        <w:t xml:space="preserve">       </w:t>
      </w:r>
      <w:r>
        <w:rPr>
          <w:rFonts w:ascii="宋体" w:hAnsi="宋体"/>
          <w:color w:val="auto"/>
          <w:highlight w:val="none"/>
        </w:rPr>
        <w:t>日</w:t>
      </w:r>
    </w:p>
    <w:p>
      <w:pPr>
        <w:pStyle w:val="2"/>
        <w:jc w:val="center"/>
        <w:rPr>
          <w:color w:val="auto"/>
          <w:highlight w:val="none"/>
        </w:rPr>
        <w:sectPr>
          <w:footnotePr>
            <w:numFmt w:val="decimalEnclosedCircleChinese"/>
            <w:numRestart w:val="eachPage"/>
          </w:footnotePr>
          <w:pgSz w:w="11905" w:h="16838"/>
          <w:pgMar w:top="1474" w:right="1304" w:bottom="1247" w:left="1417" w:header="850" w:footer="992" w:gutter="0"/>
          <w:cols w:space="0" w:num="1"/>
        </w:sectPr>
      </w:pPr>
    </w:p>
    <w:p>
      <w:pPr>
        <w:pStyle w:val="2"/>
        <w:jc w:val="center"/>
        <w:rPr>
          <w:color w:val="auto"/>
          <w:highlight w:val="none"/>
        </w:rPr>
      </w:pPr>
      <w:r>
        <w:rPr>
          <w:rFonts w:hint="eastAsia"/>
          <w:color w:val="auto"/>
          <w:highlight w:val="none"/>
        </w:rPr>
        <w:t>（三）低价风险担保提交承诺书</w:t>
      </w:r>
    </w:p>
    <w:p>
      <w:pPr>
        <w:autoSpaceDE w:val="0"/>
        <w:autoSpaceDN w:val="0"/>
        <w:adjustRightInd w:val="0"/>
        <w:snapToGrid w:val="0"/>
        <w:spacing w:line="360" w:lineRule="auto"/>
        <w:jc w:val="center"/>
        <w:rPr>
          <w:rFonts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（投标报价低于招标项目最高限价的</w:t>
      </w:r>
      <w:r>
        <w:rPr>
          <w:rFonts w:ascii="宋体" w:hAnsi="宋体"/>
          <w:snapToGrid w:val="0"/>
          <w:color w:val="auto"/>
          <w:kern w:val="0"/>
          <w:sz w:val="32"/>
          <w:szCs w:val="32"/>
          <w:highlight w:val="none"/>
        </w:rPr>
        <w:t>85%时采用）</w:t>
      </w:r>
    </w:p>
    <w:p>
      <w:pPr>
        <w:autoSpaceDE w:val="0"/>
        <w:autoSpaceDN w:val="0"/>
        <w:adjustRightInd w:val="0"/>
        <w:snapToGrid w:val="0"/>
        <w:spacing w:line="360" w:lineRule="auto"/>
        <w:jc w:val="center"/>
        <w:rPr>
          <w:rFonts w:ascii="宋体" w:hAnsi="宋体"/>
          <w:snapToGrid w:val="0"/>
          <w:color w:val="auto"/>
          <w:kern w:val="0"/>
          <w:sz w:val="32"/>
          <w:szCs w:val="32"/>
          <w:highlight w:val="none"/>
        </w:rPr>
      </w:pPr>
    </w:p>
    <w:p>
      <w:pPr>
        <w:autoSpaceDE w:val="0"/>
        <w:autoSpaceDN w:val="0"/>
        <w:adjustRightInd w:val="0"/>
        <w:snapToGrid w:val="0"/>
        <w:spacing w:line="360" w:lineRule="auto"/>
        <w:rPr>
          <w:rFonts w:ascii="宋体" w:hAnsi="宋体" w:cs="宋体"/>
          <w:snapToGrid w:val="0"/>
          <w:color w:val="auto"/>
          <w:kern w:val="0"/>
          <w:highlight w:val="none"/>
        </w:rPr>
      </w:pPr>
      <w:r>
        <w:rPr>
          <w:rFonts w:ascii="宋体" w:hAnsi="宋体" w:cs="宋体"/>
          <w:snapToGrid w:val="0"/>
          <w:color w:val="auto"/>
          <w:kern w:val="0"/>
          <w:highlight w:val="none"/>
          <w:u w:val="single"/>
        </w:rPr>
        <w:t xml:space="preserve">        （招标人名称）</w:t>
      </w:r>
      <w:r>
        <w:rPr>
          <w:rFonts w:hint="eastAsia" w:ascii="宋体" w:hAnsi="宋体" w:cs="宋体"/>
          <w:snapToGrid w:val="0"/>
          <w:color w:val="auto"/>
          <w:kern w:val="0"/>
          <w:highlight w:val="none"/>
        </w:rPr>
        <w:t>：</w:t>
      </w:r>
    </w:p>
    <w:p>
      <w:pPr>
        <w:autoSpaceDE w:val="0"/>
        <w:autoSpaceDN w:val="0"/>
        <w:adjustRightInd w:val="0"/>
        <w:snapToGrid w:val="0"/>
        <w:spacing w:line="360" w:lineRule="auto"/>
        <w:ind w:firstLine="420" w:firstLineChars="200"/>
        <w:rPr>
          <w:rFonts w:ascii="宋体" w:cs="宋体"/>
          <w:snapToGrid w:val="0"/>
          <w:color w:val="auto"/>
          <w:kern w:val="0"/>
          <w:highlight w:val="none"/>
        </w:rPr>
      </w:pPr>
      <w:r>
        <w:rPr>
          <w:rFonts w:hint="eastAsia" w:ascii="宋体" w:cs="宋体"/>
          <w:snapToGrid w:val="0"/>
          <w:color w:val="auto"/>
          <w:kern w:val="0"/>
          <w:highlight w:val="none"/>
        </w:rPr>
        <w:t>我公司</w:t>
      </w:r>
      <w:r>
        <w:rPr>
          <w:rFonts w:hint="eastAsia" w:ascii="宋体" w:cs="宋体"/>
          <w:snapToGrid w:val="0"/>
          <w:color w:val="auto"/>
          <w:kern w:val="0"/>
          <w:highlight w:val="none"/>
          <w:u w:val="single"/>
        </w:rPr>
        <w:t xml:space="preserve">        （投标人名称）</w:t>
      </w:r>
      <w:r>
        <w:rPr>
          <w:rFonts w:hint="eastAsia" w:ascii="宋体" w:cs="宋体"/>
          <w:snapToGrid w:val="0"/>
          <w:color w:val="auto"/>
          <w:kern w:val="0"/>
          <w:highlight w:val="none"/>
        </w:rPr>
        <w:t>参加了你公司</w:t>
      </w:r>
      <w:r>
        <w:rPr>
          <w:rFonts w:hint="eastAsia" w:ascii="宋体" w:cs="宋体"/>
          <w:snapToGrid w:val="0"/>
          <w:color w:val="auto"/>
          <w:kern w:val="0"/>
          <w:highlight w:val="none"/>
          <w:u w:val="single"/>
        </w:rPr>
        <w:t xml:space="preserve">        （项目名称）</w:t>
      </w:r>
      <w:r>
        <w:rPr>
          <w:rFonts w:hint="eastAsia" w:ascii="宋体" w:cs="宋体"/>
          <w:snapToGrid w:val="0"/>
          <w:color w:val="auto"/>
          <w:kern w:val="0"/>
          <w:highlight w:val="none"/>
        </w:rPr>
        <w:t>的投标。我公司投标报价低于最高限价85%，若获得中标资格，我公司承诺按照招标文件的规定递交低价风险担保。否则，我公司愿承担招标文件中约定的，因未按规定递交低价风险担保的相应责任。</w:t>
      </w:r>
    </w:p>
    <w:p>
      <w:pPr>
        <w:autoSpaceDE w:val="0"/>
        <w:autoSpaceDN w:val="0"/>
        <w:adjustRightInd w:val="0"/>
        <w:snapToGrid w:val="0"/>
        <w:spacing w:line="360" w:lineRule="auto"/>
        <w:ind w:firstLine="640"/>
        <w:rPr>
          <w:rFonts w:ascii="宋体" w:hAnsi="宋体" w:cs="宋体"/>
          <w:snapToGrid w:val="0"/>
          <w:color w:val="auto"/>
          <w:kern w:val="0"/>
          <w:highlight w:val="none"/>
        </w:rPr>
      </w:pPr>
    </w:p>
    <w:p>
      <w:pPr>
        <w:autoSpaceDE w:val="0"/>
        <w:autoSpaceDN w:val="0"/>
        <w:adjustRightInd w:val="0"/>
        <w:snapToGrid w:val="0"/>
        <w:spacing w:line="360" w:lineRule="auto"/>
        <w:ind w:firstLine="640"/>
        <w:rPr>
          <w:rFonts w:ascii="宋体" w:hAnsi="宋体" w:cs="宋体"/>
          <w:snapToGrid w:val="0"/>
          <w:color w:val="auto"/>
          <w:kern w:val="0"/>
          <w:highlight w:val="none"/>
        </w:rPr>
      </w:pPr>
      <w:r>
        <w:rPr>
          <w:rFonts w:hint="eastAsia" w:ascii="宋体" w:hAnsi="宋体" w:cs="宋体"/>
          <w:snapToGrid w:val="0"/>
          <w:color w:val="auto"/>
          <w:kern w:val="0"/>
          <w:highlight w:val="none"/>
        </w:rPr>
        <w:t>特此承诺。</w:t>
      </w:r>
    </w:p>
    <w:p>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highlight w:val="none"/>
        </w:rPr>
      </w:pPr>
      <w:r>
        <w:rPr>
          <w:rFonts w:ascii="宋体" w:hAnsi="宋体"/>
          <w:color w:val="auto"/>
          <w:kern w:val="0"/>
          <w:highlight w:val="none"/>
        </w:rPr>
        <w:t>投  标  人：</w:t>
      </w:r>
      <w:r>
        <w:rPr>
          <w:rFonts w:ascii="宋体" w:hAnsi="宋体"/>
          <w:color w:val="auto"/>
          <w:w w:val="200"/>
          <w:kern w:val="0"/>
          <w:highlight w:val="none"/>
          <w:u w:val="single"/>
        </w:rPr>
        <w:t xml:space="preserve">                           </w:t>
      </w:r>
      <w:r>
        <w:rPr>
          <w:rFonts w:ascii="宋体" w:hAnsi="宋体"/>
          <w:color w:val="auto"/>
          <w:kern w:val="0"/>
          <w:highlight w:val="none"/>
        </w:rPr>
        <w:t>（</w:t>
      </w:r>
      <w:r>
        <w:rPr>
          <w:rFonts w:ascii="宋体" w:hAnsi="宋体"/>
          <w:color w:val="auto"/>
          <w:spacing w:val="-1"/>
          <w:kern w:val="0"/>
          <w:highlight w:val="none"/>
        </w:rPr>
        <w:t>盖单位法人章</w:t>
      </w:r>
      <w:r>
        <w:rPr>
          <w:rFonts w:ascii="宋体" w:hAnsi="宋体"/>
          <w:color w:val="auto"/>
          <w:kern w:val="0"/>
          <w:highlight w:val="none"/>
        </w:rPr>
        <w:t>）</w:t>
      </w:r>
    </w:p>
    <w:p>
      <w:pPr>
        <w:tabs>
          <w:tab w:val="left" w:pos="6300"/>
        </w:tabs>
        <w:autoSpaceDE w:val="0"/>
        <w:autoSpaceDN w:val="0"/>
        <w:adjustRightInd w:val="0"/>
        <w:snapToGrid w:val="0"/>
        <w:spacing w:line="480" w:lineRule="auto"/>
        <w:ind w:firstLine="420" w:firstLineChars="200"/>
        <w:jc w:val="left"/>
        <w:rPr>
          <w:rFonts w:ascii="宋体" w:hAnsi="宋体"/>
          <w:color w:val="auto"/>
          <w:kern w:val="0"/>
          <w:highlight w:val="none"/>
        </w:rPr>
      </w:pPr>
      <w:r>
        <w:rPr>
          <w:rFonts w:ascii="宋体" w:hAnsi="宋体"/>
          <w:color w:val="auto"/>
          <w:kern w:val="0"/>
          <w:highlight w:val="none"/>
        </w:rPr>
        <w:t>法定代表人：</w:t>
      </w:r>
      <w:r>
        <w:rPr>
          <w:rFonts w:ascii="宋体" w:hAnsi="宋体"/>
          <w:color w:val="auto"/>
          <w:w w:val="200"/>
          <w:kern w:val="0"/>
          <w:highlight w:val="none"/>
          <w:u w:val="single"/>
        </w:rPr>
        <w:t xml:space="preserve">                           </w:t>
      </w:r>
      <w:r>
        <w:rPr>
          <w:rFonts w:ascii="宋体" w:hAnsi="宋体"/>
          <w:color w:val="auto"/>
          <w:kern w:val="0"/>
          <w:highlight w:val="none"/>
        </w:rPr>
        <w:t>（</w:t>
      </w:r>
      <w:r>
        <w:rPr>
          <w:rFonts w:hint="eastAsia" w:ascii="宋体" w:hAnsi="宋体"/>
          <w:color w:val="auto"/>
          <w:kern w:val="0"/>
          <w:highlight w:val="none"/>
        </w:rPr>
        <w:t>签名</w:t>
      </w:r>
      <w:r>
        <w:rPr>
          <w:rFonts w:ascii="宋体" w:hAnsi="宋体"/>
          <w:color w:val="auto"/>
          <w:kern w:val="0"/>
          <w:highlight w:val="none"/>
        </w:rPr>
        <w:t>或盖章）</w:t>
      </w:r>
    </w:p>
    <w:p>
      <w:pPr>
        <w:tabs>
          <w:tab w:val="left" w:pos="7140"/>
          <w:tab w:val="left" w:pos="7560"/>
          <w:tab w:val="left" w:pos="8300"/>
        </w:tabs>
        <w:autoSpaceDE w:val="0"/>
        <w:autoSpaceDN w:val="0"/>
        <w:adjustRightInd w:val="0"/>
        <w:ind w:firstLine="420" w:firstLineChars="200"/>
        <w:rPr>
          <w:rFonts w:ascii="宋体" w:hAnsi="宋体"/>
          <w:snapToGrid w:val="0"/>
          <w:color w:val="auto"/>
          <w:kern w:val="0"/>
          <w:highlight w:val="none"/>
        </w:rPr>
      </w:pPr>
    </w:p>
    <w:p>
      <w:pPr>
        <w:tabs>
          <w:tab w:val="left" w:pos="3840"/>
          <w:tab w:val="left" w:pos="4780"/>
          <w:tab w:val="left" w:pos="5720"/>
        </w:tabs>
        <w:autoSpaceDE w:val="0"/>
        <w:autoSpaceDN w:val="0"/>
        <w:adjustRightInd w:val="0"/>
        <w:snapToGrid w:val="0"/>
        <w:spacing w:before="120" w:beforeLines="50" w:line="500" w:lineRule="exact"/>
        <w:ind w:right="420" w:firstLine="5565" w:firstLineChars="2650"/>
        <w:jc w:val="right"/>
        <w:rPr>
          <w:rFonts w:ascii="宋体" w:hAnsi="宋体"/>
          <w:snapToGrid w:val="0"/>
          <w:color w:val="auto"/>
          <w:kern w:val="0"/>
          <w:highlight w:val="none"/>
        </w:rPr>
      </w:pPr>
      <w:r>
        <w:rPr>
          <w:rFonts w:ascii="宋体" w:hAnsi="宋体"/>
          <w:color w:val="auto"/>
          <w:kern w:val="0"/>
          <w:highlight w:val="none"/>
          <w:u w:val="single"/>
        </w:rPr>
        <w:t xml:space="preserve">    </w:t>
      </w:r>
      <w:r>
        <w:rPr>
          <w:rFonts w:ascii="宋体" w:hAnsi="宋体"/>
          <w:color w:val="auto"/>
          <w:kern w:val="0"/>
          <w:highlight w:val="none"/>
        </w:rPr>
        <w:t>年</w:t>
      </w:r>
      <w:r>
        <w:rPr>
          <w:rFonts w:ascii="宋体" w:hAnsi="宋体"/>
          <w:color w:val="auto"/>
          <w:kern w:val="0"/>
          <w:highlight w:val="none"/>
          <w:u w:val="single"/>
        </w:rPr>
        <w:t xml:space="preserve">    </w:t>
      </w:r>
      <w:r>
        <w:rPr>
          <w:rFonts w:ascii="宋体" w:hAnsi="宋体"/>
          <w:color w:val="auto"/>
          <w:kern w:val="0"/>
          <w:highlight w:val="none"/>
        </w:rPr>
        <w:t>月</w:t>
      </w:r>
      <w:r>
        <w:rPr>
          <w:rFonts w:ascii="宋体" w:hAnsi="宋体"/>
          <w:color w:val="auto"/>
          <w:kern w:val="0"/>
          <w:highlight w:val="none"/>
          <w:u w:val="single"/>
        </w:rPr>
        <w:t xml:space="preserve">    </w:t>
      </w:r>
      <w:r>
        <w:rPr>
          <w:rFonts w:ascii="宋体" w:hAnsi="宋体"/>
          <w:color w:val="auto"/>
          <w:kern w:val="0"/>
          <w:highlight w:val="none"/>
        </w:rPr>
        <w:t>日</w:t>
      </w:r>
    </w:p>
    <w:p>
      <w:pPr>
        <w:pStyle w:val="4"/>
        <w:jc w:val="center"/>
        <w:rPr>
          <w:rFonts w:ascii="宋体" w:hAnsi="宋体" w:eastAsia="宋体" w:cs="宋体"/>
          <w:color w:val="auto"/>
          <w:highlight w:val="none"/>
        </w:rPr>
        <w:sectPr>
          <w:footnotePr>
            <w:numFmt w:val="decimalEnclosedCircleChinese"/>
            <w:numRestart w:val="eachPage"/>
          </w:footnotePr>
          <w:pgSz w:w="11905" w:h="16838"/>
          <w:pgMar w:top="1474" w:right="1304" w:bottom="1247" w:left="1417" w:header="850" w:footer="992" w:gutter="0"/>
          <w:cols w:space="0" w:num="1"/>
        </w:sectPr>
      </w:pPr>
    </w:p>
    <w:p>
      <w:pPr>
        <w:pStyle w:val="4"/>
        <w:jc w:val="center"/>
        <w:rPr>
          <w:rFonts w:ascii="宋体" w:hAnsi="宋体"/>
          <w:color w:val="auto"/>
          <w:highlight w:val="none"/>
        </w:rPr>
      </w:pPr>
      <w:r>
        <w:rPr>
          <w:rFonts w:hint="eastAsia" w:ascii="宋体" w:hAnsi="宋体"/>
          <w:color w:val="auto"/>
          <w:highlight w:val="none"/>
        </w:rPr>
        <w:t>四</w:t>
      </w:r>
      <w:r>
        <w:rPr>
          <w:rFonts w:ascii="宋体" w:hAnsi="宋体"/>
          <w:color w:val="auto"/>
          <w:highlight w:val="none"/>
        </w:rPr>
        <w:t>、投标保证金</w:t>
      </w:r>
    </w:p>
    <w:p>
      <w:pPr>
        <w:spacing w:line="360" w:lineRule="auto"/>
        <w:ind w:firstLine="420" w:firstLineChars="200"/>
        <w:rPr>
          <w:rFonts w:ascii="宋体" w:hAnsi="宋体"/>
          <w:color w:val="auto"/>
          <w:highlight w:val="none"/>
        </w:rPr>
      </w:pPr>
      <w:r>
        <w:rPr>
          <w:rFonts w:hint="eastAsia" w:ascii="宋体" w:hAnsi="宋体"/>
          <w:color w:val="auto"/>
          <w:highlight w:val="none"/>
        </w:rPr>
        <w:t>投标保证金</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 投标保证金</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[提示：以转账支票或电汇形式交纳投标保证金的提供以下资料]</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企业基本账户开户证明文件复印件。</w:t>
      </w: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pStyle w:val="33"/>
        <w:rPr>
          <w:rFonts w:ascii="宋体" w:hAnsi="宋体" w:eastAsia="宋体" w:cs="宋体"/>
          <w:color w:val="auto"/>
          <w:highlight w:val="none"/>
        </w:rPr>
      </w:pPr>
    </w:p>
    <w:p>
      <w:pPr>
        <w:pStyle w:val="33"/>
        <w:rPr>
          <w:rFonts w:ascii="宋体" w:hAnsi="宋体" w:eastAsia="宋体" w:cs="宋体"/>
          <w:color w:val="auto"/>
          <w:highlight w:val="none"/>
        </w:rPr>
      </w:pPr>
    </w:p>
    <w:p>
      <w:pPr>
        <w:pStyle w:val="33"/>
        <w:rPr>
          <w:rFonts w:ascii="宋体" w:hAnsi="宋体" w:eastAsia="宋体" w:cs="宋体"/>
          <w:color w:val="auto"/>
          <w:highlight w:val="none"/>
        </w:rPr>
      </w:pPr>
    </w:p>
    <w:p>
      <w:pPr>
        <w:pStyle w:val="33"/>
        <w:rPr>
          <w:rFonts w:ascii="宋体" w:hAnsi="宋体" w:eastAsia="宋体" w:cs="宋体"/>
          <w:color w:val="auto"/>
          <w:highlight w:val="none"/>
        </w:rPr>
      </w:pPr>
    </w:p>
    <w:p>
      <w:pPr>
        <w:pStyle w:val="33"/>
        <w:rPr>
          <w:rFonts w:ascii="宋体" w:hAnsi="宋体" w:eastAsia="宋体" w:cs="宋体"/>
          <w:color w:val="auto"/>
          <w:highlight w:val="none"/>
        </w:rPr>
      </w:pPr>
    </w:p>
    <w:p>
      <w:pPr>
        <w:pStyle w:val="33"/>
        <w:rPr>
          <w:rFonts w:ascii="宋体" w:hAnsi="宋体" w:eastAsia="宋体" w:cs="宋体"/>
          <w:color w:val="auto"/>
          <w:highlight w:val="none"/>
        </w:rPr>
      </w:pPr>
    </w:p>
    <w:p>
      <w:pPr>
        <w:pStyle w:val="33"/>
        <w:rPr>
          <w:rFonts w:ascii="宋体" w:hAnsi="宋体" w:eastAsia="宋体" w:cs="宋体"/>
          <w:color w:val="auto"/>
          <w:highlight w:val="none"/>
        </w:rPr>
      </w:pPr>
    </w:p>
    <w:p>
      <w:pPr>
        <w:pStyle w:val="33"/>
        <w:rPr>
          <w:rFonts w:ascii="宋体" w:hAnsi="宋体" w:eastAsia="宋体" w:cs="宋体"/>
          <w:color w:val="auto"/>
          <w:highlight w:val="none"/>
        </w:rPr>
      </w:pPr>
    </w:p>
    <w:p>
      <w:pPr>
        <w:pStyle w:val="33"/>
        <w:rPr>
          <w:rFonts w:ascii="宋体" w:hAnsi="宋体" w:eastAsia="宋体" w:cs="宋体"/>
          <w:color w:val="auto"/>
          <w:highlight w:val="none"/>
        </w:rPr>
      </w:pPr>
    </w:p>
    <w:p>
      <w:pPr>
        <w:pStyle w:val="33"/>
        <w:rPr>
          <w:rFonts w:ascii="宋体" w:hAnsi="宋体" w:eastAsia="宋体" w:cs="宋体"/>
          <w:color w:val="auto"/>
          <w:highlight w:val="none"/>
        </w:rPr>
      </w:pPr>
    </w:p>
    <w:p>
      <w:pPr>
        <w:pStyle w:val="33"/>
        <w:rPr>
          <w:rFonts w:ascii="宋体" w:hAnsi="宋体" w:eastAsia="宋体" w:cs="宋体"/>
          <w:color w:val="auto"/>
          <w:highlight w:val="none"/>
        </w:rPr>
      </w:pPr>
    </w:p>
    <w:p>
      <w:pPr>
        <w:pStyle w:val="33"/>
        <w:rPr>
          <w:rFonts w:ascii="宋体" w:hAnsi="宋体" w:eastAsia="宋体" w:cs="宋体"/>
          <w:color w:val="auto"/>
          <w:highlight w:val="none"/>
        </w:rPr>
      </w:pPr>
    </w:p>
    <w:p>
      <w:pPr>
        <w:pStyle w:val="33"/>
        <w:rPr>
          <w:rFonts w:ascii="宋体" w:hAnsi="宋体" w:eastAsia="宋体" w:cs="宋体"/>
          <w:color w:val="auto"/>
          <w:highlight w:val="none"/>
        </w:rPr>
      </w:pPr>
    </w:p>
    <w:p>
      <w:pPr>
        <w:pStyle w:val="33"/>
        <w:rPr>
          <w:rFonts w:ascii="宋体" w:hAnsi="宋体" w:eastAsia="宋体" w:cs="宋体"/>
          <w:color w:val="auto"/>
          <w:highlight w:val="none"/>
        </w:rPr>
      </w:pPr>
    </w:p>
    <w:p>
      <w:pPr>
        <w:pStyle w:val="33"/>
        <w:rPr>
          <w:rFonts w:ascii="宋体" w:hAnsi="宋体" w:eastAsia="宋体" w:cs="宋体"/>
          <w:color w:val="auto"/>
          <w:highlight w:val="none"/>
        </w:rPr>
      </w:pPr>
    </w:p>
    <w:p>
      <w:pPr>
        <w:pStyle w:val="33"/>
        <w:rPr>
          <w:rFonts w:ascii="宋体" w:hAnsi="宋体" w:eastAsia="宋体" w:cs="宋体"/>
          <w:color w:val="auto"/>
          <w:highlight w:val="none"/>
        </w:rPr>
      </w:pPr>
    </w:p>
    <w:p>
      <w:pPr>
        <w:pStyle w:val="33"/>
        <w:rPr>
          <w:rFonts w:ascii="宋体" w:hAnsi="宋体" w:eastAsia="宋体" w:cs="宋体"/>
          <w:color w:val="auto"/>
          <w:highlight w:val="none"/>
        </w:rPr>
      </w:pPr>
    </w:p>
    <w:p>
      <w:pPr>
        <w:pStyle w:val="33"/>
        <w:rPr>
          <w:rFonts w:ascii="宋体" w:hAnsi="宋体" w:eastAsia="宋体" w:cs="宋体"/>
          <w:color w:val="auto"/>
          <w:highlight w:val="none"/>
        </w:rPr>
      </w:pPr>
    </w:p>
    <w:p>
      <w:pPr>
        <w:pStyle w:val="33"/>
        <w:rPr>
          <w:rFonts w:ascii="宋体" w:hAnsi="宋体" w:eastAsia="宋体" w:cs="宋体"/>
          <w:color w:val="auto"/>
          <w:highlight w:val="none"/>
        </w:rPr>
      </w:pPr>
    </w:p>
    <w:p>
      <w:pPr>
        <w:pStyle w:val="33"/>
        <w:rPr>
          <w:rFonts w:ascii="宋体" w:hAnsi="宋体" w:eastAsia="宋体" w:cs="宋体"/>
          <w:color w:val="auto"/>
          <w:highlight w:val="none"/>
        </w:rPr>
      </w:pPr>
    </w:p>
    <w:p>
      <w:pPr>
        <w:pStyle w:val="33"/>
        <w:rPr>
          <w:rFonts w:ascii="宋体" w:hAnsi="宋体" w:eastAsia="宋体" w:cs="宋体"/>
          <w:color w:val="auto"/>
          <w:highlight w:val="none"/>
        </w:rPr>
      </w:pPr>
    </w:p>
    <w:p>
      <w:pPr>
        <w:pStyle w:val="33"/>
        <w:rPr>
          <w:rFonts w:ascii="宋体" w:hAnsi="宋体" w:eastAsia="宋体" w:cs="宋体"/>
          <w:color w:val="auto"/>
          <w:highlight w:val="none"/>
        </w:rPr>
      </w:pPr>
    </w:p>
    <w:p>
      <w:pPr>
        <w:pStyle w:val="33"/>
        <w:rPr>
          <w:rFonts w:ascii="宋体" w:hAnsi="宋体" w:eastAsia="宋体" w:cs="宋体"/>
          <w:color w:val="auto"/>
          <w:highlight w:val="none"/>
        </w:rPr>
      </w:pPr>
    </w:p>
    <w:p>
      <w:pPr>
        <w:pStyle w:val="33"/>
        <w:rPr>
          <w:rFonts w:ascii="宋体" w:hAnsi="宋体" w:eastAsia="宋体" w:cs="宋体"/>
          <w:color w:val="auto"/>
          <w:highlight w:val="none"/>
        </w:rPr>
      </w:pPr>
    </w:p>
    <w:p>
      <w:pPr>
        <w:pStyle w:val="33"/>
        <w:rPr>
          <w:rFonts w:ascii="宋体" w:hAnsi="宋体" w:eastAsia="宋体" w:cs="宋体"/>
          <w:color w:val="auto"/>
          <w:highlight w:val="none"/>
        </w:rPr>
      </w:pPr>
    </w:p>
    <w:p>
      <w:pPr>
        <w:pStyle w:val="33"/>
        <w:rPr>
          <w:rFonts w:ascii="宋体" w:hAnsi="宋体" w:eastAsia="宋体" w:cs="宋体"/>
          <w:color w:val="auto"/>
          <w:highlight w:val="none"/>
        </w:rPr>
      </w:pPr>
    </w:p>
    <w:p>
      <w:pPr>
        <w:pStyle w:val="33"/>
        <w:rPr>
          <w:rFonts w:ascii="宋体" w:hAnsi="宋体" w:eastAsia="宋体" w:cs="宋体"/>
          <w:color w:val="auto"/>
          <w:highlight w:val="none"/>
        </w:rPr>
      </w:pPr>
    </w:p>
    <w:p>
      <w:pPr>
        <w:pStyle w:val="33"/>
        <w:rPr>
          <w:rFonts w:ascii="宋体" w:hAnsi="宋体" w:eastAsia="宋体" w:cs="宋体"/>
          <w:color w:val="auto"/>
          <w:highlight w:val="none"/>
        </w:rPr>
      </w:pPr>
    </w:p>
    <w:p>
      <w:pPr>
        <w:widowControl/>
        <w:snapToGrid w:val="0"/>
        <w:spacing w:line="360" w:lineRule="auto"/>
        <w:jc w:val="center"/>
        <w:rPr>
          <w:rFonts w:ascii="宋体" w:hAnsi="宋体"/>
          <w:b/>
          <w:color w:val="auto"/>
          <w:highlight w:val="none"/>
          <w:lang w:bidi="ar"/>
        </w:rPr>
      </w:pPr>
    </w:p>
    <w:p>
      <w:pPr>
        <w:widowControl/>
        <w:snapToGrid w:val="0"/>
        <w:spacing w:line="360" w:lineRule="auto"/>
        <w:jc w:val="center"/>
        <w:rPr>
          <w:rFonts w:ascii="宋体" w:hAnsi="宋体"/>
          <w:b/>
          <w:color w:val="auto"/>
          <w:highlight w:val="none"/>
          <w:lang w:bidi="ar"/>
        </w:rPr>
      </w:pPr>
    </w:p>
    <w:p>
      <w:pPr>
        <w:widowControl/>
        <w:snapToGrid w:val="0"/>
        <w:spacing w:line="360" w:lineRule="auto"/>
        <w:jc w:val="center"/>
        <w:rPr>
          <w:rFonts w:ascii="宋体" w:hAnsi="宋体"/>
          <w:b/>
          <w:color w:val="auto"/>
          <w:highlight w:val="none"/>
          <w:lang w:bidi="ar"/>
        </w:rPr>
        <w:sectPr>
          <w:footnotePr>
            <w:numFmt w:val="decimalEnclosedCircleChinese"/>
            <w:numRestart w:val="eachPage"/>
          </w:footnotePr>
          <w:pgSz w:w="11905" w:h="16838"/>
          <w:pgMar w:top="1474" w:right="1304" w:bottom="1247" w:left="1417" w:header="850" w:footer="992" w:gutter="0"/>
          <w:cols w:space="0" w:num="1"/>
        </w:sectPr>
      </w:pPr>
    </w:p>
    <w:p>
      <w:pPr>
        <w:pStyle w:val="4"/>
        <w:jc w:val="center"/>
        <w:rPr>
          <w:b w:val="0"/>
          <w:bCs w:val="0"/>
          <w:color w:val="auto"/>
          <w:sz w:val="28"/>
          <w:szCs w:val="28"/>
          <w:highlight w:val="none"/>
        </w:rPr>
      </w:pPr>
      <w:r>
        <w:rPr>
          <w:rFonts w:hint="eastAsia" w:ascii="宋体" w:hAnsi="宋体" w:cs="宋体"/>
          <w:color w:val="auto"/>
          <w:sz w:val="28"/>
          <w:highlight w:val="none"/>
        </w:rPr>
        <w:t>五、</w:t>
      </w:r>
      <w:r>
        <w:rPr>
          <w:rStyle w:val="38"/>
          <w:rFonts w:hint="eastAsia"/>
          <w:b/>
          <w:bCs/>
          <w:color w:val="auto"/>
          <w:highlight w:val="none"/>
        </w:rPr>
        <w:t>资格审查资料</w:t>
      </w:r>
    </w:p>
    <w:p>
      <w:pPr>
        <w:pStyle w:val="4"/>
        <w:jc w:val="center"/>
        <w:rPr>
          <w:b w:val="0"/>
          <w:bCs w:val="0"/>
          <w:color w:val="auto"/>
          <w:sz w:val="28"/>
          <w:szCs w:val="28"/>
          <w:highlight w:val="none"/>
        </w:rPr>
      </w:pPr>
      <w:r>
        <w:rPr>
          <w:rFonts w:hint="eastAsia"/>
          <w:color w:val="auto"/>
          <w:sz w:val="28"/>
          <w:highlight w:val="none"/>
        </w:rPr>
        <w:t>（一）</w:t>
      </w:r>
      <w:r>
        <w:rPr>
          <w:rFonts w:hint="eastAsia"/>
          <w:b w:val="0"/>
          <w:bCs w:val="0"/>
          <w:color w:val="auto"/>
          <w:sz w:val="28"/>
          <w:szCs w:val="28"/>
          <w:highlight w:val="none"/>
        </w:rPr>
        <w:t>投标人基本情况表</w:t>
      </w:r>
    </w:p>
    <w:tbl>
      <w:tblPr>
        <w:tblStyle w:val="19"/>
        <w:tblW w:w="8940" w:type="dxa"/>
        <w:tblInd w:w="2" w:type="dxa"/>
        <w:tblLayout w:type="fixed"/>
        <w:tblCellMar>
          <w:top w:w="0" w:type="dxa"/>
          <w:left w:w="108" w:type="dxa"/>
          <w:bottom w:w="0" w:type="dxa"/>
          <w:right w:w="108" w:type="dxa"/>
        </w:tblCellMar>
      </w:tblPr>
      <w:tblGrid>
        <w:gridCol w:w="2026"/>
        <w:gridCol w:w="1245"/>
        <w:gridCol w:w="1427"/>
        <w:gridCol w:w="483"/>
        <w:gridCol w:w="803"/>
        <w:gridCol w:w="348"/>
        <w:gridCol w:w="617"/>
        <w:gridCol w:w="965"/>
        <w:gridCol w:w="1026"/>
      </w:tblGrid>
      <w:tr>
        <w:tblPrEx>
          <w:tblCellMar>
            <w:top w:w="0" w:type="dxa"/>
            <w:left w:w="108" w:type="dxa"/>
            <w:bottom w:w="0" w:type="dxa"/>
            <w:right w:w="108" w:type="dxa"/>
          </w:tblCellMar>
        </w:tblPrEx>
        <w:trPr>
          <w:trHeight w:val="553" w:hRule="atLeast"/>
        </w:trPr>
        <w:tc>
          <w:tcPr>
            <w:tcW w:w="2026"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color w:val="auto"/>
                <w:highlight w:val="none"/>
              </w:rPr>
            </w:pPr>
            <w:r>
              <w:rPr>
                <w:rFonts w:hint="eastAsia" w:ascii="宋体" w:hAnsi="宋体" w:cs="宋体"/>
                <w:color w:val="auto"/>
                <w:highlight w:val="none"/>
              </w:rPr>
              <w:t>投标人名称</w:t>
            </w:r>
          </w:p>
        </w:tc>
        <w:tc>
          <w:tcPr>
            <w:tcW w:w="6914" w:type="dxa"/>
            <w:gridSpan w:val="8"/>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highlight w:val="none"/>
              </w:rPr>
            </w:pPr>
          </w:p>
        </w:tc>
      </w:tr>
      <w:tr>
        <w:tblPrEx>
          <w:tblCellMar>
            <w:top w:w="0" w:type="dxa"/>
            <w:left w:w="108" w:type="dxa"/>
            <w:bottom w:w="0" w:type="dxa"/>
            <w:right w:w="108" w:type="dxa"/>
          </w:tblCellMar>
        </w:tblPrEx>
        <w:trPr>
          <w:trHeight w:val="553" w:hRule="atLeast"/>
        </w:trPr>
        <w:tc>
          <w:tcPr>
            <w:tcW w:w="2026"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color w:val="auto"/>
                <w:highlight w:val="none"/>
              </w:rPr>
            </w:pPr>
            <w:r>
              <w:rPr>
                <w:rFonts w:hint="eastAsia" w:ascii="宋体" w:hAnsi="宋体" w:cs="宋体"/>
                <w:color w:val="auto"/>
                <w:highlight w:val="none"/>
              </w:rPr>
              <w:t>注册地址</w:t>
            </w:r>
          </w:p>
        </w:tc>
        <w:tc>
          <w:tcPr>
            <w:tcW w:w="3155" w:type="dxa"/>
            <w:gridSpan w:val="3"/>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highlight w:val="none"/>
              </w:rPr>
            </w:pPr>
          </w:p>
        </w:tc>
        <w:tc>
          <w:tcPr>
            <w:tcW w:w="1151" w:type="dxa"/>
            <w:gridSpan w:val="2"/>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color w:val="auto"/>
                <w:highlight w:val="none"/>
              </w:rPr>
            </w:pPr>
            <w:r>
              <w:rPr>
                <w:rFonts w:hint="eastAsia" w:ascii="宋体" w:hAnsi="宋体" w:cs="宋体"/>
                <w:color w:val="auto"/>
                <w:highlight w:val="none"/>
              </w:rPr>
              <w:t>邮政编码</w:t>
            </w:r>
          </w:p>
        </w:tc>
        <w:tc>
          <w:tcPr>
            <w:tcW w:w="260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p>
        </w:tc>
      </w:tr>
      <w:tr>
        <w:tblPrEx>
          <w:tblCellMar>
            <w:top w:w="0" w:type="dxa"/>
            <w:left w:w="108" w:type="dxa"/>
            <w:bottom w:w="0" w:type="dxa"/>
            <w:right w:w="108" w:type="dxa"/>
          </w:tblCellMar>
        </w:tblPrEx>
        <w:trPr>
          <w:trHeight w:val="553" w:hRule="atLeast"/>
        </w:trPr>
        <w:tc>
          <w:tcPr>
            <w:tcW w:w="2026" w:type="dxa"/>
            <w:vMerge w:val="restart"/>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color w:val="auto"/>
                <w:highlight w:val="none"/>
              </w:rPr>
            </w:pPr>
            <w:r>
              <w:rPr>
                <w:rFonts w:hint="eastAsia" w:ascii="宋体" w:hAnsi="宋体" w:cs="宋体"/>
                <w:color w:val="auto"/>
                <w:highlight w:val="none"/>
              </w:rPr>
              <w:t>联系方式</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color w:val="auto"/>
                <w:highlight w:val="none"/>
              </w:rPr>
            </w:pPr>
            <w:r>
              <w:rPr>
                <w:rFonts w:hint="eastAsia" w:ascii="宋体" w:hAnsi="宋体" w:cs="宋体"/>
                <w:color w:val="auto"/>
                <w:highlight w:val="none"/>
              </w:rPr>
              <w:t>联系人</w:t>
            </w:r>
          </w:p>
        </w:tc>
        <w:tc>
          <w:tcPr>
            <w:tcW w:w="1910" w:type="dxa"/>
            <w:gridSpan w:val="2"/>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highlight w:val="none"/>
              </w:rPr>
            </w:pPr>
          </w:p>
        </w:tc>
        <w:tc>
          <w:tcPr>
            <w:tcW w:w="1151" w:type="dxa"/>
            <w:gridSpan w:val="2"/>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color w:val="auto"/>
                <w:highlight w:val="none"/>
              </w:rPr>
            </w:pPr>
            <w:r>
              <w:rPr>
                <w:rFonts w:hint="eastAsia" w:ascii="宋体" w:hAnsi="宋体" w:cs="宋体"/>
                <w:color w:val="auto"/>
                <w:highlight w:val="none"/>
              </w:rPr>
              <w:t>电    话</w:t>
            </w:r>
          </w:p>
        </w:tc>
        <w:tc>
          <w:tcPr>
            <w:tcW w:w="260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p>
        </w:tc>
      </w:tr>
      <w:tr>
        <w:tblPrEx>
          <w:tblCellMar>
            <w:top w:w="0" w:type="dxa"/>
            <w:left w:w="108" w:type="dxa"/>
            <w:bottom w:w="0" w:type="dxa"/>
            <w:right w:w="108" w:type="dxa"/>
          </w:tblCellMar>
        </w:tblPrEx>
        <w:trPr>
          <w:trHeight w:val="571" w:hRule="atLeast"/>
        </w:trPr>
        <w:tc>
          <w:tcPr>
            <w:tcW w:w="202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auto"/>
                <w:highlight w:val="none"/>
              </w:rPr>
            </w:pP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color w:val="auto"/>
                <w:highlight w:val="none"/>
              </w:rPr>
            </w:pPr>
            <w:r>
              <w:rPr>
                <w:rFonts w:hint="eastAsia" w:ascii="宋体" w:hAnsi="宋体" w:cs="宋体"/>
                <w:color w:val="auto"/>
                <w:highlight w:val="none"/>
              </w:rPr>
              <w:t>传   真</w:t>
            </w:r>
          </w:p>
        </w:tc>
        <w:tc>
          <w:tcPr>
            <w:tcW w:w="1910" w:type="dxa"/>
            <w:gridSpan w:val="2"/>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highlight w:val="none"/>
              </w:rPr>
            </w:pPr>
          </w:p>
        </w:tc>
        <w:tc>
          <w:tcPr>
            <w:tcW w:w="1151" w:type="dxa"/>
            <w:gridSpan w:val="2"/>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color w:val="auto"/>
                <w:highlight w:val="none"/>
              </w:rPr>
            </w:pPr>
            <w:r>
              <w:rPr>
                <w:rFonts w:hint="eastAsia" w:ascii="宋体" w:hAnsi="宋体" w:cs="宋体"/>
                <w:color w:val="auto"/>
                <w:highlight w:val="none"/>
              </w:rPr>
              <w:t>电子邮件</w:t>
            </w:r>
          </w:p>
        </w:tc>
        <w:tc>
          <w:tcPr>
            <w:tcW w:w="260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p>
        </w:tc>
      </w:tr>
      <w:tr>
        <w:tblPrEx>
          <w:tblCellMar>
            <w:top w:w="0" w:type="dxa"/>
            <w:left w:w="108" w:type="dxa"/>
            <w:bottom w:w="0" w:type="dxa"/>
            <w:right w:w="108" w:type="dxa"/>
          </w:tblCellMar>
        </w:tblPrEx>
        <w:trPr>
          <w:trHeight w:val="553" w:hRule="atLeast"/>
        </w:trPr>
        <w:tc>
          <w:tcPr>
            <w:tcW w:w="2026"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color w:val="auto"/>
                <w:highlight w:val="none"/>
              </w:rPr>
            </w:pPr>
            <w:r>
              <w:rPr>
                <w:rFonts w:hint="eastAsia" w:ascii="宋体" w:hAnsi="宋体" w:cs="宋体"/>
                <w:color w:val="auto"/>
                <w:highlight w:val="none"/>
              </w:rPr>
              <w:t>法定代表人</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color w:val="auto"/>
                <w:highlight w:val="none"/>
              </w:rPr>
            </w:pPr>
            <w:r>
              <w:rPr>
                <w:rFonts w:hint="eastAsia" w:ascii="宋体" w:hAnsi="宋体" w:cs="宋体"/>
                <w:color w:val="auto"/>
                <w:highlight w:val="none"/>
              </w:rPr>
              <w:t>姓   名</w:t>
            </w:r>
          </w:p>
        </w:tc>
        <w:tc>
          <w:tcPr>
            <w:tcW w:w="142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highlight w:val="none"/>
              </w:rPr>
            </w:pPr>
          </w:p>
        </w:tc>
        <w:tc>
          <w:tcPr>
            <w:tcW w:w="1286" w:type="dxa"/>
            <w:gridSpan w:val="2"/>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color w:val="auto"/>
                <w:highlight w:val="none"/>
              </w:rPr>
            </w:pPr>
            <w:r>
              <w:rPr>
                <w:rFonts w:hint="eastAsia" w:ascii="宋体" w:hAnsi="宋体" w:cs="宋体"/>
                <w:color w:val="auto"/>
                <w:highlight w:val="none"/>
              </w:rPr>
              <w:t>技术职称</w:t>
            </w:r>
          </w:p>
        </w:tc>
        <w:tc>
          <w:tcPr>
            <w:tcW w:w="9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auto"/>
                <w:highlight w:val="none"/>
              </w:rPr>
            </w:pPr>
          </w:p>
        </w:tc>
        <w:tc>
          <w:tcPr>
            <w:tcW w:w="965"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color w:val="auto"/>
                <w:highlight w:val="none"/>
              </w:rPr>
            </w:pPr>
            <w:r>
              <w:rPr>
                <w:rFonts w:hint="eastAsia" w:ascii="宋体" w:hAnsi="宋体" w:cs="宋体"/>
                <w:color w:val="auto"/>
                <w:highlight w:val="none"/>
              </w:rPr>
              <w:t>电话</w:t>
            </w:r>
          </w:p>
        </w:tc>
        <w:tc>
          <w:tcPr>
            <w:tcW w:w="102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highlight w:val="none"/>
              </w:rPr>
            </w:pPr>
          </w:p>
        </w:tc>
      </w:tr>
      <w:tr>
        <w:tblPrEx>
          <w:tblCellMar>
            <w:top w:w="0" w:type="dxa"/>
            <w:left w:w="108" w:type="dxa"/>
            <w:bottom w:w="0" w:type="dxa"/>
            <w:right w:w="108" w:type="dxa"/>
          </w:tblCellMar>
        </w:tblPrEx>
        <w:trPr>
          <w:trHeight w:val="571" w:hRule="atLeast"/>
        </w:trPr>
        <w:tc>
          <w:tcPr>
            <w:tcW w:w="2026"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color w:val="auto"/>
                <w:highlight w:val="none"/>
              </w:rPr>
            </w:pPr>
            <w:r>
              <w:rPr>
                <w:rFonts w:hint="eastAsia" w:ascii="宋体" w:hAnsi="宋体" w:cs="宋体"/>
                <w:color w:val="auto"/>
                <w:highlight w:val="none"/>
              </w:rPr>
              <w:t>营业执照号</w:t>
            </w:r>
          </w:p>
        </w:tc>
        <w:tc>
          <w:tcPr>
            <w:tcW w:w="3155" w:type="dxa"/>
            <w:gridSpan w:val="3"/>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highlight w:val="none"/>
              </w:rPr>
            </w:pPr>
          </w:p>
        </w:tc>
        <w:tc>
          <w:tcPr>
            <w:tcW w:w="3759" w:type="dxa"/>
            <w:gridSpan w:val="5"/>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color w:val="auto"/>
                <w:highlight w:val="none"/>
              </w:rPr>
            </w:pPr>
            <w:r>
              <w:rPr>
                <w:rFonts w:hint="eastAsia" w:ascii="宋体" w:hAnsi="宋体" w:cs="宋体"/>
                <w:color w:val="auto"/>
                <w:highlight w:val="none"/>
              </w:rPr>
              <w:t>员工总人数：</w:t>
            </w:r>
          </w:p>
        </w:tc>
      </w:tr>
      <w:tr>
        <w:tblPrEx>
          <w:tblCellMar>
            <w:top w:w="0" w:type="dxa"/>
            <w:left w:w="108" w:type="dxa"/>
            <w:bottom w:w="0" w:type="dxa"/>
            <w:right w:w="108" w:type="dxa"/>
          </w:tblCellMar>
        </w:tblPrEx>
        <w:trPr>
          <w:trHeight w:val="553" w:hRule="atLeast"/>
        </w:trPr>
        <w:tc>
          <w:tcPr>
            <w:tcW w:w="2026"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color w:val="auto"/>
                <w:highlight w:val="none"/>
              </w:rPr>
            </w:pPr>
            <w:r>
              <w:rPr>
                <w:rFonts w:hint="eastAsia" w:ascii="宋体" w:hAnsi="宋体" w:cs="宋体"/>
                <w:color w:val="auto"/>
                <w:highlight w:val="none"/>
              </w:rPr>
              <w:t>注册资本</w:t>
            </w:r>
          </w:p>
        </w:tc>
        <w:tc>
          <w:tcPr>
            <w:tcW w:w="6914" w:type="dxa"/>
            <w:gridSpan w:val="8"/>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highlight w:val="none"/>
              </w:rPr>
            </w:pPr>
          </w:p>
        </w:tc>
      </w:tr>
      <w:tr>
        <w:tblPrEx>
          <w:tblCellMar>
            <w:top w:w="0" w:type="dxa"/>
            <w:left w:w="108" w:type="dxa"/>
            <w:bottom w:w="0" w:type="dxa"/>
            <w:right w:w="108" w:type="dxa"/>
          </w:tblCellMar>
        </w:tblPrEx>
        <w:trPr>
          <w:trHeight w:val="553" w:hRule="atLeast"/>
        </w:trPr>
        <w:tc>
          <w:tcPr>
            <w:tcW w:w="2026"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color w:val="auto"/>
                <w:highlight w:val="none"/>
              </w:rPr>
            </w:pPr>
            <w:r>
              <w:rPr>
                <w:rFonts w:hint="eastAsia" w:ascii="宋体" w:hAnsi="宋体" w:cs="宋体"/>
                <w:color w:val="auto"/>
                <w:highlight w:val="none"/>
              </w:rPr>
              <w:t>成立时间</w:t>
            </w:r>
          </w:p>
        </w:tc>
        <w:tc>
          <w:tcPr>
            <w:tcW w:w="6914" w:type="dxa"/>
            <w:gridSpan w:val="8"/>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highlight w:val="none"/>
              </w:rPr>
            </w:pPr>
          </w:p>
        </w:tc>
      </w:tr>
      <w:tr>
        <w:tblPrEx>
          <w:tblCellMar>
            <w:top w:w="0" w:type="dxa"/>
            <w:left w:w="108" w:type="dxa"/>
            <w:bottom w:w="0" w:type="dxa"/>
            <w:right w:w="108" w:type="dxa"/>
          </w:tblCellMar>
        </w:tblPrEx>
        <w:trPr>
          <w:trHeight w:val="553" w:hRule="atLeast"/>
        </w:trPr>
        <w:tc>
          <w:tcPr>
            <w:tcW w:w="2026"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color w:val="auto"/>
                <w:highlight w:val="none"/>
              </w:rPr>
            </w:pPr>
            <w:r>
              <w:rPr>
                <w:rFonts w:hint="eastAsia" w:ascii="宋体" w:hAnsi="宋体" w:cs="宋体"/>
                <w:color w:val="auto"/>
                <w:highlight w:val="none"/>
              </w:rPr>
              <w:t>基本账户开户银行</w:t>
            </w:r>
          </w:p>
        </w:tc>
        <w:tc>
          <w:tcPr>
            <w:tcW w:w="6914" w:type="dxa"/>
            <w:gridSpan w:val="8"/>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highlight w:val="none"/>
              </w:rPr>
            </w:pPr>
          </w:p>
        </w:tc>
      </w:tr>
      <w:tr>
        <w:tblPrEx>
          <w:tblCellMar>
            <w:top w:w="0" w:type="dxa"/>
            <w:left w:w="108" w:type="dxa"/>
            <w:bottom w:w="0" w:type="dxa"/>
            <w:right w:w="108" w:type="dxa"/>
          </w:tblCellMar>
        </w:tblPrEx>
        <w:trPr>
          <w:trHeight w:val="553" w:hRule="atLeast"/>
        </w:trPr>
        <w:tc>
          <w:tcPr>
            <w:tcW w:w="2026"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color w:val="auto"/>
                <w:highlight w:val="none"/>
              </w:rPr>
            </w:pPr>
            <w:r>
              <w:rPr>
                <w:rFonts w:hint="eastAsia" w:ascii="宋体" w:hAnsi="宋体" w:cs="宋体"/>
                <w:color w:val="auto"/>
                <w:highlight w:val="none"/>
              </w:rPr>
              <w:t>基本账户银行账号</w:t>
            </w:r>
          </w:p>
        </w:tc>
        <w:tc>
          <w:tcPr>
            <w:tcW w:w="6914" w:type="dxa"/>
            <w:gridSpan w:val="8"/>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highlight w:val="none"/>
              </w:rPr>
            </w:pPr>
          </w:p>
        </w:tc>
      </w:tr>
      <w:tr>
        <w:tblPrEx>
          <w:tblCellMar>
            <w:top w:w="0" w:type="dxa"/>
            <w:left w:w="108" w:type="dxa"/>
            <w:bottom w:w="0" w:type="dxa"/>
            <w:right w:w="108" w:type="dxa"/>
          </w:tblCellMar>
        </w:tblPrEx>
        <w:trPr>
          <w:trHeight w:val="1031" w:hRule="atLeast"/>
        </w:trPr>
        <w:tc>
          <w:tcPr>
            <w:tcW w:w="2026"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color w:val="auto"/>
                <w:highlight w:val="none"/>
              </w:rPr>
            </w:pPr>
            <w:r>
              <w:rPr>
                <w:rFonts w:hint="eastAsia" w:ascii="宋体" w:hAnsi="宋体" w:cs="宋体"/>
                <w:color w:val="auto"/>
                <w:highlight w:val="none"/>
              </w:rPr>
              <w:t>经营范围</w:t>
            </w:r>
          </w:p>
        </w:tc>
        <w:tc>
          <w:tcPr>
            <w:tcW w:w="6914" w:type="dxa"/>
            <w:gridSpan w:val="8"/>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highlight w:val="none"/>
              </w:rPr>
            </w:pPr>
          </w:p>
        </w:tc>
      </w:tr>
      <w:tr>
        <w:tblPrEx>
          <w:tblCellMar>
            <w:top w:w="0" w:type="dxa"/>
            <w:left w:w="108" w:type="dxa"/>
            <w:bottom w:w="0" w:type="dxa"/>
            <w:right w:w="108" w:type="dxa"/>
          </w:tblCellMar>
        </w:tblPrEx>
        <w:trPr>
          <w:trHeight w:val="1263" w:hRule="atLeast"/>
        </w:trPr>
        <w:tc>
          <w:tcPr>
            <w:tcW w:w="2026"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color w:val="auto"/>
                <w:highlight w:val="none"/>
              </w:rPr>
            </w:pPr>
            <w:r>
              <w:rPr>
                <w:rFonts w:hint="eastAsia" w:ascii="宋体" w:hAnsi="宋体" w:cs="宋体"/>
                <w:color w:val="auto"/>
                <w:highlight w:val="none"/>
              </w:rPr>
              <w:t>投标人关联企业情况</w:t>
            </w:r>
          </w:p>
        </w:tc>
        <w:tc>
          <w:tcPr>
            <w:tcW w:w="6914" w:type="dxa"/>
            <w:gridSpan w:val="8"/>
            <w:tcBorders>
              <w:top w:val="single" w:color="000000" w:sz="4" w:space="0"/>
              <w:left w:val="single" w:color="000000" w:sz="4" w:space="0"/>
              <w:bottom w:val="single" w:color="000000" w:sz="4" w:space="0"/>
              <w:right w:val="single" w:color="000000" w:sz="4" w:space="0"/>
            </w:tcBorders>
          </w:tcPr>
          <w:p>
            <w:pPr>
              <w:jc w:val="left"/>
              <w:rPr>
                <w:rFonts w:ascii="宋体" w:hAnsi="宋体" w:cs="宋体"/>
                <w:color w:val="auto"/>
                <w:highlight w:val="none"/>
              </w:rPr>
            </w:pPr>
          </w:p>
        </w:tc>
      </w:tr>
      <w:tr>
        <w:tblPrEx>
          <w:tblCellMar>
            <w:top w:w="0" w:type="dxa"/>
            <w:left w:w="108" w:type="dxa"/>
            <w:bottom w:w="0" w:type="dxa"/>
            <w:right w:w="108" w:type="dxa"/>
          </w:tblCellMar>
        </w:tblPrEx>
        <w:trPr>
          <w:trHeight w:val="556" w:hRule="atLeast"/>
        </w:trPr>
        <w:tc>
          <w:tcPr>
            <w:tcW w:w="2026"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color w:val="auto"/>
                <w:highlight w:val="none"/>
              </w:rPr>
            </w:pPr>
            <w:r>
              <w:rPr>
                <w:rFonts w:hint="eastAsia" w:ascii="宋体" w:hAnsi="宋体" w:cs="宋体"/>
                <w:color w:val="auto"/>
                <w:highlight w:val="none"/>
              </w:rPr>
              <w:t>备注</w:t>
            </w:r>
          </w:p>
        </w:tc>
        <w:tc>
          <w:tcPr>
            <w:tcW w:w="6914" w:type="dxa"/>
            <w:gridSpan w:val="8"/>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auto"/>
                <w:highlight w:val="none"/>
              </w:rPr>
            </w:pPr>
          </w:p>
        </w:tc>
      </w:tr>
    </w:tbl>
    <w:p>
      <w:pPr>
        <w:rPr>
          <w:rFonts w:ascii="宋体" w:hAnsi="宋体" w:cs="宋体"/>
          <w:color w:val="auto"/>
          <w:kern w:val="1"/>
          <w:highlight w:val="none"/>
        </w:rPr>
      </w:pPr>
    </w:p>
    <w:p>
      <w:pPr>
        <w:rPr>
          <w:rFonts w:ascii="宋体" w:hAnsi="宋体" w:cs="宋体"/>
          <w:color w:val="auto"/>
          <w:kern w:val="1"/>
          <w:highlight w:val="none"/>
        </w:rPr>
      </w:pPr>
    </w:p>
    <w:p>
      <w:pPr>
        <w:tabs>
          <w:tab w:val="left" w:pos="1680"/>
          <w:tab w:val="left" w:pos="4215"/>
          <w:tab w:val="left" w:pos="4305"/>
          <w:tab w:val="left" w:pos="8000"/>
        </w:tabs>
        <w:autoSpaceDE w:val="0"/>
        <w:autoSpaceDN w:val="0"/>
        <w:adjustRightInd w:val="0"/>
        <w:snapToGrid w:val="0"/>
        <w:spacing w:line="360" w:lineRule="auto"/>
        <w:jc w:val="center"/>
        <w:outlineLvl w:val="1"/>
        <w:rPr>
          <w:rFonts w:ascii="宋体" w:hAnsi="宋体" w:cs="宋体"/>
          <w:b/>
          <w:bCs/>
          <w:color w:val="auto"/>
          <w:sz w:val="28"/>
          <w:szCs w:val="28"/>
          <w:highlight w:val="none"/>
        </w:rPr>
      </w:pPr>
      <w:r>
        <w:rPr>
          <w:rFonts w:hint="eastAsia"/>
          <w:color w:val="auto"/>
          <w:highlight w:val="none"/>
        </w:rPr>
        <w:br w:type="page"/>
      </w:r>
      <w:r>
        <w:rPr>
          <w:rFonts w:hint="eastAsia"/>
          <w:b/>
          <w:bCs/>
          <w:color w:val="auto"/>
          <w:sz w:val="28"/>
          <w:szCs w:val="28"/>
          <w:highlight w:val="none"/>
        </w:rPr>
        <w:t>（二）</w:t>
      </w:r>
      <w:r>
        <w:rPr>
          <w:rFonts w:hint="eastAsia" w:ascii="宋体" w:hAnsi="宋体" w:cs="宋体"/>
          <w:b/>
          <w:bCs/>
          <w:color w:val="auto"/>
          <w:sz w:val="28"/>
          <w:szCs w:val="28"/>
          <w:highlight w:val="none"/>
        </w:rPr>
        <w:t>近年完成的类似项目情况表</w:t>
      </w:r>
    </w:p>
    <w:tbl>
      <w:tblPr>
        <w:tblStyle w:val="19"/>
        <w:tblW w:w="92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66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12" w:space="0"/>
            </w:tcBorders>
            <w:vAlign w:val="center"/>
          </w:tcPr>
          <w:p>
            <w:pPr>
              <w:jc w:val="center"/>
              <w:rPr>
                <w:rFonts w:ascii="宋体" w:hAnsi="宋体" w:cs="宋体"/>
                <w:color w:val="auto"/>
                <w:highlight w:val="none"/>
              </w:rPr>
            </w:pPr>
            <w:r>
              <w:rPr>
                <w:rFonts w:hint="eastAsia" w:ascii="宋体" w:hAnsi="宋体" w:cs="宋体"/>
                <w:color w:val="auto"/>
                <w:highlight w:val="none"/>
              </w:rPr>
              <w:t>序号</w:t>
            </w:r>
          </w:p>
        </w:tc>
        <w:tc>
          <w:tcPr>
            <w:tcW w:w="6662" w:type="dxa"/>
            <w:tcBorders>
              <w:top w:val="single" w:color="auto" w:sz="12" w:space="0"/>
            </w:tcBorders>
            <w:vAlign w:val="center"/>
          </w:tcPr>
          <w:p>
            <w:pPr>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12" w:space="0"/>
            </w:tcBorders>
            <w:vAlign w:val="center"/>
          </w:tcPr>
          <w:p>
            <w:pPr>
              <w:jc w:val="center"/>
              <w:rPr>
                <w:rFonts w:ascii="宋体" w:hAnsi="宋体" w:cs="宋体"/>
                <w:color w:val="auto"/>
                <w:highlight w:val="none"/>
              </w:rPr>
            </w:pPr>
            <w:r>
              <w:rPr>
                <w:rFonts w:hint="eastAsia" w:ascii="宋体" w:hAnsi="宋体" w:cs="宋体"/>
                <w:color w:val="auto"/>
                <w:highlight w:val="none"/>
              </w:rPr>
              <w:t>项目名称</w:t>
            </w:r>
          </w:p>
        </w:tc>
        <w:tc>
          <w:tcPr>
            <w:tcW w:w="6662" w:type="dxa"/>
            <w:tcBorders>
              <w:top w:val="single" w:color="auto" w:sz="12" w:space="0"/>
            </w:tcBorders>
            <w:vAlign w:val="center"/>
          </w:tcPr>
          <w:p>
            <w:pPr>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s="宋体"/>
                <w:color w:val="auto"/>
                <w:highlight w:val="none"/>
              </w:rPr>
            </w:pPr>
            <w:r>
              <w:rPr>
                <w:rFonts w:hint="eastAsia" w:ascii="宋体" w:hAnsi="宋体" w:cs="宋体"/>
                <w:color w:val="auto"/>
                <w:highlight w:val="none"/>
              </w:rPr>
              <w:t>项目所在地</w:t>
            </w:r>
          </w:p>
        </w:tc>
        <w:tc>
          <w:tcPr>
            <w:tcW w:w="6662" w:type="dxa"/>
            <w:vAlign w:val="center"/>
          </w:tcPr>
          <w:p>
            <w:pPr>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s="宋体"/>
                <w:color w:val="auto"/>
                <w:highlight w:val="none"/>
              </w:rPr>
            </w:pPr>
            <w:r>
              <w:rPr>
                <w:rFonts w:hint="eastAsia" w:ascii="宋体" w:hAnsi="宋体" w:cs="宋体"/>
                <w:color w:val="auto"/>
                <w:highlight w:val="none"/>
              </w:rPr>
              <w:t>发包人名称</w:t>
            </w:r>
          </w:p>
        </w:tc>
        <w:tc>
          <w:tcPr>
            <w:tcW w:w="6662" w:type="dxa"/>
            <w:vAlign w:val="center"/>
          </w:tcPr>
          <w:p>
            <w:pPr>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s="宋体"/>
                <w:color w:val="auto"/>
                <w:highlight w:val="none"/>
              </w:rPr>
            </w:pPr>
            <w:r>
              <w:rPr>
                <w:rFonts w:hint="eastAsia" w:ascii="宋体" w:hAnsi="宋体" w:cs="宋体"/>
                <w:color w:val="auto"/>
                <w:highlight w:val="none"/>
              </w:rPr>
              <w:t>发包人地址</w:t>
            </w:r>
          </w:p>
        </w:tc>
        <w:tc>
          <w:tcPr>
            <w:tcW w:w="6662" w:type="dxa"/>
            <w:vAlign w:val="center"/>
          </w:tcPr>
          <w:p>
            <w:pPr>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s="宋体"/>
                <w:color w:val="auto"/>
                <w:highlight w:val="none"/>
              </w:rPr>
            </w:pPr>
            <w:r>
              <w:rPr>
                <w:rFonts w:hint="eastAsia" w:ascii="宋体" w:hAnsi="宋体" w:cs="宋体"/>
                <w:color w:val="auto"/>
                <w:highlight w:val="none"/>
              </w:rPr>
              <w:t>发包人电话</w:t>
            </w:r>
          </w:p>
        </w:tc>
        <w:tc>
          <w:tcPr>
            <w:tcW w:w="6662" w:type="dxa"/>
            <w:vAlign w:val="center"/>
          </w:tcPr>
          <w:p>
            <w:pPr>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s="宋体"/>
                <w:color w:val="auto"/>
                <w:highlight w:val="none"/>
              </w:rPr>
            </w:pPr>
            <w:r>
              <w:rPr>
                <w:rFonts w:hint="eastAsia" w:ascii="宋体" w:hAnsi="宋体" w:cs="宋体"/>
                <w:color w:val="auto"/>
                <w:highlight w:val="none"/>
              </w:rPr>
              <w:t>合同金额</w:t>
            </w:r>
          </w:p>
        </w:tc>
        <w:tc>
          <w:tcPr>
            <w:tcW w:w="6662" w:type="dxa"/>
            <w:vAlign w:val="center"/>
          </w:tcPr>
          <w:p>
            <w:pPr>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s="宋体"/>
                <w:color w:val="auto"/>
                <w:highlight w:val="none"/>
              </w:rPr>
            </w:pPr>
            <w:r>
              <w:rPr>
                <w:rFonts w:hint="eastAsia" w:ascii="宋体" w:hAnsi="宋体" w:cs="宋体"/>
                <w:color w:val="auto"/>
                <w:highlight w:val="none"/>
              </w:rPr>
              <w:t>合同签订日期</w:t>
            </w:r>
          </w:p>
        </w:tc>
        <w:tc>
          <w:tcPr>
            <w:tcW w:w="6662" w:type="dxa"/>
            <w:vAlign w:val="center"/>
          </w:tcPr>
          <w:p>
            <w:pPr>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s="宋体"/>
                <w:color w:val="auto"/>
                <w:highlight w:val="none"/>
              </w:rPr>
            </w:pPr>
            <w:r>
              <w:rPr>
                <w:rFonts w:hint="eastAsia" w:ascii="宋体" w:hAnsi="宋体" w:cs="宋体"/>
                <w:color w:val="auto"/>
                <w:highlight w:val="none"/>
              </w:rPr>
              <w:t>服务期限</w:t>
            </w:r>
          </w:p>
        </w:tc>
        <w:tc>
          <w:tcPr>
            <w:tcW w:w="6662" w:type="dxa"/>
            <w:vAlign w:val="center"/>
          </w:tcPr>
          <w:p>
            <w:pPr>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s="宋体"/>
                <w:color w:val="auto"/>
                <w:highlight w:val="none"/>
              </w:rPr>
            </w:pPr>
            <w:r>
              <w:rPr>
                <w:rFonts w:hint="eastAsia" w:ascii="宋体" w:hAnsi="宋体" w:cs="宋体"/>
                <w:color w:val="auto"/>
                <w:highlight w:val="none"/>
              </w:rPr>
              <w:t>承担的工作</w:t>
            </w:r>
          </w:p>
        </w:tc>
        <w:tc>
          <w:tcPr>
            <w:tcW w:w="6662" w:type="dxa"/>
            <w:vAlign w:val="center"/>
          </w:tcPr>
          <w:p>
            <w:pPr>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6" w:hRule="atLeast"/>
          <w:jc w:val="center"/>
        </w:trPr>
        <w:tc>
          <w:tcPr>
            <w:tcW w:w="2610" w:type="dxa"/>
            <w:vAlign w:val="center"/>
          </w:tcPr>
          <w:p>
            <w:pPr>
              <w:jc w:val="center"/>
              <w:rPr>
                <w:rFonts w:ascii="宋体" w:hAnsi="宋体" w:cs="宋体"/>
                <w:color w:val="auto"/>
                <w:highlight w:val="none"/>
              </w:rPr>
            </w:pPr>
            <w:r>
              <w:rPr>
                <w:rFonts w:hint="eastAsia" w:ascii="宋体" w:hAnsi="宋体" w:cs="宋体"/>
                <w:color w:val="auto"/>
                <w:highlight w:val="none"/>
              </w:rPr>
              <w:t>项目描述</w:t>
            </w:r>
          </w:p>
        </w:tc>
        <w:tc>
          <w:tcPr>
            <w:tcW w:w="6662" w:type="dxa"/>
            <w:vAlign w:val="center"/>
          </w:tcPr>
          <w:p>
            <w:pPr>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2610" w:type="dxa"/>
            <w:tcBorders>
              <w:bottom w:val="single" w:color="auto" w:sz="12" w:space="0"/>
            </w:tcBorders>
            <w:vAlign w:val="center"/>
          </w:tcPr>
          <w:p>
            <w:pPr>
              <w:jc w:val="center"/>
              <w:rPr>
                <w:rFonts w:ascii="宋体" w:hAnsi="宋体" w:cs="宋体"/>
                <w:color w:val="auto"/>
                <w:highlight w:val="none"/>
              </w:rPr>
            </w:pPr>
            <w:r>
              <w:rPr>
                <w:rFonts w:hint="eastAsia" w:ascii="宋体" w:hAnsi="宋体" w:cs="宋体"/>
                <w:color w:val="auto"/>
                <w:highlight w:val="none"/>
              </w:rPr>
              <w:t>备注</w:t>
            </w:r>
          </w:p>
        </w:tc>
        <w:tc>
          <w:tcPr>
            <w:tcW w:w="6662" w:type="dxa"/>
            <w:tcBorders>
              <w:bottom w:val="single" w:color="auto" w:sz="12" w:space="0"/>
            </w:tcBorders>
            <w:vAlign w:val="center"/>
          </w:tcPr>
          <w:p>
            <w:pPr>
              <w:jc w:val="center"/>
              <w:rPr>
                <w:rFonts w:ascii="宋体" w:hAnsi="宋体" w:cs="宋体"/>
                <w:color w:val="auto"/>
                <w:highlight w:val="none"/>
              </w:rPr>
            </w:pPr>
          </w:p>
        </w:tc>
      </w:tr>
    </w:tbl>
    <w:p>
      <w:pPr>
        <w:rPr>
          <w:rFonts w:ascii="宋体" w:hAnsi="宋体" w:cs="宋体"/>
          <w:color w:val="auto"/>
          <w:highlight w:val="none"/>
        </w:rPr>
      </w:pPr>
      <w:r>
        <w:rPr>
          <w:rFonts w:hint="eastAsia" w:ascii="宋体" w:hAnsi="宋体" w:cs="宋体"/>
          <w:color w:val="auto"/>
          <w:highlight w:val="none"/>
        </w:rPr>
        <w:t>注：1.每张表格只填写一个项目，并标明序号。</w:t>
      </w:r>
    </w:p>
    <w:p>
      <w:pPr>
        <w:ind w:firstLine="420" w:firstLineChars="200"/>
        <w:rPr>
          <w:rFonts w:ascii="宋体" w:hAnsi="宋体" w:cs="宋体"/>
          <w:color w:val="auto"/>
          <w:highlight w:val="none"/>
        </w:rPr>
      </w:pPr>
      <w:r>
        <w:rPr>
          <w:rFonts w:hint="eastAsia" w:ascii="宋体" w:hAnsi="宋体" w:cs="宋体"/>
          <w:color w:val="auto"/>
          <w:highlight w:val="none"/>
        </w:rPr>
        <w:t>2.投标人应根据招标文件第二章“投标人须知”要求在本表后附相关业绩证明材料。</w:t>
      </w:r>
    </w:p>
    <w:p>
      <w:pPr>
        <w:pStyle w:val="13"/>
        <w:spacing w:line="360" w:lineRule="auto"/>
        <w:ind w:firstLine="402" w:firstLineChars="200"/>
        <w:rPr>
          <w:color w:val="auto"/>
          <w:highlight w:val="none"/>
        </w:rPr>
      </w:pPr>
      <w:r>
        <w:rPr>
          <w:rFonts w:hint="eastAsia"/>
          <w:color w:val="auto"/>
          <w:highlight w:val="none"/>
        </w:rPr>
        <w:t xml:space="preserve"> </w:t>
      </w:r>
    </w:p>
    <w:p>
      <w:pPr>
        <w:pStyle w:val="34"/>
        <w:jc w:val="center"/>
        <w:rPr>
          <w:b/>
          <w:bCs/>
          <w:color w:val="auto"/>
          <w:sz w:val="28"/>
          <w:szCs w:val="28"/>
          <w:highlight w:val="none"/>
        </w:rPr>
        <w:sectPr>
          <w:footnotePr>
            <w:numFmt w:val="decimalEnclosedCircleChinese"/>
            <w:numRestart w:val="eachPage"/>
          </w:footnotePr>
          <w:pgSz w:w="11905" w:h="16838"/>
          <w:pgMar w:top="1474" w:right="1304" w:bottom="1247" w:left="1417" w:header="850" w:footer="992" w:gutter="0"/>
          <w:cols w:space="0" w:num="1"/>
        </w:sectPr>
      </w:pPr>
    </w:p>
    <w:p>
      <w:pPr>
        <w:pStyle w:val="34"/>
        <w:jc w:val="center"/>
        <w:outlineLvl w:val="1"/>
        <w:rPr>
          <w:b/>
          <w:bCs/>
          <w:color w:val="auto"/>
          <w:sz w:val="28"/>
          <w:szCs w:val="28"/>
          <w:highlight w:val="none"/>
        </w:rPr>
      </w:pPr>
      <w:r>
        <w:rPr>
          <w:rFonts w:hint="eastAsia"/>
          <w:b/>
          <w:bCs/>
          <w:color w:val="auto"/>
          <w:sz w:val="28"/>
          <w:szCs w:val="28"/>
          <w:highlight w:val="none"/>
        </w:rPr>
        <w:t>（三）投标人的信誉情况</w:t>
      </w:r>
    </w:p>
    <w:p>
      <w:pPr>
        <w:pStyle w:val="2"/>
        <w:spacing w:before="0" w:after="0" w:line="360" w:lineRule="auto"/>
        <w:jc w:val="center"/>
        <w:rPr>
          <w:rFonts w:ascii="宋体" w:hAnsi="宋体" w:cs="宋体"/>
          <w:color w:val="auto"/>
          <w:highlight w:val="none"/>
        </w:rPr>
      </w:pPr>
      <w:r>
        <w:rPr>
          <w:rFonts w:hint="eastAsia" w:ascii="宋体" w:hAnsi="宋体" w:cs="宋体"/>
          <w:color w:val="auto"/>
          <w:highlight w:val="none"/>
        </w:rPr>
        <w:t>信誉承诺书</w:t>
      </w:r>
    </w:p>
    <w:p>
      <w:pPr>
        <w:spacing w:line="360" w:lineRule="exact"/>
        <w:jc w:val="left"/>
        <w:rPr>
          <w:rFonts w:ascii="宋体" w:hAnsi="宋体" w:cs="宋体"/>
          <w:color w:val="auto"/>
          <w:highlight w:val="none"/>
        </w:rPr>
      </w:pPr>
      <w:r>
        <w:rPr>
          <w:rFonts w:hint="eastAsia" w:ascii="宋体" w:hAnsi="宋体" w:cs="宋体"/>
          <w:color w:val="auto"/>
          <w:highlight w:val="none"/>
          <w:u w:val="single"/>
        </w:rPr>
        <w:t xml:space="preserve">        （招标人名称）        </w:t>
      </w:r>
    </w:p>
    <w:p>
      <w:pPr>
        <w:spacing w:line="360" w:lineRule="exact"/>
        <w:ind w:firstLine="420" w:firstLineChars="200"/>
        <w:rPr>
          <w:rFonts w:ascii="宋体" w:hAnsi="宋体" w:cs="宋体"/>
          <w:color w:val="auto"/>
          <w:highlight w:val="none"/>
        </w:rPr>
      </w:pPr>
      <w:r>
        <w:rPr>
          <w:rFonts w:hint="eastAsia" w:ascii="宋体" w:hAnsi="宋体" w:cs="宋体"/>
          <w:color w:val="auto"/>
          <w:highlight w:val="none"/>
        </w:rPr>
        <w:t xml:space="preserve">我公司 </w:t>
      </w:r>
      <w:r>
        <w:rPr>
          <w:rFonts w:hint="eastAsia" w:ascii="宋体" w:hAnsi="宋体" w:cs="宋体"/>
          <w:color w:val="auto"/>
          <w:highlight w:val="none"/>
          <w:u w:val="single"/>
        </w:rPr>
        <w:t xml:space="preserve">       （投标人名称）</w:t>
      </w:r>
      <w:r>
        <w:rPr>
          <w:rFonts w:hint="eastAsia" w:ascii="宋体" w:hAnsi="宋体" w:cs="宋体"/>
          <w:color w:val="auto"/>
          <w:highlight w:val="none"/>
        </w:rPr>
        <w:t>参加了贵单位</w:t>
      </w:r>
      <w:r>
        <w:rPr>
          <w:rFonts w:hint="eastAsia" w:ascii="宋体" w:hAnsi="宋体" w:cs="宋体"/>
          <w:color w:val="auto"/>
          <w:highlight w:val="none"/>
          <w:u w:val="single"/>
        </w:rPr>
        <w:t xml:space="preserve">        （项目名称）</w:t>
      </w:r>
      <w:r>
        <w:rPr>
          <w:rFonts w:hint="eastAsia" w:ascii="宋体" w:hAnsi="宋体" w:cs="宋体"/>
          <w:color w:val="auto"/>
          <w:highlight w:val="none"/>
        </w:rPr>
        <w:t>的投标，自愿作出以下承诺：</w:t>
      </w:r>
    </w:p>
    <w:p>
      <w:pPr>
        <w:spacing w:line="360" w:lineRule="exact"/>
        <w:ind w:left="399" w:leftChars="190"/>
        <w:rPr>
          <w:rFonts w:ascii="宋体" w:hAnsi="宋体" w:cs="宋体"/>
          <w:color w:val="auto"/>
          <w:highlight w:val="none"/>
        </w:rPr>
      </w:pPr>
      <w:r>
        <w:rPr>
          <w:rFonts w:hint="eastAsia" w:ascii="宋体" w:hAnsi="宋体" w:cs="宋体"/>
          <w:color w:val="auto"/>
          <w:highlight w:val="none"/>
        </w:rPr>
        <w:t>1、我公司投标截止日投标资格情况不存在下列情形之一：</w:t>
      </w:r>
    </w:p>
    <w:p>
      <w:pPr>
        <w:tabs>
          <w:tab w:val="left" w:pos="480"/>
        </w:tabs>
        <w:adjustRightInd w:val="0"/>
        <w:spacing w:line="360" w:lineRule="exact"/>
        <w:ind w:firstLine="420" w:firstLineChars="200"/>
        <w:rPr>
          <w:rFonts w:hAnsi="宋体" w:cs="宋体"/>
          <w:snapToGrid w:val="0"/>
          <w:color w:val="auto"/>
          <w:highlight w:val="none"/>
        </w:rPr>
      </w:pPr>
      <w:r>
        <w:rPr>
          <w:rFonts w:hint="eastAsia" w:hAnsi="宋体" w:cs="宋体"/>
          <w:snapToGrid w:val="0"/>
          <w:color w:val="auto"/>
          <w:highlight w:val="none"/>
        </w:rPr>
        <w:t>（</w:t>
      </w:r>
      <w:r>
        <w:rPr>
          <w:rFonts w:hAnsi="宋体" w:cs="宋体"/>
          <w:snapToGrid w:val="0"/>
          <w:color w:val="auto"/>
          <w:highlight w:val="none"/>
        </w:rPr>
        <w:t>1）被人民法院列入失信被执行人名单且在被执行期内；</w:t>
      </w:r>
    </w:p>
    <w:p>
      <w:pPr>
        <w:tabs>
          <w:tab w:val="left" w:pos="480"/>
        </w:tabs>
        <w:adjustRightInd w:val="0"/>
        <w:spacing w:line="360" w:lineRule="exact"/>
        <w:ind w:firstLine="420" w:firstLineChars="200"/>
        <w:rPr>
          <w:rFonts w:hAnsi="宋体" w:cs="宋体"/>
          <w:snapToGrid w:val="0"/>
          <w:color w:val="auto"/>
          <w:highlight w:val="none"/>
        </w:rPr>
      </w:pPr>
      <w:r>
        <w:rPr>
          <w:rFonts w:hint="eastAsia" w:hAnsi="宋体" w:cs="宋体"/>
          <w:snapToGrid w:val="0"/>
          <w:color w:val="auto"/>
          <w:highlight w:val="none"/>
        </w:rPr>
        <w:t>（</w:t>
      </w:r>
      <w:r>
        <w:rPr>
          <w:rFonts w:hAnsi="宋体" w:cs="宋体"/>
          <w:snapToGrid w:val="0"/>
          <w:color w:val="auto"/>
          <w:highlight w:val="none"/>
        </w:rPr>
        <w:t>2）被责令停业，暂扣或吊销执照，或吊销资质证书；</w:t>
      </w:r>
    </w:p>
    <w:p>
      <w:pPr>
        <w:tabs>
          <w:tab w:val="left" w:pos="480"/>
        </w:tabs>
        <w:adjustRightInd w:val="0"/>
        <w:spacing w:line="360" w:lineRule="exact"/>
        <w:ind w:firstLine="420" w:firstLineChars="200"/>
        <w:rPr>
          <w:rFonts w:hAnsi="宋体" w:cs="宋体"/>
          <w:snapToGrid w:val="0"/>
          <w:color w:val="auto"/>
          <w:highlight w:val="none"/>
        </w:rPr>
      </w:pPr>
      <w:r>
        <w:rPr>
          <w:rFonts w:hint="eastAsia" w:hAnsi="宋体" w:cs="宋体"/>
          <w:snapToGrid w:val="0"/>
          <w:color w:val="auto"/>
          <w:highlight w:val="none"/>
        </w:rPr>
        <w:t>（</w:t>
      </w:r>
      <w:r>
        <w:rPr>
          <w:rFonts w:hAnsi="宋体" w:cs="宋体"/>
          <w:snapToGrid w:val="0"/>
          <w:color w:val="auto"/>
          <w:highlight w:val="none"/>
        </w:rPr>
        <w:t>3）进入清算程序，或被宣告破产，或其他丧失履约能力的情形；</w:t>
      </w:r>
    </w:p>
    <w:p>
      <w:pPr>
        <w:tabs>
          <w:tab w:val="left" w:pos="480"/>
        </w:tabs>
        <w:adjustRightInd w:val="0"/>
        <w:spacing w:line="360" w:lineRule="exact"/>
        <w:ind w:firstLine="420" w:firstLineChars="200"/>
        <w:rPr>
          <w:rFonts w:hAnsi="宋体" w:cs="宋体"/>
          <w:snapToGrid w:val="0"/>
          <w:color w:val="auto"/>
          <w:highlight w:val="none"/>
        </w:rPr>
      </w:pPr>
      <w:r>
        <w:rPr>
          <w:rFonts w:hint="eastAsia" w:hAnsi="宋体" w:cs="宋体"/>
          <w:snapToGrid w:val="0"/>
          <w:color w:val="auto"/>
          <w:highlight w:val="none"/>
        </w:rPr>
        <w:t>（</w:t>
      </w:r>
      <w:r>
        <w:rPr>
          <w:rFonts w:hAnsi="宋体" w:cs="宋体"/>
          <w:snapToGrid w:val="0"/>
          <w:color w:val="auto"/>
          <w:highlight w:val="none"/>
        </w:rPr>
        <w:t>4）被国家、重庆市（含市或任意区县）有关行政部门处以暂停投标资格行政处罚，且在处罚期限内；</w:t>
      </w:r>
    </w:p>
    <w:p>
      <w:pPr>
        <w:tabs>
          <w:tab w:val="left" w:pos="480"/>
        </w:tabs>
        <w:adjustRightInd w:val="0"/>
        <w:spacing w:line="360" w:lineRule="exact"/>
        <w:ind w:firstLine="420" w:firstLineChars="200"/>
        <w:rPr>
          <w:rFonts w:hAnsi="宋体" w:cs="宋体"/>
          <w:snapToGrid w:val="0"/>
          <w:color w:val="auto"/>
          <w:highlight w:val="none"/>
        </w:rPr>
      </w:pPr>
      <w:r>
        <w:rPr>
          <w:rFonts w:hint="eastAsia" w:hAnsi="宋体" w:cs="宋体"/>
          <w:snapToGrid w:val="0"/>
          <w:color w:val="auto"/>
          <w:highlight w:val="none"/>
        </w:rPr>
        <w:t>（</w:t>
      </w:r>
      <w:r>
        <w:rPr>
          <w:rFonts w:hAnsi="宋体" w:cs="宋体"/>
          <w:snapToGrid w:val="0"/>
          <w:color w:val="auto"/>
          <w:highlight w:val="none"/>
        </w:rPr>
        <w:t>5）投标人或其法定代表人、拟委任的项目负责人在近三年内有行贿犯罪行为的；</w:t>
      </w:r>
    </w:p>
    <w:p>
      <w:pPr>
        <w:tabs>
          <w:tab w:val="left" w:pos="480"/>
        </w:tabs>
        <w:adjustRightInd w:val="0"/>
        <w:spacing w:line="360" w:lineRule="exact"/>
        <w:ind w:firstLine="420" w:firstLineChars="200"/>
        <w:rPr>
          <w:rFonts w:hAnsi="宋体" w:cs="宋体"/>
          <w:snapToGrid w:val="0"/>
          <w:color w:val="auto"/>
          <w:highlight w:val="none"/>
        </w:rPr>
      </w:pPr>
      <w:r>
        <w:rPr>
          <w:rFonts w:hint="eastAsia" w:hAnsi="宋体" w:cs="宋体"/>
          <w:snapToGrid w:val="0"/>
          <w:color w:val="auto"/>
          <w:highlight w:val="none"/>
        </w:rPr>
        <w:t>（</w:t>
      </w:r>
      <w:r>
        <w:rPr>
          <w:rFonts w:hAnsi="宋体" w:cs="宋体"/>
          <w:snapToGrid w:val="0"/>
          <w:color w:val="auto"/>
          <w:highlight w:val="none"/>
        </w:rPr>
        <w:t>6）2018年至投标截止日止，无重大安全事故和其他安全事故发生</w:t>
      </w:r>
      <w:r>
        <w:rPr>
          <w:rFonts w:hint="eastAsia" w:hAnsi="宋体" w:cs="宋体"/>
          <w:snapToGrid w:val="0"/>
          <w:color w:val="auto"/>
          <w:highlight w:val="none"/>
        </w:rPr>
        <w:t>；</w:t>
      </w:r>
    </w:p>
    <w:p>
      <w:pPr>
        <w:spacing w:line="360" w:lineRule="exact"/>
        <w:ind w:left="399" w:leftChars="190"/>
        <w:rPr>
          <w:rFonts w:ascii="宋体" w:hAnsi="宋体"/>
          <w:color w:val="auto"/>
          <w:highlight w:val="none"/>
        </w:rPr>
      </w:pPr>
      <w:r>
        <w:rPr>
          <w:rFonts w:hint="eastAsia" w:hAnsi="宋体" w:cs="宋体"/>
          <w:snapToGrid w:val="0"/>
          <w:color w:val="auto"/>
          <w:highlight w:val="none"/>
        </w:rPr>
        <w:t>（</w:t>
      </w:r>
      <w:r>
        <w:rPr>
          <w:rFonts w:hAnsi="宋体" w:cs="宋体"/>
          <w:snapToGrid w:val="0"/>
          <w:color w:val="auto"/>
          <w:highlight w:val="none"/>
        </w:rPr>
        <w:t>7</w:t>
      </w:r>
      <w:r>
        <w:rPr>
          <w:rFonts w:hint="eastAsia" w:hAnsi="宋体" w:cs="宋体"/>
          <w:snapToGrid w:val="0"/>
          <w:color w:val="auto"/>
          <w:highlight w:val="none"/>
        </w:rPr>
        <w:t>）法律法规或投标人须知前附表规定的其他情形。</w:t>
      </w:r>
    </w:p>
    <w:p>
      <w:pPr>
        <w:spacing w:line="360" w:lineRule="exact"/>
        <w:ind w:left="399" w:leftChars="190"/>
        <w:rPr>
          <w:rFonts w:ascii="宋体" w:hAnsi="宋体" w:cs="宋体"/>
          <w:color w:val="auto"/>
          <w:highlight w:val="none"/>
        </w:rPr>
      </w:pPr>
      <w:r>
        <w:rPr>
          <w:rFonts w:hint="eastAsia" w:ascii="宋体" w:hAnsi="宋体" w:cs="宋体"/>
          <w:color w:val="auto"/>
          <w:highlight w:val="none"/>
        </w:rPr>
        <w:t>2、我公司不存在第二章“投标人须知”第 1.4.3 项和第 1.4.4 项规定的任何一种情形。</w:t>
      </w:r>
    </w:p>
    <w:p>
      <w:pPr>
        <w:snapToGrid w:val="0"/>
        <w:spacing w:line="400" w:lineRule="exact"/>
        <w:ind w:firstLine="420" w:firstLineChars="200"/>
        <w:rPr>
          <w:rFonts w:ascii="宋体" w:hAnsi="宋体"/>
          <w:color w:val="auto"/>
          <w:highlight w:val="none"/>
        </w:rPr>
      </w:pPr>
      <w:r>
        <w:rPr>
          <w:rFonts w:hint="eastAsia" w:ascii="宋体" w:hAnsi="宋体" w:cs="宋体"/>
          <w:color w:val="auto"/>
          <w:highlight w:val="none"/>
        </w:rPr>
        <w:t>3、</w:t>
      </w:r>
      <w:r>
        <w:rPr>
          <w:rFonts w:hint="eastAsia" w:ascii="宋体" w:hAnsi="宋体"/>
          <w:color w:val="auto"/>
          <w:highlight w:val="none"/>
        </w:rPr>
        <w:t>我公司在资格审查部分中提供的相关证明材料真实有效，不存在弄虚作假情形。招标人在合同签订前均有权对我司提供的资料进行核实，若发现弄虚作假，取消中标资格，并按相关法律法规报招标投标监督部门处理，投标保证金不予退还，我司自愿承担因此造成的相关责任并赔偿相应损失。</w:t>
      </w:r>
    </w:p>
    <w:p>
      <w:pPr>
        <w:spacing w:line="360" w:lineRule="exact"/>
        <w:ind w:firstLine="420" w:firstLineChars="200"/>
        <w:jc w:val="left"/>
        <w:rPr>
          <w:rFonts w:ascii="宋体" w:hAnsi="宋体"/>
          <w:color w:val="auto"/>
          <w:highlight w:val="none"/>
        </w:rPr>
      </w:pPr>
      <w:r>
        <w:rPr>
          <w:rFonts w:hint="eastAsia" w:ascii="宋体" w:hAnsi="宋体" w:cs="宋体"/>
          <w:color w:val="auto"/>
          <w:highlight w:val="none"/>
        </w:rPr>
        <w:t>4、</w:t>
      </w:r>
      <w:r>
        <w:rPr>
          <w:rFonts w:hint="eastAsia" w:ascii="宋体" w:hAnsi="宋体"/>
          <w:color w:val="auto"/>
          <w:highlight w:val="none"/>
        </w:rPr>
        <w:t>我公司的投标文件符合第四章 合同条款及格式规定，投标文件中没有招标人不能接受的条件。</w:t>
      </w:r>
    </w:p>
    <w:p>
      <w:pPr>
        <w:spacing w:line="360" w:lineRule="auto"/>
        <w:rPr>
          <w:rFonts w:ascii="宋体" w:hAnsi="宋体" w:cs="宋体"/>
          <w:color w:val="auto"/>
          <w:highlight w:val="none"/>
        </w:rPr>
      </w:pPr>
    </w:p>
    <w:p>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highlight w:val="none"/>
        </w:rPr>
      </w:pPr>
      <w:r>
        <w:rPr>
          <w:rFonts w:ascii="宋体" w:hAnsi="宋体"/>
          <w:color w:val="auto"/>
          <w:kern w:val="0"/>
          <w:highlight w:val="none"/>
        </w:rPr>
        <w:t>投  标  人：</w:t>
      </w:r>
      <w:r>
        <w:rPr>
          <w:rFonts w:ascii="宋体" w:hAnsi="宋体"/>
          <w:color w:val="auto"/>
          <w:w w:val="200"/>
          <w:kern w:val="0"/>
          <w:highlight w:val="none"/>
          <w:u w:val="single"/>
        </w:rPr>
        <w:t xml:space="preserve">     </w:t>
      </w:r>
      <w:r>
        <w:rPr>
          <w:rFonts w:hint="eastAsia" w:ascii="宋体" w:hAnsi="宋体"/>
          <w:color w:val="auto"/>
          <w:w w:val="200"/>
          <w:kern w:val="0"/>
          <w:highlight w:val="none"/>
          <w:u w:val="single"/>
        </w:rPr>
        <w:t xml:space="preserve">           </w:t>
      </w:r>
      <w:r>
        <w:rPr>
          <w:rFonts w:ascii="宋体" w:hAnsi="宋体"/>
          <w:color w:val="auto"/>
          <w:w w:val="200"/>
          <w:kern w:val="0"/>
          <w:highlight w:val="none"/>
          <w:u w:val="single"/>
        </w:rPr>
        <w:t xml:space="preserve">      </w:t>
      </w:r>
      <w:r>
        <w:rPr>
          <w:rFonts w:hint="eastAsia" w:ascii="宋体" w:hAnsi="宋体"/>
          <w:color w:val="auto"/>
          <w:w w:val="200"/>
          <w:kern w:val="0"/>
          <w:highlight w:val="none"/>
          <w:u w:val="single"/>
        </w:rPr>
        <w:t xml:space="preserve">  </w:t>
      </w:r>
      <w:r>
        <w:rPr>
          <w:rFonts w:ascii="宋体" w:hAnsi="宋体"/>
          <w:color w:val="auto"/>
          <w:w w:val="200"/>
          <w:kern w:val="0"/>
          <w:highlight w:val="none"/>
          <w:u w:val="single"/>
        </w:rPr>
        <w:t xml:space="preserve">   </w:t>
      </w:r>
      <w:r>
        <w:rPr>
          <w:rFonts w:ascii="宋体" w:hAnsi="宋体"/>
          <w:color w:val="auto"/>
          <w:kern w:val="0"/>
          <w:highlight w:val="none"/>
        </w:rPr>
        <w:t>（</w:t>
      </w:r>
      <w:r>
        <w:rPr>
          <w:rFonts w:ascii="宋体" w:hAnsi="宋体"/>
          <w:color w:val="auto"/>
          <w:spacing w:val="-1"/>
          <w:kern w:val="0"/>
          <w:highlight w:val="none"/>
        </w:rPr>
        <w:t>盖单位法人章</w:t>
      </w:r>
      <w:r>
        <w:rPr>
          <w:rFonts w:ascii="宋体" w:hAnsi="宋体"/>
          <w:color w:val="auto"/>
          <w:kern w:val="0"/>
          <w:highlight w:val="none"/>
        </w:rPr>
        <w:t>）</w:t>
      </w:r>
    </w:p>
    <w:p>
      <w:pPr>
        <w:tabs>
          <w:tab w:val="left" w:pos="6300"/>
        </w:tabs>
        <w:autoSpaceDE w:val="0"/>
        <w:autoSpaceDN w:val="0"/>
        <w:adjustRightInd w:val="0"/>
        <w:snapToGrid w:val="0"/>
        <w:spacing w:line="360" w:lineRule="auto"/>
        <w:ind w:firstLine="420" w:firstLineChars="200"/>
        <w:jc w:val="left"/>
        <w:rPr>
          <w:rFonts w:ascii="宋体" w:hAnsi="宋体"/>
          <w:color w:val="auto"/>
          <w:kern w:val="0"/>
          <w:highlight w:val="none"/>
        </w:rPr>
      </w:pPr>
      <w:r>
        <w:rPr>
          <w:rFonts w:ascii="宋体" w:hAnsi="宋体"/>
          <w:color w:val="auto"/>
          <w:kern w:val="0"/>
          <w:highlight w:val="none"/>
        </w:rPr>
        <w:t>法定代表人：</w:t>
      </w:r>
      <w:r>
        <w:rPr>
          <w:rFonts w:ascii="宋体" w:hAnsi="宋体"/>
          <w:color w:val="auto"/>
          <w:w w:val="200"/>
          <w:kern w:val="0"/>
          <w:highlight w:val="none"/>
          <w:u w:val="single"/>
        </w:rPr>
        <w:t xml:space="preserve">     </w:t>
      </w:r>
      <w:r>
        <w:rPr>
          <w:rFonts w:hint="eastAsia" w:ascii="宋体" w:hAnsi="宋体"/>
          <w:color w:val="auto"/>
          <w:w w:val="200"/>
          <w:kern w:val="0"/>
          <w:highlight w:val="none"/>
          <w:u w:val="single"/>
        </w:rPr>
        <w:t xml:space="preserve">           </w:t>
      </w:r>
      <w:r>
        <w:rPr>
          <w:rFonts w:ascii="宋体" w:hAnsi="宋体"/>
          <w:color w:val="auto"/>
          <w:w w:val="200"/>
          <w:kern w:val="0"/>
          <w:highlight w:val="none"/>
          <w:u w:val="single"/>
        </w:rPr>
        <w:t xml:space="preserve">     </w:t>
      </w:r>
      <w:r>
        <w:rPr>
          <w:rFonts w:hint="eastAsia" w:ascii="宋体" w:hAnsi="宋体"/>
          <w:color w:val="auto"/>
          <w:w w:val="200"/>
          <w:kern w:val="0"/>
          <w:highlight w:val="none"/>
          <w:u w:val="single"/>
        </w:rPr>
        <w:t xml:space="preserve">  </w:t>
      </w:r>
      <w:r>
        <w:rPr>
          <w:rFonts w:ascii="宋体" w:hAnsi="宋体"/>
          <w:color w:val="auto"/>
          <w:w w:val="200"/>
          <w:kern w:val="0"/>
          <w:highlight w:val="none"/>
          <w:u w:val="single"/>
        </w:rPr>
        <w:t xml:space="preserve">   </w:t>
      </w:r>
      <w:r>
        <w:rPr>
          <w:rFonts w:hint="eastAsia" w:ascii="宋体" w:hAnsi="宋体"/>
          <w:color w:val="auto"/>
          <w:w w:val="200"/>
          <w:kern w:val="0"/>
          <w:highlight w:val="none"/>
          <w:u w:val="single"/>
        </w:rPr>
        <w:t xml:space="preserve"> </w:t>
      </w:r>
      <w:r>
        <w:rPr>
          <w:rFonts w:ascii="宋体" w:hAnsi="宋体"/>
          <w:color w:val="auto"/>
          <w:kern w:val="0"/>
          <w:highlight w:val="none"/>
        </w:rPr>
        <w:t>（签字或盖章）</w:t>
      </w:r>
    </w:p>
    <w:p>
      <w:pPr>
        <w:tabs>
          <w:tab w:val="left" w:pos="6300"/>
        </w:tabs>
        <w:autoSpaceDE w:val="0"/>
        <w:autoSpaceDN w:val="0"/>
        <w:adjustRightInd w:val="0"/>
        <w:snapToGrid w:val="0"/>
        <w:spacing w:line="360" w:lineRule="auto"/>
        <w:ind w:firstLine="420" w:firstLineChars="200"/>
        <w:jc w:val="left"/>
        <w:rPr>
          <w:rFonts w:ascii="宋体" w:hAnsi="宋体"/>
          <w:color w:val="auto"/>
          <w:kern w:val="0"/>
          <w:highlight w:val="none"/>
        </w:rPr>
      </w:pPr>
    </w:p>
    <w:p>
      <w:pPr>
        <w:tabs>
          <w:tab w:val="left" w:pos="6300"/>
        </w:tabs>
        <w:autoSpaceDE w:val="0"/>
        <w:autoSpaceDN w:val="0"/>
        <w:adjustRightInd w:val="0"/>
        <w:snapToGrid w:val="0"/>
        <w:ind w:firstLine="420" w:firstLineChars="200"/>
        <w:jc w:val="right"/>
        <w:rPr>
          <w:rFonts w:ascii="宋体" w:hAnsi="宋体"/>
          <w:b/>
          <w:color w:val="auto"/>
          <w:highlight w:val="none"/>
        </w:rPr>
      </w:pPr>
      <w:r>
        <w:rPr>
          <w:rFonts w:hint="eastAsia" w:ascii="宋体" w:hAnsi="宋体"/>
          <w:color w:val="auto"/>
          <w:kern w:val="0"/>
          <w:highlight w:val="none"/>
          <w:u w:val="single"/>
        </w:rPr>
        <w:t xml:space="preserve">    </w:t>
      </w:r>
      <w:r>
        <w:rPr>
          <w:rFonts w:ascii="宋体" w:hAnsi="宋体"/>
          <w:color w:val="auto"/>
          <w:kern w:val="0"/>
          <w:highlight w:val="none"/>
        </w:rPr>
        <w:t>年</w:t>
      </w:r>
      <w:r>
        <w:rPr>
          <w:rFonts w:hint="eastAsia" w:ascii="宋体" w:hAnsi="宋体"/>
          <w:color w:val="auto"/>
          <w:kern w:val="0"/>
          <w:highlight w:val="none"/>
          <w:u w:val="single"/>
        </w:rPr>
        <w:t xml:space="preserve">    </w:t>
      </w:r>
      <w:r>
        <w:rPr>
          <w:rFonts w:ascii="宋体" w:hAnsi="宋体"/>
          <w:color w:val="auto"/>
          <w:kern w:val="0"/>
          <w:highlight w:val="none"/>
        </w:rPr>
        <w:t>月</w:t>
      </w:r>
      <w:r>
        <w:rPr>
          <w:rFonts w:hint="eastAsia" w:ascii="宋体" w:hAnsi="宋体"/>
          <w:color w:val="auto"/>
          <w:kern w:val="0"/>
          <w:highlight w:val="none"/>
          <w:u w:val="single"/>
        </w:rPr>
        <w:t xml:space="preserve">    日</w:t>
      </w:r>
    </w:p>
    <w:p>
      <w:pPr>
        <w:rPr>
          <w:rFonts w:ascii="宋体" w:hAnsi="宋体" w:cs="宋体"/>
          <w:color w:val="auto"/>
          <w:sz w:val="2"/>
          <w:szCs w:val="2"/>
          <w:highlight w:val="none"/>
        </w:rPr>
      </w:pPr>
    </w:p>
    <w:p>
      <w:pPr>
        <w:pStyle w:val="4"/>
        <w:jc w:val="center"/>
        <w:rPr>
          <w:rFonts w:ascii="Times New Roman" w:hAnsi="Times New Roman" w:eastAsia="宋体"/>
          <w:color w:val="auto"/>
          <w:szCs w:val="21"/>
          <w:highlight w:val="none"/>
        </w:rPr>
        <w:sectPr>
          <w:headerReference r:id="rId13" w:type="default"/>
          <w:pgSz w:w="11905" w:h="16838"/>
          <w:pgMar w:top="1474" w:right="1304" w:bottom="1247" w:left="1417" w:header="850" w:footer="992" w:gutter="0"/>
          <w:cols w:space="0" w:num="1"/>
        </w:sectPr>
      </w:pPr>
      <w:r>
        <w:rPr>
          <w:rFonts w:hint="eastAsia" w:ascii="Times New Roman" w:hAnsi="Times New Roman" w:eastAsia="宋体"/>
          <w:color w:val="auto"/>
          <w:szCs w:val="21"/>
          <w:highlight w:val="none"/>
        </w:rPr>
        <w:br w:type="page"/>
      </w:r>
    </w:p>
    <w:p>
      <w:pPr>
        <w:numPr>
          <w:ilvl w:val="255"/>
          <w:numId w:val="0"/>
        </w:numPr>
        <w:tabs>
          <w:tab w:val="left" w:pos="6300"/>
        </w:tabs>
        <w:autoSpaceDE w:val="0"/>
        <w:autoSpaceDN w:val="0"/>
        <w:adjustRightInd w:val="0"/>
        <w:snapToGrid w:val="0"/>
        <w:spacing w:line="360" w:lineRule="auto"/>
        <w:ind w:firstLine="2530" w:firstLineChars="900"/>
        <w:jc w:val="left"/>
        <w:rPr>
          <w:b/>
          <w:bCs/>
          <w:color w:val="auto"/>
          <w:sz w:val="28"/>
          <w:szCs w:val="28"/>
          <w:highlight w:val="none"/>
        </w:rPr>
      </w:pPr>
      <w:r>
        <w:rPr>
          <w:rFonts w:hint="eastAsia"/>
          <w:b/>
          <w:bCs/>
          <w:color w:val="auto"/>
          <w:sz w:val="28"/>
          <w:szCs w:val="28"/>
          <w:highlight w:val="none"/>
        </w:rPr>
        <w:t>（四）本项目拟派遣人员承诺书</w:t>
      </w:r>
    </w:p>
    <w:p>
      <w:pPr>
        <w:spacing w:line="360" w:lineRule="auto"/>
        <w:jc w:val="center"/>
        <w:rPr>
          <w:rFonts w:hAnsi="宋体"/>
          <w:color w:val="auto"/>
          <w:sz w:val="24"/>
          <w:highlight w:val="none"/>
        </w:rPr>
      </w:pPr>
      <w:r>
        <w:rPr>
          <w:rFonts w:hint="eastAsia" w:hAnsi="宋体" w:cs="仿宋_GB2312"/>
          <w:b/>
          <w:color w:val="auto"/>
          <w:sz w:val="28"/>
          <w:szCs w:val="28"/>
          <w:highlight w:val="none"/>
        </w:rPr>
        <w:t>人</w:t>
      </w:r>
      <w:r>
        <w:rPr>
          <w:rFonts w:hAnsi="宋体" w:cs="仿宋_GB2312"/>
          <w:b/>
          <w:color w:val="auto"/>
          <w:sz w:val="28"/>
          <w:szCs w:val="28"/>
          <w:highlight w:val="none"/>
        </w:rPr>
        <w:t>员</w:t>
      </w:r>
      <w:r>
        <w:rPr>
          <w:rFonts w:hint="eastAsia" w:hAnsi="宋体" w:cs="仿宋_GB2312"/>
          <w:b/>
          <w:color w:val="auto"/>
          <w:sz w:val="28"/>
          <w:szCs w:val="28"/>
          <w:highlight w:val="none"/>
        </w:rPr>
        <w:t>承诺</w:t>
      </w:r>
      <w:r>
        <w:rPr>
          <w:rFonts w:hAnsi="宋体" w:cs="仿宋_GB2312"/>
          <w:b/>
          <w:color w:val="auto"/>
          <w:sz w:val="28"/>
          <w:szCs w:val="28"/>
          <w:highlight w:val="none"/>
        </w:rPr>
        <w:t>书</w:t>
      </w:r>
    </w:p>
    <w:p>
      <w:pPr>
        <w:spacing w:line="360" w:lineRule="exact"/>
        <w:jc w:val="left"/>
        <w:rPr>
          <w:rFonts w:ascii="宋体" w:hAnsi="宋体" w:cs="宋体"/>
          <w:color w:val="auto"/>
          <w:highlight w:val="none"/>
        </w:rPr>
      </w:pPr>
      <w:r>
        <w:rPr>
          <w:rFonts w:hint="eastAsia" w:ascii="宋体" w:hAnsi="宋体" w:cs="宋体"/>
          <w:color w:val="auto"/>
          <w:highlight w:val="none"/>
          <w:u w:val="single"/>
        </w:rPr>
        <w:t xml:space="preserve">        （招标人名称）        </w:t>
      </w:r>
    </w:p>
    <w:p>
      <w:pPr>
        <w:tabs>
          <w:tab w:val="left" w:pos="480"/>
        </w:tabs>
        <w:adjustRightInd w:val="0"/>
        <w:snapToGrid/>
        <w:spacing w:line="360" w:lineRule="exact"/>
        <w:ind w:firstLine="420" w:firstLineChars="200"/>
        <w:rPr>
          <w:rFonts w:ascii="宋体" w:hAnsi="宋体" w:cs="宋体"/>
          <w:color w:val="auto"/>
          <w:highlight w:val="none"/>
        </w:rPr>
      </w:pPr>
      <w:r>
        <w:rPr>
          <w:rFonts w:hint="eastAsia" w:ascii="宋体" w:hAnsi="宋体" w:cs="宋体"/>
          <w:color w:val="auto"/>
          <w:highlight w:val="none"/>
        </w:rPr>
        <w:t xml:space="preserve">我公司 </w:t>
      </w:r>
      <w:r>
        <w:rPr>
          <w:rFonts w:hint="eastAsia" w:ascii="宋体" w:hAnsi="宋体" w:cs="宋体"/>
          <w:color w:val="auto"/>
          <w:highlight w:val="none"/>
          <w:u w:val="single"/>
        </w:rPr>
        <w:t xml:space="preserve">       （投标人名称）</w:t>
      </w:r>
      <w:r>
        <w:rPr>
          <w:rFonts w:hint="eastAsia" w:ascii="宋体" w:hAnsi="宋体" w:cs="宋体"/>
          <w:color w:val="auto"/>
          <w:highlight w:val="none"/>
        </w:rPr>
        <w:t>参加了贵单位</w:t>
      </w:r>
      <w:r>
        <w:rPr>
          <w:rFonts w:hint="eastAsia" w:ascii="宋体" w:hAnsi="宋体" w:cs="宋体"/>
          <w:color w:val="auto"/>
          <w:highlight w:val="none"/>
          <w:u w:val="single"/>
        </w:rPr>
        <w:t xml:space="preserve">        （项目名称）</w:t>
      </w:r>
      <w:r>
        <w:rPr>
          <w:rFonts w:hint="eastAsia" w:ascii="宋体" w:hAnsi="宋体" w:cs="宋体"/>
          <w:color w:val="auto"/>
          <w:highlight w:val="none"/>
        </w:rPr>
        <w:t>的投标，我司所拟派本项目派遣人员总人数不低于</w:t>
      </w:r>
      <w:r>
        <w:rPr>
          <w:rFonts w:hint="eastAsia" w:ascii="宋体" w:hAnsi="宋体" w:cs="宋体"/>
          <w:color w:val="auto"/>
          <w:highlight w:val="none"/>
          <w:u w:val="single"/>
        </w:rPr>
        <w:t xml:space="preserve">      </w:t>
      </w:r>
      <w:r>
        <w:rPr>
          <w:rFonts w:hint="eastAsia" w:ascii="宋体" w:hAnsi="宋体" w:cs="宋体"/>
          <w:color w:val="auto"/>
          <w:highlight w:val="none"/>
        </w:rPr>
        <w:t>人，</w:t>
      </w:r>
      <w:r>
        <w:rPr>
          <w:rFonts w:hint="eastAsia" w:hAnsi="宋体" w:cs="仿宋_GB2312"/>
          <w:color w:val="auto"/>
          <w:highlight w:val="none"/>
          <w:lang w:val="en-US" w:eastAsia="zh-CN"/>
        </w:rPr>
        <w:t>9名驾驶员</w:t>
      </w:r>
      <w:r>
        <w:rPr>
          <w:rFonts w:hint="eastAsia" w:hAnsi="宋体" w:cs="仿宋_GB2312"/>
          <w:color w:val="auto"/>
          <w:highlight w:val="none"/>
        </w:rPr>
        <w:t>具有A1</w:t>
      </w:r>
      <w:r>
        <w:rPr>
          <w:rFonts w:hint="eastAsia" w:hAnsi="宋体" w:cs="仿宋_GB2312"/>
          <w:color w:val="auto"/>
          <w:highlight w:val="none"/>
          <w:lang w:val="en-US" w:eastAsia="zh-CN"/>
        </w:rPr>
        <w:t>驾照、</w:t>
      </w:r>
      <w:r>
        <w:rPr>
          <w:rFonts w:hint="eastAsia" w:hAnsi="宋体" w:cs="仿宋_GB2312"/>
          <w:color w:val="auto"/>
          <w:highlight w:val="none"/>
        </w:rPr>
        <w:t>驾驶经验丰富安全意识强的驾驶员(含替班驾驶员）具备丰富的行业管理、运营经验和能力，并配备经验丰富的技术人员和管理人员。</w:t>
      </w:r>
    </w:p>
    <w:p>
      <w:pPr>
        <w:snapToGrid w:val="0"/>
        <w:spacing w:line="400" w:lineRule="exact"/>
        <w:ind w:firstLine="420" w:firstLineChars="200"/>
        <w:rPr>
          <w:rFonts w:ascii="宋体" w:hAnsi="宋体" w:cs="宋体"/>
          <w:color w:val="auto"/>
          <w:highlight w:val="none"/>
        </w:rPr>
      </w:pPr>
      <w:r>
        <w:rPr>
          <w:rFonts w:hint="eastAsia" w:ascii="宋体" w:hAnsi="宋体" w:cs="宋体"/>
          <w:color w:val="auto"/>
          <w:highlight w:val="none"/>
        </w:rPr>
        <w:t>承诺主要人员中标后与实际派驻现场人员一致，且</w:t>
      </w:r>
      <w:r>
        <w:rPr>
          <w:rFonts w:hint="eastAsia" w:ascii="宋体" w:hAnsi="宋体" w:cs="宋体"/>
          <w:color w:val="auto"/>
          <w:highlight w:val="none"/>
          <w:lang w:val="en-US" w:eastAsia="zh-CN"/>
        </w:rPr>
        <w:t>3</w:t>
      </w:r>
      <w:r>
        <w:rPr>
          <w:rFonts w:hint="eastAsia" w:ascii="宋体" w:hAnsi="宋体" w:cs="宋体"/>
          <w:color w:val="auto"/>
          <w:highlight w:val="none"/>
        </w:rPr>
        <w:t>年内不得随意变更（除招标人要求外）。</w:t>
      </w:r>
    </w:p>
    <w:p>
      <w:pPr>
        <w:adjustRightInd w:val="0"/>
        <w:rPr>
          <w:rFonts w:hAnsi="宋体" w:cs="仿宋_GB2312"/>
          <w:color w:val="auto"/>
          <w:highlight w:val="none"/>
        </w:rPr>
      </w:pPr>
    </w:p>
    <w:p>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highlight w:val="none"/>
        </w:rPr>
      </w:pPr>
    </w:p>
    <w:p>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highlight w:val="none"/>
        </w:rPr>
      </w:pPr>
      <w:r>
        <w:rPr>
          <w:rFonts w:ascii="宋体" w:hAnsi="宋体"/>
          <w:color w:val="auto"/>
          <w:kern w:val="0"/>
          <w:highlight w:val="none"/>
        </w:rPr>
        <w:t>投  标  人：</w:t>
      </w:r>
      <w:r>
        <w:rPr>
          <w:rFonts w:ascii="宋体" w:hAnsi="宋体"/>
          <w:color w:val="auto"/>
          <w:w w:val="200"/>
          <w:kern w:val="0"/>
          <w:highlight w:val="none"/>
          <w:u w:val="single"/>
        </w:rPr>
        <w:t xml:space="preserve">     </w:t>
      </w:r>
      <w:r>
        <w:rPr>
          <w:rFonts w:hint="eastAsia" w:ascii="宋体" w:hAnsi="宋体"/>
          <w:color w:val="auto"/>
          <w:w w:val="200"/>
          <w:kern w:val="0"/>
          <w:highlight w:val="none"/>
          <w:u w:val="single"/>
        </w:rPr>
        <w:t xml:space="preserve">           </w:t>
      </w:r>
      <w:r>
        <w:rPr>
          <w:rFonts w:ascii="宋体" w:hAnsi="宋体"/>
          <w:color w:val="auto"/>
          <w:w w:val="200"/>
          <w:kern w:val="0"/>
          <w:highlight w:val="none"/>
          <w:u w:val="single"/>
        </w:rPr>
        <w:t xml:space="preserve">      </w:t>
      </w:r>
      <w:r>
        <w:rPr>
          <w:rFonts w:hint="eastAsia" w:ascii="宋体" w:hAnsi="宋体"/>
          <w:color w:val="auto"/>
          <w:w w:val="200"/>
          <w:kern w:val="0"/>
          <w:highlight w:val="none"/>
          <w:u w:val="single"/>
        </w:rPr>
        <w:t xml:space="preserve">  </w:t>
      </w:r>
      <w:r>
        <w:rPr>
          <w:rFonts w:ascii="宋体" w:hAnsi="宋体"/>
          <w:color w:val="auto"/>
          <w:w w:val="200"/>
          <w:kern w:val="0"/>
          <w:highlight w:val="none"/>
          <w:u w:val="single"/>
        </w:rPr>
        <w:t xml:space="preserve">   </w:t>
      </w:r>
      <w:r>
        <w:rPr>
          <w:rFonts w:ascii="宋体" w:hAnsi="宋体"/>
          <w:color w:val="auto"/>
          <w:kern w:val="0"/>
          <w:highlight w:val="none"/>
        </w:rPr>
        <w:t>（</w:t>
      </w:r>
      <w:r>
        <w:rPr>
          <w:rFonts w:ascii="宋体" w:hAnsi="宋体"/>
          <w:color w:val="auto"/>
          <w:spacing w:val="-1"/>
          <w:kern w:val="0"/>
          <w:highlight w:val="none"/>
        </w:rPr>
        <w:t>盖单位法人章</w:t>
      </w:r>
      <w:r>
        <w:rPr>
          <w:rFonts w:ascii="宋体" w:hAnsi="宋体"/>
          <w:color w:val="auto"/>
          <w:kern w:val="0"/>
          <w:highlight w:val="none"/>
        </w:rPr>
        <w:t>）</w:t>
      </w:r>
    </w:p>
    <w:p>
      <w:pPr>
        <w:tabs>
          <w:tab w:val="left" w:pos="6300"/>
        </w:tabs>
        <w:autoSpaceDE w:val="0"/>
        <w:autoSpaceDN w:val="0"/>
        <w:adjustRightInd w:val="0"/>
        <w:snapToGrid w:val="0"/>
        <w:spacing w:line="360" w:lineRule="auto"/>
        <w:ind w:firstLine="420" w:firstLineChars="200"/>
        <w:jc w:val="left"/>
        <w:rPr>
          <w:rFonts w:ascii="宋体" w:hAnsi="宋体"/>
          <w:color w:val="auto"/>
          <w:kern w:val="0"/>
          <w:highlight w:val="none"/>
        </w:rPr>
      </w:pPr>
      <w:r>
        <w:rPr>
          <w:rFonts w:ascii="宋体" w:hAnsi="宋体"/>
          <w:color w:val="auto"/>
          <w:kern w:val="0"/>
          <w:highlight w:val="none"/>
        </w:rPr>
        <w:t>法定代表人：</w:t>
      </w:r>
      <w:r>
        <w:rPr>
          <w:rFonts w:ascii="宋体" w:hAnsi="宋体"/>
          <w:color w:val="auto"/>
          <w:w w:val="200"/>
          <w:kern w:val="0"/>
          <w:highlight w:val="none"/>
          <w:u w:val="single"/>
        </w:rPr>
        <w:t xml:space="preserve">     </w:t>
      </w:r>
      <w:r>
        <w:rPr>
          <w:rFonts w:hint="eastAsia" w:ascii="宋体" w:hAnsi="宋体"/>
          <w:color w:val="auto"/>
          <w:w w:val="200"/>
          <w:kern w:val="0"/>
          <w:highlight w:val="none"/>
          <w:u w:val="single"/>
        </w:rPr>
        <w:t xml:space="preserve">           </w:t>
      </w:r>
      <w:r>
        <w:rPr>
          <w:rFonts w:ascii="宋体" w:hAnsi="宋体"/>
          <w:color w:val="auto"/>
          <w:w w:val="200"/>
          <w:kern w:val="0"/>
          <w:highlight w:val="none"/>
          <w:u w:val="single"/>
        </w:rPr>
        <w:t xml:space="preserve">     </w:t>
      </w:r>
      <w:r>
        <w:rPr>
          <w:rFonts w:hint="eastAsia" w:ascii="宋体" w:hAnsi="宋体"/>
          <w:color w:val="auto"/>
          <w:w w:val="200"/>
          <w:kern w:val="0"/>
          <w:highlight w:val="none"/>
          <w:u w:val="single"/>
        </w:rPr>
        <w:t xml:space="preserve">  </w:t>
      </w:r>
      <w:r>
        <w:rPr>
          <w:rFonts w:ascii="宋体" w:hAnsi="宋体"/>
          <w:color w:val="auto"/>
          <w:w w:val="200"/>
          <w:kern w:val="0"/>
          <w:highlight w:val="none"/>
          <w:u w:val="single"/>
        </w:rPr>
        <w:t xml:space="preserve">   </w:t>
      </w:r>
      <w:r>
        <w:rPr>
          <w:rFonts w:hint="eastAsia" w:ascii="宋体" w:hAnsi="宋体"/>
          <w:color w:val="auto"/>
          <w:w w:val="200"/>
          <w:kern w:val="0"/>
          <w:highlight w:val="none"/>
          <w:u w:val="single"/>
        </w:rPr>
        <w:t xml:space="preserve"> </w:t>
      </w:r>
      <w:r>
        <w:rPr>
          <w:rFonts w:ascii="宋体" w:hAnsi="宋体"/>
          <w:color w:val="auto"/>
          <w:kern w:val="0"/>
          <w:highlight w:val="none"/>
        </w:rPr>
        <w:t>（签字或盖章）</w:t>
      </w:r>
    </w:p>
    <w:p>
      <w:pPr>
        <w:tabs>
          <w:tab w:val="left" w:pos="6300"/>
        </w:tabs>
        <w:autoSpaceDE w:val="0"/>
        <w:autoSpaceDN w:val="0"/>
        <w:adjustRightInd w:val="0"/>
        <w:snapToGrid w:val="0"/>
        <w:spacing w:line="360" w:lineRule="auto"/>
        <w:ind w:firstLine="420" w:firstLineChars="200"/>
        <w:jc w:val="left"/>
        <w:rPr>
          <w:rFonts w:ascii="宋体" w:hAnsi="宋体"/>
          <w:color w:val="auto"/>
          <w:kern w:val="0"/>
          <w:highlight w:val="none"/>
        </w:rPr>
      </w:pPr>
    </w:p>
    <w:p>
      <w:pPr>
        <w:tabs>
          <w:tab w:val="left" w:pos="6300"/>
        </w:tabs>
        <w:autoSpaceDE w:val="0"/>
        <w:autoSpaceDN w:val="0"/>
        <w:adjustRightInd w:val="0"/>
        <w:snapToGrid w:val="0"/>
        <w:ind w:firstLine="420" w:firstLineChars="200"/>
        <w:jc w:val="right"/>
        <w:rPr>
          <w:rFonts w:ascii="宋体" w:hAnsi="宋体"/>
          <w:b/>
          <w:color w:val="auto"/>
          <w:highlight w:val="none"/>
        </w:rPr>
      </w:pPr>
      <w:r>
        <w:rPr>
          <w:rFonts w:hint="eastAsia" w:ascii="宋体" w:hAnsi="宋体"/>
          <w:color w:val="auto"/>
          <w:kern w:val="0"/>
          <w:highlight w:val="none"/>
          <w:u w:val="single"/>
        </w:rPr>
        <w:t xml:space="preserve">    </w:t>
      </w:r>
      <w:r>
        <w:rPr>
          <w:rFonts w:ascii="宋体" w:hAnsi="宋体"/>
          <w:color w:val="auto"/>
          <w:kern w:val="0"/>
          <w:highlight w:val="none"/>
        </w:rPr>
        <w:t>年</w:t>
      </w:r>
      <w:r>
        <w:rPr>
          <w:rFonts w:hint="eastAsia" w:ascii="宋体" w:hAnsi="宋体"/>
          <w:color w:val="auto"/>
          <w:kern w:val="0"/>
          <w:highlight w:val="none"/>
          <w:u w:val="single"/>
        </w:rPr>
        <w:t xml:space="preserve">    </w:t>
      </w:r>
      <w:r>
        <w:rPr>
          <w:rFonts w:ascii="宋体" w:hAnsi="宋体"/>
          <w:color w:val="auto"/>
          <w:kern w:val="0"/>
          <w:highlight w:val="none"/>
        </w:rPr>
        <w:t>月</w:t>
      </w:r>
      <w:r>
        <w:rPr>
          <w:rFonts w:hint="eastAsia" w:ascii="宋体" w:hAnsi="宋体"/>
          <w:color w:val="auto"/>
          <w:kern w:val="0"/>
          <w:highlight w:val="none"/>
          <w:u w:val="single"/>
        </w:rPr>
        <w:t xml:space="preserve">    日</w:t>
      </w:r>
    </w:p>
    <w:p>
      <w:pPr>
        <w:rPr>
          <w:rFonts w:ascii="宋体" w:hAnsi="宋体" w:cs="宋体"/>
          <w:color w:val="auto"/>
          <w:sz w:val="2"/>
          <w:szCs w:val="2"/>
          <w:highlight w:val="none"/>
        </w:rPr>
      </w:pPr>
    </w:p>
    <w:p>
      <w:pPr>
        <w:pStyle w:val="4"/>
        <w:jc w:val="center"/>
        <w:rPr>
          <w:rFonts w:ascii="Times New Roman" w:hAnsi="Times New Roman" w:eastAsia="宋体"/>
          <w:color w:val="auto"/>
          <w:szCs w:val="21"/>
          <w:highlight w:val="none"/>
        </w:rPr>
        <w:sectPr>
          <w:headerReference r:id="rId14" w:type="default"/>
          <w:pgSz w:w="11905" w:h="16838"/>
          <w:pgMar w:top="1474" w:right="1304" w:bottom="1247" w:left="1417" w:header="850" w:footer="992" w:gutter="0"/>
          <w:cols w:space="0" w:num="1"/>
        </w:sectPr>
      </w:pPr>
      <w:r>
        <w:rPr>
          <w:rFonts w:hint="eastAsia" w:ascii="Times New Roman" w:hAnsi="Times New Roman" w:eastAsia="宋体"/>
          <w:color w:val="auto"/>
          <w:szCs w:val="21"/>
          <w:highlight w:val="none"/>
        </w:rPr>
        <w:br w:type="page"/>
      </w:r>
    </w:p>
    <w:p>
      <w:pPr>
        <w:pStyle w:val="4"/>
        <w:ind w:left="420"/>
        <w:jc w:val="center"/>
        <w:rPr>
          <w:rFonts w:ascii="宋体" w:hAnsi="宋体"/>
          <w:color w:val="auto"/>
          <w:highlight w:val="none"/>
        </w:rPr>
      </w:pPr>
      <w:r>
        <w:rPr>
          <w:rFonts w:hint="eastAsia" w:ascii="宋体" w:hAnsi="宋体"/>
          <w:color w:val="auto"/>
          <w:highlight w:val="none"/>
        </w:rPr>
        <w:t>六、其他资料</w:t>
      </w:r>
    </w:p>
    <w:bookmarkEnd w:id="511"/>
    <w:bookmarkEnd w:id="512"/>
    <w:bookmarkEnd w:id="513"/>
    <w:bookmarkEnd w:id="514"/>
    <w:bookmarkEnd w:id="515"/>
    <w:bookmarkEnd w:id="516"/>
    <w:p>
      <w:pPr>
        <w:rPr>
          <w:color w:val="auto"/>
          <w:highlight w:val="none"/>
        </w:rPr>
      </w:pPr>
    </w:p>
    <w:sectPr>
      <w:headerReference r:id="rId15" w:type="default"/>
      <w:footerReference r:id="rId16" w:type="default"/>
      <w:pgSz w:w="11905" w:h="16838"/>
      <w:pgMar w:top="1474" w:right="1304" w:bottom="1247" w:left="1417" w:header="850"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8420" cy="278765"/>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1.95pt;width:4.6pt;mso-position-horizontal:center;mso-position-horizontal-relative:margin;mso-wrap-style:none;z-index:251659264;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lvigOtEAAAACAQAADwAAAAAAAAABACAA&#10;AAAiAAAAZHJzL2Rvd25yZXYueG1sUEsBAhQAFAAAAAgAh07iQOmwzbzbAQAArQMAAA4AAAAAAAAA&#10;AQAgAAAAIAEAAGRycy9lMm9Eb2MueG1sUEsFBgAAAAAGAAYAWQEAAG0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65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6578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lIns="0" tIns="0" rIns="0" bIns="0" upright="1">
                      <a:spAutoFit/>
                    </wps:bodyPr>
                  </wps:wsp>
                </a:graphicData>
              </a:graphic>
            </wp:anchor>
          </w:drawing>
        </mc:Choice>
        <mc:Fallback>
          <w:pict>
            <v:shape id="_x0000_s1026" o:spid="_x0000_s1026" o:spt="202" type="#_x0000_t202" style="position:absolute;left:0pt;margin-top:0pt;height:10.35pt;width:44.55pt;mso-position-horizontal:center;mso-position-horizontal-relative:margin;z-index:251660288;mso-width-relative:page;mso-height-relative:page;" filled="f" stroked="f" coordsize="21600,21600" o:gfxdata="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c8NmydEAAAADAQAADwAAAAAAAAABACAAAAAiAAAAZHJzL2Rvd25yZXYueG1s&#10;UEsBAhQAFAAAAAgAh07iQPnk9MTGAQAAiwMAAA4AAAAAAAAAAQAgAAAAIAEAAGRycy9lMm9Eb2Mu&#10;eG1sUEsFBgAAAAAGAAYAWQEAAFg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7876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32</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uNj1nRAAAAAwEAAA8AAAAAAAAAAQAg&#10;AAAAIgAAAGRycy9kb3ducmV2LnhtbFBLAQIUABQAAAAIAIdO4kABfwP83AEAAK4DAAAOAAAAAAAA&#10;AAEAIAAAACABAABkcnMvZTJvRG9jLnhtbFBLBQYAAAAABgAGAFkBAABu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32</w:t>
                    </w:r>
                    <w:r>
                      <w:rPr>
                        <w:rFonts w:hint="eastAsia"/>
                        <w:sz w:val="18"/>
                      </w:rPr>
                      <w:fldChar w:fldCharType="end"/>
                    </w:r>
                  </w:p>
                </w:txbxContent>
              </v:textbox>
            </v:shape>
          </w:pict>
        </mc:Fallback>
      </mc:AlternateConten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23685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236855" cy="147955"/>
                      </a:xfrm>
                      <a:prstGeom prst="rect">
                        <a:avLst/>
                      </a:prstGeom>
                      <a:noFill/>
                      <a:ln w="15875">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p>
                      </w:txbxContent>
                    </wps:txbx>
                    <wps:bodyPr lIns="0" tIns="0" rIns="0" bIns="0">
                      <a:spAutoFit/>
                    </wps:bodyPr>
                  </wps:wsp>
                </a:graphicData>
              </a:graphic>
            </wp:anchor>
          </w:drawing>
        </mc:Choice>
        <mc:Fallback>
          <w:pict>
            <v:shape id="_x0000_s1026" o:spid="_x0000_s1026" o:spt="202" type="#_x0000_t202" style="position:absolute;left:0pt;margin-top:0pt;height:11.65pt;width:18.65pt;mso-position-horizontal:center;mso-position-horizontal-relative:margin;z-index:251663360;mso-width-relative:page;mso-height-relative:page;" filled="f" stroked="f" coordsize="21600,21600" o:gfxdata="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gJgrTTAAAAAwEAAA8AAAAAAAAAAQAgAAAAIgAAAGRycy9kb3ducmV2&#10;LnhtbFBLAQIUABQAAAAIAIdO4kDCq+K2yAEAAIkDAAAOAAAAAAAAAAEAIAAAACIBAABkcnMvZTJv&#10;RG9jLnhtbFBLBQYAAAAABgAGAFkBAABcBQAAAAA=&#10;">
              <v:fill on="f" focussize="0,0"/>
              <v:stroke on="f" weight="1.2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36855" cy="1479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236855" cy="147955"/>
                      </a:xfrm>
                      <a:prstGeom prst="rect">
                        <a:avLst/>
                      </a:prstGeom>
                      <a:noFill/>
                      <a:ln w="15875">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p>
                      </w:txbxContent>
                    </wps:txbx>
                    <wps:bodyPr lIns="0" tIns="0" rIns="0" bIns="0">
                      <a:spAutoFit/>
                    </wps:bodyPr>
                  </wps:wsp>
                </a:graphicData>
              </a:graphic>
            </wp:anchor>
          </w:drawing>
        </mc:Choice>
        <mc:Fallback>
          <w:pict>
            <v:shape id="_x0000_s1026" o:spid="_x0000_s1026" o:spt="202" type="#_x0000_t202" style="position:absolute;left:0pt;margin-top:0pt;height:11.65pt;width:18.65pt;mso-position-horizontal:center;mso-position-horizontal-relative:margin;z-index:251662336;mso-width-relative:page;mso-height-relative:page;" filled="f" stroked="f" coordsize="21600,21600" o:gfxdata="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gJgrTTAAAAAwEAAA8AAAAAAAAAAQAgAAAAIgAAAGRycy9kb3ducmV2&#10;LnhtbFBLAQIUABQAAAAIAIdO4kDehGRiyAEAAIkDAAAOAAAAAAAAAAEAIAAAACIBAABkcnMvZTJv&#10;RG9jLnhtbFBLBQYAAAAABgAGAFkBAABcBQAAAAA=&#10;">
              <v:fill on="f" focussize="0,0"/>
              <v:stroke on="f" weight="1.2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49</w:t>
    </w:r>
    <w:r>
      <w:fldChar w:fldCharType="end"/>
    </w:r>
  </w:p>
  <w:p>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49</w: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rFonts w:cs="Times New Roman"/>
        <w:kern w:val="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rFonts w:cs="Times New Roman"/>
        <w:kern w:val="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EFB21E"/>
    <w:multiLevelType w:val="singleLevel"/>
    <w:tmpl w:val="8FEFB21E"/>
    <w:lvl w:ilvl="0" w:tentative="0">
      <w:start w:val="1"/>
      <w:numFmt w:val="decimal"/>
      <w:suff w:val="nothing"/>
      <w:lvlText w:val="（%1）"/>
      <w:lvlJc w:val="left"/>
    </w:lvl>
  </w:abstractNum>
  <w:abstractNum w:abstractNumId="1">
    <w:nsid w:val="9994B4C4"/>
    <w:multiLevelType w:val="singleLevel"/>
    <w:tmpl w:val="9994B4C4"/>
    <w:lvl w:ilvl="0" w:tentative="0">
      <w:start w:val="1"/>
      <w:numFmt w:val="chineseCounting"/>
      <w:suff w:val="nothing"/>
      <w:lvlText w:val="%1、"/>
      <w:lvlJc w:val="left"/>
      <w:pPr>
        <w:ind w:left="420"/>
      </w:pPr>
      <w:rPr>
        <w:rFonts w:hint="eastAsia"/>
      </w:rPr>
    </w:lvl>
  </w:abstractNum>
  <w:abstractNum w:abstractNumId="2">
    <w:nsid w:val="A29E761D"/>
    <w:multiLevelType w:val="singleLevel"/>
    <w:tmpl w:val="A29E761D"/>
    <w:lvl w:ilvl="0" w:tentative="0">
      <w:start w:val="2"/>
      <w:numFmt w:val="chineseCounting"/>
      <w:suff w:val="space"/>
      <w:lvlText w:val="第%1章"/>
      <w:lvlJc w:val="left"/>
      <w:rPr>
        <w:rFonts w:hint="eastAsia"/>
      </w:rPr>
    </w:lvl>
  </w:abstractNum>
  <w:abstractNum w:abstractNumId="3">
    <w:nsid w:val="CEECC36E"/>
    <w:multiLevelType w:val="singleLevel"/>
    <w:tmpl w:val="CEECC36E"/>
    <w:lvl w:ilvl="0" w:tentative="0">
      <w:start w:val="1"/>
      <w:numFmt w:val="chineseCounting"/>
      <w:suff w:val="nothing"/>
      <w:lvlText w:val="%1、"/>
      <w:lvlJc w:val="left"/>
      <w:rPr>
        <w:rFonts w:hint="eastAsia"/>
      </w:rPr>
    </w:lvl>
  </w:abstractNum>
  <w:abstractNum w:abstractNumId="4">
    <w:nsid w:val="ECCBB50C"/>
    <w:multiLevelType w:val="singleLevel"/>
    <w:tmpl w:val="ECCBB50C"/>
    <w:lvl w:ilvl="0" w:tentative="0">
      <w:start w:val="5"/>
      <w:numFmt w:val="decimal"/>
      <w:lvlText w:val="%1."/>
      <w:lvlJc w:val="left"/>
      <w:pPr>
        <w:tabs>
          <w:tab w:val="left" w:pos="312"/>
        </w:tabs>
      </w:pPr>
    </w:lvl>
  </w:abstractNum>
  <w:abstractNum w:abstractNumId="5">
    <w:nsid w:val="F7E3DA47"/>
    <w:multiLevelType w:val="singleLevel"/>
    <w:tmpl w:val="F7E3DA47"/>
    <w:lvl w:ilvl="0" w:tentative="0">
      <w:start w:val="2"/>
      <w:numFmt w:val="decimal"/>
      <w:suff w:val="nothing"/>
      <w:lvlText w:val="%1、"/>
      <w:lvlJc w:val="left"/>
    </w:lvl>
  </w:abstractNum>
  <w:abstractNum w:abstractNumId="6">
    <w:nsid w:val="0000000B"/>
    <w:multiLevelType w:val="multilevel"/>
    <w:tmpl w:val="0000000B"/>
    <w:lvl w:ilvl="0" w:tentative="0">
      <w:start w:val="1"/>
      <w:numFmt w:val="decimal"/>
      <w:lvlText w:val="%1"/>
      <w:lvlJc w:val="left"/>
      <w:pPr>
        <w:tabs>
          <w:tab w:val="left" w:pos="720"/>
        </w:tabs>
        <w:ind w:left="720" w:hanging="360"/>
      </w:pPr>
    </w:lvl>
    <w:lvl w:ilvl="1" w:tentative="0">
      <w:start w:val="1"/>
      <w:numFmt w:val="decimal"/>
      <w:lvlText w:val="7.8.%2"/>
      <w:lvlJc w:val="left"/>
      <w:pPr>
        <w:tabs>
          <w:tab w:val="left" w:pos="1440"/>
        </w:tabs>
        <w:ind w:left="1440" w:hanging="360"/>
      </w:p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0000000D"/>
    <w:multiLevelType w:val="multilevel"/>
    <w:tmpl w:val="0000000D"/>
    <w:lvl w:ilvl="0" w:tentative="0">
      <w:start w:val="8"/>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0000000E"/>
    <w:multiLevelType w:val="multilevel"/>
    <w:tmpl w:val="0000000E"/>
    <w:lvl w:ilvl="0" w:tentative="0">
      <w:start w:val="7"/>
      <w:numFmt w:val="decimal"/>
      <w:lvlText w:val="7.%1"/>
      <w:lvlJc w:val="left"/>
      <w:pPr>
        <w:tabs>
          <w:tab w:val="left" w:pos="720"/>
        </w:tabs>
        <w:ind w:left="720" w:hanging="360"/>
      </w:pPr>
    </w:lvl>
    <w:lvl w:ilvl="1" w:tentative="0">
      <w:start w:val="1"/>
      <w:numFmt w:val="decimal"/>
      <w:lvlText w:val="7.7.%2"/>
      <w:lvlJc w:val="left"/>
      <w:pPr>
        <w:tabs>
          <w:tab w:val="left" w:pos="1440"/>
        </w:tabs>
        <w:ind w:left="1440" w:hanging="360"/>
      </w:p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61027DAC"/>
    <w:multiLevelType w:val="singleLevel"/>
    <w:tmpl w:val="61027DAC"/>
    <w:lvl w:ilvl="0" w:tentative="0">
      <w:start w:val="1"/>
      <w:numFmt w:val="chineseCounting"/>
      <w:suff w:val="nothing"/>
      <w:lvlText w:val="%1、"/>
      <w:lvlJc w:val="left"/>
    </w:lvl>
  </w:abstractNum>
  <w:num w:numId="1">
    <w:abstractNumId w:val="2"/>
  </w:num>
  <w:num w:numId="2">
    <w:abstractNumId w:val="5"/>
  </w:num>
  <w:num w:numId="3">
    <w:abstractNumId w:val="8"/>
  </w:num>
  <w:num w:numId="4">
    <w:abstractNumId w:val="6"/>
  </w:num>
  <w:num w:numId="5">
    <w:abstractNumId w:val="7"/>
  </w:num>
  <w:num w:numId="6">
    <w:abstractNumId w:val="0"/>
  </w:num>
  <w:num w:numId="7">
    <w:abstractNumId w:val="4"/>
  </w:num>
  <w:num w:numId="8">
    <w:abstractNumId w:val="9"/>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mN2VmMTI4Y2Y1OTI2NmEwZDMzNjY1MDY4NGM1MGIifQ=="/>
  </w:docVars>
  <w:rsids>
    <w:rsidRoot w:val="007477B1"/>
    <w:rsid w:val="00075464"/>
    <w:rsid w:val="00081300"/>
    <w:rsid w:val="00096152"/>
    <w:rsid w:val="000E6AD9"/>
    <w:rsid w:val="000E7A76"/>
    <w:rsid w:val="000F0691"/>
    <w:rsid w:val="001A3ADE"/>
    <w:rsid w:val="001B40F6"/>
    <w:rsid w:val="00265A40"/>
    <w:rsid w:val="00287BA4"/>
    <w:rsid w:val="002B241D"/>
    <w:rsid w:val="002B4BD2"/>
    <w:rsid w:val="00387F83"/>
    <w:rsid w:val="003A5A42"/>
    <w:rsid w:val="003B5773"/>
    <w:rsid w:val="003B7E21"/>
    <w:rsid w:val="00403011"/>
    <w:rsid w:val="00416A0B"/>
    <w:rsid w:val="0043590D"/>
    <w:rsid w:val="0044105F"/>
    <w:rsid w:val="004C2380"/>
    <w:rsid w:val="004E68E0"/>
    <w:rsid w:val="005406E4"/>
    <w:rsid w:val="00554771"/>
    <w:rsid w:val="005B5732"/>
    <w:rsid w:val="006337FE"/>
    <w:rsid w:val="00652710"/>
    <w:rsid w:val="00683174"/>
    <w:rsid w:val="0068405A"/>
    <w:rsid w:val="006A5588"/>
    <w:rsid w:val="007134F1"/>
    <w:rsid w:val="007477B1"/>
    <w:rsid w:val="007A2986"/>
    <w:rsid w:val="007B4C8B"/>
    <w:rsid w:val="007D2BC2"/>
    <w:rsid w:val="007F0215"/>
    <w:rsid w:val="008132EB"/>
    <w:rsid w:val="00865141"/>
    <w:rsid w:val="008A02EF"/>
    <w:rsid w:val="008F5FB1"/>
    <w:rsid w:val="009361B4"/>
    <w:rsid w:val="00943B65"/>
    <w:rsid w:val="00951F86"/>
    <w:rsid w:val="00977E55"/>
    <w:rsid w:val="009C2E9C"/>
    <w:rsid w:val="00B97A6F"/>
    <w:rsid w:val="00C1259E"/>
    <w:rsid w:val="00C41142"/>
    <w:rsid w:val="00C910A7"/>
    <w:rsid w:val="00CB5AB2"/>
    <w:rsid w:val="00CB6BEB"/>
    <w:rsid w:val="00CC6F16"/>
    <w:rsid w:val="00CF1E07"/>
    <w:rsid w:val="00D04BED"/>
    <w:rsid w:val="00D62CE0"/>
    <w:rsid w:val="00D87B88"/>
    <w:rsid w:val="00DA2131"/>
    <w:rsid w:val="00DA6A52"/>
    <w:rsid w:val="00E73795"/>
    <w:rsid w:val="00ED3EC5"/>
    <w:rsid w:val="00EE0F19"/>
    <w:rsid w:val="00EE7239"/>
    <w:rsid w:val="00EF5F72"/>
    <w:rsid w:val="00F251B3"/>
    <w:rsid w:val="00FA06EE"/>
    <w:rsid w:val="010F53AD"/>
    <w:rsid w:val="01387764"/>
    <w:rsid w:val="01406C0B"/>
    <w:rsid w:val="01415CD2"/>
    <w:rsid w:val="015024C4"/>
    <w:rsid w:val="016043AA"/>
    <w:rsid w:val="01802F09"/>
    <w:rsid w:val="01890912"/>
    <w:rsid w:val="01FE3350"/>
    <w:rsid w:val="020016E9"/>
    <w:rsid w:val="02056D00"/>
    <w:rsid w:val="02137556"/>
    <w:rsid w:val="02165F73"/>
    <w:rsid w:val="024C764C"/>
    <w:rsid w:val="02B610FD"/>
    <w:rsid w:val="02DB3C55"/>
    <w:rsid w:val="03014FA3"/>
    <w:rsid w:val="031615CC"/>
    <w:rsid w:val="03223083"/>
    <w:rsid w:val="036E6E8C"/>
    <w:rsid w:val="037800D1"/>
    <w:rsid w:val="037C58C5"/>
    <w:rsid w:val="037F231A"/>
    <w:rsid w:val="038A1F06"/>
    <w:rsid w:val="03A401E5"/>
    <w:rsid w:val="03B24C65"/>
    <w:rsid w:val="03DD5DCF"/>
    <w:rsid w:val="03EF1163"/>
    <w:rsid w:val="03F531F0"/>
    <w:rsid w:val="04282675"/>
    <w:rsid w:val="045F303F"/>
    <w:rsid w:val="045F6C38"/>
    <w:rsid w:val="04AE0937"/>
    <w:rsid w:val="04B62533"/>
    <w:rsid w:val="04B64BFF"/>
    <w:rsid w:val="04E80917"/>
    <w:rsid w:val="05510B12"/>
    <w:rsid w:val="057660B9"/>
    <w:rsid w:val="05FA5E85"/>
    <w:rsid w:val="06323427"/>
    <w:rsid w:val="06413EE4"/>
    <w:rsid w:val="06500324"/>
    <w:rsid w:val="06581AF4"/>
    <w:rsid w:val="066207DE"/>
    <w:rsid w:val="06D60AB1"/>
    <w:rsid w:val="06F34384"/>
    <w:rsid w:val="06FB1FC5"/>
    <w:rsid w:val="07022353"/>
    <w:rsid w:val="070D15AA"/>
    <w:rsid w:val="07177C01"/>
    <w:rsid w:val="0723066C"/>
    <w:rsid w:val="07642024"/>
    <w:rsid w:val="07C5289C"/>
    <w:rsid w:val="08137785"/>
    <w:rsid w:val="081A6551"/>
    <w:rsid w:val="08255C51"/>
    <w:rsid w:val="08446829"/>
    <w:rsid w:val="08470503"/>
    <w:rsid w:val="08625FFF"/>
    <w:rsid w:val="09151032"/>
    <w:rsid w:val="09442A0A"/>
    <w:rsid w:val="095950E7"/>
    <w:rsid w:val="09673BFD"/>
    <w:rsid w:val="098E1E94"/>
    <w:rsid w:val="09B90AFC"/>
    <w:rsid w:val="09E750AC"/>
    <w:rsid w:val="09E902BD"/>
    <w:rsid w:val="0A0814CE"/>
    <w:rsid w:val="0A6540EF"/>
    <w:rsid w:val="0A9926DB"/>
    <w:rsid w:val="0AB61FE5"/>
    <w:rsid w:val="0AB74528"/>
    <w:rsid w:val="0AC41E4E"/>
    <w:rsid w:val="0AC72AF8"/>
    <w:rsid w:val="0B4A6D28"/>
    <w:rsid w:val="0B601B01"/>
    <w:rsid w:val="0BD60E9B"/>
    <w:rsid w:val="0BDE2087"/>
    <w:rsid w:val="0BE341B2"/>
    <w:rsid w:val="0BE4061E"/>
    <w:rsid w:val="0C1E1A02"/>
    <w:rsid w:val="0C2F5598"/>
    <w:rsid w:val="0C950E7D"/>
    <w:rsid w:val="0C9A3825"/>
    <w:rsid w:val="0CA27F7F"/>
    <w:rsid w:val="0D7C7CEA"/>
    <w:rsid w:val="0D9074CF"/>
    <w:rsid w:val="0DC53A76"/>
    <w:rsid w:val="0DDF65CC"/>
    <w:rsid w:val="0DEC6564"/>
    <w:rsid w:val="0DF336C5"/>
    <w:rsid w:val="0E0A1205"/>
    <w:rsid w:val="0E7019A5"/>
    <w:rsid w:val="0E801243"/>
    <w:rsid w:val="0E940838"/>
    <w:rsid w:val="0E967AE5"/>
    <w:rsid w:val="0EC63943"/>
    <w:rsid w:val="0F0E3698"/>
    <w:rsid w:val="0F7D59F6"/>
    <w:rsid w:val="0FAE09D7"/>
    <w:rsid w:val="0FB10152"/>
    <w:rsid w:val="0FB57FB7"/>
    <w:rsid w:val="0FE8139B"/>
    <w:rsid w:val="0FF105C3"/>
    <w:rsid w:val="0FF40E97"/>
    <w:rsid w:val="0FFD52BF"/>
    <w:rsid w:val="1007753D"/>
    <w:rsid w:val="10125336"/>
    <w:rsid w:val="102045AD"/>
    <w:rsid w:val="10207B26"/>
    <w:rsid w:val="10333FE2"/>
    <w:rsid w:val="103B1494"/>
    <w:rsid w:val="10690360"/>
    <w:rsid w:val="10983F1A"/>
    <w:rsid w:val="111A5F86"/>
    <w:rsid w:val="112453F4"/>
    <w:rsid w:val="117418C3"/>
    <w:rsid w:val="117E5DCC"/>
    <w:rsid w:val="117F6ACF"/>
    <w:rsid w:val="11A55A82"/>
    <w:rsid w:val="11B218D3"/>
    <w:rsid w:val="11B322D4"/>
    <w:rsid w:val="11B40DF8"/>
    <w:rsid w:val="121A2353"/>
    <w:rsid w:val="122E1030"/>
    <w:rsid w:val="123A0D34"/>
    <w:rsid w:val="12602343"/>
    <w:rsid w:val="126B2BAF"/>
    <w:rsid w:val="12B74D2D"/>
    <w:rsid w:val="12DE3097"/>
    <w:rsid w:val="136C4E31"/>
    <w:rsid w:val="136D115C"/>
    <w:rsid w:val="13815CC7"/>
    <w:rsid w:val="138A68BC"/>
    <w:rsid w:val="13AE0A4F"/>
    <w:rsid w:val="13BC7BC9"/>
    <w:rsid w:val="13C81D1A"/>
    <w:rsid w:val="143031DA"/>
    <w:rsid w:val="145579C4"/>
    <w:rsid w:val="145B4E40"/>
    <w:rsid w:val="148122B0"/>
    <w:rsid w:val="149F6752"/>
    <w:rsid w:val="14F01DDF"/>
    <w:rsid w:val="14FB2232"/>
    <w:rsid w:val="14FE25D4"/>
    <w:rsid w:val="15107A3E"/>
    <w:rsid w:val="151F0E45"/>
    <w:rsid w:val="156140D5"/>
    <w:rsid w:val="15753875"/>
    <w:rsid w:val="158179A4"/>
    <w:rsid w:val="158F1232"/>
    <w:rsid w:val="15A91C2A"/>
    <w:rsid w:val="15BA256F"/>
    <w:rsid w:val="15C93EEE"/>
    <w:rsid w:val="15E769F0"/>
    <w:rsid w:val="16665B00"/>
    <w:rsid w:val="16996806"/>
    <w:rsid w:val="16A3742F"/>
    <w:rsid w:val="171C0FBD"/>
    <w:rsid w:val="171D0A49"/>
    <w:rsid w:val="171F098A"/>
    <w:rsid w:val="174A1194"/>
    <w:rsid w:val="1780297E"/>
    <w:rsid w:val="17B452A0"/>
    <w:rsid w:val="17CA37A2"/>
    <w:rsid w:val="17D34FFE"/>
    <w:rsid w:val="17EC63F8"/>
    <w:rsid w:val="180F7034"/>
    <w:rsid w:val="18180B1E"/>
    <w:rsid w:val="181A12FF"/>
    <w:rsid w:val="181E0939"/>
    <w:rsid w:val="182D1B76"/>
    <w:rsid w:val="18383533"/>
    <w:rsid w:val="184C621F"/>
    <w:rsid w:val="185F20C6"/>
    <w:rsid w:val="18A76D11"/>
    <w:rsid w:val="18B17CC9"/>
    <w:rsid w:val="18CA1BAC"/>
    <w:rsid w:val="18CC46D1"/>
    <w:rsid w:val="18D04046"/>
    <w:rsid w:val="18D97F6F"/>
    <w:rsid w:val="192817FA"/>
    <w:rsid w:val="193A152D"/>
    <w:rsid w:val="1962239F"/>
    <w:rsid w:val="196460FC"/>
    <w:rsid w:val="197D2DBA"/>
    <w:rsid w:val="197E2405"/>
    <w:rsid w:val="19866520"/>
    <w:rsid w:val="198B1A91"/>
    <w:rsid w:val="19B90777"/>
    <w:rsid w:val="19C85E69"/>
    <w:rsid w:val="19DD0205"/>
    <w:rsid w:val="1A1F0E4F"/>
    <w:rsid w:val="1A2B7B2C"/>
    <w:rsid w:val="1AA33FCF"/>
    <w:rsid w:val="1AEA1D23"/>
    <w:rsid w:val="1AF10196"/>
    <w:rsid w:val="1AF127BC"/>
    <w:rsid w:val="1B397865"/>
    <w:rsid w:val="1B4A53FB"/>
    <w:rsid w:val="1B5340E0"/>
    <w:rsid w:val="1B5F678A"/>
    <w:rsid w:val="1B7D764B"/>
    <w:rsid w:val="1BB27AA1"/>
    <w:rsid w:val="1BC25F36"/>
    <w:rsid w:val="1BC64A2D"/>
    <w:rsid w:val="1C205EA6"/>
    <w:rsid w:val="1C406354"/>
    <w:rsid w:val="1C5C7111"/>
    <w:rsid w:val="1C6E7833"/>
    <w:rsid w:val="1C852EB1"/>
    <w:rsid w:val="1C88106A"/>
    <w:rsid w:val="1CB52865"/>
    <w:rsid w:val="1D1D0F4A"/>
    <w:rsid w:val="1D1E3BB5"/>
    <w:rsid w:val="1D300C7D"/>
    <w:rsid w:val="1D315FAE"/>
    <w:rsid w:val="1D3C256C"/>
    <w:rsid w:val="1DDE4B7D"/>
    <w:rsid w:val="1DFC3255"/>
    <w:rsid w:val="1E236A34"/>
    <w:rsid w:val="1E27003A"/>
    <w:rsid w:val="1E33581C"/>
    <w:rsid w:val="1E3749B5"/>
    <w:rsid w:val="1E3F0769"/>
    <w:rsid w:val="1E4C4DF8"/>
    <w:rsid w:val="1E9A7C42"/>
    <w:rsid w:val="1E9C2F19"/>
    <w:rsid w:val="1EAA611F"/>
    <w:rsid w:val="1EAE4A4B"/>
    <w:rsid w:val="1EC03521"/>
    <w:rsid w:val="1EC43D73"/>
    <w:rsid w:val="1ED97BCF"/>
    <w:rsid w:val="1F1946A1"/>
    <w:rsid w:val="1F2D4CEF"/>
    <w:rsid w:val="1F6D5A75"/>
    <w:rsid w:val="1FBD1788"/>
    <w:rsid w:val="1FEE5C97"/>
    <w:rsid w:val="204148C0"/>
    <w:rsid w:val="2047060F"/>
    <w:rsid w:val="207D242B"/>
    <w:rsid w:val="20947C0E"/>
    <w:rsid w:val="20BA13BC"/>
    <w:rsid w:val="20DF68D6"/>
    <w:rsid w:val="20ED5655"/>
    <w:rsid w:val="20F200CB"/>
    <w:rsid w:val="21053229"/>
    <w:rsid w:val="21154D5A"/>
    <w:rsid w:val="214602AA"/>
    <w:rsid w:val="2165736B"/>
    <w:rsid w:val="216B6728"/>
    <w:rsid w:val="21870348"/>
    <w:rsid w:val="21881CD0"/>
    <w:rsid w:val="219928BA"/>
    <w:rsid w:val="21995B38"/>
    <w:rsid w:val="219C6299"/>
    <w:rsid w:val="21E94D31"/>
    <w:rsid w:val="21F7370D"/>
    <w:rsid w:val="221D66D2"/>
    <w:rsid w:val="222B5EB7"/>
    <w:rsid w:val="22C07E74"/>
    <w:rsid w:val="22DF1E0E"/>
    <w:rsid w:val="234230D1"/>
    <w:rsid w:val="23823D54"/>
    <w:rsid w:val="238B7C7B"/>
    <w:rsid w:val="238E1EA0"/>
    <w:rsid w:val="23935BCC"/>
    <w:rsid w:val="23A859DC"/>
    <w:rsid w:val="23B142F4"/>
    <w:rsid w:val="23C474CF"/>
    <w:rsid w:val="242017B0"/>
    <w:rsid w:val="2446347C"/>
    <w:rsid w:val="2480073C"/>
    <w:rsid w:val="24A23CBD"/>
    <w:rsid w:val="25404B20"/>
    <w:rsid w:val="25900E69"/>
    <w:rsid w:val="25AD5602"/>
    <w:rsid w:val="25B7715C"/>
    <w:rsid w:val="25BC57A4"/>
    <w:rsid w:val="25DB7004"/>
    <w:rsid w:val="25DD193D"/>
    <w:rsid w:val="260303E0"/>
    <w:rsid w:val="26630315"/>
    <w:rsid w:val="266B665D"/>
    <w:rsid w:val="26977728"/>
    <w:rsid w:val="26A86FA5"/>
    <w:rsid w:val="26A9181A"/>
    <w:rsid w:val="270C41DD"/>
    <w:rsid w:val="2714290A"/>
    <w:rsid w:val="27B21F2B"/>
    <w:rsid w:val="27B97111"/>
    <w:rsid w:val="27D86AE1"/>
    <w:rsid w:val="27E9767F"/>
    <w:rsid w:val="27F11D00"/>
    <w:rsid w:val="27FB6A25"/>
    <w:rsid w:val="281E6B00"/>
    <w:rsid w:val="28AF42E9"/>
    <w:rsid w:val="28B07145"/>
    <w:rsid w:val="28BA23D5"/>
    <w:rsid w:val="28D728F5"/>
    <w:rsid w:val="28F83FFD"/>
    <w:rsid w:val="29080D00"/>
    <w:rsid w:val="293A6999"/>
    <w:rsid w:val="295355B3"/>
    <w:rsid w:val="29A4539D"/>
    <w:rsid w:val="29AE57FA"/>
    <w:rsid w:val="2A030B09"/>
    <w:rsid w:val="2A0C11A4"/>
    <w:rsid w:val="2A244A12"/>
    <w:rsid w:val="2A8B73D0"/>
    <w:rsid w:val="2AAA6ADC"/>
    <w:rsid w:val="2ACE69F0"/>
    <w:rsid w:val="2B0E3785"/>
    <w:rsid w:val="2B220DA3"/>
    <w:rsid w:val="2B381608"/>
    <w:rsid w:val="2B453ECE"/>
    <w:rsid w:val="2B6D12EE"/>
    <w:rsid w:val="2B801021"/>
    <w:rsid w:val="2B831183"/>
    <w:rsid w:val="2B831F0F"/>
    <w:rsid w:val="2BAF7857"/>
    <w:rsid w:val="2BBB780F"/>
    <w:rsid w:val="2BF1489E"/>
    <w:rsid w:val="2BFB1CB9"/>
    <w:rsid w:val="2C0A4D8F"/>
    <w:rsid w:val="2C696627"/>
    <w:rsid w:val="2C890ECC"/>
    <w:rsid w:val="2C9805ED"/>
    <w:rsid w:val="2CA45408"/>
    <w:rsid w:val="2CA960BD"/>
    <w:rsid w:val="2CC17B44"/>
    <w:rsid w:val="2CEB696E"/>
    <w:rsid w:val="2CFA45A5"/>
    <w:rsid w:val="2D1007DB"/>
    <w:rsid w:val="2D46629B"/>
    <w:rsid w:val="2D7146D9"/>
    <w:rsid w:val="2D9039BB"/>
    <w:rsid w:val="2D965E89"/>
    <w:rsid w:val="2D9C3ECD"/>
    <w:rsid w:val="2DB253D5"/>
    <w:rsid w:val="2DB50231"/>
    <w:rsid w:val="2DBB1EA2"/>
    <w:rsid w:val="2DC0378B"/>
    <w:rsid w:val="2DCE08CE"/>
    <w:rsid w:val="2DF03C34"/>
    <w:rsid w:val="2DFB051D"/>
    <w:rsid w:val="2E913546"/>
    <w:rsid w:val="2E920B16"/>
    <w:rsid w:val="2ECC5999"/>
    <w:rsid w:val="2ED20198"/>
    <w:rsid w:val="2EEE092C"/>
    <w:rsid w:val="2EEE7411"/>
    <w:rsid w:val="2F03425F"/>
    <w:rsid w:val="2F785653"/>
    <w:rsid w:val="2F7A5B93"/>
    <w:rsid w:val="2F7D4D9C"/>
    <w:rsid w:val="2F8B696C"/>
    <w:rsid w:val="2FD00CAB"/>
    <w:rsid w:val="2FDA49D6"/>
    <w:rsid w:val="2FDF77DA"/>
    <w:rsid w:val="303162D1"/>
    <w:rsid w:val="30414916"/>
    <w:rsid w:val="30561C15"/>
    <w:rsid w:val="306129D6"/>
    <w:rsid w:val="306F78B6"/>
    <w:rsid w:val="30B8022D"/>
    <w:rsid w:val="30D106F5"/>
    <w:rsid w:val="31032CD2"/>
    <w:rsid w:val="310D36E9"/>
    <w:rsid w:val="31271F3F"/>
    <w:rsid w:val="312C0FE8"/>
    <w:rsid w:val="314D3BA6"/>
    <w:rsid w:val="315D0B0B"/>
    <w:rsid w:val="31F1472A"/>
    <w:rsid w:val="31F167D5"/>
    <w:rsid w:val="31F3217B"/>
    <w:rsid w:val="3200110E"/>
    <w:rsid w:val="324803BF"/>
    <w:rsid w:val="32547068"/>
    <w:rsid w:val="32653857"/>
    <w:rsid w:val="32747406"/>
    <w:rsid w:val="327921DC"/>
    <w:rsid w:val="32820208"/>
    <w:rsid w:val="32B82547"/>
    <w:rsid w:val="32C13757"/>
    <w:rsid w:val="32CC0BCC"/>
    <w:rsid w:val="32D55AF0"/>
    <w:rsid w:val="33113991"/>
    <w:rsid w:val="331D580A"/>
    <w:rsid w:val="33546862"/>
    <w:rsid w:val="33654B65"/>
    <w:rsid w:val="3376761C"/>
    <w:rsid w:val="33891C70"/>
    <w:rsid w:val="339856AC"/>
    <w:rsid w:val="33A908A3"/>
    <w:rsid w:val="33BD112F"/>
    <w:rsid w:val="33BD61BE"/>
    <w:rsid w:val="33D63FBD"/>
    <w:rsid w:val="33E0141C"/>
    <w:rsid w:val="33FD7EFF"/>
    <w:rsid w:val="346D2F10"/>
    <w:rsid w:val="353F633D"/>
    <w:rsid w:val="35977693"/>
    <w:rsid w:val="35B234A8"/>
    <w:rsid w:val="35C43EC2"/>
    <w:rsid w:val="35CB6793"/>
    <w:rsid w:val="35E64525"/>
    <w:rsid w:val="36075C31"/>
    <w:rsid w:val="367571E3"/>
    <w:rsid w:val="368045CB"/>
    <w:rsid w:val="368C1B54"/>
    <w:rsid w:val="36B74E9A"/>
    <w:rsid w:val="36CE5337"/>
    <w:rsid w:val="36CE7036"/>
    <w:rsid w:val="36E7046A"/>
    <w:rsid w:val="36EE4A70"/>
    <w:rsid w:val="37723FF0"/>
    <w:rsid w:val="377A182B"/>
    <w:rsid w:val="378F177A"/>
    <w:rsid w:val="37AF24B7"/>
    <w:rsid w:val="37AF33BA"/>
    <w:rsid w:val="380A4BB3"/>
    <w:rsid w:val="38400D0B"/>
    <w:rsid w:val="384717EB"/>
    <w:rsid w:val="387A366F"/>
    <w:rsid w:val="3887244F"/>
    <w:rsid w:val="38AD7A18"/>
    <w:rsid w:val="38D91DC4"/>
    <w:rsid w:val="38E135EE"/>
    <w:rsid w:val="38E76140"/>
    <w:rsid w:val="394A2C6F"/>
    <w:rsid w:val="39552D50"/>
    <w:rsid w:val="39B81AF9"/>
    <w:rsid w:val="39EF7F92"/>
    <w:rsid w:val="39F50E2C"/>
    <w:rsid w:val="3A1F1222"/>
    <w:rsid w:val="3A3041BA"/>
    <w:rsid w:val="3A4248E3"/>
    <w:rsid w:val="3A676818"/>
    <w:rsid w:val="3AC808EA"/>
    <w:rsid w:val="3AEC0801"/>
    <w:rsid w:val="3AF649E3"/>
    <w:rsid w:val="3B0D31EE"/>
    <w:rsid w:val="3B2D2D0C"/>
    <w:rsid w:val="3B7A52F0"/>
    <w:rsid w:val="3B7A5A8D"/>
    <w:rsid w:val="3BB7640E"/>
    <w:rsid w:val="3BD333B1"/>
    <w:rsid w:val="3C0D7837"/>
    <w:rsid w:val="3C3B15C3"/>
    <w:rsid w:val="3C681F0E"/>
    <w:rsid w:val="3C757CF2"/>
    <w:rsid w:val="3C8619D8"/>
    <w:rsid w:val="3C930929"/>
    <w:rsid w:val="3C9B7024"/>
    <w:rsid w:val="3C9E7EBE"/>
    <w:rsid w:val="3CF0179A"/>
    <w:rsid w:val="3D0A44C7"/>
    <w:rsid w:val="3D0E3571"/>
    <w:rsid w:val="3D7163D6"/>
    <w:rsid w:val="3D7E006B"/>
    <w:rsid w:val="3DA63EC2"/>
    <w:rsid w:val="3DD75419"/>
    <w:rsid w:val="3DFE1F07"/>
    <w:rsid w:val="3E053B86"/>
    <w:rsid w:val="3E0C04DB"/>
    <w:rsid w:val="3E5E4B7E"/>
    <w:rsid w:val="3E692E72"/>
    <w:rsid w:val="3E827116"/>
    <w:rsid w:val="3EA97713"/>
    <w:rsid w:val="3ED06A7E"/>
    <w:rsid w:val="3ED77A04"/>
    <w:rsid w:val="3EDA5D74"/>
    <w:rsid w:val="3EDA6843"/>
    <w:rsid w:val="3F2A0C9A"/>
    <w:rsid w:val="3F4D3B6B"/>
    <w:rsid w:val="3F82186F"/>
    <w:rsid w:val="3F8D71F4"/>
    <w:rsid w:val="3FA2507C"/>
    <w:rsid w:val="3FDE4710"/>
    <w:rsid w:val="3FE703A1"/>
    <w:rsid w:val="4070745F"/>
    <w:rsid w:val="40833636"/>
    <w:rsid w:val="409215C8"/>
    <w:rsid w:val="41074A59"/>
    <w:rsid w:val="41257C05"/>
    <w:rsid w:val="412D229E"/>
    <w:rsid w:val="41393CF5"/>
    <w:rsid w:val="41672CFE"/>
    <w:rsid w:val="416C231C"/>
    <w:rsid w:val="41986C6D"/>
    <w:rsid w:val="41FB36A0"/>
    <w:rsid w:val="41FF159E"/>
    <w:rsid w:val="42035D2E"/>
    <w:rsid w:val="420958E7"/>
    <w:rsid w:val="426D0CB1"/>
    <w:rsid w:val="42C1483D"/>
    <w:rsid w:val="42CA7AE0"/>
    <w:rsid w:val="43267AD8"/>
    <w:rsid w:val="43374074"/>
    <w:rsid w:val="43620BD2"/>
    <w:rsid w:val="43B34232"/>
    <w:rsid w:val="43FA6452"/>
    <w:rsid w:val="44136A7F"/>
    <w:rsid w:val="447B35BB"/>
    <w:rsid w:val="44E74679"/>
    <w:rsid w:val="44F5463E"/>
    <w:rsid w:val="45336F51"/>
    <w:rsid w:val="455633DC"/>
    <w:rsid w:val="456346B4"/>
    <w:rsid w:val="45871862"/>
    <w:rsid w:val="45B66368"/>
    <w:rsid w:val="463A18DD"/>
    <w:rsid w:val="465B68C8"/>
    <w:rsid w:val="467F5707"/>
    <w:rsid w:val="46EB7D9F"/>
    <w:rsid w:val="47074626"/>
    <w:rsid w:val="47340AAB"/>
    <w:rsid w:val="4752380F"/>
    <w:rsid w:val="47670F7D"/>
    <w:rsid w:val="478A453C"/>
    <w:rsid w:val="47BD64E3"/>
    <w:rsid w:val="47D64957"/>
    <w:rsid w:val="47FF09BB"/>
    <w:rsid w:val="483054F5"/>
    <w:rsid w:val="486E24D4"/>
    <w:rsid w:val="48890A96"/>
    <w:rsid w:val="489C62FA"/>
    <w:rsid w:val="48BD4143"/>
    <w:rsid w:val="48E56365"/>
    <w:rsid w:val="490544DA"/>
    <w:rsid w:val="492D638D"/>
    <w:rsid w:val="494D3B87"/>
    <w:rsid w:val="49986026"/>
    <w:rsid w:val="49C31DE0"/>
    <w:rsid w:val="49E03485"/>
    <w:rsid w:val="4A02381D"/>
    <w:rsid w:val="4A081292"/>
    <w:rsid w:val="4A163E0F"/>
    <w:rsid w:val="4AB8212E"/>
    <w:rsid w:val="4AC42881"/>
    <w:rsid w:val="4AE25324"/>
    <w:rsid w:val="4AFE7AAC"/>
    <w:rsid w:val="4B111A14"/>
    <w:rsid w:val="4B49547C"/>
    <w:rsid w:val="4BD92EA5"/>
    <w:rsid w:val="4C2D3C0D"/>
    <w:rsid w:val="4C3C2110"/>
    <w:rsid w:val="4C9557AE"/>
    <w:rsid w:val="4CF50FC5"/>
    <w:rsid w:val="4D2047AD"/>
    <w:rsid w:val="4D4D17AB"/>
    <w:rsid w:val="4D517991"/>
    <w:rsid w:val="4D5E78E2"/>
    <w:rsid w:val="4D614391"/>
    <w:rsid w:val="4D644FA6"/>
    <w:rsid w:val="4DAC3B2F"/>
    <w:rsid w:val="4DBC4689"/>
    <w:rsid w:val="4DD41088"/>
    <w:rsid w:val="4DDD338C"/>
    <w:rsid w:val="4E0311CE"/>
    <w:rsid w:val="4E140979"/>
    <w:rsid w:val="4E263531"/>
    <w:rsid w:val="4E7500C4"/>
    <w:rsid w:val="4F244236"/>
    <w:rsid w:val="4F253B0A"/>
    <w:rsid w:val="4F596105"/>
    <w:rsid w:val="4F64582A"/>
    <w:rsid w:val="4F6E1CDA"/>
    <w:rsid w:val="4F747CF1"/>
    <w:rsid w:val="4FA42819"/>
    <w:rsid w:val="4FB54F2A"/>
    <w:rsid w:val="4FCF6062"/>
    <w:rsid w:val="50106568"/>
    <w:rsid w:val="501A61F6"/>
    <w:rsid w:val="50B010AD"/>
    <w:rsid w:val="50D05B9D"/>
    <w:rsid w:val="50E96826"/>
    <w:rsid w:val="511A34AC"/>
    <w:rsid w:val="51266844"/>
    <w:rsid w:val="51667866"/>
    <w:rsid w:val="51690974"/>
    <w:rsid w:val="51D554CE"/>
    <w:rsid w:val="51DA02FF"/>
    <w:rsid w:val="51DF6CE5"/>
    <w:rsid w:val="51EC090F"/>
    <w:rsid w:val="51FB6A6B"/>
    <w:rsid w:val="538F2E5C"/>
    <w:rsid w:val="53CF18BE"/>
    <w:rsid w:val="53D23B97"/>
    <w:rsid w:val="53F47ED0"/>
    <w:rsid w:val="54002151"/>
    <w:rsid w:val="541303D5"/>
    <w:rsid w:val="541352E7"/>
    <w:rsid w:val="54273720"/>
    <w:rsid w:val="544B3BE4"/>
    <w:rsid w:val="545478BA"/>
    <w:rsid w:val="54AF6350"/>
    <w:rsid w:val="54B4420B"/>
    <w:rsid w:val="550A6C0A"/>
    <w:rsid w:val="55137A32"/>
    <w:rsid w:val="55216B22"/>
    <w:rsid w:val="55292DFE"/>
    <w:rsid w:val="55760A31"/>
    <w:rsid w:val="558A4A08"/>
    <w:rsid w:val="55AC248C"/>
    <w:rsid w:val="55C1777A"/>
    <w:rsid w:val="55C571C8"/>
    <w:rsid w:val="55DD3CF0"/>
    <w:rsid w:val="56042D97"/>
    <w:rsid w:val="564F5D4E"/>
    <w:rsid w:val="56593D17"/>
    <w:rsid w:val="5697709C"/>
    <w:rsid w:val="56995D8E"/>
    <w:rsid w:val="56C65A27"/>
    <w:rsid w:val="56CD51B3"/>
    <w:rsid w:val="57495987"/>
    <w:rsid w:val="57730ABB"/>
    <w:rsid w:val="57803989"/>
    <w:rsid w:val="57B36157"/>
    <w:rsid w:val="57BB14B0"/>
    <w:rsid w:val="57D40AE8"/>
    <w:rsid w:val="58367ADB"/>
    <w:rsid w:val="58580FA8"/>
    <w:rsid w:val="587A501A"/>
    <w:rsid w:val="58951DE3"/>
    <w:rsid w:val="58A64A8D"/>
    <w:rsid w:val="58B45062"/>
    <w:rsid w:val="58EE6AE3"/>
    <w:rsid w:val="5910053E"/>
    <w:rsid w:val="591744C4"/>
    <w:rsid w:val="59386CEF"/>
    <w:rsid w:val="59957C33"/>
    <w:rsid w:val="59AC10B0"/>
    <w:rsid w:val="5A1112D0"/>
    <w:rsid w:val="5A357CB8"/>
    <w:rsid w:val="5A494E1D"/>
    <w:rsid w:val="5A653749"/>
    <w:rsid w:val="5AAE1701"/>
    <w:rsid w:val="5AFC7E15"/>
    <w:rsid w:val="5B08047D"/>
    <w:rsid w:val="5B196C1A"/>
    <w:rsid w:val="5B1B2B14"/>
    <w:rsid w:val="5B3F3530"/>
    <w:rsid w:val="5B6231FB"/>
    <w:rsid w:val="5BAC6148"/>
    <w:rsid w:val="5BDA79C2"/>
    <w:rsid w:val="5C053AB6"/>
    <w:rsid w:val="5C07081F"/>
    <w:rsid w:val="5C58619D"/>
    <w:rsid w:val="5C7E7448"/>
    <w:rsid w:val="5C7F73B0"/>
    <w:rsid w:val="5C8562AB"/>
    <w:rsid w:val="5CA47187"/>
    <w:rsid w:val="5CCB5CF1"/>
    <w:rsid w:val="5CCD0696"/>
    <w:rsid w:val="5D153410"/>
    <w:rsid w:val="5D1D4073"/>
    <w:rsid w:val="5D564D72"/>
    <w:rsid w:val="5D674AFE"/>
    <w:rsid w:val="5D6F56A9"/>
    <w:rsid w:val="5D8C6E7B"/>
    <w:rsid w:val="5D9208F5"/>
    <w:rsid w:val="5D9A24CF"/>
    <w:rsid w:val="5DB91FED"/>
    <w:rsid w:val="5DB934F2"/>
    <w:rsid w:val="5DE35396"/>
    <w:rsid w:val="5E1354A1"/>
    <w:rsid w:val="5E1C6CA1"/>
    <w:rsid w:val="5E4E4E2C"/>
    <w:rsid w:val="5E64534B"/>
    <w:rsid w:val="5EAD34F9"/>
    <w:rsid w:val="5EE76685"/>
    <w:rsid w:val="5F0B2B47"/>
    <w:rsid w:val="5F4238E5"/>
    <w:rsid w:val="5F604006"/>
    <w:rsid w:val="5FC6342F"/>
    <w:rsid w:val="5FCE6F1F"/>
    <w:rsid w:val="603040BD"/>
    <w:rsid w:val="604D5683"/>
    <w:rsid w:val="60674F5C"/>
    <w:rsid w:val="60A83732"/>
    <w:rsid w:val="61686079"/>
    <w:rsid w:val="61912D47"/>
    <w:rsid w:val="620F495A"/>
    <w:rsid w:val="623D782F"/>
    <w:rsid w:val="62426AED"/>
    <w:rsid w:val="62617F65"/>
    <w:rsid w:val="626418B2"/>
    <w:rsid w:val="626D15F8"/>
    <w:rsid w:val="62813646"/>
    <w:rsid w:val="63073D05"/>
    <w:rsid w:val="63182329"/>
    <w:rsid w:val="631F5F07"/>
    <w:rsid w:val="63690F93"/>
    <w:rsid w:val="639F00AD"/>
    <w:rsid w:val="63B30470"/>
    <w:rsid w:val="63B92C1F"/>
    <w:rsid w:val="63D506D7"/>
    <w:rsid w:val="63D8165B"/>
    <w:rsid w:val="63FB2DE9"/>
    <w:rsid w:val="63FE30AD"/>
    <w:rsid w:val="644B50BC"/>
    <w:rsid w:val="64B1593C"/>
    <w:rsid w:val="64E04331"/>
    <w:rsid w:val="652A355A"/>
    <w:rsid w:val="654E67DC"/>
    <w:rsid w:val="65504C7D"/>
    <w:rsid w:val="65942C02"/>
    <w:rsid w:val="65A814E0"/>
    <w:rsid w:val="65AA60B9"/>
    <w:rsid w:val="65C24E85"/>
    <w:rsid w:val="65DD378A"/>
    <w:rsid w:val="660561C1"/>
    <w:rsid w:val="662650B4"/>
    <w:rsid w:val="662D0321"/>
    <w:rsid w:val="66493F32"/>
    <w:rsid w:val="665A54E5"/>
    <w:rsid w:val="66651670"/>
    <w:rsid w:val="668E1C9B"/>
    <w:rsid w:val="66C76F9C"/>
    <w:rsid w:val="66DB4D83"/>
    <w:rsid w:val="671D337C"/>
    <w:rsid w:val="672D6F4B"/>
    <w:rsid w:val="672E10FE"/>
    <w:rsid w:val="67525382"/>
    <w:rsid w:val="67580AC9"/>
    <w:rsid w:val="677D5E3A"/>
    <w:rsid w:val="67D220C2"/>
    <w:rsid w:val="67E4410B"/>
    <w:rsid w:val="680076A1"/>
    <w:rsid w:val="682A4C78"/>
    <w:rsid w:val="684C100E"/>
    <w:rsid w:val="68617509"/>
    <w:rsid w:val="68893CCF"/>
    <w:rsid w:val="68AC3D57"/>
    <w:rsid w:val="68F05D9F"/>
    <w:rsid w:val="69441C5A"/>
    <w:rsid w:val="699819EA"/>
    <w:rsid w:val="69C93937"/>
    <w:rsid w:val="69DF4B8B"/>
    <w:rsid w:val="6A3B142C"/>
    <w:rsid w:val="6A720968"/>
    <w:rsid w:val="6A7512DF"/>
    <w:rsid w:val="6A9242F2"/>
    <w:rsid w:val="6AA66566"/>
    <w:rsid w:val="6ADD4F2E"/>
    <w:rsid w:val="6AE461D0"/>
    <w:rsid w:val="6AED47E8"/>
    <w:rsid w:val="6B600C9B"/>
    <w:rsid w:val="6B6448D1"/>
    <w:rsid w:val="6B6F272E"/>
    <w:rsid w:val="6BF075BA"/>
    <w:rsid w:val="6BF17923"/>
    <w:rsid w:val="6C550679"/>
    <w:rsid w:val="6C917367"/>
    <w:rsid w:val="6CA62A81"/>
    <w:rsid w:val="6CA775F5"/>
    <w:rsid w:val="6CAC17A2"/>
    <w:rsid w:val="6CDE6908"/>
    <w:rsid w:val="6D2F09BD"/>
    <w:rsid w:val="6D5D2284"/>
    <w:rsid w:val="6D8F1C28"/>
    <w:rsid w:val="6D967B0C"/>
    <w:rsid w:val="6DB22E6C"/>
    <w:rsid w:val="6DB57CCB"/>
    <w:rsid w:val="6DB875FB"/>
    <w:rsid w:val="6DC16E16"/>
    <w:rsid w:val="6DDA5F58"/>
    <w:rsid w:val="6E0F17B6"/>
    <w:rsid w:val="6E27269C"/>
    <w:rsid w:val="6EA9585C"/>
    <w:rsid w:val="6EC271E0"/>
    <w:rsid w:val="6EE64C0C"/>
    <w:rsid w:val="6F591DA5"/>
    <w:rsid w:val="6F6167A0"/>
    <w:rsid w:val="6F65769F"/>
    <w:rsid w:val="6F85340F"/>
    <w:rsid w:val="6F926B42"/>
    <w:rsid w:val="6FE464D8"/>
    <w:rsid w:val="6FF7506A"/>
    <w:rsid w:val="70035C89"/>
    <w:rsid w:val="700E78E8"/>
    <w:rsid w:val="70785D38"/>
    <w:rsid w:val="709D5883"/>
    <w:rsid w:val="70A02B99"/>
    <w:rsid w:val="70A66401"/>
    <w:rsid w:val="70B2047F"/>
    <w:rsid w:val="70BB41D3"/>
    <w:rsid w:val="70E679B2"/>
    <w:rsid w:val="71165F12"/>
    <w:rsid w:val="716B5F1C"/>
    <w:rsid w:val="717D374E"/>
    <w:rsid w:val="71B42C26"/>
    <w:rsid w:val="71BB1087"/>
    <w:rsid w:val="71D71D40"/>
    <w:rsid w:val="7205184D"/>
    <w:rsid w:val="720B5A3D"/>
    <w:rsid w:val="723842AA"/>
    <w:rsid w:val="72456C9A"/>
    <w:rsid w:val="72B7512C"/>
    <w:rsid w:val="730B2B40"/>
    <w:rsid w:val="735E40A4"/>
    <w:rsid w:val="738531BD"/>
    <w:rsid w:val="738E23D9"/>
    <w:rsid w:val="7391343C"/>
    <w:rsid w:val="73E93A5D"/>
    <w:rsid w:val="740B57EB"/>
    <w:rsid w:val="741A35E6"/>
    <w:rsid w:val="7440091B"/>
    <w:rsid w:val="74496C2E"/>
    <w:rsid w:val="746D0CF1"/>
    <w:rsid w:val="746D1B70"/>
    <w:rsid w:val="74714F78"/>
    <w:rsid w:val="74A66751"/>
    <w:rsid w:val="74E25E76"/>
    <w:rsid w:val="750710F3"/>
    <w:rsid w:val="75282313"/>
    <w:rsid w:val="752D4C25"/>
    <w:rsid w:val="754D178E"/>
    <w:rsid w:val="755D07CB"/>
    <w:rsid w:val="75627064"/>
    <w:rsid w:val="75910753"/>
    <w:rsid w:val="764C5BC8"/>
    <w:rsid w:val="76555FED"/>
    <w:rsid w:val="76A10D30"/>
    <w:rsid w:val="76CD198A"/>
    <w:rsid w:val="76EB4FFB"/>
    <w:rsid w:val="770E506B"/>
    <w:rsid w:val="7752099C"/>
    <w:rsid w:val="77651F3E"/>
    <w:rsid w:val="77FE3F7C"/>
    <w:rsid w:val="78091658"/>
    <w:rsid w:val="7827010F"/>
    <w:rsid w:val="7907367B"/>
    <w:rsid w:val="792D0D32"/>
    <w:rsid w:val="793622EC"/>
    <w:rsid w:val="795F6ABC"/>
    <w:rsid w:val="79835757"/>
    <w:rsid w:val="798800D9"/>
    <w:rsid w:val="79930C10"/>
    <w:rsid w:val="7A266805"/>
    <w:rsid w:val="7A581D45"/>
    <w:rsid w:val="7A6C0A19"/>
    <w:rsid w:val="7AA87262"/>
    <w:rsid w:val="7AC229FB"/>
    <w:rsid w:val="7AD51657"/>
    <w:rsid w:val="7B0B1240"/>
    <w:rsid w:val="7B172699"/>
    <w:rsid w:val="7B362E07"/>
    <w:rsid w:val="7B37728F"/>
    <w:rsid w:val="7B4C2368"/>
    <w:rsid w:val="7B691939"/>
    <w:rsid w:val="7B825CBD"/>
    <w:rsid w:val="7BB148F9"/>
    <w:rsid w:val="7BDD56E6"/>
    <w:rsid w:val="7C146CF5"/>
    <w:rsid w:val="7C3C252F"/>
    <w:rsid w:val="7C594E29"/>
    <w:rsid w:val="7C7700BD"/>
    <w:rsid w:val="7C92529B"/>
    <w:rsid w:val="7C94501B"/>
    <w:rsid w:val="7CA852AF"/>
    <w:rsid w:val="7D032FDF"/>
    <w:rsid w:val="7D07616F"/>
    <w:rsid w:val="7D41166A"/>
    <w:rsid w:val="7D460E99"/>
    <w:rsid w:val="7D61233D"/>
    <w:rsid w:val="7DB35FFD"/>
    <w:rsid w:val="7DB43DDB"/>
    <w:rsid w:val="7DB639FC"/>
    <w:rsid w:val="7DB97274"/>
    <w:rsid w:val="7DC63521"/>
    <w:rsid w:val="7DD56578"/>
    <w:rsid w:val="7DD722F0"/>
    <w:rsid w:val="7DFA3CD5"/>
    <w:rsid w:val="7DFE7A2A"/>
    <w:rsid w:val="7E0C299E"/>
    <w:rsid w:val="7E2C3793"/>
    <w:rsid w:val="7E515618"/>
    <w:rsid w:val="7E5B1598"/>
    <w:rsid w:val="7E812F10"/>
    <w:rsid w:val="7E95250C"/>
    <w:rsid w:val="7EB048EF"/>
    <w:rsid w:val="7EB628B0"/>
    <w:rsid w:val="7F29292E"/>
    <w:rsid w:val="7F6250AD"/>
    <w:rsid w:val="7F642801"/>
    <w:rsid w:val="7FAC28E9"/>
    <w:rsid w:val="7FF35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3">
    <w:name w:val="heading 1"/>
    <w:basedOn w:val="1"/>
    <w:next w:val="1"/>
    <w:qFormat/>
    <w:uiPriority w:val="0"/>
    <w:pPr>
      <w:keepNext/>
      <w:keepLines/>
      <w:spacing w:before="340" w:after="330" w:line="576" w:lineRule="auto"/>
      <w:outlineLvl w:val="0"/>
    </w:pPr>
    <w:rPr>
      <w:rFonts w:cs="Times New Roman"/>
      <w:b/>
      <w:bCs/>
      <w:color w:val="000000"/>
      <w:kern w:val="0"/>
      <w:sz w:val="44"/>
      <w:szCs w:val="44"/>
    </w:rPr>
  </w:style>
  <w:style w:type="paragraph" w:styleId="4">
    <w:name w:val="heading 2"/>
    <w:basedOn w:val="1"/>
    <w:next w:val="1"/>
    <w:link w:val="38"/>
    <w:qFormat/>
    <w:uiPriority w:val="0"/>
    <w:pPr>
      <w:keepNext/>
      <w:keepLines/>
      <w:spacing w:before="260" w:after="260" w:line="413" w:lineRule="auto"/>
      <w:outlineLvl w:val="1"/>
    </w:pPr>
    <w:rPr>
      <w:rFonts w:ascii="Arial" w:hAnsi="Arial" w:eastAsia="黑体" w:cs="Times New Roman"/>
      <w:b/>
      <w:bCs/>
      <w:color w:val="000000"/>
      <w:kern w:val="0"/>
      <w:sz w:val="32"/>
      <w:szCs w:val="32"/>
    </w:rPr>
  </w:style>
  <w:style w:type="paragraph" w:styleId="2">
    <w:name w:val="heading 3"/>
    <w:basedOn w:val="1"/>
    <w:next w:val="1"/>
    <w:qFormat/>
    <w:uiPriority w:val="0"/>
    <w:pPr>
      <w:keepNext/>
      <w:keepLines/>
      <w:spacing w:before="260" w:after="260" w:line="413" w:lineRule="auto"/>
      <w:outlineLvl w:val="2"/>
    </w:pPr>
    <w:rPr>
      <w:rFonts w:cs="Times New Roman"/>
      <w:b/>
      <w:bCs/>
      <w:color w:val="000000"/>
      <w:kern w:val="0"/>
      <w:sz w:val="32"/>
      <w:szCs w:val="32"/>
    </w:rPr>
  </w:style>
  <w:style w:type="paragraph" w:styleId="5">
    <w:name w:val="heading 5"/>
    <w:basedOn w:val="1"/>
    <w:next w:val="1"/>
    <w:qFormat/>
    <w:uiPriority w:val="0"/>
    <w:pPr>
      <w:widowControl/>
      <w:spacing w:before="100" w:beforeAutospacing="1" w:after="100" w:afterAutospacing="1"/>
      <w:jc w:val="left"/>
      <w:outlineLvl w:val="4"/>
    </w:pPr>
    <w:rPr>
      <w:rFonts w:ascii="宋体" w:hAnsi="宋体" w:cs="宋体"/>
      <w:b/>
      <w:bCs/>
      <w:kern w:val="0"/>
      <w:sz w:val="20"/>
      <w:szCs w:val="20"/>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40"/>
    <w:qFormat/>
    <w:uiPriority w:val="0"/>
    <w:pPr>
      <w:jc w:val="left"/>
    </w:pPr>
  </w:style>
  <w:style w:type="paragraph" w:styleId="7">
    <w:name w:val="Body Text 3"/>
    <w:basedOn w:val="1"/>
    <w:qFormat/>
    <w:uiPriority w:val="0"/>
    <w:rPr>
      <w:rFonts w:ascii="宋体" w:hAnsi="宋体" w:cs="Times New Roman"/>
      <w:color w:val="000000"/>
      <w:kern w:val="1"/>
      <w:sz w:val="20"/>
      <w:szCs w:val="20"/>
    </w:rPr>
  </w:style>
  <w:style w:type="paragraph" w:styleId="8">
    <w:name w:val="Body Text"/>
    <w:basedOn w:val="1"/>
    <w:next w:val="1"/>
    <w:qFormat/>
    <w:uiPriority w:val="0"/>
    <w:pPr>
      <w:spacing w:after="120"/>
    </w:pPr>
    <w:rPr>
      <w:rFonts w:cs="Times New Roman"/>
      <w:kern w:val="0"/>
      <w:sz w:val="20"/>
      <w:szCs w:val="20"/>
    </w:rPr>
  </w:style>
  <w:style w:type="paragraph" w:styleId="9">
    <w:name w:val="Body Text Indent"/>
    <w:basedOn w:val="1"/>
    <w:qFormat/>
    <w:uiPriority w:val="0"/>
    <w:pPr>
      <w:spacing w:after="120"/>
      <w:ind w:left="420" w:leftChars="200"/>
    </w:pPr>
    <w:rPr>
      <w:rFonts w:cs="Times New Roman"/>
      <w:sz w:val="24"/>
      <w:szCs w:val="24"/>
    </w:rPr>
  </w:style>
  <w:style w:type="paragraph" w:styleId="10">
    <w:name w:val="Balloon Text"/>
    <w:basedOn w:val="1"/>
    <w:link w:val="42"/>
    <w:qFormat/>
    <w:uiPriority w:val="0"/>
    <w:rPr>
      <w:sz w:val="18"/>
      <w:szCs w:val="18"/>
    </w:rPr>
  </w:style>
  <w:style w:type="paragraph" w:styleId="11">
    <w:name w:val="footer"/>
    <w:basedOn w:val="1"/>
    <w:qFormat/>
    <w:uiPriority w:val="99"/>
    <w:pPr>
      <w:tabs>
        <w:tab w:val="center" w:pos="4153"/>
        <w:tab w:val="right" w:pos="8306"/>
      </w:tabs>
      <w:snapToGrid w:val="0"/>
      <w:jc w:val="left"/>
    </w:pPr>
    <w:rPr>
      <w:rFonts w:cs="Times New Roman"/>
      <w:kern w:val="0"/>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13">
    <w:name w:val="toc 1"/>
    <w:basedOn w:val="1"/>
    <w:next w:val="1"/>
    <w:qFormat/>
    <w:uiPriority w:val="39"/>
    <w:pPr>
      <w:tabs>
        <w:tab w:val="right" w:leader="dot" w:pos="9174"/>
      </w:tabs>
      <w:spacing w:before="120" w:after="120"/>
      <w:jc w:val="left"/>
    </w:pPr>
    <w:rPr>
      <w:rFonts w:ascii="宋体" w:hAnsi="宋体" w:cs="宋体"/>
      <w:b/>
      <w:bCs/>
      <w:caps/>
      <w:snapToGrid w:val="0"/>
      <w:sz w:val="20"/>
      <w:szCs w:val="20"/>
    </w:rPr>
  </w:style>
  <w:style w:type="paragraph" w:styleId="14">
    <w:name w:val="Body Text 2"/>
    <w:basedOn w:val="1"/>
    <w:qFormat/>
    <w:uiPriority w:val="0"/>
    <w:rPr>
      <w:rFonts w:ascii="宋体" w:cs="Times New Roman"/>
      <w:sz w:val="24"/>
      <w:szCs w:val="24"/>
    </w:rPr>
  </w:style>
  <w:style w:type="paragraph" w:styleId="15">
    <w:name w:val="Normal (Web)"/>
    <w:basedOn w:val="1"/>
    <w:qFormat/>
    <w:uiPriority w:val="0"/>
    <w:pPr>
      <w:jc w:val="left"/>
    </w:pPr>
    <w:rPr>
      <w:rFonts w:cs="Times New Roman"/>
      <w:kern w:val="0"/>
      <w:sz w:val="24"/>
    </w:rPr>
  </w:style>
  <w:style w:type="paragraph" w:styleId="16">
    <w:name w:val="Title"/>
    <w:basedOn w:val="1"/>
    <w:qFormat/>
    <w:uiPriority w:val="0"/>
    <w:pPr>
      <w:adjustRightInd w:val="0"/>
      <w:spacing w:before="240" w:after="60" w:line="420" w:lineRule="atLeast"/>
      <w:jc w:val="center"/>
      <w:textAlignment w:val="baseline"/>
      <w:outlineLvl w:val="0"/>
    </w:pPr>
    <w:rPr>
      <w:rFonts w:ascii="Arial" w:hAnsi="Arial" w:cs="Times New Roman"/>
      <w:b/>
      <w:bCs/>
      <w:kern w:val="0"/>
      <w:sz w:val="32"/>
      <w:szCs w:val="32"/>
    </w:rPr>
  </w:style>
  <w:style w:type="paragraph" w:styleId="17">
    <w:name w:val="annotation subject"/>
    <w:basedOn w:val="6"/>
    <w:next w:val="6"/>
    <w:link w:val="41"/>
    <w:qFormat/>
    <w:uiPriority w:val="0"/>
    <w:rPr>
      <w:b/>
      <w:bCs/>
    </w:rPr>
  </w:style>
  <w:style w:type="paragraph" w:styleId="18">
    <w:name w:val="Body Text First Indent"/>
    <w:basedOn w:val="8"/>
    <w:unhideWhenUsed/>
    <w:qFormat/>
    <w:uiPriority w:val="99"/>
    <w:pPr>
      <w:adjustRightInd w:val="0"/>
      <w:spacing w:line="275" w:lineRule="atLeast"/>
      <w:ind w:firstLine="420"/>
      <w:textAlignment w:val="baseline"/>
    </w:pPr>
    <w:rPr>
      <w:rFonts w:ascii="宋体" w:eastAsia="楷体_GB2312"/>
      <w:sz w:val="24"/>
    </w:rPr>
  </w:style>
  <w:style w:type="character" w:styleId="21">
    <w:name w:val="FollowedHyperlink"/>
    <w:basedOn w:val="20"/>
    <w:qFormat/>
    <w:uiPriority w:val="0"/>
    <w:rPr>
      <w:color w:val="800080"/>
      <w:u w:val="none"/>
    </w:rPr>
  </w:style>
  <w:style w:type="character" w:styleId="22">
    <w:name w:val="Emphasis"/>
    <w:basedOn w:val="20"/>
    <w:qFormat/>
    <w:uiPriority w:val="0"/>
  </w:style>
  <w:style w:type="character" w:styleId="23">
    <w:name w:val="HTML Definition"/>
    <w:basedOn w:val="20"/>
    <w:qFormat/>
    <w:uiPriority w:val="0"/>
  </w:style>
  <w:style w:type="character" w:styleId="24">
    <w:name w:val="HTML Typewriter"/>
    <w:basedOn w:val="20"/>
    <w:qFormat/>
    <w:uiPriority w:val="0"/>
    <w:rPr>
      <w:rFonts w:hint="default" w:ascii="monospace" w:hAnsi="monospace" w:eastAsia="monospace" w:cs="monospace"/>
      <w:sz w:val="20"/>
    </w:rPr>
  </w:style>
  <w:style w:type="character" w:styleId="25">
    <w:name w:val="HTML Acronym"/>
    <w:basedOn w:val="20"/>
    <w:qFormat/>
    <w:uiPriority w:val="0"/>
  </w:style>
  <w:style w:type="character" w:styleId="26">
    <w:name w:val="HTML Variable"/>
    <w:basedOn w:val="20"/>
    <w:qFormat/>
    <w:uiPriority w:val="0"/>
  </w:style>
  <w:style w:type="character" w:styleId="27">
    <w:name w:val="Hyperlink"/>
    <w:qFormat/>
    <w:uiPriority w:val="99"/>
    <w:rPr>
      <w:rFonts w:ascii="Times New Roman" w:hAnsi="Times New Roman" w:eastAsia="宋体" w:cs="Times New Roman"/>
      <w:color w:val="0000FF"/>
      <w:u w:val="none"/>
    </w:rPr>
  </w:style>
  <w:style w:type="character" w:styleId="28">
    <w:name w:val="HTML Code"/>
    <w:basedOn w:val="20"/>
    <w:qFormat/>
    <w:uiPriority w:val="0"/>
    <w:rPr>
      <w:rFonts w:ascii="monospace" w:hAnsi="monospace" w:eastAsia="monospace" w:cs="monospace"/>
      <w:sz w:val="20"/>
    </w:rPr>
  </w:style>
  <w:style w:type="character" w:styleId="29">
    <w:name w:val="annotation reference"/>
    <w:qFormat/>
    <w:uiPriority w:val="0"/>
    <w:rPr>
      <w:sz w:val="21"/>
      <w:szCs w:val="21"/>
    </w:rPr>
  </w:style>
  <w:style w:type="character" w:styleId="30">
    <w:name w:val="HTML Cite"/>
    <w:basedOn w:val="20"/>
    <w:qFormat/>
    <w:uiPriority w:val="0"/>
  </w:style>
  <w:style w:type="character" w:styleId="31">
    <w:name w:val="HTML Keyboard"/>
    <w:basedOn w:val="20"/>
    <w:qFormat/>
    <w:uiPriority w:val="0"/>
    <w:rPr>
      <w:rFonts w:hint="default" w:ascii="monospace" w:hAnsi="monospace" w:eastAsia="monospace" w:cs="monospace"/>
      <w:sz w:val="20"/>
    </w:rPr>
  </w:style>
  <w:style w:type="character" w:styleId="32">
    <w:name w:val="HTML Sample"/>
    <w:basedOn w:val="20"/>
    <w:qFormat/>
    <w:uiPriority w:val="0"/>
    <w:rPr>
      <w:rFonts w:hint="default" w:ascii="monospace" w:hAnsi="monospace" w:eastAsia="monospace" w:cs="monospace"/>
    </w:rPr>
  </w:style>
  <w:style w:type="paragraph" w:customStyle="1" w:styleId="3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4">
    <w:name w:val="reader-word-layer"/>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35">
    <w:name w:val="无间隔1"/>
    <w:qFormat/>
    <w:uiPriority w:val="0"/>
    <w:rPr>
      <w:rFonts w:ascii="Times New Roman" w:hAnsi="Times New Roman" w:eastAsia="宋体" w:cs="Calibri"/>
      <w:kern w:val="2"/>
      <w:sz w:val="22"/>
      <w:szCs w:val="22"/>
      <w:lang w:val="en-US" w:eastAsia="zh-CN" w:bidi="ar-SA"/>
    </w:rPr>
  </w:style>
  <w:style w:type="paragraph" w:customStyle="1" w:styleId="3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37">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character" w:customStyle="1" w:styleId="38">
    <w:name w:val="标题 2 Char"/>
    <w:link w:val="4"/>
    <w:qFormat/>
    <w:uiPriority w:val="0"/>
    <w:rPr>
      <w:rFonts w:ascii="Arial" w:hAnsi="Arial" w:eastAsia="黑体" w:cs="Times New Roman"/>
      <w:b/>
      <w:bCs/>
      <w:color w:val="000000"/>
      <w:kern w:val="0"/>
      <w:sz w:val="32"/>
      <w:szCs w:val="32"/>
    </w:rPr>
  </w:style>
  <w:style w:type="paragraph" w:customStyle="1" w:styleId="39">
    <w:name w:val="正文文本 (15)"/>
    <w:basedOn w:val="1"/>
    <w:qFormat/>
    <w:uiPriority w:val="0"/>
    <w:pPr>
      <w:shd w:val="clear" w:color="auto" w:fill="FFFFFF"/>
      <w:spacing w:line="0" w:lineRule="atLeast"/>
      <w:jc w:val="left"/>
    </w:pPr>
    <w:rPr>
      <w:rFonts w:ascii="MingLiU" w:hAnsi="MingLiU" w:eastAsia="MingLiU" w:cs="Times New Roman"/>
      <w:spacing w:val="10"/>
      <w:kern w:val="0"/>
      <w:sz w:val="19"/>
      <w:szCs w:val="19"/>
    </w:rPr>
  </w:style>
  <w:style w:type="character" w:customStyle="1" w:styleId="40">
    <w:name w:val="批注文字 Char"/>
    <w:basedOn w:val="20"/>
    <w:link w:val="6"/>
    <w:qFormat/>
    <w:uiPriority w:val="0"/>
    <w:rPr>
      <w:rFonts w:cs="Calibri"/>
      <w:kern w:val="2"/>
      <w:sz w:val="21"/>
      <w:szCs w:val="21"/>
    </w:rPr>
  </w:style>
  <w:style w:type="character" w:customStyle="1" w:styleId="41">
    <w:name w:val="批注主题 Char"/>
    <w:basedOn w:val="40"/>
    <w:link w:val="17"/>
    <w:qFormat/>
    <w:uiPriority w:val="0"/>
    <w:rPr>
      <w:rFonts w:cs="Calibri"/>
      <w:b/>
      <w:bCs/>
      <w:kern w:val="2"/>
      <w:sz w:val="21"/>
      <w:szCs w:val="21"/>
    </w:rPr>
  </w:style>
  <w:style w:type="character" w:customStyle="1" w:styleId="42">
    <w:name w:val="批注框文本 Char"/>
    <w:basedOn w:val="20"/>
    <w:link w:val="10"/>
    <w:qFormat/>
    <w:uiPriority w:val="0"/>
    <w:rPr>
      <w:rFonts w:cs="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49</Pages>
  <Words>4441</Words>
  <Characters>25319</Characters>
  <Lines>210</Lines>
  <Paragraphs>59</Paragraphs>
  <TotalTime>83</TotalTime>
  <ScaleCrop>false</ScaleCrop>
  <LinksUpToDate>false</LinksUpToDate>
  <CharactersWithSpaces>29701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NTKO</cp:lastModifiedBy>
  <cp:lastPrinted>2023-09-01T03:33:00Z</cp:lastPrinted>
  <dcterms:modified xsi:type="dcterms:W3CDTF">2023-09-05T02:32:29Z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96ED331A84EF484A870333A7D463E66E</vt:lpwstr>
  </property>
</Properties>
</file>