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numPr>
          <w:ilvl w:val="0"/>
          <w:numId w:val="0"/>
        </w:numPr>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bCs/>
          <w:sz w:val="32"/>
          <w:szCs w:val="32"/>
          <w:lang w:val="en-US" w:eastAsia="zh-CN"/>
        </w:rPr>
        <w:t>合规体系建设劳动用工专项法律服务采购</w:t>
      </w:r>
    </w:p>
    <w:p>
      <w:pPr>
        <w:rPr>
          <w:rFonts w:hint="eastAsia" w:ascii="宋体" w:hAnsi="宋体" w:cs="宋体"/>
          <w:sz w:val="28"/>
          <w:szCs w:val="2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9 </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296602400"/>
      <w:bookmarkStart w:id="1" w:name="_Toc507319889"/>
      <w:bookmarkStart w:id="2" w:name="_Toc247085669"/>
      <w:bookmarkStart w:id="3" w:name="_Toc246996898"/>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rPr>
          <w:highlight w:val="none"/>
        </w:rPr>
      </w:pPr>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4"/>
        <w:spacing w:before="0" w:after="0" w:line="360" w:lineRule="auto"/>
        <w:jc w:val="center"/>
        <w:rPr>
          <w:rFonts w:hint="eastAsia" w:ascii="宋体" w:hAnsi="宋体" w:cs="宋体"/>
          <w:highlight w:val="none"/>
        </w:rPr>
      </w:pPr>
      <w:bookmarkStart w:id="5" w:name="_Toc247096243"/>
      <w:bookmarkStart w:id="6" w:name="_Toc144974479"/>
      <w:bookmarkStart w:id="7" w:name="_Toc507319890"/>
      <w:bookmarkStart w:id="8" w:name="_Toc2000404"/>
      <w:bookmarkStart w:id="9" w:name="_Toc152042287"/>
      <w:bookmarkStart w:id="10" w:name="_Toc246996900"/>
      <w:bookmarkStart w:id="11" w:name="_Toc246996157"/>
      <w:bookmarkStart w:id="12" w:name="_Toc247085671"/>
      <w:bookmarkStart w:id="13" w:name="_Toc179632527"/>
      <w:bookmarkStart w:id="14" w:name="_Toc152045511"/>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5"/>
        <w:spacing w:before="0" w:after="0" w:line="360" w:lineRule="auto"/>
        <w:rPr>
          <w:rFonts w:hint="eastAsia" w:ascii="宋体" w:hAnsi="宋体" w:eastAsia="宋体" w:cs="宋体"/>
          <w:highlight w:val="none"/>
        </w:rPr>
      </w:pPr>
      <w:bookmarkStart w:id="18" w:name="_Toc10076"/>
      <w:bookmarkStart w:id="19" w:name="_Toc179632528"/>
      <w:bookmarkStart w:id="20" w:name="_Toc24874"/>
      <w:bookmarkStart w:id="21" w:name="_Toc152045512"/>
      <w:bookmarkStart w:id="22" w:name="_Toc11329213"/>
      <w:bookmarkStart w:id="23" w:name="_Toc246996158"/>
      <w:bookmarkStart w:id="24" w:name="_Toc507319891"/>
      <w:bookmarkStart w:id="25" w:name="_Toc6549"/>
      <w:bookmarkStart w:id="26" w:name="_Toc246996901"/>
      <w:bookmarkStart w:id="27" w:name="_Toc144974480"/>
      <w:bookmarkStart w:id="28" w:name="_Toc247085672"/>
      <w:bookmarkStart w:id="29" w:name="_Toc152042288"/>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合规体系建设劳动用工专项法律服务采购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5"/>
        <w:spacing w:before="120" w:after="0" w:line="360" w:lineRule="auto"/>
        <w:rPr>
          <w:rFonts w:hint="eastAsia" w:ascii="宋体" w:hAnsi="宋体" w:eastAsia="宋体" w:cs="宋体"/>
          <w:highlight w:val="none"/>
        </w:rPr>
      </w:pPr>
      <w:bookmarkStart w:id="30" w:name="_Toc152042289"/>
      <w:bookmarkStart w:id="31" w:name="_Toc144974481"/>
      <w:bookmarkStart w:id="32" w:name="_Toc247085673"/>
      <w:bookmarkStart w:id="33" w:name="_Toc507319892"/>
      <w:bookmarkStart w:id="34" w:name="_Toc152045513"/>
      <w:bookmarkStart w:id="35" w:name="_Toc179632529"/>
      <w:bookmarkStart w:id="36" w:name="_Toc246996902"/>
      <w:bookmarkStart w:id="37" w:name="_Toc21343"/>
      <w:bookmarkStart w:id="38" w:name="_Toc18109"/>
      <w:bookmarkStart w:id="39" w:name="_Toc246996159"/>
      <w:bookmarkStart w:id="40" w:name="_Toc10952"/>
      <w:bookmarkStart w:id="41" w:name="_Toc11329214"/>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highlight w:val="none"/>
          <w:u w:val="single"/>
          <w:lang w:val="en-US" w:eastAsia="zh-CN"/>
        </w:rPr>
        <w:t>重庆</w:t>
      </w:r>
      <w:r>
        <w:rPr>
          <w:rFonts w:hint="eastAsia" w:ascii="宋体" w:hAnsi="宋体" w:cs="宋体"/>
          <w:szCs w:val="21"/>
          <w:highlight w:val="none"/>
          <w:u w:val="single"/>
          <w:lang w:val="en-US" w:eastAsia="zh-CN"/>
        </w:rPr>
        <w:t>首讯科技股份有限公司</w:t>
      </w:r>
      <w:r>
        <w:rPr>
          <w:rFonts w:hint="eastAsia" w:ascii="宋体" w:hAnsi="宋体" w:cs="宋体"/>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kern w:val="2"/>
          <w:sz w:val="21"/>
          <w:szCs w:val="21"/>
          <w:highlight w:val="none"/>
          <w:lang w:val="en-US" w:eastAsia="zh-CN" w:bidi="ar-SA"/>
        </w:rPr>
      </w:pPr>
      <w:r>
        <w:rPr>
          <w:rFonts w:hint="eastAsia" w:ascii="宋体" w:hAnsi="宋体" w:cs="宋体"/>
          <w:szCs w:val="21"/>
          <w:highlight w:val="none"/>
        </w:rPr>
        <w:t>2.2 项目概况：</w:t>
      </w:r>
      <w:r>
        <w:rPr>
          <w:rFonts w:hint="eastAsia" w:ascii="宋体" w:hAnsi="宋体" w:eastAsia="宋体" w:cs="宋体"/>
          <w:color w:val="auto"/>
          <w:kern w:val="2"/>
          <w:sz w:val="21"/>
          <w:szCs w:val="21"/>
          <w:highlight w:val="none"/>
          <w:lang w:val="en-US" w:eastAsia="zh-CN" w:bidi="ar-SA"/>
        </w:rPr>
        <w:t>本项目为</w:t>
      </w:r>
      <w:r>
        <w:rPr>
          <w:rFonts w:hint="eastAsia" w:ascii="宋体" w:hAnsi="宋体" w:cs="宋体"/>
          <w:color w:val="auto"/>
          <w:kern w:val="2"/>
          <w:sz w:val="21"/>
          <w:szCs w:val="21"/>
          <w:highlight w:val="none"/>
          <w:lang w:val="en-US" w:eastAsia="zh-CN" w:bidi="ar-SA"/>
        </w:rPr>
        <w:t>合规体系建设劳动用工专项法律服务采购</w:t>
      </w:r>
      <w:r>
        <w:rPr>
          <w:rFonts w:hint="eastAsia" w:ascii="宋体" w:hAnsi="宋体" w:eastAsia="宋体" w:cs="宋体"/>
          <w:color w:val="auto"/>
          <w:kern w:val="2"/>
          <w:sz w:val="21"/>
          <w:szCs w:val="21"/>
          <w:highlight w:val="none"/>
          <w:lang w:val="en-US" w:eastAsia="zh-CN" w:bidi="ar-SA"/>
        </w:rPr>
        <w:t>，主要包括但不限于</w:t>
      </w:r>
      <w:r>
        <w:rPr>
          <w:rFonts w:hint="eastAsia" w:ascii="宋体" w:hAnsi="宋体" w:cs="宋体"/>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szCs w:val="21"/>
          <w:shd w:val="clear" w:color="auto" w:fill="FFFFFF"/>
          <w:lang w:val="en-US" w:eastAsia="zh-CN"/>
        </w:rPr>
      </w:pPr>
      <w:r>
        <w:rPr>
          <w:rFonts w:hint="eastAsia" w:ascii="宋体" w:hAnsi="宋体" w:cs="宋体"/>
          <w:szCs w:val="21"/>
          <w:shd w:val="clear" w:color="auto" w:fill="FFFFFF"/>
          <w:lang w:val="en-US" w:eastAsia="zh-CN"/>
        </w:rPr>
        <w:t>2.2.1</w:t>
      </w:r>
      <w:r>
        <w:rPr>
          <w:rFonts w:hint="default" w:ascii="宋体" w:hAnsi="宋体" w:eastAsia="宋体" w:cs="宋体"/>
          <w:szCs w:val="21"/>
          <w:shd w:val="clear" w:color="auto" w:fill="FFFFFF"/>
          <w:lang w:val="en-US" w:eastAsia="zh-CN"/>
        </w:rPr>
        <w:t>进场梳理公司员工从入职前到解除劳动关系时的内部制度制定程序和内容的合规性、合理性与正当性；驻场尽调公司劳动用人用工时的全过程全流程管理节点，提示各部门用工风险点并提出规避措施；分公司不同部门、不同业态、不同岗位所涉及的用工风险，分板块制定劳动用工相关法律文书模板（包括但不限于劳动合同书、新员工入职申请表、新员工入职告知书、员工保密协议书、培训协议、竞业限制协议、工作岗位说明书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kern w:val="2"/>
          <w:sz w:val="21"/>
          <w:szCs w:val="24"/>
          <w:highlight w:val="none"/>
          <w:lang w:val="en-US" w:eastAsia="zh-CN" w:bidi="ar-SA"/>
        </w:rPr>
      </w:pPr>
      <w:r>
        <w:rPr>
          <w:rFonts w:hint="eastAsia" w:ascii="宋体" w:hAnsi="宋体" w:cs="宋体"/>
          <w:szCs w:val="21"/>
          <w:shd w:val="clear" w:color="auto" w:fill="FFFFFF"/>
          <w:lang w:val="en-US" w:eastAsia="zh-CN"/>
        </w:rPr>
        <w:t>2.2.2</w:t>
      </w:r>
      <w:r>
        <w:rPr>
          <w:rFonts w:hint="default" w:ascii="宋体" w:hAnsi="宋体" w:eastAsia="宋体" w:cs="宋体"/>
          <w:szCs w:val="21"/>
          <w:shd w:val="clear" w:color="auto" w:fill="FFFFFF"/>
          <w:lang w:val="en-US" w:eastAsia="zh-CN"/>
        </w:rPr>
        <w:t>重点实现：</w:t>
      </w:r>
      <w:r>
        <w:rPr>
          <w:rFonts w:hint="eastAsia" w:ascii="宋体" w:hAnsi="宋体" w:cs="宋体"/>
          <w:szCs w:val="21"/>
          <w:shd w:val="clear" w:color="auto" w:fill="FFFFFF"/>
          <w:lang w:val="en-US" w:eastAsia="zh-CN"/>
        </w:rPr>
        <w:t>（1）</w:t>
      </w:r>
      <w:r>
        <w:rPr>
          <w:rFonts w:hint="default" w:ascii="宋体" w:hAnsi="宋体" w:eastAsia="宋体" w:cs="宋体"/>
          <w:szCs w:val="21"/>
          <w:shd w:val="clear" w:color="auto" w:fill="FFFFFF"/>
          <w:lang w:val="en-US" w:eastAsia="zh-CN"/>
        </w:rPr>
        <w:t>明确涉及劳动合同实质性条款（包括但不限于调整工作岗位、工作地点等）变动时合规流程及重点注意事项。</w:t>
      </w:r>
      <w:r>
        <w:rPr>
          <w:rFonts w:hint="eastAsia" w:ascii="宋体" w:hAnsi="宋体" w:cs="宋体"/>
          <w:szCs w:val="21"/>
          <w:shd w:val="clear" w:color="auto" w:fill="FFFFFF"/>
          <w:lang w:val="en-US" w:eastAsia="zh-CN"/>
        </w:rPr>
        <w:t>（2）</w:t>
      </w:r>
      <w:r>
        <w:rPr>
          <w:rFonts w:hint="default" w:ascii="宋体" w:hAnsi="宋体" w:eastAsia="宋体" w:cs="宋体"/>
          <w:szCs w:val="21"/>
          <w:shd w:val="clear" w:color="auto" w:fill="FFFFFF"/>
          <w:lang w:val="en-US" w:eastAsia="zh-CN"/>
        </w:rPr>
        <w:t>明确涉及职工切身利益制度（包括但不限于薪酬、考核、奖惩、请休假、加班等）制定流程、内容上的可操作性和合规合法性</w:t>
      </w:r>
      <w:r>
        <w:rPr>
          <w:rFonts w:hint="eastAsia" w:ascii="宋体" w:hAnsi="宋体" w:cs="宋体"/>
          <w:szCs w:val="21"/>
          <w:shd w:val="clear" w:color="auto" w:fill="FFFFFF"/>
          <w:lang w:val="en-US" w:eastAsia="zh-CN"/>
        </w:rPr>
        <w:t>。（3）</w:t>
      </w:r>
      <w:r>
        <w:rPr>
          <w:rFonts w:hint="default" w:ascii="宋体" w:hAnsi="宋体" w:eastAsia="宋体" w:cs="宋体"/>
          <w:szCs w:val="21"/>
          <w:shd w:val="clear" w:color="auto" w:fill="FFFFFF"/>
          <w:lang w:val="en-US" w:eastAsia="zh-CN"/>
        </w:rPr>
        <w:t>用人单位单方面解除劳动关系的程序合规性，健全不胜任岗位、违规违纪等情况需解除劳动合同的合法合规流程；</w:t>
      </w:r>
      <w:r>
        <w:rPr>
          <w:rFonts w:hint="eastAsia" w:ascii="宋体" w:hAnsi="宋体" w:cs="宋体"/>
          <w:szCs w:val="21"/>
          <w:shd w:val="clear" w:color="auto" w:fill="FFFFFF"/>
          <w:lang w:val="en-US" w:eastAsia="zh-CN"/>
        </w:rPr>
        <w:t>（4）</w:t>
      </w:r>
      <w:r>
        <w:rPr>
          <w:rFonts w:hint="default" w:ascii="宋体" w:hAnsi="宋体" w:eastAsia="宋体" w:cs="宋体"/>
          <w:szCs w:val="21"/>
          <w:shd w:val="clear" w:color="auto" w:fill="FFFFFF"/>
          <w:lang w:val="en-US" w:eastAsia="zh-CN"/>
        </w:rPr>
        <w:t>奖惩制度和劝退、待岗培训、考核制度、劳动用工合同的联动统一。</w:t>
      </w:r>
      <w:r>
        <w:rPr>
          <w:rFonts w:hint="eastAsia" w:ascii="宋体" w:hAnsi="宋体" w:cs="宋体"/>
          <w:szCs w:val="21"/>
          <w:shd w:val="clear" w:color="auto" w:fill="FFFFFF"/>
          <w:lang w:val="en-US" w:eastAsia="zh-CN"/>
        </w:rPr>
        <w:t>（5）</w:t>
      </w:r>
      <w:r>
        <w:rPr>
          <w:rFonts w:hint="default" w:ascii="宋体" w:hAnsi="宋体" w:eastAsia="宋体" w:cs="宋体"/>
          <w:szCs w:val="21"/>
          <w:shd w:val="clear" w:color="auto" w:fill="FFFFFF"/>
          <w:lang w:val="en-US" w:eastAsia="zh-CN"/>
        </w:rPr>
        <w:t>根据国企三项制度改革，实现“管理人员能上能下、员工能进能出、薪酬能升能降”的人事管理效果。</w:t>
      </w:r>
      <w:r>
        <w:rPr>
          <w:rFonts w:hint="eastAsia" w:ascii="宋体" w:hAnsi="宋体" w:cs="宋体"/>
          <w:szCs w:val="21"/>
          <w:shd w:val="clear" w:color="auto" w:fill="FFFFFF"/>
          <w:lang w:val="en-US" w:eastAsia="zh-CN"/>
        </w:rPr>
        <w:t>（6）</w:t>
      </w:r>
      <w:r>
        <w:rPr>
          <w:rFonts w:hint="default" w:ascii="宋体" w:hAnsi="宋体" w:eastAsia="宋体" w:cs="宋体"/>
          <w:szCs w:val="21"/>
          <w:shd w:val="clear" w:color="auto" w:fill="FFFFFF"/>
          <w:lang w:val="en-US" w:eastAsia="zh-CN"/>
        </w:rPr>
        <w:t>梳理劳务派遣、外包用工的用工风险点，并结合公司实际情况规避。</w:t>
      </w:r>
      <w:r>
        <w:rPr>
          <w:rFonts w:hint="eastAsia" w:ascii="宋体" w:hAnsi="宋体" w:cs="宋体"/>
          <w:szCs w:val="21"/>
          <w:shd w:val="clear" w:color="auto" w:fill="FFFFFF"/>
          <w:lang w:val="en-US" w:eastAsia="zh-CN"/>
        </w:rPr>
        <w:t>（7）</w:t>
      </w:r>
      <w:r>
        <w:rPr>
          <w:rFonts w:hint="default" w:ascii="宋体" w:hAnsi="宋体" w:eastAsia="宋体" w:cs="宋体"/>
          <w:szCs w:val="21"/>
          <w:shd w:val="clear" w:color="auto" w:fill="FFFFFF"/>
          <w:lang w:val="en-US" w:eastAsia="zh-CN"/>
        </w:rPr>
        <w:t>编制劳动用工合规指引，指引独立成册，详细具体，切合实际</w:t>
      </w:r>
      <w:r>
        <w:rPr>
          <w:rFonts w:hint="eastAsia" w:ascii="宋体" w:hAnsi="宋体" w:eastAsia="宋体" w:cs="宋体"/>
          <w:color w:val="auto"/>
          <w:kern w:val="2"/>
          <w:sz w:val="21"/>
          <w:szCs w:val="21"/>
          <w:highlight w:val="none"/>
          <w:lang w:val="en-US" w:eastAsia="zh-CN" w:bidi="ar-SA"/>
        </w:rPr>
        <w:t>。</w:t>
      </w:r>
    </w:p>
    <w:p>
      <w:pPr>
        <w:pStyle w:val="14"/>
        <w:adjustRightIn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highlight w:val="none"/>
        </w:rPr>
        <w:t>2.3 比选范围：合规体系建设劳动用工专项法律服务</w:t>
      </w:r>
      <w:r>
        <w:rPr>
          <w:rFonts w:hint="eastAsia" w:ascii="宋体" w:hAnsi="宋体" w:cs="宋体"/>
          <w:highlight w:val="none"/>
          <w:lang w:eastAsia="zh-CN"/>
        </w:rPr>
        <w:t>。</w:t>
      </w:r>
      <w:r>
        <w:rPr>
          <w:rFonts w:hint="eastAsia" w:ascii="宋体" w:hAnsi="宋体" w:eastAsia="宋体" w:cs="宋体"/>
          <w:color w:val="auto"/>
          <w:kern w:val="2"/>
          <w:sz w:val="21"/>
          <w:szCs w:val="21"/>
          <w:highlight w:val="none"/>
          <w:lang w:val="en-US" w:eastAsia="zh-CN" w:bidi="ar-SA"/>
        </w:rPr>
        <w:t xml:space="preserve"> </w:t>
      </w:r>
    </w:p>
    <w:p>
      <w:pPr>
        <w:spacing w:line="400" w:lineRule="exact"/>
        <w:ind w:firstLine="420" w:firstLineChars="200"/>
        <w:rPr>
          <w:rFonts w:hint="eastAsia" w:ascii="宋体" w:hAnsi="宋体" w:eastAsia="宋体" w:cs="宋体"/>
          <w:b w:val="0"/>
          <w:bCs w:val="0"/>
          <w:color w:val="auto"/>
          <w:kern w:val="2"/>
          <w:sz w:val="21"/>
          <w:szCs w:val="24"/>
          <w:highlight w:val="green"/>
          <w:lang w:val="en-US" w:eastAsia="zh-CN" w:bidi="ar-SA"/>
        </w:rPr>
      </w:pPr>
      <w:r>
        <w:rPr>
          <w:rFonts w:hint="eastAsia" w:ascii="宋体" w:hAnsi="宋体" w:cs="宋体"/>
          <w:b w:val="0"/>
          <w:bCs w:val="0"/>
          <w:color w:val="auto"/>
          <w:highlight w:val="none"/>
        </w:rPr>
        <w:t>2.4</w:t>
      </w:r>
      <w:r>
        <w:rPr>
          <w:rFonts w:hint="eastAsia" w:ascii="宋体" w:hAnsi="宋体" w:eastAsia="宋体" w:cs="宋体"/>
          <w:b w:val="0"/>
          <w:bCs w:val="0"/>
          <w:color w:val="auto"/>
          <w:kern w:val="2"/>
          <w:sz w:val="21"/>
          <w:szCs w:val="24"/>
          <w:highlight w:val="none"/>
          <w:lang w:val="en-US" w:eastAsia="zh-CN" w:bidi="ar-SA"/>
        </w:rPr>
        <w:t xml:space="preserve"> </w:t>
      </w:r>
      <w:r>
        <w:rPr>
          <w:rFonts w:hint="eastAsia" w:ascii="宋体" w:hAnsi="宋体" w:cs="宋体"/>
          <w:b w:val="0"/>
          <w:bCs w:val="0"/>
          <w:color w:val="auto"/>
          <w:kern w:val="2"/>
          <w:sz w:val="21"/>
          <w:szCs w:val="24"/>
          <w:highlight w:val="none"/>
          <w:lang w:val="en-US" w:eastAsia="zh-CN" w:bidi="ar-SA"/>
        </w:rPr>
        <w:t>工期要求：服务期限：至2024年3月31日止。</w:t>
      </w:r>
    </w:p>
    <w:p>
      <w:pPr>
        <w:pStyle w:val="5"/>
        <w:spacing w:before="120" w:after="0" w:line="360" w:lineRule="auto"/>
        <w:rPr>
          <w:rFonts w:hint="eastAsia" w:ascii="宋体" w:hAnsi="宋体" w:eastAsia="宋体" w:cs="宋体"/>
          <w:highlight w:val="none"/>
        </w:rPr>
      </w:pPr>
      <w:bookmarkStart w:id="43" w:name="_Toc144974482"/>
      <w:bookmarkStart w:id="44" w:name="_Toc30356"/>
      <w:bookmarkStart w:id="45" w:name="_Toc152045514"/>
      <w:bookmarkStart w:id="46" w:name="_Toc247085674"/>
      <w:bookmarkStart w:id="47" w:name="_Toc7065"/>
      <w:bookmarkStart w:id="48" w:name="_Toc152042290"/>
      <w:bookmarkStart w:id="49" w:name="_Toc246996160"/>
      <w:bookmarkStart w:id="50" w:name="_Toc10171"/>
      <w:bookmarkStart w:id="51" w:name="_Toc507319893"/>
      <w:bookmarkStart w:id="52" w:name="_Toc11329215"/>
      <w:bookmarkStart w:id="53" w:name="_Toc246996903"/>
      <w:bookmarkStart w:id="54" w:name="_Toc179632530"/>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152042291"/>
      <w:bookmarkStart w:id="56" w:name="_Toc152045515"/>
      <w:bookmarkStart w:id="57" w:name="_Toc179632531"/>
      <w:bookmarkStart w:id="58" w:name="_Toc246996161"/>
      <w:bookmarkStart w:id="59" w:name="_Toc246996904"/>
      <w:bookmarkStart w:id="60" w:name="_Toc144974483"/>
      <w:bookmarkStart w:id="61" w:name="_Toc247085675"/>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numPr>
          <w:ilvl w:val="0"/>
          <w:numId w:val="0"/>
        </w:numPr>
        <w:spacing w:line="276" w:lineRule="auto"/>
        <w:ind w:left="420" w:leftChars="0"/>
        <w:jc w:val="both"/>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）应具有独立法人资格；</w:t>
      </w:r>
    </w:p>
    <w:p>
      <w:pPr>
        <w:pStyle w:val="29"/>
        <w:ind w:firstLine="420" w:firstLineChars="200"/>
        <w:rPr>
          <w:rFonts w:hint="eastAsia" w:ascii="宋体" w:hAnsi="宋体" w:eastAsia="宋体" w:cs="宋体"/>
          <w:b w:val="0"/>
          <w:bCs w:val="0"/>
          <w:caps w:val="0"/>
          <w:kern w:val="2"/>
          <w:sz w:val="21"/>
          <w:szCs w:val="21"/>
          <w:highlight w:val="none"/>
          <w:shd w:val="clear" w:color="auto" w:fill="FFFFFF"/>
          <w:lang w:val="en-US" w:eastAsia="zh-CN" w:bidi="ar-SA"/>
        </w:rPr>
      </w:pPr>
      <w:r>
        <w:rPr>
          <w:rFonts w:hint="eastAsia" w:ascii="宋体" w:hAnsi="宋体" w:eastAsia="宋体" w:cs="宋体"/>
          <w:b w:val="0"/>
          <w:bCs w:val="0"/>
          <w:caps w:val="0"/>
          <w:kern w:val="2"/>
          <w:sz w:val="21"/>
          <w:szCs w:val="21"/>
          <w:highlight w:val="none"/>
          <w:shd w:val="clear" w:color="auto" w:fill="FFFFFF"/>
          <w:lang w:val="en-US" w:eastAsia="zh-CN" w:bidi="ar-SA"/>
        </w:rPr>
        <w:t>（2）具有有效的营业执照；</w:t>
      </w:r>
    </w:p>
    <w:p>
      <w:pPr>
        <w:ind w:firstLine="420" w:firstLineChars="200"/>
        <w:rPr>
          <w:rFonts w:hint="eastAsia"/>
          <w:lang w:val="en-US" w:eastAsia="zh-CN"/>
        </w:rPr>
      </w:pPr>
      <w:r>
        <w:rPr>
          <w:rFonts w:hint="eastAsia" w:ascii="宋体" w:hAnsi="宋体" w:cs="宋体"/>
          <w:b w:val="0"/>
          <w:bCs w:val="0"/>
          <w:caps w:val="0"/>
          <w:kern w:val="2"/>
          <w:sz w:val="21"/>
          <w:szCs w:val="21"/>
          <w:highlight w:val="none"/>
          <w:shd w:val="clear" w:color="auto" w:fill="FFFFFF"/>
          <w:lang w:val="en-US" w:eastAsia="zh-CN" w:bidi="ar-SA"/>
        </w:rPr>
        <w:t>（3）</w:t>
      </w:r>
      <w:r>
        <w:rPr>
          <w:rFonts w:hint="eastAsia" w:ascii="宋体" w:hAnsi="宋体" w:cs="宋体"/>
          <w:szCs w:val="21"/>
          <w:highlight w:val="none"/>
          <w:shd w:val="clear" w:color="auto" w:fill="FFFFFF"/>
        </w:rPr>
        <w:t>注册律师超过100人，办公地点面积超过1000平方米，并具备上述法律事项处理能力</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需在自行承诺部分中承诺，并在中标后接受采购人复查</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firstLine="420" w:firstLineChars="200"/>
        <w:rPr>
          <w:rFonts w:hint="default" w:ascii="宋体" w:hAnsi="宋体" w:cs="宋体"/>
          <w:color w:val="00B0F0"/>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业绩</w:t>
      </w:r>
      <w:r>
        <w:rPr>
          <w:rFonts w:hint="eastAsia" w:ascii="宋体" w:hAnsi="宋体" w:cs="宋体"/>
          <w:color w:val="auto"/>
          <w:szCs w:val="21"/>
          <w:highlight w:val="none"/>
          <w:shd w:val="clear" w:color="auto" w:fill="FFFFFF"/>
          <w:lang w:val="en-US" w:eastAsia="zh-CN"/>
        </w:rPr>
        <w:t>要求：具有承担超过10（含）家央企、国企法律顾问服务经验（需提供合同或协议扫描件）</w:t>
      </w:r>
      <w:r>
        <w:rPr>
          <w:rFonts w:hint="eastAsia" w:eastAsia="宋体" w:cs="Times New Roman"/>
          <w:color w:val="auto"/>
          <w:lang w:val="en-US" w:eastAsia="zh-CN"/>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5"/>
        <w:spacing w:before="120" w:after="0" w:line="400" w:lineRule="exact"/>
        <w:rPr>
          <w:rFonts w:hint="eastAsia" w:ascii="宋体" w:hAnsi="宋体" w:eastAsia="宋体" w:cs="宋体"/>
          <w:highlight w:val="none"/>
        </w:rPr>
      </w:pPr>
      <w:bookmarkStart w:id="62" w:name="_Toc11329216"/>
      <w:bookmarkStart w:id="63" w:name="_Toc12460"/>
      <w:bookmarkStart w:id="64" w:name="_Toc14361"/>
      <w:bookmarkStart w:id="65" w:name="_Toc507319894"/>
      <w:bookmarkStart w:id="66" w:name="_Toc25619"/>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ascii="宋体" w:hAnsi="宋体"/>
          <w:szCs w:val="21"/>
        </w:rPr>
      </w:pPr>
      <w:bookmarkStart w:id="67" w:name="_Toc246996905"/>
      <w:bookmarkStart w:id="68" w:name="_Toc152045516"/>
      <w:bookmarkStart w:id="69" w:name="_Toc11329217"/>
      <w:bookmarkStart w:id="70" w:name="_Toc144974484"/>
      <w:bookmarkStart w:id="71" w:name="_Toc152042292"/>
      <w:bookmarkStart w:id="72" w:name="_Toc507319895"/>
      <w:bookmarkStart w:id="73" w:name="_Toc247085676"/>
      <w:bookmarkStart w:id="74" w:name="_Toc179632532"/>
      <w:bookmarkStart w:id="75" w:name="_Toc246996162"/>
      <w:r>
        <w:rPr>
          <w:rFonts w:hint="eastAsia" w:ascii="宋体" w:hAnsi="宋体"/>
          <w:szCs w:val="21"/>
        </w:rPr>
        <w:t>凡愿意参加的潜在报价人，在</w:t>
      </w:r>
      <w:r>
        <w:rPr>
          <w:rFonts w:hint="eastAsia" w:ascii="宋体" w:hAnsi="宋体"/>
          <w:szCs w:val="21"/>
          <w:u w:val="single"/>
        </w:rPr>
        <w:t>2023</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13</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val="en-US" w:eastAsia="zh-CN"/>
        </w:rPr>
        <w:t>下</w:t>
      </w:r>
      <w:r>
        <w:rPr>
          <w:rFonts w:hint="eastAsia" w:ascii="宋体" w:hAnsi="宋体"/>
          <w:szCs w:val="21"/>
        </w:rPr>
        <w:t>午</w:t>
      </w:r>
      <w:r>
        <w:rPr>
          <w:rFonts w:hint="eastAsia" w:ascii="宋体" w:hAnsi="宋体"/>
          <w:szCs w:val="21"/>
          <w:u w:val="single"/>
        </w:rPr>
        <w:t>1</w:t>
      </w:r>
      <w:r>
        <w:rPr>
          <w:rFonts w:hint="eastAsia" w:ascii="宋体" w:hAnsi="宋体"/>
          <w:szCs w:val="21"/>
          <w:u w:val="single"/>
          <w:lang w:val="en-US" w:eastAsia="zh-CN"/>
        </w:rPr>
        <w:t>5</w:t>
      </w:r>
      <w:r>
        <w:rPr>
          <w:rFonts w:hint="eastAsia" w:ascii="宋体" w:hAnsi="宋体"/>
          <w:szCs w:val="21"/>
          <w:u w:val="single"/>
        </w:rPr>
        <w:t>:00</w:t>
      </w:r>
      <w:r>
        <w:rPr>
          <w:rFonts w:hint="eastAsia" w:ascii="宋体" w:hAnsi="宋体"/>
          <w:szCs w:val="21"/>
        </w:rPr>
        <w:t>前在将响应性文件递交至</w:t>
      </w:r>
      <w:r>
        <w:rPr>
          <w:rFonts w:hint="eastAsia" w:ascii="宋体" w:hAnsi="宋体" w:cs="宋体"/>
          <w:szCs w:val="21"/>
        </w:rPr>
        <w:t>重庆市渝北区新南路52号东界龙湖三楼重庆首讯科技股份有限公司东界龙湖办公区。</w:t>
      </w:r>
      <w:r>
        <w:rPr>
          <w:rFonts w:hint="eastAsia" w:ascii="宋体" w:hAnsi="宋体"/>
          <w:szCs w:val="21"/>
        </w:rPr>
        <w:t>各报价人应随时关注网上发布的竞争性比选文件答疑、补遗、澄清等文件内容，不管报价人是否下载，均视为已知晓竞争性比选文件的全部内容和有关事宜。</w:t>
      </w:r>
    </w:p>
    <w:p>
      <w:pPr>
        <w:pStyle w:val="5"/>
        <w:spacing w:before="120" w:after="0" w:line="400" w:lineRule="exact"/>
        <w:rPr>
          <w:rFonts w:ascii="宋体" w:hAnsi="宋体" w:eastAsia="宋体" w:cs="宋体"/>
        </w:rPr>
      </w:pPr>
      <w:bookmarkStart w:id="76" w:name="_Toc9131"/>
      <w:bookmarkStart w:id="77" w:name="_Toc19030"/>
      <w:bookmarkStart w:id="78" w:name="_Toc16686"/>
      <w:bookmarkStart w:id="79" w:name="_Toc31493"/>
      <w:r>
        <w:rPr>
          <w:rFonts w:hint="eastAsia" w:ascii="宋体" w:hAnsi="宋体" w:eastAsia="宋体" w:cs="宋体"/>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bookmarkEnd w:id="79"/>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u w:val="single"/>
        </w:rPr>
        <w:t>2023</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13</w:t>
      </w:r>
      <w:r>
        <w:rPr>
          <w:rFonts w:hint="eastAsia" w:ascii="宋体" w:hAnsi="宋体"/>
          <w:szCs w:val="21"/>
          <w:u w:val="single"/>
        </w:rPr>
        <w:t xml:space="preserve"> </w:t>
      </w:r>
      <w:bookmarkStart w:id="265" w:name="_GoBack"/>
      <w:bookmarkEnd w:id="265"/>
      <w:r>
        <w:rPr>
          <w:rFonts w:hint="eastAsia" w:ascii="宋体" w:hAnsi="宋体"/>
          <w:szCs w:val="21"/>
        </w:rPr>
        <w:t>日</w:t>
      </w:r>
      <w:r>
        <w:rPr>
          <w:rFonts w:hint="eastAsia" w:ascii="宋体" w:hAnsi="宋体"/>
          <w:szCs w:val="21"/>
          <w:lang w:val="en-US" w:eastAsia="zh-CN"/>
        </w:rPr>
        <w:t>下</w:t>
      </w:r>
      <w:r>
        <w:rPr>
          <w:rFonts w:hint="eastAsia" w:ascii="宋体" w:hAnsi="宋体"/>
          <w:szCs w:val="21"/>
        </w:rPr>
        <w:t>午</w:t>
      </w:r>
      <w:r>
        <w:rPr>
          <w:rFonts w:hint="eastAsia" w:ascii="宋体" w:hAnsi="宋体" w:cs="宋体"/>
          <w:szCs w:val="21"/>
          <w:u w:val="single"/>
        </w:rPr>
        <w:t xml:space="preserve"> 1</w:t>
      </w:r>
      <w:r>
        <w:rPr>
          <w:rFonts w:hint="eastAsia" w:ascii="宋体" w:hAnsi="宋体" w:cs="宋体"/>
          <w:szCs w:val="21"/>
          <w:u w:val="single"/>
          <w:lang w:val="en-US" w:eastAsia="zh-CN"/>
        </w:rPr>
        <w:t>5</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5.2报价的递交：报价人将完整的密封的报价资料递交至重庆市渝北区新南路52号东界龙湖三楼重庆首讯科技股份有限公司东界龙湖办公区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5.4竞争性比选响应文件提交</w:t>
      </w:r>
      <w:r>
        <w:rPr>
          <w:rFonts w:hint="eastAsia" w:ascii="宋体" w:hAnsi="宋体" w:cs="宋体"/>
          <w:b/>
          <w:bCs/>
          <w:szCs w:val="21"/>
        </w:rPr>
        <w:t>正本1份</w:t>
      </w:r>
      <w:r>
        <w:rPr>
          <w:rFonts w:hint="eastAsia" w:ascii="宋体" w:hAnsi="宋体" w:cs="宋体"/>
          <w:szCs w:val="21"/>
        </w:rPr>
        <w:t>，</w:t>
      </w:r>
      <w:r>
        <w:rPr>
          <w:rFonts w:hint="eastAsia" w:ascii="宋体" w:hAnsi="宋体" w:cs="宋体"/>
          <w:b/>
          <w:bCs/>
          <w:szCs w:val="21"/>
        </w:rPr>
        <w:t>副本1份</w:t>
      </w:r>
      <w:r>
        <w:rPr>
          <w:rFonts w:hint="eastAsia" w:ascii="宋体" w:hAnsi="宋体" w:cs="宋体"/>
          <w:szCs w:val="21"/>
        </w:rPr>
        <w:t>，副本可为正本的复印件，竞争性比选响应文件需</w:t>
      </w:r>
      <w:r>
        <w:rPr>
          <w:rFonts w:hint="eastAsia" w:ascii="宋体" w:hAnsi="宋体" w:cs="宋体"/>
          <w:b/>
          <w:bCs/>
          <w:szCs w:val="21"/>
        </w:rPr>
        <w:t>装订成册</w:t>
      </w:r>
      <w:r>
        <w:rPr>
          <w:rFonts w:hint="eastAsia" w:ascii="宋体" w:hAnsi="宋体" w:cs="宋体"/>
          <w:szCs w:val="21"/>
        </w:rPr>
        <w:t>；报价人应提供竞争性比选响应文件</w:t>
      </w:r>
      <w:r>
        <w:rPr>
          <w:rFonts w:hint="eastAsia" w:ascii="宋体" w:hAnsi="宋体" w:cs="宋体"/>
          <w:b/>
          <w:bCs/>
          <w:szCs w:val="21"/>
        </w:rPr>
        <w:t>电子文件1份</w:t>
      </w:r>
      <w:r>
        <w:rPr>
          <w:rFonts w:hint="eastAsia" w:ascii="宋体" w:hAnsi="宋体" w:cs="宋体"/>
          <w:szCs w:val="21"/>
        </w:rPr>
        <w:t>（U盘1份，电子文件内容须包括竞争性比选响应文件全部内容）。当电子文件与纸质版竞争性比选响应文件不一致时，以纸质版竞争性比选响应文件为准，当正本与副本不一致时，以正本为准。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5.5本次竞争性比选响应文件的组成：竞争性比选响应声明书、法定代表人身份证明或法定代表人授权委托书、报价一览表、资格审查资料、报价人须知前附表规定要求的资料、报价人基本信息及其他材料、低价风险担保提交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5.6密封要求：竞争性比选响应文件密封到一个封袋中，在封套上写明：</w:t>
      </w:r>
      <w:r>
        <w:rPr>
          <w:rFonts w:hint="eastAsia" w:ascii="宋体" w:hAnsi="宋体" w:cs="宋体"/>
          <w:b/>
          <w:bCs/>
          <w:szCs w:val="21"/>
          <w:u w:val="single"/>
        </w:rPr>
        <w:t>合规体系建设劳动用工专项法律服务采购竞争性比选响应文件，在2023年</w:t>
      </w:r>
      <w:r>
        <w:rPr>
          <w:rFonts w:hint="eastAsia" w:ascii="宋体" w:hAnsi="宋体" w:cs="宋体"/>
          <w:b/>
          <w:bCs/>
          <w:szCs w:val="21"/>
          <w:u w:val="single"/>
          <w:lang w:val="en-US" w:eastAsia="zh-CN"/>
        </w:rPr>
        <w:t>9</w:t>
      </w:r>
      <w:r>
        <w:rPr>
          <w:rFonts w:hint="eastAsia" w:ascii="宋体" w:hAnsi="宋体" w:cs="宋体"/>
          <w:b/>
          <w:bCs/>
          <w:szCs w:val="21"/>
          <w:u w:val="single"/>
        </w:rPr>
        <w:t>月</w:t>
      </w:r>
      <w:r>
        <w:rPr>
          <w:rFonts w:hint="eastAsia" w:ascii="宋体" w:hAnsi="宋体" w:cs="宋体"/>
          <w:b/>
          <w:bCs/>
          <w:szCs w:val="21"/>
          <w:u w:val="single"/>
          <w:lang w:val="en-US" w:eastAsia="zh-CN"/>
        </w:rPr>
        <w:t>13</w:t>
      </w:r>
      <w:r>
        <w:rPr>
          <w:rFonts w:hint="eastAsia" w:ascii="宋体" w:hAnsi="宋体" w:cs="宋体"/>
          <w:b/>
          <w:bCs/>
          <w:szCs w:val="21"/>
          <w:u w:val="single"/>
        </w:rPr>
        <w:t>日1</w:t>
      </w:r>
      <w:r>
        <w:rPr>
          <w:rFonts w:hint="eastAsia" w:ascii="宋体" w:hAnsi="宋体" w:cs="宋体"/>
          <w:b/>
          <w:bCs/>
          <w:szCs w:val="21"/>
          <w:u w:val="single"/>
          <w:lang w:val="en-US" w:eastAsia="zh-CN"/>
        </w:rPr>
        <w:t>5</w:t>
      </w:r>
      <w:r>
        <w:rPr>
          <w:rFonts w:hint="eastAsia" w:ascii="宋体" w:hAnsi="宋体" w:cs="宋体"/>
          <w:b/>
          <w:bCs/>
          <w:szCs w:val="21"/>
          <w:u w:val="single"/>
        </w:rPr>
        <w:t>：00时前不得开启</w:t>
      </w:r>
      <w:r>
        <w:rPr>
          <w:rFonts w:hint="eastAsia" w:ascii="宋体" w:hAnsi="宋体" w:cs="宋体"/>
          <w:b/>
          <w:bCs/>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5.7逾期送达，或未送达指定地点，或未密封的竞争性比选响应文件，采购人不予受理。</w:t>
      </w:r>
    </w:p>
    <w:p>
      <w:pPr>
        <w:tabs>
          <w:tab w:val="left" w:pos="360"/>
        </w:tabs>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rPr>
        <w:t>5.8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r>
        <w:rPr>
          <w:rFonts w:ascii="宋体" w:hAnsi="宋体" w:cs="宋体"/>
          <w:szCs w:val="21"/>
          <w:highlight w:val="none"/>
        </w:rPr>
        <w:t>。</w:t>
      </w:r>
    </w:p>
    <w:p>
      <w:pPr>
        <w:pStyle w:val="5"/>
        <w:spacing w:before="120" w:after="0" w:line="400" w:lineRule="exact"/>
        <w:rPr>
          <w:rFonts w:hint="eastAsia" w:ascii="宋体" w:hAnsi="宋体" w:eastAsia="宋体" w:cs="宋体"/>
          <w:highlight w:val="none"/>
        </w:rPr>
      </w:pPr>
      <w:bookmarkStart w:id="80" w:name="_Toc152045517"/>
      <w:bookmarkStart w:id="81" w:name="_Toc179632534"/>
      <w:bookmarkStart w:id="82" w:name="_Toc11329219"/>
      <w:bookmarkStart w:id="83" w:name="_Toc247085678"/>
      <w:bookmarkStart w:id="84" w:name="_Toc393"/>
      <w:bookmarkStart w:id="85" w:name="_Toc246996907"/>
      <w:bookmarkStart w:id="86" w:name="_Toc18402"/>
      <w:bookmarkStart w:id="87" w:name="_Toc152042293"/>
      <w:bookmarkStart w:id="88" w:name="_Toc21615"/>
      <w:bookmarkStart w:id="89" w:name="_Toc144974485"/>
      <w:bookmarkStart w:id="90" w:name="_Toc246996164"/>
      <w:bookmarkStart w:id="91" w:name="_Toc507319897"/>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80"/>
      <w:bookmarkEnd w:id="81"/>
      <w:bookmarkEnd w:id="82"/>
      <w:bookmarkEnd w:id="83"/>
      <w:bookmarkEnd w:id="84"/>
      <w:bookmarkEnd w:id="85"/>
      <w:bookmarkEnd w:id="86"/>
      <w:bookmarkEnd w:id="87"/>
      <w:bookmarkEnd w:id="88"/>
      <w:bookmarkEnd w:id="89"/>
      <w:bookmarkEnd w:id="90"/>
      <w:bookmarkEnd w:id="91"/>
    </w:p>
    <w:tbl>
      <w:tblPr>
        <w:tblStyle w:val="43"/>
        <w:tblW w:w="9628" w:type="dxa"/>
        <w:tblInd w:w="0" w:type="dxa"/>
        <w:tblLayout w:type="fixed"/>
        <w:tblCellMar>
          <w:top w:w="0" w:type="dxa"/>
          <w:left w:w="108" w:type="dxa"/>
          <w:bottom w:w="0" w:type="dxa"/>
          <w:right w:w="108" w:type="dxa"/>
        </w:tblCellMar>
      </w:tblPr>
      <w:tblGrid>
        <w:gridCol w:w="8213"/>
        <w:gridCol w:w="1415"/>
      </w:tblGrid>
      <w:tr>
        <w:trPr>
          <w:trHeight w:val="470" w:hRule="atLeast"/>
        </w:trPr>
        <w:tc>
          <w:tcPr>
            <w:tcW w:w="8213"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keepNext w:val="0"/>
              <w:keepLines w:val="0"/>
              <w:suppressLineNumbers w:val="0"/>
              <w:topLinePunct/>
              <w:spacing w:before="0" w:beforeAutospacing="0" w:after="0" w:afterAutospacing="0" w:line="400" w:lineRule="exact"/>
              <w:ind w:left="1050" w:leftChars="200" w:right="0" w:hanging="630" w:hangingChars="300"/>
              <w:rPr>
                <w:rFonts w:hint="eastAsia"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keepNext w:val="0"/>
              <w:keepLines w:val="0"/>
              <w:suppressLineNumbers w:val="0"/>
              <w:topLinePunct/>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王</w:t>
            </w:r>
            <w:r>
              <w:rPr>
                <w:rFonts w:hint="eastAsia" w:ascii="宋体" w:hAnsi="宋体" w:cs="宋体"/>
                <w:szCs w:val="21"/>
                <w:highlight w:val="none"/>
              </w:rPr>
              <w:t>老师</w:t>
            </w:r>
            <w:r>
              <w:rPr>
                <w:rFonts w:hint="eastAsia" w:ascii="宋体" w:hAnsi="宋体" w:cs="宋体"/>
                <w:szCs w:val="21"/>
                <w:highlight w:val="none"/>
                <w:lang w:val="en-US" w:eastAsia="zh-CN"/>
              </w:rPr>
              <w:t xml:space="preserve">  </w:t>
            </w:r>
            <w:r>
              <w:rPr>
                <w:rFonts w:hint="eastAsia" w:ascii="宋体" w:hAnsi="宋体" w:cs="宋体"/>
                <w:szCs w:val="21"/>
                <w:highlight w:val="none"/>
              </w:rPr>
              <w:t>电 话：17623044001</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毕老师  </w:t>
            </w: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bl>
    <w:p>
      <w:pPr>
        <w:rPr>
          <w:highlight w:val="none"/>
        </w:rPr>
      </w:pPr>
    </w:p>
    <w:p>
      <w:pPr>
        <w:pStyle w:val="29"/>
        <w:rPr>
          <w:highlight w:val="none"/>
        </w:rPr>
      </w:pPr>
    </w:p>
    <w:p>
      <w:pPr>
        <w:rPr>
          <w:highlight w:val="none"/>
        </w:rPr>
      </w:pPr>
    </w:p>
    <w:p>
      <w:pPr>
        <w:pStyle w:val="29"/>
        <w:rPr>
          <w:highlight w:val="none"/>
        </w:rPr>
      </w:pPr>
    </w:p>
    <w:p>
      <w:pPr>
        <w:pStyle w:val="29"/>
        <w:rPr>
          <w:highlight w:val="none"/>
        </w:rPr>
      </w:pPr>
    </w:p>
    <w:bookmarkEnd w:id="16"/>
    <w:bookmarkEnd w:id="17"/>
    <w:p>
      <w:pPr>
        <w:pStyle w:val="4"/>
        <w:spacing w:before="0" w:after="0" w:line="360" w:lineRule="auto"/>
        <w:jc w:val="center"/>
        <w:rPr>
          <w:rFonts w:hint="eastAsia" w:ascii="宋体" w:hAnsi="宋体" w:cs="宋体"/>
          <w:highlight w:val="none"/>
        </w:rPr>
      </w:pPr>
      <w:bookmarkStart w:id="92" w:name="_Toc152045527"/>
      <w:bookmarkStart w:id="93" w:name="_Toc247085687"/>
      <w:bookmarkStart w:id="94" w:name="_Toc21719"/>
      <w:bookmarkStart w:id="95" w:name="_Toc179632544"/>
      <w:bookmarkStart w:id="96" w:name="_Toc246996173"/>
      <w:bookmarkStart w:id="97" w:name="_Toc152042303"/>
      <w:bookmarkStart w:id="98" w:name="_Toc507319898"/>
      <w:bookmarkStart w:id="99" w:name="_Toc246996916"/>
      <w:bookmarkStart w:id="100" w:name="_Toc2000405"/>
      <w:bookmarkStart w:id="101" w:name="_Toc144974495"/>
      <w:r>
        <w:rPr>
          <w:rFonts w:hint="eastAsia" w:ascii="宋体" w:hAnsi="宋体" w:cs="宋体"/>
          <w:highlight w:val="none"/>
        </w:rPr>
        <w:br w:type="page"/>
      </w:r>
      <w:r>
        <w:rPr>
          <w:rFonts w:hint="eastAsia" w:ascii="宋体" w:hAnsi="宋体" w:cs="宋体"/>
          <w:highlight w:val="none"/>
        </w:rPr>
        <w:t>第二章 报价人须知</w:t>
      </w:r>
      <w:bookmarkEnd w:id="92"/>
      <w:bookmarkEnd w:id="93"/>
      <w:bookmarkEnd w:id="94"/>
      <w:bookmarkEnd w:id="95"/>
      <w:bookmarkEnd w:id="96"/>
      <w:bookmarkEnd w:id="97"/>
      <w:bookmarkEnd w:id="98"/>
      <w:bookmarkEnd w:id="99"/>
      <w:bookmarkEnd w:id="100"/>
      <w:bookmarkEnd w:id="101"/>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bookmarkStart w:id="102"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址：重庆市渝北区龙溪街道新南路52号东界龙湖三楼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合规体系建设劳动用工专项法律服务采购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keepNext w:val="0"/>
              <w:keepLines w:val="0"/>
              <w:suppressLineNumbers w:val="0"/>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bookmarkStart w:id="103" w:name="_Hlt227984024"/>
            <w:bookmarkEnd w:id="103"/>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2" w:firstLineChars="200"/>
              <w:rPr>
                <w:rFonts w:hint="eastAsia" w:ascii="宋体" w:hAnsi="宋体"/>
                <w:color w:val="auto"/>
                <w:szCs w:val="21"/>
                <w:highlight w:val="none"/>
              </w:rPr>
            </w:pPr>
            <w:r>
              <w:rPr>
                <w:rFonts w:hint="eastAsia" w:ascii="宋体" w:hAnsi="宋体"/>
                <w:b/>
                <w:bCs/>
                <w:color w:val="auto"/>
                <w:szCs w:val="21"/>
                <w:highlight w:val="none"/>
                <w:lang w:val="en-US" w:eastAsia="zh-CN"/>
              </w:rPr>
              <w:t>合规体系建设劳动用工专项法律服务采购</w:t>
            </w:r>
            <w:r>
              <w:rPr>
                <w:rFonts w:hint="eastAsia" w:ascii="宋体" w:hAnsi="宋体"/>
                <w:b/>
                <w:bCs/>
                <w:color w:val="auto"/>
                <w:szCs w:val="21"/>
                <w:highlight w:val="none"/>
              </w:rPr>
              <w:t>最高限价</w:t>
            </w:r>
            <w:r>
              <w:rPr>
                <w:rFonts w:hint="eastAsia" w:ascii="宋体" w:hAnsi="宋体"/>
                <w:b/>
                <w:bCs/>
                <w:color w:val="auto"/>
                <w:szCs w:val="21"/>
                <w:highlight w:val="none"/>
                <w:u w:val="single"/>
                <w:lang w:val="en-US" w:eastAsia="zh-CN"/>
              </w:rPr>
              <w:t>80000.00</w:t>
            </w:r>
            <w:r>
              <w:rPr>
                <w:rFonts w:hint="eastAsia" w:ascii="宋体" w:hAnsi="宋体" w:cs="Times New Roman"/>
                <w:b/>
                <w:bCs/>
                <w:color w:val="auto"/>
                <w:szCs w:val="21"/>
                <w:highlight w:val="none"/>
                <w:u w:val="single"/>
                <w:lang w:val="en-US" w:eastAsia="zh-CN"/>
              </w:rPr>
              <w:t xml:space="preserve">  </w:t>
            </w:r>
            <w:r>
              <w:rPr>
                <w:rFonts w:hint="eastAsia" w:ascii="宋体" w:hAnsi="宋体"/>
                <w:b/>
                <w:bCs/>
                <w:color w:val="auto"/>
                <w:szCs w:val="21"/>
                <w:highlight w:val="none"/>
                <w:lang w:val="en-US" w:eastAsia="zh-CN"/>
              </w:rPr>
              <w:t>元</w:t>
            </w:r>
            <w:r>
              <w:rPr>
                <w:rFonts w:hint="eastAsia" w:ascii="宋体" w:hAnsi="宋体"/>
                <w:b/>
                <w:bCs/>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b/>
                <w:bCs/>
                <w:kern w:val="0"/>
                <w:szCs w:val="21"/>
                <w:highlight w:val="none"/>
              </w:rPr>
            </w:pPr>
            <w:r>
              <w:rPr>
                <w:rFonts w:hint="eastAsia" w:ascii="宋体" w:hAnsi="宋体" w:cs="宋体"/>
                <w:b w:val="0"/>
                <w:bCs/>
                <w:szCs w:val="21"/>
                <w:highlight w:val="none"/>
              </w:rPr>
              <w:t>报价人</w:t>
            </w:r>
            <w:r>
              <w:rPr>
                <w:rFonts w:hint="eastAsia" w:ascii="宋体" w:hAnsi="宋体" w:cs="宋体"/>
                <w:b w:val="0"/>
                <w:bCs/>
                <w:szCs w:val="21"/>
                <w:highlight w:val="none"/>
                <w:lang w:val="en-US" w:eastAsia="zh-CN"/>
              </w:rPr>
              <w:t>报价</w:t>
            </w:r>
            <w:r>
              <w:rPr>
                <w:rFonts w:hint="eastAsia" w:ascii="宋体" w:hAnsi="宋体" w:cs="宋体"/>
                <w:b w:val="0"/>
                <w:bCs/>
                <w:szCs w:val="21"/>
                <w:highlight w:val="none"/>
              </w:rPr>
              <w:t>不得高于采购人发布的最高限价，否则其竞争性比选响应文件视为重大偏差，竞争性比选响应文件将按否决报价处理</w:t>
            </w:r>
            <w:r>
              <w:rPr>
                <w:rFonts w:hint="eastAsia" w:ascii="宋体" w:hAnsi="宋体" w:cs="宋体"/>
                <w:b w:val="0"/>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eastAsia="宋体"/>
                <w:highlight w:val="none"/>
                <w:lang w:eastAsia="zh-CN"/>
              </w:rPr>
            </w:pPr>
            <w:r>
              <w:rPr>
                <w:rFonts w:hint="eastAsia"/>
                <w:highlight w:val="none"/>
                <w:lang w:eastAsia="zh-CN"/>
              </w:rPr>
              <w:t>合同签订后15个工作日内支付20%；待律师驻场收集前期材料，出具首讯劳动用工风险报告、劳动用工相关制度和流程文字性成果（违反公司涉及纪律考核制度时的相关证据链梳理和数据留存）、人事管理法律文书模板并经甲方验收合格后15个工作日内支付30%，待出具劳动用工合规指引（2024年3月前）并经甲方验收合格后15个工作日内支付尾款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1 在</w:t>
            </w:r>
            <w:r>
              <w:rPr>
                <w:rFonts w:hint="eastAsia"/>
                <w:lang w:val="en-US" w:eastAsia="zh-CN"/>
              </w:rPr>
              <w:t>项目</w:t>
            </w:r>
            <w:r>
              <w:rPr>
                <w:rFonts w:hint="eastAsia"/>
              </w:rPr>
              <w:t>履行中，因不可抗力的意外原因造成本合同不能履行或不能全部履行，各方均不承担违约责任。</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 xml:space="preserve">2 </w:t>
            </w:r>
            <w:r>
              <w:rPr>
                <w:rFonts w:hint="eastAsia"/>
                <w:lang w:val="en-US" w:eastAsia="zh-CN"/>
              </w:rPr>
              <w:t>招标人</w:t>
            </w:r>
            <w:r>
              <w:rPr>
                <w:rFonts w:hint="eastAsia"/>
              </w:rPr>
              <w:t>无法按合同约定时间向</w:t>
            </w:r>
            <w:r>
              <w:rPr>
                <w:rFonts w:hint="eastAsia"/>
                <w:lang w:val="en-US" w:eastAsia="zh-CN"/>
              </w:rPr>
              <w:t>招标人</w:t>
            </w:r>
            <w:r>
              <w:rPr>
                <w:rFonts w:hint="eastAsia"/>
              </w:rPr>
              <w:t>提供本项目研究成果或未能完成本</w:t>
            </w:r>
            <w:r>
              <w:rPr>
                <w:rFonts w:hint="eastAsia"/>
                <w:lang w:val="en-US" w:eastAsia="zh-CN"/>
              </w:rPr>
              <w:t>项目</w:t>
            </w:r>
            <w:r>
              <w:rPr>
                <w:rFonts w:hint="eastAsia"/>
              </w:rPr>
              <w:t>考核指标任一项，且未提交延期申请或延期申请未通过甲方批准的，每逾期十日，按本合同经费总额的3‰向</w:t>
            </w:r>
            <w:r>
              <w:rPr>
                <w:rFonts w:hint="eastAsia"/>
                <w:lang w:val="en-US" w:eastAsia="zh-CN"/>
              </w:rPr>
              <w:t>招标人</w:t>
            </w:r>
            <w:r>
              <w:rPr>
                <w:rFonts w:hint="eastAsia"/>
              </w:rPr>
              <w:t>支付违约金，且违约金的数额不超过</w:t>
            </w:r>
            <w:r>
              <w:rPr>
                <w:rFonts w:hint="eastAsia"/>
                <w:lang w:val="en-US" w:eastAsia="zh-CN"/>
              </w:rPr>
              <w:t>中标人</w:t>
            </w:r>
            <w:r>
              <w:rPr>
                <w:rFonts w:hint="eastAsia"/>
              </w:rPr>
              <w:t>本项目合同经费结余款总额。</w:t>
            </w:r>
            <w:r>
              <w:rPr>
                <w:rFonts w:hint="eastAsia"/>
                <w:lang w:val="en-US" w:eastAsia="zh-CN"/>
              </w:rPr>
              <w:t>中标人</w:t>
            </w:r>
            <w:r>
              <w:rPr>
                <w:rFonts w:hint="eastAsia"/>
              </w:rPr>
              <w:t>因某种原因（如：与研究内容有出入、技术措施或实施条件不落实等）致使项目无法执行而要求中止任务，甲方可根据调查结果中止研究任务。届时，研究经费按照实际发生金额结算，</w:t>
            </w:r>
            <w:r>
              <w:rPr>
                <w:rFonts w:hint="eastAsia"/>
                <w:lang w:val="en-US" w:eastAsia="zh-CN"/>
              </w:rPr>
              <w:t>中标人</w:t>
            </w:r>
            <w:r>
              <w:rPr>
                <w:rFonts w:hint="eastAsia"/>
              </w:rPr>
              <w:t>向</w:t>
            </w:r>
            <w:r>
              <w:rPr>
                <w:rFonts w:hint="eastAsia"/>
                <w:lang w:val="en-US" w:eastAsia="zh-CN"/>
              </w:rPr>
              <w:t>招标人</w:t>
            </w:r>
            <w:r>
              <w:rPr>
                <w:rFonts w:hint="eastAsia"/>
              </w:rPr>
              <w:t>退还未使用的研究经费。</w:t>
            </w:r>
          </w:p>
          <w:p>
            <w:pPr>
              <w:keepNext w:val="0"/>
              <w:keepLines w:val="0"/>
              <w:suppressLineNumbers w:val="0"/>
              <w:spacing w:before="0" w:beforeAutospacing="0" w:after="0" w:afterAutospacing="0" w:line="400" w:lineRule="exact"/>
              <w:ind w:left="0" w:right="0" w:firstLine="420" w:firstLineChars="200"/>
              <w:rPr>
                <w:rFonts w:hint="eastAsia" w:eastAsia="宋体"/>
                <w:highlight w:val="none"/>
                <w:lang w:val="en-US" w:eastAsia="zh-CN"/>
              </w:rPr>
            </w:pPr>
            <w:r>
              <w:rPr>
                <w:rFonts w:hint="eastAsia"/>
              </w:rPr>
              <w:t xml:space="preserve">3 </w:t>
            </w:r>
            <w:r>
              <w:rPr>
                <w:rFonts w:hint="eastAsia"/>
                <w:lang w:val="en-US" w:eastAsia="zh-CN"/>
              </w:rPr>
              <w:t>中标人</w:t>
            </w:r>
            <w:r>
              <w:rPr>
                <w:rFonts w:hint="eastAsia"/>
              </w:rPr>
              <w:t>按照付款约定时间向</w:t>
            </w:r>
            <w:r>
              <w:rPr>
                <w:rFonts w:hint="eastAsia"/>
                <w:lang w:val="en-US" w:eastAsia="zh-CN"/>
              </w:rPr>
              <w:t>招标人</w:t>
            </w:r>
            <w:r>
              <w:rPr>
                <w:rFonts w:hint="eastAsia"/>
              </w:rPr>
              <w:t>提供付款申请及成果证明材料，在</w:t>
            </w:r>
            <w:r>
              <w:rPr>
                <w:rFonts w:hint="eastAsia"/>
                <w:lang w:val="en-US" w:eastAsia="zh-CN"/>
              </w:rPr>
              <w:t>招标人</w:t>
            </w:r>
            <w:r>
              <w:rPr>
                <w:rFonts w:hint="eastAsia"/>
              </w:rPr>
              <w:t>完成审核且相关材料准确、无误后，</w:t>
            </w:r>
            <w:r>
              <w:rPr>
                <w:rFonts w:hint="eastAsia"/>
                <w:lang w:val="en-US" w:eastAsia="zh-CN"/>
              </w:rPr>
              <w:t>招标人</w:t>
            </w:r>
            <w:r>
              <w:rPr>
                <w:rFonts w:hint="eastAsia"/>
              </w:rPr>
              <w:t>应按合同约定及时向丙方支付相关费用，在材料审核通过日后每逾期十日按本合同费用总额的3‰向</w:t>
            </w:r>
            <w:r>
              <w:rPr>
                <w:rFonts w:hint="eastAsia"/>
                <w:lang w:val="en-US" w:eastAsia="zh-CN"/>
              </w:rPr>
              <w:t>中标人</w:t>
            </w:r>
            <w:r>
              <w:rPr>
                <w:rFonts w:hint="eastAsia"/>
              </w:rPr>
              <w:t>支付违约金，且违约金的数额不超过</w:t>
            </w:r>
            <w:r>
              <w:rPr>
                <w:rFonts w:hint="eastAsia"/>
                <w:lang w:val="en-US" w:eastAsia="zh-CN"/>
              </w:rPr>
              <w:t>招标人</w:t>
            </w:r>
            <w:r>
              <w:rPr>
                <w:rFonts w:hint="eastAsia"/>
              </w:rPr>
              <w:t>所付合同经费结余款总额</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9"/>
              <w:keepNext w:val="0"/>
              <w:keepLines w:val="0"/>
              <w:suppressLineNumbers w:val="0"/>
              <w:spacing w:before="0" w:beforeAutospacing="0" w:after="0" w:afterAutospacing="0" w:line="400" w:lineRule="exact"/>
              <w:ind w:left="0" w:right="0" w:firstLine="480" w:firstLineChars="200"/>
              <w:rPr>
                <w:rFonts w:hint="eastAsia" w:hAnsi="宋体" w:eastAsia="宋体" w:cs="宋体"/>
                <w:color w:val="auto"/>
                <w:kern w:val="2"/>
                <w:sz w:val="21"/>
                <w:szCs w:val="24"/>
                <w:highlight w:val="none"/>
                <w:lang w:val="en-US" w:eastAsia="zh-CN" w:bidi="ar-SA"/>
              </w:rPr>
            </w:pPr>
            <w:r>
              <w:rPr>
                <w:rFonts w:hint="eastAsia" w:ascii="宋体" w:hAnsi="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rPr>
              <w:t>监督部门：重庆首讯科技股份有限公司合规监管部</w:t>
            </w:r>
          </w:p>
          <w:p>
            <w:pPr>
              <w:pStyle w:val="149"/>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rPr>
              <w:t>地    址：</w:t>
            </w:r>
            <w:r>
              <w:rPr>
                <w:rFonts w:hint="eastAsia" w:hAnsi="宋体"/>
                <w:color w:val="auto"/>
                <w:kern w:val="2"/>
                <w:sz w:val="21"/>
                <w:szCs w:val="21"/>
                <w:highlight w:val="none"/>
                <w:lang w:val="en-US" w:eastAsia="zh-CN"/>
              </w:rPr>
              <w:t>重庆市渝北区龙溪街道新南路52号东界龙湖三楼</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rPr>
              <w:t>电    话：</w:t>
            </w:r>
            <w:r>
              <w:rPr>
                <w:rFonts w:hint="eastAsia" w:hAnsi="宋体"/>
                <w:color w:val="auto"/>
                <w:kern w:val="2"/>
                <w:sz w:val="21"/>
                <w:szCs w:val="21"/>
                <w:highlight w:val="none"/>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82" w:firstLineChars="200"/>
              <w:jc w:val="center"/>
              <w:rPr>
                <w:rFonts w:hint="eastAsia" w:hAnsi="宋体"/>
                <w:color w:val="auto"/>
                <w:kern w:val="2"/>
                <w:sz w:val="21"/>
                <w:szCs w:val="21"/>
                <w:highlight w:val="none"/>
              </w:rPr>
            </w:pPr>
            <w:r>
              <w:rPr>
                <w:rFonts w:hint="default"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2"/>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5"/>
        <w:jc w:val="center"/>
        <w:rPr>
          <w:rFonts w:hint="eastAsia" w:ascii="宋体" w:hAnsi="宋体" w:eastAsia="宋体" w:cs="宋体"/>
          <w:bCs w:val="0"/>
          <w:sz w:val="28"/>
          <w:szCs w:val="28"/>
          <w:highlight w:val="none"/>
        </w:rPr>
      </w:pPr>
      <w:bookmarkStart w:id="104" w:name="_Toc11329222"/>
      <w:bookmarkStart w:id="105" w:name="_Toc30198"/>
      <w:bookmarkStart w:id="106" w:name="_Toc11284"/>
      <w:bookmarkStart w:id="107" w:name="_Toc17532"/>
      <w:r>
        <w:rPr>
          <w:rFonts w:hint="eastAsia" w:ascii="宋体" w:hAnsi="宋体" w:eastAsia="宋体" w:cs="宋体"/>
          <w:sz w:val="28"/>
          <w:szCs w:val="28"/>
          <w:highlight w:val="none"/>
        </w:rPr>
        <w:t xml:space="preserve">附录1  </w:t>
      </w:r>
      <w:bookmarkEnd w:id="104"/>
      <w:bookmarkEnd w:id="105"/>
      <w:bookmarkEnd w:id="106"/>
      <w:bookmarkEnd w:id="107"/>
      <w:bookmarkStart w:id="108" w:name="_Toc27096"/>
      <w:bookmarkStart w:id="109" w:name="_Toc25591"/>
      <w:bookmarkStart w:id="110" w:name="_Toc11329226"/>
      <w:bookmarkStart w:id="111" w:name="_Toc12773"/>
      <w:r>
        <w:rPr>
          <w:rFonts w:hint="eastAsia" w:ascii="宋体" w:hAnsi="宋体" w:eastAsia="宋体" w:cs="宋体"/>
          <w:bCs w:val="0"/>
          <w:sz w:val="28"/>
          <w:szCs w:val="28"/>
          <w:highlight w:val="none"/>
        </w:rPr>
        <w:t>资格审查文件（项目主要管理人员最低要求）</w:t>
      </w:r>
      <w:bookmarkEnd w:id="108"/>
      <w:bookmarkEnd w:id="109"/>
      <w:bookmarkEnd w:id="110"/>
      <w:bookmarkEnd w:id="111"/>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01"/>
        <w:gridCol w:w="671"/>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序号</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人  员</w:t>
            </w:r>
          </w:p>
        </w:tc>
        <w:tc>
          <w:tcPr>
            <w:tcW w:w="6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数量</w:t>
            </w:r>
          </w:p>
        </w:tc>
        <w:tc>
          <w:tcPr>
            <w:tcW w:w="6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1</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项目负责人</w:t>
            </w:r>
          </w:p>
        </w:tc>
        <w:tc>
          <w:tcPr>
            <w:tcW w:w="6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1</w:t>
            </w:r>
          </w:p>
        </w:tc>
        <w:tc>
          <w:tcPr>
            <w:tcW w:w="6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s="宋体"/>
                <w:szCs w:val="21"/>
                <w:highlight w:val="none"/>
              </w:rPr>
            </w:pPr>
            <w:r>
              <w:rPr>
                <w:rFonts w:hint="eastAsia" w:ascii="宋体" w:hAnsi="宋体" w:eastAsia="宋体" w:cs="宋体"/>
                <w:szCs w:val="21"/>
                <w:shd w:val="clear" w:color="auto" w:fill="FFFFFF"/>
                <w:lang w:val="en-US" w:eastAsia="zh-CN"/>
              </w:rPr>
              <w:t>需执业时间超过10年（含）</w:t>
            </w:r>
            <w:r>
              <w:rPr>
                <w:rFonts w:hint="eastAsia" w:ascii="宋体" w:hAnsi="宋体" w:cs="宋体"/>
                <w:szCs w:val="21"/>
                <w:shd w:val="clear" w:color="auto" w:fill="FFFFFF"/>
                <w:lang w:val="en-US" w:eastAsia="zh-CN"/>
              </w:rPr>
              <w:t>，负责超过5家（含）央企、国企合规体系建设专项法律服务经验，须有企业合规体系建设涉及劳动用工方面的专项法律服务或辅导经验，有建筑工程行业非诉服务经验为佳。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r>
              <w:rPr>
                <w:rFonts w:hint="eastAsia" w:ascii="宋体" w:hAnsi="宋体" w:eastAsia="宋体" w:cs="宋体"/>
                <w:szCs w:val="21"/>
                <w:shd w:val="clear" w:color="auto" w:fill="FFFFFF"/>
                <w:lang w:val="en-US" w:eastAsia="zh-CN"/>
              </w:rPr>
              <w:t>主办律师</w:t>
            </w:r>
          </w:p>
        </w:tc>
        <w:tc>
          <w:tcPr>
            <w:tcW w:w="6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6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执业时间超过7年（含）</w:t>
            </w:r>
            <w:r>
              <w:rPr>
                <w:rFonts w:hint="eastAsia" w:ascii="宋体" w:hAnsi="宋体" w:cs="宋体"/>
                <w:szCs w:val="21"/>
                <w:shd w:val="clear" w:color="auto" w:fill="FFFFFF"/>
                <w:lang w:val="en-US" w:eastAsia="zh-CN"/>
              </w:rPr>
              <w:t>，代理过劳动纠纷案件不低于10个，有为企业劳动用工专项法律服务经验，有为企业开展法律尽职调查服务经验.</w:t>
            </w:r>
          </w:p>
        </w:tc>
      </w:tr>
    </w:tbl>
    <w:p>
      <w:pPr>
        <w:keepNext w:val="0"/>
        <w:keepLines w:val="0"/>
        <w:widowControl w:val="0"/>
        <w:suppressLineNumbers w:val="0"/>
        <w:spacing w:before="0" w:beforeAutospacing="0" w:after="0" w:afterAutospacing="0" w:line="400" w:lineRule="exact"/>
        <w:ind w:left="0" w:right="0"/>
        <w:jc w:val="both"/>
        <w:rPr>
          <w:rFonts w:hint="eastAsia" w:ascii="宋体" w:hAnsi="宋体" w:cs="宋体"/>
          <w:szCs w:val="21"/>
          <w:highlight w:val="none"/>
        </w:rPr>
      </w:pPr>
      <w:bookmarkStart w:id="112" w:name="_Toc388534043"/>
      <w:bookmarkStart w:id="113" w:name="_Toc387234996"/>
      <w:r>
        <w:rPr>
          <w:rFonts w:hint="eastAsia" w:ascii="宋体" w:hAnsi="宋体" w:cs="宋体"/>
          <w:szCs w:val="21"/>
          <w:highlight w:val="none"/>
        </w:rPr>
        <w:t xml:space="preserve">   </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b w:val="0"/>
          <w:kern w:val="2"/>
          <w:sz w:val="21"/>
          <w:szCs w:val="21"/>
          <w:highlight w:val="none"/>
          <w:lang w:val="en-US" w:eastAsia="zh-CN" w:bidi="ar"/>
        </w:rPr>
        <w:t>注：</w:t>
      </w:r>
      <w:r>
        <w:rPr>
          <w:rFonts w:hint="eastAsia" w:ascii="宋体" w:hAnsi="宋体" w:cs="宋体"/>
          <w:b w:val="0"/>
          <w:kern w:val="2"/>
          <w:sz w:val="21"/>
          <w:szCs w:val="21"/>
          <w:highlight w:val="none"/>
          <w:lang w:val="en-US" w:eastAsia="zh-CN" w:bidi="ar"/>
        </w:rPr>
        <w:t>以上人员</w:t>
      </w:r>
      <w:r>
        <w:rPr>
          <w:rFonts w:hint="eastAsia" w:ascii="宋体" w:hAnsi="宋体" w:cs="宋体"/>
          <w:szCs w:val="21"/>
          <w:shd w:val="clear" w:color="auto" w:fill="FFFFFF"/>
          <w:lang w:val="en-US" w:eastAsia="zh-CN"/>
        </w:rPr>
        <w:t>自行承诺即可，中标后采购人将对人员资格要求进行复核，若不满足要求，采购人有权废标，并追究中标人责任</w:t>
      </w:r>
      <w:r>
        <w:rPr>
          <w:rFonts w:hint="eastAsia" w:ascii="宋体" w:hAnsi="宋体" w:eastAsia="宋体" w:cs="宋体"/>
          <w:b w:val="0"/>
          <w:kern w:val="2"/>
          <w:sz w:val="21"/>
          <w:szCs w:val="21"/>
          <w:highlight w:val="none"/>
          <w:lang w:val="en-US" w:eastAsia="zh-CN" w:bidi="ar"/>
        </w:rPr>
        <w:t>。</w:t>
      </w:r>
    </w:p>
    <w:p>
      <w:pPr>
        <w:pStyle w:val="29"/>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5"/>
        <w:jc w:val="center"/>
        <w:rPr>
          <w:rFonts w:hint="eastAsia" w:ascii="宋体" w:hAnsi="宋体" w:eastAsia="宋体" w:cs="宋体"/>
          <w:bCs w:val="0"/>
          <w:sz w:val="28"/>
          <w:szCs w:val="28"/>
          <w:highlight w:val="none"/>
        </w:rPr>
      </w:pPr>
      <w:bookmarkStart w:id="114" w:name="_Toc27148"/>
      <w:bookmarkStart w:id="115" w:name="_Toc8293"/>
      <w:bookmarkStart w:id="116" w:name="_Toc11329227"/>
      <w:bookmarkStart w:id="117" w:name="_Toc21487"/>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4"/>
      <w:bookmarkEnd w:id="115"/>
      <w:bookmarkEnd w:id="116"/>
      <w:bookmarkEnd w:id="117"/>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bookmarkStart w:id="118" w:name="_Toc23696"/>
            <w:bookmarkStart w:id="119" w:name="_Toc507319900"/>
            <w:bookmarkStart w:id="120" w:name="_Toc413241584"/>
            <w:r>
              <w:rPr>
                <w:rFonts w:hint="eastAsia" w:ascii="宋体" w:hAnsi="宋体" w:cs="宋体"/>
                <w:szCs w:val="21"/>
                <w:highlight w:val="none"/>
              </w:rPr>
              <w:t>项目</w:t>
            </w:r>
            <w:r>
              <w:rPr>
                <w:rFonts w:hint="eastAsia" w:ascii="宋体" w:hAnsi="宋体" w:cs="宋体"/>
                <w:szCs w:val="21"/>
                <w:highlight w:val="none"/>
                <w:lang w:val="en-US" w:eastAsia="zh-CN"/>
              </w:rPr>
              <w:t>其他</w:t>
            </w:r>
            <w:r>
              <w:rPr>
                <w:rFonts w:hint="eastAsia" w:ascii="宋体" w:hAnsi="宋体" w:cs="宋体"/>
                <w:szCs w:val="21"/>
                <w:highlight w:val="none"/>
              </w:rPr>
              <w:t>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eastAsia" w:eastAsia="宋体"/>
                <w:highlight w:val="none"/>
                <w:lang w:val="en-US" w:eastAsia="zh-CN"/>
              </w:rPr>
            </w:pPr>
            <w:r>
              <w:rPr>
                <w:rFonts w:hint="eastAsia" w:ascii="宋体" w:hAnsi="宋体" w:cs="宋体"/>
                <w:caps/>
                <w:szCs w:val="21"/>
                <w:highlight w:val="none"/>
                <w:lang w:val="en-US" w:eastAsia="zh-CN"/>
              </w:rPr>
              <w:t>团队成员应当综合素养高、经验丰富、专业能力强，具有合法的执业资格，执业时间最低1年，不得少于4人。</w:t>
            </w:r>
          </w:p>
        </w:tc>
      </w:tr>
    </w:tbl>
    <w:p>
      <w:pPr>
        <w:pStyle w:val="149"/>
        <w:adjustRightInd/>
        <w:spacing w:line="360" w:lineRule="auto"/>
        <w:jc w:val="both"/>
        <w:rPr>
          <w:rFonts w:hint="eastAsia" w:hAnsi="宋体"/>
          <w:b w:val="0"/>
          <w:bCs w:val="0"/>
          <w:color w:val="FF0000"/>
          <w:sz w:val="21"/>
          <w:szCs w:val="21"/>
          <w:highlight w:val="none"/>
        </w:rPr>
      </w:pPr>
      <w:r>
        <w:rPr>
          <w:rFonts w:hint="eastAsia" w:hAnsi="宋体"/>
          <w:b w:val="0"/>
          <w:bCs w:val="0"/>
          <w:color w:val="auto"/>
          <w:sz w:val="21"/>
          <w:szCs w:val="21"/>
          <w:highlight w:val="none"/>
        </w:rPr>
        <w:t>注：以上人员自行承诺即可，中标后采购人将对人员资格要求进行复核，若不满足要求，采购人有权废标，并</w:t>
      </w:r>
      <w:r>
        <w:rPr>
          <w:rFonts w:hint="eastAsia" w:hAnsi="宋体"/>
          <w:b w:val="0"/>
          <w:bCs w:val="0"/>
          <w:color w:val="auto"/>
          <w:sz w:val="21"/>
          <w:szCs w:val="21"/>
          <w:highlight w:val="none"/>
          <w:lang w:val="en-US" w:eastAsia="zh-CN"/>
        </w:rPr>
        <w:t>追究中标人责任</w:t>
      </w:r>
      <w:r>
        <w:rPr>
          <w:rFonts w:hint="eastAsia" w:hAnsi="宋体"/>
          <w:b w:val="0"/>
          <w:bCs w:val="0"/>
          <w:color w:val="auto"/>
          <w:sz w:val="21"/>
          <w:szCs w:val="21"/>
          <w:highlight w:val="none"/>
        </w:rPr>
        <w:t>。</w:t>
      </w:r>
    </w:p>
    <w:bookmarkEnd w:id="118"/>
    <w:bookmarkEnd w:id="119"/>
    <w:bookmarkEnd w:id="120"/>
    <w:p>
      <w:pPr>
        <w:pStyle w:val="5"/>
        <w:rPr>
          <w:rStyle w:val="77"/>
          <w:rFonts w:hint="eastAsia" w:ascii="宋体" w:hAnsi="宋体" w:eastAsia="宋体" w:cs="宋体"/>
          <w:b w:val="0"/>
          <w:bCs w:val="0"/>
          <w:sz w:val="28"/>
          <w:szCs w:val="28"/>
          <w:highlight w:val="none"/>
        </w:rPr>
      </w:pPr>
    </w:p>
    <w:p>
      <w:pPr>
        <w:pStyle w:val="5"/>
        <w:rPr>
          <w:rFonts w:hint="eastAsia" w:hAnsi="宋体"/>
          <w:b w:val="0"/>
          <w:sz w:val="28"/>
          <w:szCs w:val="28"/>
          <w:highlight w:val="none"/>
        </w:rPr>
      </w:pPr>
      <w:bookmarkStart w:id="121" w:name="_Toc6096"/>
      <w:bookmarkStart w:id="122" w:name="_Toc17384"/>
      <w:bookmarkStart w:id="123" w:name="_Toc4169"/>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1"/>
      <w:bookmarkEnd w:id="122"/>
      <w:bookmarkEnd w:id="123"/>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eastAsia"/>
                <w:highlight w:val="none"/>
              </w:rPr>
            </w:pPr>
            <w:r>
              <w:rPr>
                <w:rFonts w:hint="eastAsia" w:ascii="宋体" w:hAnsi="宋体" w:cs="宋体"/>
                <w:caps/>
                <w:szCs w:val="21"/>
                <w:highlight w:val="none"/>
                <w:lang w:val="en-US" w:eastAsia="zh-CN"/>
              </w:rPr>
              <w:t>无</w:t>
            </w:r>
            <w:r>
              <w:rPr>
                <w:rFonts w:hint="eastAsia" w:ascii="宋体" w:hAnsi="宋体" w:cs="宋体"/>
                <w:caps/>
                <w:szCs w:val="21"/>
                <w:highlight w:val="none"/>
              </w:rPr>
              <w:t xml:space="preserve">。 </w:t>
            </w:r>
          </w:p>
        </w:tc>
      </w:tr>
    </w:tbl>
    <w:p>
      <w:pPr>
        <w:spacing w:line="400" w:lineRule="exact"/>
        <w:ind w:firstLine="420"/>
        <w:rPr>
          <w:rFonts w:hint="eastAsia" w:ascii="宋体" w:hAnsi="宋体" w:cs="宋体"/>
          <w:color w:val="auto"/>
          <w:kern w:val="0"/>
          <w:szCs w:val="21"/>
          <w:highlight w:val="none"/>
        </w:rPr>
      </w:pPr>
      <w:r>
        <w:rPr>
          <w:rFonts w:hint="eastAsia" w:ascii="宋体" w:hAnsi="宋体" w:cs="宋体"/>
          <w:bCs/>
          <w:kern w:val="0"/>
          <w:szCs w:val="21"/>
          <w:highlight w:val="none"/>
        </w:rPr>
        <w:t>注：</w:t>
      </w:r>
      <w:r>
        <w:rPr>
          <w:rFonts w:hint="eastAsia" w:ascii="宋体" w:hAnsi="宋体" w:cs="宋体"/>
          <w:bCs/>
          <w:color w:val="auto"/>
          <w:kern w:val="0"/>
          <w:szCs w:val="21"/>
          <w:highlight w:val="none"/>
        </w:rPr>
        <w:t>以上设备</w:t>
      </w:r>
      <w:r>
        <w:rPr>
          <w:rFonts w:hint="eastAsia" w:ascii="宋体" w:hAnsi="宋体" w:cs="宋体"/>
          <w:color w:val="auto"/>
          <w:kern w:val="0"/>
          <w:highlight w:val="none"/>
        </w:rPr>
        <w:t>由报价人</w:t>
      </w:r>
      <w:r>
        <w:rPr>
          <w:rFonts w:hint="eastAsia" w:ascii="宋体" w:hAnsi="宋体" w:cs="宋体"/>
          <w:b/>
          <w:color w:val="auto"/>
          <w:kern w:val="0"/>
          <w:highlight w:val="none"/>
        </w:rPr>
        <w:t>自行承诺</w:t>
      </w:r>
      <w:r>
        <w:rPr>
          <w:rFonts w:hint="eastAsia" w:ascii="宋体" w:hAnsi="宋体" w:cs="宋体"/>
          <w:color w:val="auto"/>
          <w:kern w:val="0"/>
          <w:highlight w:val="none"/>
        </w:rPr>
        <w:t>，</w:t>
      </w:r>
      <w:r>
        <w:rPr>
          <w:rFonts w:hint="eastAsia" w:ascii="宋体" w:hAnsi="宋体" w:cs="宋体"/>
          <w:color w:val="auto"/>
          <w:kern w:val="0"/>
          <w:szCs w:val="21"/>
          <w:highlight w:val="none"/>
        </w:rPr>
        <w:t>无需提供有关证明资料，并加盖单位鲜公章。</w:t>
      </w:r>
    </w:p>
    <w:p>
      <w:pPr>
        <w:pStyle w:val="149"/>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3</w:t>
      </w:r>
      <w:r>
        <w:rPr>
          <w:rFonts w:hint="eastAsia" w:hAnsi="宋体"/>
          <w:b/>
          <w:bCs/>
          <w:color w:val="auto"/>
          <w:sz w:val="21"/>
          <w:szCs w:val="21"/>
          <w:highlight w:val="none"/>
        </w:rPr>
        <w:t>中的资格审查）的要求均为强制性条件，其中任何一条不满足要求，则按否决报价处理。</w:t>
      </w:r>
    </w:p>
    <w:p>
      <w:pPr>
        <w:pStyle w:val="149"/>
        <w:adjustRightInd/>
        <w:spacing w:line="360" w:lineRule="auto"/>
        <w:jc w:val="both"/>
        <w:rPr>
          <w:rFonts w:hint="eastAsia" w:hAnsi="宋体"/>
          <w:bCs/>
          <w:color w:val="auto"/>
          <w:sz w:val="21"/>
          <w:szCs w:val="21"/>
          <w:highlight w:val="none"/>
        </w:rPr>
      </w:pPr>
    </w:p>
    <w:bookmarkEnd w:id="112"/>
    <w:bookmarkEnd w:id="113"/>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4"/>
        <w:spacing w:before="0" w:after="0" w:line="360" w:lineRule="auto"/>
        <w:jc w:val="center"/>
        <w:rPr>
          <w:rFonts w:hint="eastAsia" w:ascii="宋体" w:hAnsi="宋体" w:cs="宋体"/>
          <w:highlight w:val="none"/>
        </w:rPr>
      </w:pPr>
      <w:bookmarkStart w:id="124" w:name="_Toc7682"/>
      <w:bookmarkStart w:id="125" w:name="_Toc246996230"/>
      <w:bookmarkStart w:id="126" w:name="_Toc144974554"/>
      <w:bookmarkStart w:id="127" w:name="_Toc507319957"/>
      <w:bookmarkStart w:id="128" w:name="_Toc247085745"/>
      <w:bookmarkStart w:id="129" w:name="_Toc179632605"/>
      <w:bookmarkStart w:id="130" w:name="_Toc246996973"/>
      <w:bookmarkStart w:id="131" w:name="_Toc2000406"/>
      <w:bookmarkStart w:id="132" w:name="_Toc152045587"/>
      <w:bookmarkStart w:id="133" w:name="_Toc152042364"/>
      <w:r>
        <w:rPr>
          <w:rFonts w:hint="eastAsia" w:ascii="宋体" w:hAnsi="宋体" w:cs="宋体"/>
          <w:highlight w:val="none"/>
        </w:rPr>
        <w:t>第三章 评标办法（经评审的最低投标价法）</w:t>
      </w:r>
      <w:bookmarkEnd w:id="124"/>
      <w:bookmarkEnd w:id="125"/>
      <w:bookmarkEnd w:id="126"/>
      <w:bookmarkEnd w:id="127"/>
      <w:bookmarkEnd w:id="128"/>
      <w:bookmarkEnd w:id="129"/>
      <w:bookmarkEnd w:id="130"/>
      <w:bookmarkEnd w:id="131"/>
      <w:bookmarkEnd w:id="132"/>
      <w:bookmarkEnd w:id="133"/>
    </w:p>
    <w:tbl>
      <w:tblPr>
        <w:tblStyle w:val="43"/>
        <w:tblpPr w:leftFromText="180" w:rightFromText="180" w:vertAnchor="text" w:horzAnchor="page" w:tblpX="1500" w:tblpY="284"/>
        <w:tblOverlap w:val="never"/>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评审因素</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1</w:t>
            </w:r>
          </w:p>
        </w:tc>
        <w:tc>
          <w:tcPr>
            <w:tcW w:w="112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中标候选人排序方法</w:t>
            </w:r>
          </w:p>
        </w:tc>
        <w:tc>
          <w:tcPr>
            <w:tcW w:w="5004"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360" w:lineRule="auto"/>
              <w:ind w:left="0" w:right="0"/>
              <w:rPr>
                <w:rFonts w:hint="default"/>
                <w:highlight w:val="none"/>
              </w:rPr>
            </w:pPr>
            <w:r>
              <w:rPr>
                <w:rFonts w:hint="default"/>
                <w:highlight w:val="none"/>
              </w:rPr>
              <w:t>如出现报价相等时，评审小组按以下原则确定第一中标候选人：</w:t>
            </w:r>
          </w:p>
          <w:p>
            <w:pPr>
              <w:keepNext w:val="0"/>
              <w:keepLines w:val="0"/>
              <w:suppressLineNumbers w:val="0"/>
              <w:spacing w:before="0" w:beforeAutospacing="0" w:after="0" w:afterAutospacing="0" w:line="360" w:lineRule="auto"/>
              <w:ind w:left="0" w:right="0" w:firstLine="210" w:firstLineChars="100"/>
              <w:rPr>
                <w:rFonts w:hint="default"/>
                <w:highlight w:val="none"/>
              </w:rPr>
            </w:pPr>
            <w:r>
              <w:rPr>
                <w:rFonts w:hint="eastAsia"/>
                <w:highlight w:val="none"/>
              </w:rPr>
              <w:t>以最早提交报价文件的投标人为第一中标候选人</w:t>
            </w:r>
            <w:r>
              <w:rPr>
                <w:rFonts w:hint="default"/>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报价</w:t>
            </w:r>
            <w:r>
              <w:rPr>
                <w:rFonts w:hint="default"/>
                <w:highlight w:val="none"/>
              </w:rPr>
              <w:t>人名称</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报价</w:t>
            </w:r>
            <w:r>
              <w:rPr>
                <w:rFonts w:hint="default"/>
                <w:highlight w:val="none"/>
              </w:rPr>
              <w:t>函签字盖章</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竞争性</w:t>
            </w:r>
            <w:r>
              <w:rPr>
                <w:rFonts w:hint="default"/>
                <w:highlight w:val="none"/>
              </w:rPr>
              <w:t>比选响应文件格式</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符合第</w:t>
            </w:r>
            <w:r>
              <w:rPr>
                <w:rFonts w:hint="eastAsia"/>
                <w:color w:val="auto"/>
                <w:highlight w:val="none"/>
                <w:lang w:val="en-US" w:eastAsia="zh-CN"/>
              </w:rPr>
              <w:t>八</w:t>
            </w:r>
            <w:r>
              <w:rPr>
                <w:rFonts w:hint="default"/>
                <w:color w:val="auto"/>
                <w:highlight w:val="none"/>
              </w:rPr>
              <w:t>章“</w:t>
            </w:r>
            <w:r>
              <w:rPr>
                <w:rFonts w:hint="eastAsia"/>
                <w:color w:val="auto"/>
                <w:highlight w:val="none"/>
              </w:rPr>
              <w:t>竞争性</w:t>
            </w:r>
            <w:r>
              <w:rPr>
                <w:rFonts w:hint="default"/>
                <w:color w:val="auto"/>
                <w:highlight w:val="none"/>
              </w:rPr>
              <w:t>比选响应文件格式”的要求，字迹</w:t>
            </w:r>
            <w:r>
              <w:rPr>
                <w:rFonts w:hint="eastAsia"/>
                <w:color w:val="auto"/>
                <w:highlight w:val="none"/>
                <w:lang w:val="en-US" w:eastAsia="zh-CN"/>
              </w:rPr>
              <w:t>及相关证件扫描件</w:t>
            </w:r>
            <w:r>
              <w:rPr>
                <w:rFonts w:hint="default"/>
                <w:color w:val="auto"/>
                <w:highlight w:val="none"/>
              </w:rPr>
              <w:t>清晰可辨。</w:t>
            </w:r>
          </w:p>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1.</w:t>
            </w:r>
            <w:r>
              <w:rPr>
                <w:rFonts w:hint="eastAsia"/>
                <w:color w:val="auto"/>
                <w:highlight w:val="none"/>
              </w:rPr>
              <w:t>报价</w:t>
            </w:r>
            <w:r>
              <w:rPr>
                <w:rFonts w:hint="default"/>
                <w:color w:val="auto"/>
                <w:highlight w:val="none"/>
              </w:rPr>
              <w:t>函的所有数据均符合</w:t>
            </w:r>
            <w:r>
              <w:rPr>
                <w:rFonts w:hint="eastAsia"/>
                <w:color w:val="auto"/>
                <w:highlight w:val="none"/>
              </w:rPr>
              <w:t>比选</w:t>
            </w:r>
            <w:r>
              <w:rPr>
                <w:rFonts w:hint="default"/>
                <w:color w:val="auto"/>
                <w:highlight w:val="none"/>
              </w:rPr>
              <w:t>文件的规定；</w:t>
            </w:r>
          </w:p>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2.</w:t>
            </w:r>
            <w:r>
              <w:rPr>
                <w:rFonts w:hint="eastAsia"/>
                <w:color w:val="auto"/>
                <w:highlight w:val="none"/>
              </w:rPr>
              <w:t>竞争性</w:t>
            </w:r>
            <w:r>
              <w:rPr>
                <w:rFonts w:hint="default"/>
                <w:color w:val="auto"/>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highlight w:val="none"/>
              </w:rPr>
            </w:pPr>
            <w:r>
              <w:rPr>
                <w:rFonts w:hint="default"/>
                <w:highlight w:val="none"/>
              </w:rPr>
              <w:t>已标价工程量清单</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highlight w:val="none"/>
              </w:rPr>
            </w:pPr>
            <w:r>
              <w:rPr>
                <w:rFonts w:hint="default"/>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highlight w:val="none"/>
              </w:rPr>
            </w:pPr>
            <w:r>
              <w:rPr>
                <w:rFonts w:hint="default"/>
                <w:highlight w:val="none"/>
              </w:rPr>
              <w:t>报价其它要求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highlight w:val="none"/>
              </w:rPr>
            </w:pPr>
            <w:r>
              <w:rPr>
                <w:rFonts w:hint="eastAsia"/>
                <w:highlight w:val="none"/>
              </w:rPr>
              <w:t>竞争性</w:t>
            </w:r>
            <w:r>
              <w:rPr>
                <w:rFonts w:hint="default"/>
                <w:highlight w:val="none"/>
              </w:rPr>
              <w:t>比选响应文件报价表中的报价与</w:t>
            </w:r>
            <w:r>
              <w:rPr>
                <w:rFonts w:hint="eastAsia"/>
                <w:highlight w:val="none"/>
              </w:rPr>
              <w:t>报价</w:t>
            </w:r>
            <w:r>
              <w:rPr>
                <w:rFonts w:hint="default"/>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竞争性</w:t>
            </w:r>
            <w:r>
              <w:rPr>
                <w:rFonts w:hint="default"/>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eastAsia"/>
                <w:highlight w:val="none"/>
              </w:rPr>
              <w:t>竞争性</w:t>
            </w:r>
            <w:r>
              <w:rPr>
                <w:rFonts w:hint="default"/>
                <w:highlight w:val="none"/>
              </w:rPr>
              <w:t>比选响应文件正本中法定代表人或授权代理人签署姓名齐全，符合</w:t>
            </w:r>
            <w:r>
              <w:rPr>
                <w:rFonts w:hint="eastAsia"/>
                <w:highlight w:val="none"/>
              </w:rPr>
              <w:t>比选</w:t>
            </w:r>
            <w:r>
              <w:rPr>
                <w:rFonts w:hint="default"/>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其它材料</w:t>
            </w:r>
          </w:p>
        </w:tc>
        <w:tc>
          <w:tcPr>
            <w:tcW w:w="5004" w:type="dxa"/>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与</w:t>
            </w:r>
            <w:r>
              <w:rPr>
                <w:rFonts w:hint="eastAsia"/>
                <w:highlight w:val="none"/>
              </w:rPr>
              <w:t>采购人</w:t>
            </w:r>
            <w:r>
              <w:rPr>
                <w:rFonts w:hint="default"/>
                <w:highlight w:val="none"/>
              </w:rPr>
              <w:t>存在利害关系可能影响</w:t>
            </w:r>
            <w:r>
              <w:rPr>
                <w:rFonts w:hint="eastAsia"/>
                <w:highlight w:val="none"/>
              </w:rPr>
              <w:t>比选</w:t>
            </w:r>
            <w:r>
              <w:rPr>
                <w:rFonts w:hint="default"/>
                <w:highlight w:val="none"/>
              </w:rPr>
              <w:t>公正性的法人、其他组织或者个人，不得参加</w:t>
            </w:r>
            <w:r>
              <w:rPr>
                <w:rFonts w:hint="eastAsia"/>
                <w:highlight w:val="none"/>
              </w:rPr>
              <w:t>报价</w:t>
            </w:r>
            <w:r>
              <w:rPr>
                <w:rFonts w:hint="default"/>
                <w:highlight w:val="none"/>
              </w:rPr>
              <w:t>；单位负责人为同一人或者存在控股、管理关系的不同单位，不得同时参加</w:t>
            </w:r>
            <w:r>
              <w:rPr>
                <w:rFonts w:hint="eastAsia"/>
                <w:highlight w:val="none"/>
              </w:rPr>
              <w:t>报价</w:t>
            </w:r>
            <w:r>
              <w:rPr>
                <w:rFonts w:hint="default"/>
                <w:highlight w:val="none"/>
              </w:rPr>
              <w:t>，否则相关</w:t>
            </w:r>
            <w:r>
              <w:rPr>
                <w:rFonts w:hint="eastAsia"/>
                <w:highlight w:val="none"/>
              </w:rPr>
              <w:t>报价</w:t>
            </w:r>
            <w:r>
              <w:rPr>
                <w:rFonts w:hint="default"/>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营业执照</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资质要求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财务要求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业绩要求</w:t>
            </w:r>
          </w:p>
        </w:tc>
        <w:tc>
          <w:tcPr>
            <w:tcW w:w="5004"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信誉要求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ascii="宋体" w:hAnsi="宋体" w:cs="宋体"/>
                <w:szCs w:val="21"/>
                <w:highlight w:val="none"/>
              </w:rPr>
              <w:t>项目主要管理人员</w:t>
            </w:r>
            <w:r>
              <w:rPr>
                <w:rFonts w:hint="default"/>
                <w:highlight w:val="none"/>
              </w:rPr>
              <w:t>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w:t>
            </w:r>
            <w:r>
              <w:rPr>
                <w:rFonts w:hint="eastAsia"/>
                <w:highlight w:val="none"/>
                <w:lang w:val="en-US" w:eastAsia="zh-CN"/>
              </w:rPr>
              <w:t>1</w:t>
            </w:r>
            <w:r>
              <w:rPr>
                <w:rFonts w:hint="default"/>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eastAsia="宋体"/>
                <w:highlight w:val="none"/>
                <w:lang w:val="en-US" w:eastAsia="zh-CN"/>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kern w:val="1"/>
                <w:highlight w:val="none"/>
              </w:rPr>
            </w:pPr>
            <w:r>
              <w:rPr>
                <w:rFonts w:hint="default"/>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w:t>
            </w:r>
            <w:r>
              <w:rPr>
                <w:rFonts w:hint="eastAsia"/>
                <w:highlight w:val="none"/>
                <w:lang w:val="en-US" w:eastAsia="zh-CN"/>
              </w:rPr>
              <w:t>3</w:t>
            </w:r>
            <w:r>
              <w:rPr>
                <w:rFonts w:hint="default"/>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投标内容</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4</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报价</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符合比选文件给出的范围及数量，且报价不得超过</w:t>
            </w:r>
            <w:r>
              <w:rPr>
                <w:rFonts w:hint="eastAsia"/>
                <w:highlight w:val="none"/>
              </w:rPr>
              <w:t>采购人</w:t>
            </w:r>
            <w:r>
              <w:rPr>
                <w:rFonts w:hint="default"/>
                <w:highlight w:val="none"/>
              </w:rPr>
              <w:t>公布的最高限价，但也不得低于</w:t>
            </w:r>
            <w:r>
              <w:rPr>
                <w:rFonts w:hint="eastAsia"/>
                <w:highlight w:val="none"/>
              </w:rPr>
              <w:t>报价</w:t>
            </w:r>
            <w:r>
              <w:rPr>
                <w:rFonts w:hint="default"/>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工期</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5</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施工地点</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3</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质量标准</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6</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安全目标</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7</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评标结果</w:t>
            </w:r>
          </w:p>
        </w:tc>
        <w:tc>
          <w:tcPr>
            <w:tcW w:w="7121"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firstLine="420"/>
              <w:rPr>
                <w:rFonts w:hint="default"/>
                <w:highlight w:val="none"/>
              </w:rPr>
            </w:pPr>
            <w:r>
              <w:rPr>
                <w:rFonts w:hint="default"/>
                <w:highlight w:val="none"/>
              </w:rPr>
              <w:t>补充细化：</w:t>
            </w:r>
          </w:p>
          <w:p>
            <w:pPr>
              <w:keepNext w:val="0"/>
              <w:keepLines w:val="0"/>
              <w:suppressLineNumbers w:val="0"/>
              <w:spacing w:before="0" w:beforeAutospacing="0" w:after="0" w:afterAutospacing="0" w:line="400" w:lineRule="exact"/>
              <w:ind w:left="0" w:right="0" w:firstLine="420" w:firstLineChars="200"/>
              <w:rPr>
                <w:rFonts w:hint="default"/>
                <w:highlight w:val="none"/>
              </w:rPr>
            </w:pPr>
            <w:r>
              <w:rPr>
                <w:rFonts w:hint="default"/>
                <w:highlight w:val="none"/>
              </w:rPr>
              <w:t>本项目评标采用经评审的</w:t>
            </w:r>
            <w:r>
              <w:rPr>
                <w:rFonts w:hint="eastAsia"/>
                <w:highlight w:val="none"/>
                <w:lang w:eastAsia="zh-CN"/>
              </w:rPr>
              <w:t>最低投标价</w:t>
            </w:r>
            <w:r>
              <w:rPr>
                <w:rFonts w:hint="default"/>
                <w:highlight w:val="none"/>
              </w:rPr>
              <w:t>法，对通过初步评审、详细评审的</w:t>
            </w:r>
            <w:r>
              <w:rPr>
                <w:rFonts w:hint="eastAsia"/>
                <w:highlight w:val="none"/>
              </w:rPr>
              <w:t>报价</w:t>
            </w:r>
            <w:r>
              <w:rPr>
                <w:rFonts w:hint="default"/>
                <w:highlight w:val="none"/>
              </w:rPr>
              <w:t>人按照</w:t>
            </w:r>
            <w:r>
              <w:rPr>
                <w:rFonts w:hint="eastAsia"/>
                <w:highlight w:val="none"/>
              </w:rPr>
              <w:t>报</w:t>
            </w:r>
            <w:r>
              <w:rPr>
                <w:rFonts w:hint="default"/>
                <w:highlight w:val="none"/>
              </w:rPr>
              <w:t>价从低到高的先后顺序，推荐</w:t>
            </w:r>
            <w:r>
              <w:rPr>
                <w:rFonts w:hint="eastAsia"/>
                <w:highlight w:val="none"/>
                <w:lang w:val="en-US" w:eastAsia="zh-CN"/>
              </w:rPr>
              <w:t>2</w:t>
            </w:r>
            <w:r>
              <w:rPr>
                <w:rFonts w:hint="default"/>
                <w:highlight w:val="none"/>
              </w:rPr>
              <w:t>名中标候选人。</w:t>
            </w:r>
          </w:p>
        </w:tc>
      </w:tr>
    </w:tbl>
    <w:p>
      <w:pPr>
        <w:pStyle w:val="4"/>
        <w:spacing w:before="0" w:after="0" w:line="360" w:lineRule="auto"/>
        <w:jc w:val="center"/>
        <w:rPr>
          <w:rFonts w:hint="eastAsia" w:ascii="宋体" w:hAnsi="宋体" w:cs="宋体"/>
          <w:highlight w:val="none"/>
        </w:rPr>
      </w:pPr>
    </w:p>
    <w:p>
      <w:pPr>
        <w:rPr>
          <w:rFonts w:hint="eastAsia"/>
          <w:highlight w:val="none"/>
        </w:rPr>
      </w:pPr>
    </w:p>
    <w:p>
      <w:pPr>
        <w:rPr>
          <w:rFonts w:hint="eastAsia" w:ascii="宋体" w:hAnsi="宋体" w:cs="宋体"/>
          <w:highlight w:val="none"/>
        </w:rPr>
      </w:pPr>
    </w:p>
    <w:p>
      <w:pPr>
        <w:pStyle w:val="29"/>
        <w:numPr>
          <w:ilvl w:val="0"/>
          <w:numId w:val="0"/>
        </w:numPr>
        <w:jc w:val="center"/>
        <w:rPr>
          <w:rFonts w:hint="default"/>
          <w:highlight w:val="none"/>
          <w:lang w:val="en-US" w:eastAsia="zh-CN"/>
        </w:rPr>
      </w:pPr>
      <w:r>
        <w:rPr>
          <w:rFonts w:hint="eastAsia"/>
          <w:highlight w:val="none"/>
        </w:rPr>
        <w:br w:type="page"/>
      </w:r>
      <w:bookmarkStart w:id="134" w:name="_Toc13787"/>
      <w:r>
        <w:rPr>
          <w:rStyle w:val="82"/>
          <w:rFonts w:hint="eastAsia"/>
          <w:b/>
          <w:bCs/>
          <w:highlight w:val="none"/>
          <w:lang w:val="en-US" w:eastAsia="zh-CN"/>
        </w:rPr>
        <w:t>第四章 报价说明</w:t>
      </w:r>
      <w:bookmarkEnd w:id="134"/>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本项目所包含的全部服务内容和询价文件明确提出的所建系统所需的所有中间件、第三方平台、第三方插件的永久授权及竞争性文件所包含的所有责任、义务和风险等各项费用，如驻地办公、生活、交通（含差旅）、通讯、设备（仪器）、软硬件设施、劳动力、开展系统及软件评估评审所需要的费用、评测与管理、优化建议、保险、利润、税金（含增值税）、培训、技术服务、售后服务、正式交付前开展系统及软件测试与试运行而搭建临时硬件平台所需的人工费、材料费、机械费、措施费（含安全文明施工费）、企业管理费、利润、规费、税金（含增值税）、政策性文件规定、市场价格变化、员工人身意外险、现场条件、工期赶工费、保修等所有的直接费、间接费和风险费。</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4、工程量清单中所列工程数量是估算的数量，仅作为报价的共同基础，不能作为最终结算与支付的依据。实际支付应按实际完成的工程量*工程量清单的单价来计算支付金额。</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10、工程量清单中的任何内容不得随意删除或涂改，若有误，在有效时间内书面向采购人提出，以“补遗”资料为准。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29"/>
        <w:spacing w:line="380" w:lineRule="exact"/>
        <w:ind w:firstLine="420" w:firstLineChars="200"/>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14、报价人应严格按照工程量清单进行报价，不得随意修改采购人发布的工程量清单数量、公式及相关内容</w:t>
      </w:r>
      <w:r>
        <w:rPr>
          <w:rFonts w:hint="eastAsia" w:ascii="宋体" w:hAnsi="宋体" w:cs="宋体"/>
          <w:b w:val="0"/>
          <w:bCs w:val="0"/>
          <w:sz w:val="21"/>
          <w:szCs w:val="21"/>
          <w:lang w:eastAsia="zh-CN"/>
        </w:rPr>
        <w:t>。</w:t>
      </w:r>
    </w:p>
    <w:p>
      <w:pPr>
        <w:spacing w:line="400" w:lineRule="exact"/>
        <w:rPr>
          <w:rFonts w:hint="eastAsia" w:ascii="宋体" w:hAnsi="宋体" w:cs="宋体"/>
          <w:szCs w:val="21"/>
          <w:highlight w:val="yellow"/>
        </w:rPr>
      </w:pPr>
      <w:bookmarkStart w:id="135" w:name="_Toc179632806"/>
      <w:bookmarkStart w:id="136" w:name="_Toc152045786"/>
      <w:bookmarkStart w:id="137" w:name="_Toc152042575"/>
      <w:bookmarkStart w:id="138" w:name="_Toc246996354"/>
      <w:bookmarkStart w:id="139" w:name="_Toc246997097"/>
      <w:bookmarkStart w:id="140" w:name="_Toc247085872"/>
      <w:bookmarkStart w:id="141" w:name="_Toc144974855"/>
    </w:p>
    <w:p>
      <w:pPr>
        <w:pStyle w:val="4"/>
        <w:spacing w:before="0" w:after="0" w:line="360" w:lineRule="auto"/>
        <w:jc w:val="center"/>
        <w:rPr>
          <w:rFonts w:hint="eastAsia" w:ascii="宋体" w:hAnsi="宋体" w:cs="宋体"/>
          <w:highlight w:val="none"/>
        </w:rPr>
      </w:pPr>
      <w:bookmarkStart w:id="142" w:name="_Toc152045772"/>
      <w:bookmarkStart w:id="143" w:name="_Toc514858705"/>
      <w:bookmarkStart w:id="144" w:name="_Toc246997083"/>
      <w:bookmarkStart w:id="145" w:name="_Toc247085855"/>
      <w:bookmarkStart w:id="146" w:name="_Toc179632789"/>
      <w:bookmarkStart w:id="147" w:name="_Toc144974834"/>
      <w:bookmarkStart w:id="148" w:name="_Toc152042554"/>
      <w:bookmarkStart w:id="149" w:name="_Toc24503"/>
      <w:bookmarkStart w:id="150" w:name="_Toc2000409"/>
      <w:bookmarkStart w:id="151" w:name="_Toc246996340"/>
      <w:r>
        <w:rPr>
          <w:rFonts w:hint="eastAsia" w:ascii="宋体" w:hAnsi="宋体" w:cs="宋体"/>
          <w:highlight w:val="none"/>
        </w:rPr>
        <w:t>第五章  工程量清单</w:t>
      </w:r>
      <w:bookmarkEnd w:id="142"/>
      <w:bookmarkEnd w:id="143"/>
      <w:bookmarkEnd w:id="144"/>
      <w:bookmarkEnd w:id="145"/>
      <w:bookmarkEnd w:id="146"/>
      <w:bookmarkEnd w:id="147"/>
      <w:bookmarkEnd w:id="148"/>
      <w:bookmarkEnd w:id="149"/>
      <w:bookmarkEnd w:id="150"/>
      <w:bookmarkEnd w:id="151"/>
    </w:p>
    <w:p>
      <w:pPr>
        <w:ind w:firstLine="420"/>
        <w:jc w:val="left"/>
        <w:rPr>
          <w:rFonts w:hint="eastAsia" w:ascii="宋体" w:hAnsi="宋体" w:cs="宋体"/>
          <w:b/>
          <w:highlight w:val="yellow"/>
        </w:rPr>
      </w:pPr>
      <w:bookmarkStart w:id="152" w:name="_Toc246996350"/>
      <w:bookmarkStart w:id="153" w:name="_Toc246997093"/>
      <w:bookmarkStart w:id="154" w:name="_Toc144974851"/>
      <w:bookmarkStart w:id="155" w:name="_Toc247085866"/>
      <w:bookmarkStart w:id="156" w:name="_Toc247096438"/>
      <w:bookmarkStart w:id="157" w:name="_Toc179632800"/>
      <w:bookmarkStart w:id="158" w:name="_Toc152042571"/>
      <w:bookmarkStart w:id="159" w:name="_Toc152045782"/>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525"/>
        <w:gridCol w:w="750"/>
        <w:gridCol w:w="1025"/>
        <w:gridCol w:w="213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pPr>
              <w:keepNext w:val="0"/>
              <w:keepLines w:val="0"/>
              <w:suppressLineNumbers w:val="0"/>
              <w:spacing w:before="0" w:beforeAutospacing="0" w:after="0" w:afterAutospacing="0"/>
              <w:ind w:left="0" w:right="0"/>
              <w:jc w:val="center"/>
              <w:rPr>
                <w:rFonts w:hint="eastAsia" w:ascii="宋体" w:hAnsi="宋体" w:cs="宋体"/>
                <w:b/>
                <w:highlight w:val="none"/>
                <w:vertAlign w:val="baseline"/>
              </w:rPr>
            </w:pPr>
            <w:r>
              <w:rPr>
                <w:rFonts w:hint="eastAsia" w:ascii="宋体" w:hAnsi="宋体" w:cs="宋体"/>
                <w:b/>
                <w:highlight w:val="none"/>
                <w:vertAlign w:val="baseline"/>
              </w:rPr>
              <w:t>序号</w:t>
            </w:r>
          </w:p>
        </w:tc>
        <w:tc>
          <w:tcPr>
            <w:tcW w:w="2525" w:type="dxa"/>
          </w:tcPr>
          <w:p>
            <w:pPr>
              <w:keepNext w:val="0"/>
              <w:keepLines w:val="0"/>
              <w:suppressLineNumbers w:val="0"/>
              <w:spacing w:before="0" w:beforeAutospacing="0" w:after="0" w:afterAutospacing="0"/>
              <w:ind w:left="0" w:right="0"/>
              <w:jc w:val="center"/>
              <w:rPr>
                <w:rFonts w:hint="eastAsia" w:ascii="宋体" w:hAnsi="宋体" w:cs="宋体"/>
                <w:b/>
                <w:highlight w:val="none"/>
                <w:vertAlign w:val="baseline"/>
              </w:rPr>
            </w:pPr>
            <w:r>
              <w:rPr>
                <w:rFonts w:hint="eastAsia" w:ascii="宋体" w:hAnsi="宋体" w:cs="宋体"/>
                <w:b/>
                <w:highlight w:val="none"/>
                <w:vertAlign w:val="baseline"/>
              </w:rPr>
              <w:t>名称</w:t>
            </w:r>
          </w:p>
        </w:tc>
        <w:tc>
          <w:tcPr>
            <w:tcW w:w="750" w:type="dxa"/>
          </w:tcPr>
          <w:p>
            <w:pPr>
              <w:keepNext w:val="0"/>
              <w:keepLines w:val="0"/>
              <w:suppressLineNumbers w:val="0"/>
              <w:spacing w:before="0" w:beforeAutospacing="0" w:after="0" w:afterAutospacing="0"/>
              <w:ind w:left="0" w:right="0"/>
              <w:jc w:val="center"/>
              <w:rPr>
                <w:rFonts w:hint="eastAsia" w:ascii="宋体" w:hAnsi="宋体" w:cs="宋体"/>
                <w:b/>
                <w:highlight w:val="none"/>
                <w:vertAlign w:val="baseline"/>
              </w:rPr>
            </w:pPr>
            <w:r>
              <w:rPr>
                <w:rFonts w:hint="eastAsia" w:ascii="宋体" w:hAnsi="宋体" w:cs="宋体"/>
                <w:b/>
                <w:highlight w:val="none"/>
                <w:vertAlign w:val="baseline"/>
              </w:rPr>
              <w:t>单位</w:t>
            </w:r>
          </w:p>
        </w:tc>
        <w:tc>
          <w:tcPr>
            <w:tcW w:w="1025" w:type="dxa"/>
          </w:tcPr>
          <w:p>
            <w:pPr>
              <w:keepNext w:val="0"/>
              <w:keepLines w:val="0"/>
              <w:suppressLineNumbers w:val="0"/>
              <w:spacing w:before="0" w:beforeAutospacing="0" w:after="0" w:afterAutospacing="0"/>
              <w:ind w:left="0" w:right="0"/>
              <w:jc w:val="center"/>
              <w:rPr>
                <w:rFonts w:hint="eastAsia" w:ascii="宋体" w:hAnsi="宋体" w:cs="宋体"/>
                <w:b/>
                <w:highlight w:val="none"/>
                <w:vertAlign w:val="baseline"/>
              </w:rPr>
            </w:pPr>
            <w:r>
              <w:rPr>
                <w:rFonts w:hint="eastAsia" w:ascii="宋体" w:hAnsi="宋体" w:cs="宋体"/>
                <w:b/>
                <w:highlight w:val="none"/>
                <w:vertAlign w:val="baseline"/>
              </w:rPr>
              <w:t>数量</w:t>
            </w:r>
          </w:p>
        </w:tc>
        <w:tc>
          <w:tcPr>
            <w:tcW w:w="2134" w:type="dxa"/>
          </w:tcPr>
          <w:p>
            <w:pPr>
              <w:keepNext w:val="0"/>
              <w:keepLines w:val="0"/>
              <w:suppressLineNumbers w:val="0"/>
              <w:spacing w:before="0" w:beforeAutospacing="0" w:after="0" w:afterAutospacing="0"/>
              <w:ind w:left="0" w:right="0"/>
              <w:jc w:val="center"/>
              <w:rPr>
                <w:rFonts w:hint="eastAsia" w:ascii="宋体" w:hAnsi="宋体" w:cs="宋体"/>
                <w:b/>
                <w:highlight w:val="none"/>
                <w:vertAlign w:val="baseline"/>
              </w:rPr>
            </w:pPr>
            <w:r>
              <w:rPr>
                <w:rFonts w:hint="eastAsia" w:ascii="宋体" w:hAnsi="宋体" w:cs="宋体"/>
                <w:b/>
                <w:highlight w:val="none"/>
                <w:vertAlign w:val="baseline"/>
                <w:lang w:val="en-US" w:eastAsia="zh-CN"/>
              </w:rPr>
              <w:t>金额</w:t>
            </w:r>
            <w:r>
              <w:rPr>
                <w:rFonts w:hint="eastAsia" w:ascii="宋体" w:hAnsi="宋体" w:cs="宋体"/>
                <w:b/>
                <w:highlight w:val="none"/>
                <w:vertAlign w:val="baseline"/>
              </w:rPr>
              <w:t xml:space="preserve"> （元）</w:t>
            </w:r>
          </w:p>
        </w:tc>
        <w:tc>
          <w:tcPr>
            <w:tcW w:w="1421" w:type="dxa"/>
          </w:tcPr>
          <w:p>
            <w:pPr>
              <w:keepNext w:val="0"/>
              <w:keepLines w:val="0"/>
              <w:suppressLineNumbers w:val="0"/>
              <w:spacing w:before="0" w:beforeAutospacing="0" w:after="0" w:afterAutospacing="0"/>
              <w:ind w:left="0" w:right="0"/>
              <w:jc w:val="center"/>
              <w:rPr>
                <w:rFonts w:hint="eastAsia" w:ascii="宋体" w:hAnsi="宋体" w:eastAsia="宋体" w:cs="宋体"/>
                <w:b/>
                <w:highlight w:val="none"/>
                <w:vertAlign w:val="baseline"/>
                <w:lang w:val="en-US" w:eastAsia="zh-CN"/>
              </w:rPr>
            </w:pPr>
            <w:r>
              <w:rPr>
                <w:rFonts w:hint="eastAsia" w:ascii="宋体" w:hAnsi="宋体" w:cs="宋体"/>
                <w:b/>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highlight w:val="none"/>
                <w:vertAlign w:val="baseline"/>
                <w:lang w:val="en-US" w:eastAsia="zh-CN"/>
              </w:rPr>
            </w:pPr>
            <w:r>
              <w:rPr>
                <w:rFonts w:hint="eastAsia" w:ascii="宋体" w:hAnsi="宋体" w:cs="宋体"/>
                <w:b/>
                <w:highlight w:val="none"/>
                <w:vertAlign w:val="baseline"/>
                <w:lang w:val="en-US" w:eastAsia="zh-CN"/>
              </w:rPr>
              <w:t>1</w:t>
            </w:r>
          </w:p>
        </w:tc>
        <w:tc>
          <w:tcPr>
            <w:tcW w:w="2525" w:type="dxa"/>
          </w:tcPr>
          <w:p>
            <w:pPr>
              <w:keepNext w:val="0"/>
              <w:keepLines w:val="0"/>
              <w:suppressLineNumbers w:val="0"/>
              <w:spacing w:before="0" w:beforeAutospacing="0" w:after="0" w:afterAutospacing="0"/>
              <w:ind w:left="0" w:right="0"/>
              <w:jc w:val="center"/>
              <w:rPr>
                <w:rFonts w:hint="eastAsia" w:ascii="宋体" w:hAnsi="宋体" w:cs="宋体"/>
                <w:b/>
                <w:highlight w:val="none"/>
                <w:vertAlign w:val="baseline"/>
              </w:rPr>
            </w:pPr>
            <w:r>
              <w:rPr>
                <w:rFonts w:hint="eastAsia" w:ascii="宋体" w:hAnsi="宋体" w:cs="宋体"/>
                <w:b/>
                <w:highlight w:val="none"/>
                <w:vertAlign w:val="baseline"/>
              </w:rPr>
              <w:t>合规体系建设劳动用工专项法律服务</w:t>
            </w:r>
          </w:p>
        </w:tc>
        <w:tc>
          <w:tcPr>
            <w:tcW w:w="750" w:type="dxa"/>
          </w:tcPr>
          <w:p>
            <w:pPr>
              <w:keepNext w:val="0"/>
              <w:keepLines w:val="0"/>
              <w:suppressLineNumbers w:val="0"/>
              <w:spacing w:before="0" w:beforeAutospacing="0" w:after="0" w:afterAutospacing="0" w:line="480" w:lineRule="auto"/>
              <w:ind w:left="0" w:right="0"/>
              <w:jc w:val="center"/>
              <w:rPr>
                <w:rFonts w:hint="eastAsia" w:ascii="宋体" w:hAnsi="宋体" w:cs="宋体"/>
                <w:b/>
                <w:highlight w:val="none"/>
                <w:vertAlign w:val="baseline"/>
              </w:rPr>
            </w:pPr>
            <w:r>
              <w:rPr>
                <w:rFonts w:hint="eastAsia" w:ascii="宋体" w:hAnsi="宋体" w:cs="宋体"/>
                <w:b/>
                <w:highlight w:val="none"/>
                <w:vertAlign w:val="baseline"/>
              </w:rPr>
              <w:t>项</w:t>
            </w:r>
          </w:p>
        </w:tc>
        <w:tc>
          <w:tcPr>
            <w:tcW w:w="1025" w:type="dxa"/>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highlight w:val="none"/>
                <w:vertAlign w:val="baseline"/>
                <w:lang w:val="en-US" w:eastAsia="zh-CN"/>
              </w:rPr>
            </w:pPr>
            <w:r>
              <w:rPr>
                <w:rFonts w:hint="eastAsia" w:ascii="宋体" w:hAnsi="宋体" w:cs="宋体"/>
                <w:b/>
                <w:highlight w:val="none"/>
                <w:vertAlign w:val="baseline"/>
                <w:lang w:val="en-US" w:eastAsia="zh-CN"/>
              </w:rPr>
              <w:t>1</w:t>
            </w:r>
          </w:p>
        </w:tc>
        <w:tc>
          <w:tcPr>
            <w:tcW w:w="2134" w:type="dxa"/>
          </w:tcPr>
          <w:p>
            <w:pPr>
              <w:keepNext w:val="0"/>
              <w:keepLines w:val="0"/>
              <w:suppressLineNumbers w:val="0"/>
              <w:spacing w:before="0" w:beforeAutospacing="0" w:after="0" w:afterAutospacing="0" w:line="480" w:lineRule="auto"/>
              <w:ind w:left="0" w:right="0"/>
              <w:jc w:val="center"/>
              <w:rPr>
                <w:rFonts w:hint="eastAsia" w:ascii="宋体" w:hAnsi="宋体" w:cs="宋体"/>
                <w:b/>
                <w:highlight w:val="none"/>
                <w:vertAlign w:val="baseline"/>
              </w:rPr>
            </w:pPr>
          </w:p>
        </w:tc>
        <w:tc>
          <w:tcPr>
            <w:tcW w:w="1421" w:type="dxa"/>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highlight w:val="none"/>
                <w:vertAlign w:val="baseline"/>
                <w:lang w:val="en-US" w:eastAsia="zh-CN"/>
              </w:rPr>
            </w:pPr>
          </w:p>
        </w:tc>
      </w:tr>
    </w:tbl>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val="0"/>
          <w:bCs w:val="0"/>
          <w:sz w:val="21"/>
          <w:szCs w:val="21"/>
          <w:highlight w:val="none"/>
          <w:lang w:val="en-US" w:eastAsia="zh-CN"/>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hint="eastAsia" w:ascii="宋体" w:hAnsi="宋体" w:cs="宋体"/>
          <w:b/>
          <w:highlight w:val="none"/>
        </w:rPr>
      </w:pPr>
    </w:p>
    <w:p>
      <w:pPr>
        <w:jc w:val="center"/>
        <w:rPr>
          <w:rFonts w:hint="eastAsia" w:ascii="宋体" w:hAnsi="宋体" w:cs="宋体"/>
          <w:b/>
          <w:highlight w:val="none"/>
        </w:rPr>
      </w:pPr>
    </w:p>
    <w:p>
      <w:pPr>
        <w:pStyle w:val="4"/>
        <w:spacing w:before="0" w:after="0" w:line="360" w:lineRule="auto"/>
        <w:jc w:val="center"/>
        <w:rPr>
          <w:rFonts w:hint="eastAsia" w:ascii="宋体" w:hAnsi="宋体" w:cs="宋体"/>
          <w:highlight w:val="none"/>
        </w:rPr>
      </w:pPr>
      <w:bookmarkStart w:id="160" w:name="_Toc12440"/>
      <w:bookmarkStart w:id="161" w:name="_Toc447827048"/>
      <w:bookmarkStart w:id="162" w:name="_Toc2000410"/>
      <w:bookmarkStart w:id="163" w:name="_Toc514858706"/>
      <w:bookmarkStart w:id="164" w:name="_Toc513633963"/>
      <w:bookmarkStart w:id="165" w:name="_Toc503951042"/>
      <w:r>
        <w:rPr>
          <w:rFonts w:hint="eastAsia" w:ascii="宋体" w:hAnsi="宋体" w:cs="宋体"/>
          <w:highlight w:val="none"/>
        </w:rPr>
        <w:t>第六章  图  纸</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jc w:val="center"/>
        <w:rPr>
          <w:rFonts w:hint="eastAsia"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spacing w:line="400" w:lineRule="exact"/>
        <w:rPr>
          <w:rFonts w:hint="eastAsia" w:ascii="宋体" w:hAnsi="宋体" w:cs="宋体"/>
          <w:highlight w:val="none"/>
        </w:rPr>
      </w:pPr>
      <w:r>
        <w:rPr>
          <w:rFonts w:hint="eastAsia" w:ascii="宋体" w:hAnsi="宋体" w:cs="宋体"/>
          <w:highlight w:val="none"/>
        </w:rPr>
        <w:br w:type="page"/>
      </w:r>
      <w:bookmarkStart w:id="166" w:name="_Toc144974854"/>
      <w:bookmarkStart w:id="167" w:name="_Toc152042574"/>
      <w:bookmarkStart w:id="168" w:name="_Toc152045785"/>
    </w:p>
    <w:p>
      <w:pPr>
        <w:pStyle w:val="4"/>
        <w:spacing w:before="0" w:after="0" w:line="360" w:lineRule="auto"/>
        <w:jc w:val="center"/>
        <w:rPr>
          <w:rFonts w:hint="eastAsia" w:ascii="宋体" w:hAnsi="宋体" w:cs="宋体"/>
          <w:highlight w:val="none"/>
        </w:rPr>
      </w:pPr>
      <w:bookmarkStart w:id="169" w:name="_Toc179632804"/>
      <w:bookmarkStart w:id="170" w:name="_Toc447827049"/>
      <w:bookmarkStart w:id="171" w:name="_Toc247085870"/>
      <w:bookmarkStart w:id="172" w:name="_Toc2000411"/>
      <w:bookmarkStart w:id="173" w:name="_Toc246997096"/>
      <w:bookmarkStart w:id="174" w:name="_Toc513633964"/>
      <w:bookmarkStart w:id="175" w:name="_Toc246996353"/>
      <w:bookmarkStart w:id="176" w:name="_Toc514858707"/>
      <w:bookmarkStart w:id="177" w:name="_Toc10887"/>
      <w:bookmarkStart w:id="178" w:name="_Toc503951043"/>
      <w:r>
        <w:rPr>
          <w:rFonts w:hint="eastAsia" w:ascii="宋体" w:hAnsi="宋体" w:cs="宋体"/>
          <w:highlight w:val="none"/>
        </w:rPr>
        <w:t>第七章  技术标准和工作要求</w:t>
      </w:r>
      <w:bookmarkEnd w:id="166"/>
      <w:bookmarkEnd w:id="167"/>
      <w:bookmarkEnd w:id="168"/>
      <w:bookmarkEnd w:id="169"/>
      <w:bookmarkEnd w:id="170"/>
      <w:bookmarkEnd w:id="171"/>
      <w:bookmarkEnd w:id="172"/>
      <w:bookmarkEnd w:id="173"/>
      <w:bookmarkEnd w:id="174"/>
      <w:bookmarkEnd w:id="175"/>
      <w:bookmarkEnd w:id="176"/>
      <w:bookmarkEnd w:id="177"/>
      <w:bookmarkEnd w:id="178"/>
    </w:p>
    <w:bookmarkEnd w:id="135"/>
    <w:bookmarkEnd w:id="136"/>
    <w:bookmarkEnd w:id="137"/>
    <w:bookmarkEnd w:id="138"/>
    <w:bookmarkEnd w:id="139"/>
    <w:bookmarkEnd w:id="140"/>
    <w:bookmarkEnd w:id="141"/>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highlight w:val="none"/>
        </w:rPr>
      </w:pPr>
      <w:bookmarkStart w:id="179" w:name="_Toc514858708"/>
      <w:bookmarkStart w:id="180" w:name="_Toc514430114"/>
      <w:bookmarkStart w:id="181" w:name="_Toc12089"/>
      <w:bookmarkStart w:id="182" w:name="_Toc2000412"/>
      <w:bookmarkStart w:id="183" w:name="_Toc179632807"/>
      <w:bookmarkStart w:id="184" w:name="_Toc246997098"/>
      <w:bookmarkStart w:id="185" w:name="_Toc247085873"/>
      <w:bookmarkStart w:id="186" w:name="_Toc246996355"/>
      <w:bookmarkStart w:id="187" w:name="_Toc152045787"/>
      <w:bookmarkStart w:id="188" w:name="_Toc507320039"/>
      <w:bookmarkStart w:id="189" w:name="_Toc152042576"/>
      <w:bookmarkStart w:id="190" w:name="_Toc144974856"/>
      <w:r>
        <w:rPr>
          <w:rFonts w:hint="eastAsia"/>
          <w:sz w:val="24"/>
          <w:szCs w:val="24"/>
          <w:highlight w:val="none"/>
          <w:lang w:val="en-US" w:eastAsia="zh-CN"/>
        </w:rPr>
        <w:t>无</w:t>
      </w:r>
      <w:r>
        <w:rPr>
          <w:rFonts w:hint="eastAsia" w:ascii="宋体" w:hAnsi="宋体" w:cs="宋体"/>
          <w:highlight w:val="none"/>
          <w:lang w:val="en-US" w:eastAsia="zh-CN"/>
        </w:rPr>
        <w:t>。</w:t>
      </w:r>
      <w:r>
        <w:rPr>
          <w:rFonts w:hint="eastAsia" w:ascii="宋体" w:hAnsi="宋体" w:cs="宋体"/>
          <w:highlight w:val="none"/>
        </w:rPr>
        <w:br w:type="page"/>
      </w:r>
      <w:bookmarkEnd w:id="179"/>
      <w:bookmarkEnd w:id="180"/>
      <w:bookmarkEnd w:id="181"/>
      <w:bookmarkEnd w:id="182"/>
      <w:bookmarkStart w:id="191" w:name="_Toc51363396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p>
    <w:p>
      <w:pPr>
        <w:pStyle w:val="4"/>
        <w:spacing w:before="0" w:after="0" w:line="360" w:lineRule="auto"/>
        <w:jc w:val="center"/>
        <w:rPr>
          <w:rFonts w:hint="eastAsia" w:ascii="宋体" w:hAnsi="宋体" w:cs="宋体"/>
          <w:highlight w:val="none"/>
        </w:rPr>
      </w:pPr>
      <w:bookmarkStart w:id="192" w:name="_Toc24853"/>
      <w:bookmarkStart w:id="193" w:name="_Toc514858709"/>
      <w:bookmarkStart w:id="194" w:name="_Toc2000413"/>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191"/>
      <w:bookmarkEnd w:id="192"/>
      <w:bookmarkEnd w:id="193"/>
      <w:bookmarkEnd w:id="194"/>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195" w:name="_Toc503951046"/>
      <w:bookmarkStart w:id="196" w:name="_Toc514858710"/>
      <w:bookmarkStart w:id="197" w:name="_Toc513646738"/>
      <w:bookmarkStart w:id="198" w:name="_Toc503971829"/>
      <w:bookmarkStart w:id="199" w:name="_Toc513633967"/>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5"/>
      <w:bookmarkEnd w:id="196"/>
      <w:bookmarkEnd w:id="197"/>
      <w:bookmarkEnd w:id="198"/>
      <w:bookmarkEnd w:id="199"/>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5"/>
        <w:jc w:val="center"/>
        <w:rPr>
          <w:rFonts w:hint="eastAsia" w:ascii="宋体" w:hAnsi="宋体" w:eastAsia="宋体" w:cs="宋体"/>
          <w:highlight w:val="none"/>
        </w:rPr>
      </w:pPr>
      <w:bookmarkStart w:id="200" w:name="_Toc5459"/>
      <w:bookmarkStart w:id="201" w:name="_Toc11329273"/>
      <w:bookmarkStart w:id="202" w:name="_Toc28780"/>
      <w:bookmarkStart w:id="203" w:name="_Toc1368"/>
      <w:r>
        <w:rPr>
          <w:rFonts w:hint="eastAsia" w:ascii="宋体" w:hAnsi="宋体" w:eastAsia="宋体" w:cs="宋体"/>
          <w:highlight w:val="none"/>
        </w:rPr>
        <w:t>目    录</w:t>
      </w:r>
      <w:bookmarkEnd w:id="183"/>
      <w:bookmarkEnd w:id="184"/>
      <w:bookmarkEnd w:id="185"/>
      <w:bookmarkEnd w:id="186"/>
      <w:bookmarkEnd w:id="187"/>
      <w:bookmarkEnd w:id="188"/>
      <w:bookmarkEnd w:id="189"/>
      <w:bookmarkEnd w:id="190"/>
      <w:bookmarkEnd w:id="200"/>
      <w:bookmarkEnd w:id="201"/>
      <w:bookmarkEnd w:id="202"/>
      <w:bookmarkEnd w:id="203"/>
    </w:p>
    <w:p>
      <w:pPr>
        <w:numPr>
          <w:ilvl w:val="0"/>
          <w:numId w:val="2"/>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2"/>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5"/>
        <w:spacing w:before="0" w:after="0" w:line="360" w:lineRule="auto"/>
        <w:jc w:val="center"/>
        <w:rPr>
          <w:rFonts w:hint="eastAsia" w:ascii="宋体" w:hAnsi="宋体" w:eastAsia="宋体" w:cs="宋体"/>
          <w:sz w:val="28"/>
          <w:highlight w:val="none"/>
        </w:rPr>
      </w:pPr>
      <w:bookmarkStart w:id="204" w:name="_Toc11329274"/>
      <w:bookmarkStart w:id="205" w:name="_Toc8870"/>
      <w:bookmarkStart w:id="206" w:name="_Toc15863"/>
      <w:bookmarkStart w:id="207" w:name="_Toc25874"/>
      <w:bookmarkStart w:id="208" w:name="_Toc29547"/>
      <w:bookmarkStart w:id="209" w:name="_Toc513633969"/>
      <w:bookmarkStart w:id="210" w:name="_Toc447827053"/>
      <w:bookmarkStart w:id="211" w:name="_Toc503951048"/>
      <w:r>
        <w:rPr>
          <w:rFonts w:hint="eastAsia" w:ascii="宋体" w:hAnsi="宋体" w:eastAsia="宋体" w:cs="宋体"/>
          <w:sz w:val="28"/>
          <w:highlight w:val="none"/>
        </w:rPr>
        <w:t>一、</w:t>
      </w:r>
      <w:bookmarkEnd w:id="204"/>
      <w:bookmarkEnd w:id="205"/>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06"/>
      <w:bookmarkEnd w:id="207"/>
      <w:bookmarkEnd w:id="208"/>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auto"/>
          <w:sz w:val="24"/>
          <w:highlight w:val="none"/>
          <w:u w:val="single"/>
          <w:lang w:eastAsia="zh-CN"/>
        </w:rPr>
        <w:t>合规体系建设劳动用工专项法律服务采购</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全过程审计工作</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5"/>
        <w:jc w:val="center"/>
        <w:rPr>
          <w:rFonts w:hint="eastAsia" w:ascii="宋体" w:hAnsi="宋体" w:eastAsia="宋体" w:cs="宋体"/>
          <w:sz w:val="28"/>
          <w:szCs w:val="28"/>
          <w:highlight w:val="none"/>
        </w:rPr>
      </w:pPr>
      <w:bookmarkStart w:id="212" w:name="_Toc27815"/>
      <w:bookmarkStart w:id="213" w:name="_Toc491883232"/>
      <w:r>
        <w:rPr>
          <w:rFonts w:hint="eastAsia" w:ascii="宋体" w:hAnsi="宋体" w:eastAsia="宋体" w:cs="宋体"/>
          <w:sz w:val="28"/>
          <w:szCs w:val="28"/>
          <w:highlight w:val="none"/>
        </w:rPr>
        <w:t>二、法定代表人身份证明或法定代表人授权委托书</w:t>
      </w:r>
      <w:bookmarkEnd w:id="212"/>
    </w:p>
    <w:p>
      <w:pPr>
        <w:pStyle w:val="5"/>
        <w:jc w:val="center"/>
        <w:rPr>
          <w:rFonts w:hint="eastAsia" w:ascii="宋体" w:hAnsi="宋体" w:eastAsia="宋体" w:cs="宋体"/>
          <w:sz w:val="24"/>
          <w:szCs w:val="24"/>
          <w:highlight w:val="none"/>
        </w:rPr>
      </w:pPr>
      <w:bookmarkStart w:id="214" w:name="_Toc14141"/>
      <w:r>
        <w:rPr>
          <w:rFonts w:hint="eastAsia" w:ascii="宋体" w:hAnsi="宋体" w:eastAsia="宋体" w:cs="宋体"/>
          <w:sz w:val="24"/>
          <w:szCs w:val="24"/>
          <w:highlight w:val="none"/>
        </w:rPr>
        <w:t>（一）法定代表人身份证明</w:t>
      </w:r>
      <w:bookmarkEnd w:id="213"/>
      <w:bookmarkEnd w:id="214"/>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5" w:name="_Toc27897"/>
      <w:bookmarkStart w:id="216" w:name="_Toc352691662"/>
      <w:bookmarkStart w:id="217" w:name="_Toc369531698"/>
      <w:r>
        <w:rPr>
          <w:rFonts w:ascii="宋体" w:hAnsi="宋体"/>
          <w:highlight w:val="none"/>
          <w:u w:val="single"/>
        </w:rPr>
        <w:t xml:space="preserve">        </w:t>
      </w:r>
      <w:r>
        <w:rPr>
          <w:rFonts w:ascii="宋体" w:hAnsi="宋体"/>
          <w:highlight w:val="none"/>
        </w:rPr>
        <w:t>年</w:t>
      </w:r>
      <w:bookmarkEnd w:id="215"/>
      <w:bookmarkEnd w:id="216"/>
      <w:bookmarkEnd w:id="217"/>
      <w:r>
        <w:rPr>
          <w:rFonts w:ascii="宋体" w:hAnsi="宋体"/>
          <w:highlight w:val="none"/>
        </w:rPr>
        <w:t>龄</w:t>
      </w:r>
      <w:bookmarkStart w:id="218" w:name="_Toc369531699"/>
      <w:bookmarkStart w:id="219" w:name="_Toc361508754"/>
      <w:bookmarkStart w:id="220" w:name="_Toc247514248"/>
      <w:bookmarkStart w:id="221" w:name="_Toc300835211"/>
      <w:bookmarkStart w:id="222" w:name="_Toc152045789"/>
      <w:bookmarkStart w:id="223" w:name="_Toc384308377"/>
      <w:bookmarkStart w:id="224" w:name="_Toc15573"/>
      <w:bookmarkStart w:id="225" w:name="_Toc247527829"/>
      <w:bookmarkStart w:id="226" w:name="_Toc152042578"/>
      <w:bookmarkStart w:id="227" w:name="_Toc144974858"/>
      <w:bookmarkStart w:id="228" w:name="_Toc352691663"/>
      <w:r>
        <w:rPr>
          <w:rFonts w:ascii="宋体" w:hAnsi="宋体"/>
          <w:highlight w:val="none"/>
        </w:rPr>
        <w:t>：</w:t>
      </w:r>
      <w:bookmarkEnd w:id="218"/>
      <w:bookmarkEnd w:id="219"/>
      <w:bookmarkEnd w:id="220"/>
      <w:bookmarkEnd w:id="221"/>
      <w:bookmarkEnd w:id="222"/>
      <w:bookmarkEnd w:id="223"/>
      <w:bookmarkEnd w:id="224"/>
      <w:bookmarkEnd w:id="225"/>
      <w:bookmarkEnd w:id="226"/>
      <w:bookmarkEnd w:id="227"/>
      <w:bookmarkEnd w:id="228"/>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5"/>
        <w:jc w:val="center"/>
        <w:rPr>
          <w:rFonts w:ascii="宋体" w:hAnsi="宋体"/>
          <w:sz w:val="28"/>
          <w:szCs w:val="28"/>
          <w:highlight w:val="none"/>
        </w:rPr>
      </w:pPr>
      <w:bookmarkStart w:id="229" w:name="_Toc491883233"/>
      <w:bookmarkStart w:id="230" w:name="_Toc58"/>
      <w:r>
        <w:rPr>
          <w:rFonts w:hint="eastAsia" w:ascii="宋体" w:hAnsi="宋体" w:eastAsia="宋体" w:cs="宋体"/>
          <w:sz w:val="24"/>
          <w:szCs w:val="24"/>
          <w:highlight w:val="none"/>
        </w:rPr>
        <w:t>（二）</w:t>
      </w:r>
      <w:bookmarkEnd w:id="229"/>
      <w:r>
        <w:rPr>
          <w:rFonts w:hint="eastAsia" w:ascii="宋体" w:hAnsi="宋体" w:eastAsia="宋体" w:cs="宋体"/>
          <w:sz w:val="24"/>
          <w:szCs w:val="24"/>
          <w:highlight w:val="none"/>
        </w:rPr>
        <w:t>法定代表人授权委托书</w:t>
      </w:r>
      <w:bookmarkEnd w:id="230"/>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31"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09"/>
      <w:bookmarkEnd w:id="210"/>
      <w:bookmarkEnd w:id="211"/>
      <w:bookmarkEnd w:id="231"/>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9"/>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宋体" w:hAnsi="宋体"/>
          <w:color w:val="000000"/>
          <w:sz w:val="24"/>
          <w:highlight w:val="none"/>
          <w:u w:val="single"/>
          <w:lang w:eastAsia="zh-CN"/>
        </w:rPr>
        <w:t>合规体系建设劳动用工专项法律服务采购</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5"/>
        <w:spacing w:before="0" w:after="0" w:line="360" w:lineRule="auto"/>
        <w:jc w:val="center"/>
        <w:rPr>
          <w:rFonts w:hint="eastAsia" w:ascii="宋体" w:hAnsi="宋体" w:eastAsia="宋体" w:cs="宋体"/>
          <w:sz w:val="28"/>
          <w:highlight w:val="none"/>
        </w:rPr>
      </w:pPr>
      <w:bookmarkStart w:id="232" w:name="_Toc11329278"/>
      <w:bookmarkStart w:id="233" w:name="_Toc503951050"/>
      <w:bookmarkStart w:id="234" w:name="_Toc513633971"/>
      <w:bookmarkStart w:id="235" w:name="_Toc246996369"/>
      <w:bookmarkStart w:id="236" w:name="_Toc152042592"/>
      <w:bookmarkStart w:id="237" w:name="_Toc144974871"/>
      <w:bookmarkStart w:id="238" w:name="_Toc246997112"/>
      <w:bookmarkStart w:id="239" w:name="_Toc179632823"/>
      <w:bookmarkStart w:id="240" w:name="_Toc152045803"/>
      <w:bookmarkStart w:id="241" w:name="_Toc247085887"/>
      <w:bookmarkStart w:id="242" w:name="_Toc447827058"/>
      <w:r>
        <w:rPr>
          <w:rFonts w:hint="eastAsia" w:ascii="宋体" w:hAnsi="宋体" w:eastAsia="宋体" w:cs="宋体"/>
          <w:sz w:val="28"/>
          <w:highlight w:val="none"/>
        </w:rPr>
        <w:br w:type="page"/>
      </w:r>
      <w:bookmarkStart w:id="243" w:name="_Toc12910"/>
      <w:bookmarkStart w:id="244" w:name="_Toc11961"/>
      <w:bookmarkStart w:id="245" w:name="_Toc18757"/>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32"/>
      <w:bookmarkEnd w:id="233"/>
      <w:bookmarkEnd w:id="234"/>
      <w:bookmarkEnd w:id="243"/>
      <w:bookmarkEnd w:id="244"/>
      <w:bookmarkEnd w:id="245"/>
    </w:p>
    <w:p>
      <w:pPr>
        <w:pStyle w:val="5"/>
        <w:spacing w:before="0" w:after="0" w:line="360" w:lineRule="auto"/>
        <w:jc w:val="center"/>
        <w:rPr>
          <w:rFonts w:hint="eastAsia" w:ascii="宋体" w:hAnsi="宋体" w:eastAsia="宋体" w:cs="宋体"/>
          <w:sz w:val="28"/>
          <w:highlight w:val="none"/>
          <w:lang w:eastAsia="zh-CN"/>
        </w:rPr>
      </w:pPr>
      <w:bookmarkStart w:id="246" w:name="_Toc22003"/>
      <w:bookmarkStart w:id="247" w:name="_Toc32456"/>
      <w:bookmarkStart w:id="248" w:name="_Toc17915"/>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营业执照、资质证书、项目人员资料等</w:t>
      </w:r>
      <w:r>
        <w:rPr>
          <w:rFonts w:hint="eastAsia" w:ascii="宋体" w:hAnsi="宋体" w:eastAsia="宋体" w:cs="宋体"/>
          <w:sz w:val="28"/>
          <w:highlight w:val="none"/>
          <w:lang w:eastAsia="zh-CN"/>
        </w:rPr>
        <w:t>）</w:t>
      </w:r>
      <w:bookmarkEnd w:id="246"/>
      <w:bookmarkEnd w:id="247"/>
      <w:bookmarkEnd w:id="248"/>
    </w:p>
    <w:p>
      <w:pPr>
        <w:jc w:val="center"/>
        <w:rPr>
          <w:rFonts w:hint="eastAsia" w:ascii="宋体" w:hAnsi="宋体" w:cs="宋体"/>
          <w:b/>
          <w:szCs w:val="21"/>
          <w:highlight w:val="none"/>
        </w:rPr>
      </w:pPr>
    </w:p>
    <w:p>
      <w:pPr>
        <w:jc w:val="center"/>
        <w:rPr>
          <w:rFonts w:hint="eastAsia" w:eastAsia="宋体"/>
          <w:highlight w:val="none"/>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bookmarkEnd w:id="235"/>
    <w:bookmarkEnd w:id="236"/>
    <w:bookmarkEnd w:id="237"/>
    <w:bookmarkEnd w:id="238"/>
    <w:bookmarkEnd w:id="239"/>
    <w:bookmarkEnd w:id="240"/>
    <w:bookmarkEnd w:id="241"/>
    <w:bookmarkEnd w:id="242"/>
    <w:tbl>
      <w:tblPr>
        <w:tblStyle w:val="43"/>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bookmarkStart w:id="249" w:name="_Toc503951055"/>
            <w:bookmarkStart w:id="250" w:name="_Toc447827068"/>
            <w:bookmarkStart w:id="251" w:name="_Toc513633973"/>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项目负责人</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bookmarkStart w:id="252" w:name="_Toc11672"/>
            <w:bookmarkStart w:id="253" w:name="_Toc11329281"/>
            <w:r>
              <w:rPr>
                <w:rFonts w:hint="eastAsia" w:ascii="宋体" w:hAnsi="宋体" w:cs="宋体"/>
                <w:szCs w:val="21"/>
                <w:highlight w:val="none"/>
                <w:lang w:val="en-US" w:eastAsia="zh-CN"/>
              </w:rPr>
              <w:t>2</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主办律师</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bl>
    <w:p>
      <w:pPr>
        <w:pStyle w:val="5"/>
        <w:numPr>
          <w:ilvl w:val="0"/>
          <w:numId w:val="0"/>
        </w:numPr>
        <w:spacing w:before="0" w:after="0" w:line="360" w:lineRule="auto"/>
        <w:jc w:val="left"/>
        <w:rPr>
          <w:rFonts w:hAnsi="宋体"/>
          <w:sz w:val="28"/>
        </w:rPr>
      </w:pPr>
      <w:r>
        <w:rPr>
          <w:rFonts w:hint="eastAsia" w:ascii="Times New Roman" w:hAnsi="宋体" w:cs="Times New Roman"/>
          <w:b w:val="0"/>
          <w:bCs w:val="0"/>
          <w:color w:val="auto"/>
          <w:sz w:val="21"/>
          <w:szCs w:val="21"/>
          <w:highlight w:val="none"/>
          <w:lang w:val="en-US" w:eastAsia="zh-CN"/>
        </w:rPr>
        <w:t>注：以上人员自行承诺即可，中标后采购人将对人员资格要求进行复核，若不满足要求，采购人有权废标，并扣除中标人投标保证金。</w:t>
      </w:r>
      <w:r>
        <w:rPr>
          <w:rFonts w:hint="eastAsia" w:ascii="宋体" w:hAnsi="宋体" w:eastAsia="宋体" w:cs="宋体"/>
          <w:sz w:val="28"/>
          <w:highlight w:val="none"/>
        </w:rPr>
        <w:br w:type="page"/>
      </w:r>
      <w:bookmarkEnd w:id="249"/>
      <w:bookmarkEnd w:id="250"/>
      <w:bookmarkEnd w:id="251"/>
      <w:bookmarkEnd w:id="252"/>
      <w:bookmarkEnd w:id="253"/>
      <w:bookmarkStart w:id="254" w:name="_Toc11243"/>
      <w:bookmarkStart w:id="255" w:name="_Toc29559"/>
      <w:bookmarkStart w:id="256" w:name="_Toc513633974"/>
      <w:bookmarkStart w:id="257" w:name="_Toc503951058"/>
      <w:r>
        <w:rPr>
          <w:rFonts w:hint="eastAsia" w:hAnsi="宋体"/>
          <w:sz w:val="28"/>
        </w:rPr>
        <w:t>五、报价人须知前附表规定的材料</w:t>
      </w:r>
      <w:bookmarkEnd w:id="254"/>
      <w:bookmarkEnd w:id="255"/>
    </w:p>
    <w:p>
      <w:pPr>
        <w:pStyle w:val="6"/>
        <w:jc w:val="center"/>
        <w:rPr>
          <w:rFonts w:ascii="宋体" w:hAnsi="宋体" w:cs="宋体"/>
          <w:sz w:val="28"/>
        </w:rPr>
      </w:pPr>
      <w:bookmarkStart w:id="258" w:name="bookmark81"/>
      <w:r>
        <w:rPr>
          <w:rFonts w:hint="eastAsia" w:ascii="宋体" w:hAnsi="宋体" w:cs="宋体"/>
          <w:sz w:val="28"/>
        </w:rPr>
        <w:t>（一）</w:t>
      </w:r>
      <w:bookmarkEnd w:id="258"/>
      <w:bookmarkStart w:id="259" w:name="_Toc507681488"/>
      <w:bookmarkStart w:id="260" w:name="_Toc504639215"/>
      <w:bookmarkStart w:id="261" w:name="_Toc507681700"/>
      <w:r>
        <w:rPr>
          <w:rFonts w:hint="eastAsia" w:ascii="宋体" w:hAnsi="宋体" w:cs="宋体"/>
          <w:sz w:val="28"/>
        </w:rPr>
        <w:t>报价人自行承诺部分</w:t>
      </w:r>
      <w:bookmarkEnd w:id="259"/>
      <w:bookmarkEnd w:id="260"/>
      <w:bookmarkEnd w:id="261"/>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r>
        <w:rPr>
          <w:rFonts w:hint="eastAsia" w:ascii="宋体" w:hAnsi="宋体" w:cs="宋体"/>
          <w:kern w:val="0"/>
          <w:szCs w:val="21"/>
          <w:lang w:eastAsia="zh-CN"/>
        </w:rPr>
        <w:t>（</w:t>
      </w:r>
      <w:r>
        <w:rPr>
          <w:rFonts w:hint="eastAsia" w:ascii="宋体" w:hAnsi="宋体" w:cs="宋体"/>
          <w:kern w:val="0"/>
          <w:szCs w:val="21"/>
          <w:lang w:val="en-US" w:eastAsia="zh-CN"/>
        </w:rPr>
        <w:t>需承诺内容如下</w:t>
      </w:r>
      <w:r>
        <w:rPr>
          <w:rFonts w:hint="eastAsia" w:ascii="宋体" w:hAnsi="宋体" w:cs="宋体"/>
          <w:kern w:val="0"/>
          <w:szCs w:val="21"/>
          <w:lang w:eastAsia="zh-CN"/>
        </w:rPr>
        <w:t>）：</w:t>
      </w:r>
    </w:p>
    <w:p>
      <w:pPr>
        <w:numPr>
          <w:ilvl w:val="0"/>
          <w:numId w:val="0"/>
        </w:numPr>
        <w:ind w:firstLine="420" w:firstLineChars="200"/>
        <w:rPr>
          <w:rFonts w:hint="eastAsia"/>
          <w:lang w:val="en-US" w:eastAsia="zh-CN"/>
        </w:rPr>
      </w:pPr>
      <w:r>
        <w:rPr>
          <w:rFonts w:hint="eastAsia" w:ascii="宋体" w:hAnsi="宋体" w:cs="宋体"/>
          <w:b w:val="0"/>
          <w:bCs w:val="0"/>
          <w:kern w:val="0"/>
          <w:sz w:val="21"/>
          <w:szCs w:val="21"/>
          <w:lang w:val="en-US" w:eastAsia="zh-CN" w:bidi="ar-SA"/>
        </w:rPr>
        <w:t>（1）人员规模、办公面积承诺：</w:t>
      </w:r>
    </w:p>
    <w:p>
      <w:pPr>
        <w:numPr>
          <w:ilvl w:val="0"/>
          <w:numId w:val="0"/>
        </w:numPr>
        <w:ind w:firstLine="420" w:firstLineChars="200"/>
        <w:rPr>
          <w:rFonts w:hint="eastAsia"/>
          <w:lang w:val="en-US" w:eastAsia="zh-CN"/>
        </w:rPr>
      </w:pPr>
      <w:r>
        <w:rPr>
          <w:rFonts w:hint="eastAsia"/>
          <w:lang w:val="en-US" w:eastAsia="zh-CN"/>
        </w:rPr>
        <w:t>（2）人员</w:t>
      </w:r>
      <w:r>
        <w:rPr>
          <w:rFonts w:hint="eastAsia" w:ascii="宋体" w:hAnsi="宋体" w:cs="宋体"/>
          <w:b w:val="0"/>
          <w:bCs w:val="0"/>
          <w:kern w:val="0"/>
          <w:sz w:val="21"/>
          <w:szCs w:val="21"/>
          <w:lang w:val="en-US" w:eastAsia="zh-CN" w:bidi="ar-SA"/>
        </w:rPr>
        <w:t>承诺：</w:t>
      </w:r>
    </w:p>
    <w:p>
      <w:pPr>
        <w:numPr>
          <w:ilvl w:val="0"/>
          <w:numId w:val="0"/>
        </w:numPr>
        <w:ind w:firstLine="420" w:firstLineChars="200"/>
        <w:rPr>
          <w:rFonts w:hint="default"/>
          <w:lang w:val="en-US" w:eastAsia="zh-CN"/>
        </w:rPr>
      </w:pPr>
      <w:r>
        <w:rPr>
          <w:rFonts w:hint="eastAsia"/>
          <w:lang w:val="en-US" w:eastAsia="zh-CN"/>
        </w:rPr>
        <w:t>（3）</w:t>
      </w:r>
      <w:r>
        <w:rPr>
          <w:rFonts w:hint="eastAsia" w:ascii="宋体" w:hAnsi="宋体" w:cs="宋体"/>
          <w:b w:val="0"/>
          <w:bCs w:val="0"/>
          <w:kern w:val="0"/>
          <w:sz w:val="21"/>
          <w:szCs w:val="21"/>
          <w:lang w:val="en-US" w:eastAsia="zh-CN" w:bidi="ar-SA"/>
        </w:rPr>
        <w:t>其余需承诺部分</w:t>
      </w:r>
      <w:r>
        <w:rPr>
          <w:rFonts w:hint="eastAsia"/>
          <w:lang w:val="en-US" w:eastAsia="zh-CN"/>
        </w:rPr>
        <w:t>：</w:t>
      </w:r>
    </w:p>
    <w:p>
      <w:pPr>
        <w:pStyle w:val="18"/>
        <w:rPr>
          <w:rFonts w:hint="default"/>
          <w:lang w:val="en-US" w:eastAsia="zh-CN"/>
        </w:rPr>
      </w:pPr>
    </w:p>
    <w:p>
      <w:pPr>
        <w:rPr>
          <w:rFonts w:hint="eastAsia"/>
          <w:lang w:val="en-US" w:eastAsia="zh-CN"/>
        </w:rPr>
      </w:pPr>
    </w:p>
    <w:p>
      <w:pPr>
        <w:pStyle w:val="6"/>
        <w:jc w:val="center"/>
        <w:rPr>
          <w:rFonts w:ascii="宋体" w:hAnsi="宋体" w:cs="宋体"/>
          <w:sz w:val="28"/>
        </w:rPr>
      </w:pPr>
    </w:p>
    <w:p>
      <w:pPr>
        <w:rPr>
          <w:rFonts w:ascii="宋体" w:hAnsi="宋体" w:cs="宋体"/>
          <w:sz w:val="28"/>
        </w:rPr>
      </w:pPr>
    </w:p>
    <w:p>
      <w:pPr>
        <w:pStyle w:val="18"/>
      </w:pPr>
    </w:p>
    <w:p>
      <w:pPr>
        <w:pStyle w:val="5"/>
        <w:spacing w:before="0" w:after="0" w:line="360" w:lineRule="auto"/>
        <w:jc w:val="center"/>
        <w:rPr>
          <w:rFonts w:hint="eastAsia" w:ascii="宋体" w:hAnsi="宋体" w:cs="宋体"/>
          <w:sz w:val="28"/>
          <w:lang w:val="en-US" w:eastAsia="zh-CN"/>
        </w:rPr>
      </w:pPr>
      <w:r>
        <w:rPr>
          <w:rFonts w:hint="eastAsia" w:ascii="宋体" w:hAnsi="宋体" w:cs="宋体"/>
          <w:sz w:val="28"/>
          <w:lang w:val="en-US" w:eastAsia="zh-CN"/>
        </w:rPr>
        <w:t xml:space="preserve">                          法人或授权委托人签字（盖章）：</w:t>
      </w:r>
    </w:p>
    <w:p>
      <w:pPr>
        <w:rPr>
          <w:rFonts w:hint="default"/>
          <w:lang w:val="en-US" w:eastAsia="zh-CN"/>
        </w:rPr>
      </w:pPr>
    </w:p>
    <w:p>
      <w:pPr>
        <w:pStyle w:val="6"/>
        <w:jc w:val="center"/>
        <w:rPr>
          <w:rFonts w:hint="eastAsia" w:ascii="宋体" w:hAnsi="宋体" w:cs="宋体"/>
          <w:sz w:val="28"/>
          <w:highlight w:val="none"/>
        </w:rPr>
      </w:pPr>
    </w:p>
    <w:p>
      <w:pPr>
        <w:pStyle w:val="5"/>
        <w:spacing w:before="0" w:after="0" w:line="360" w:lineRule="auto"/>
        <w:jc w:val="center"/>
        <w:rPr>
          <w:rFonts w:hint="eastAsia" w:ascii="宋体" w:hAnsi="宋体" w:eastAsia="宋体" w:cs="宋体"/>
          <w:sz w:val="28"/>
          <w:highlight w:val="none"/>
          <w:lang w:val="en-US" w:eastAsia="zh-CN"/>
        </w:rPr>
      </w:pP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6"/>
        <w:spacing w:before="0" w:after="0" w:line="360" w:lineRule="auto"/>
        <w:jc w:val="center"/>
        <w:rPr>
          <w:sz w:val="28"/>
          <w:szCs w:val="28"/>
          <w:highlight w:val="none"/>
        </w:rPr>
      </w:pPr>
      <w:bookmarkStart w:id="262" w:name="_Toc4375"/>
      <w:bookmarkStart w:id="263" w:name="_Toc452107137"/>
      <w:bookmarkStart w:id="264" w:name="_Toc50811085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62"/>
      <w:bookmarkEnd w:id="263"/>
      <w:bookmarkEnd w:id="264"/>
    </w:p>
    <w:p>
      <w:pPr>
        <w:pStyle w:val="27"/>
        <w:rPr>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6"/>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bookmarkEnd w:id="256"/>
    <w:bookmarkEnd w:id="257"/>
    <w:p>
      <w:pPr>
        <w:pStyle w:val="29"/>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46C2EA0-07B6-4868-BD1A-2AB3CFF9B32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2BE4"/>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B6F41"/>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6654"/>
    <w:rsid w:val="00E84AD3"/>
    <w:rsid w:val="00E8555A"/>
    <w:rsid w:val="00E907D3"/>
    <w:rsid w:val="00E9117E"/>
    <w:rsid w:val="00E91C2B"/>
    <w:rsid w:val="00E9267B"/>
    <w:rsid w:val="00E9477F"/>
    <w:rsid w:val="00E9514E"/>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B6997"/>
    <w:rsid w:val="01232ED2"/>
    <w:rsid w:val="015D18DC"/>
    <w:rsid w:val="0184380B"/>
    <w:rsid w:val="01852BD3"/>
    <w:rsid w:val="018A6C3C"/>
    <w:rsid w:val="01A8609A"/>
    <w:rsid w:val="01A93FA3"/>
    <w:rsid w:val="01E05F01"/>
    <w:rsid w:val="020C0D2B"/>
    <w:rsid w:val="02195A53"/>
    <w:rsid w:val="022738A0"/>
    <w:rsid w:val="022831DB"/>
    <w:rsid w:val="02375428"/>
    <w:rsid w:val="029D41FE"/>
    <w:rsid w:val="02A800C5"/>
    <w:rsid w:val="02B53517"/>
    <w:rsid w:val="02C15118"/>
    <w:rsid w:val="02C6499B"/>
    <w:rsid w:val="02C91CAA"/>
    <w:rsid w:val="02D0709E"/>
    <w:rsid w:val="02F1546E"/>
    <w:rsid w:val="03144792"/>
    <w:rsid w:val="031A4A2D"/>
    <w:rsid w:val="036A712A"/>
    <w:rsid w:val="037D0CD2"/>
    <w:rsid w:val="038B3366"/>
    <w:rsid w:val="03981B5E"/>
    <w:rsid w:val="03996EAD"/>
    <w:rsid w:val="03F60BFA"/>
    <w:rsid w:val="04023CC8"/>
    <w:rsid w:val="042674F4"/>
    <w:rsid w:val="042D3C13"/>
    <w:rsid w:val="044E54EE"/>
    <w:rsid w:val="04722D72"/>
    <w:rsid w:val="04767696"/>
    <w:rsid w:val="047A0BBC"/>
    <w:rsid w:val="047D7CD3"/>
    <w:rsid w:val="047E7EEC"/>
    <w:rsid w:val="04933E65"/>
    <w:rsid w:val="04C12ED8"/>
    <w:rsid w:val="04DC5749"/>
    <w:rsid w:val="04E26FED"/>
    <w:rsid w:val="04E41F94"/>
    <w:rsid w:val="04FD6633"/>
    <w:rsid w:val="051B32B1"/>
    <w:rsid w:val="052E2B3B"/>
    <w:rsid w:val="0543026B"/>
    <w:rsid w:val="054416D2"/>
    <w:rsid w:val="05507F0F"/>
    <w:rsid w:val="055A4D20"/>
    <w:rsid w:val="056F275C"/>
    <w:rsid w:val="05735FEA"/>
    <w:rsid w:val="05871A0A"/>
    <w:rsid w:val="05A42E7B"/>
    <w:rsid w:val="05A70EA9"/>
    <w:rsid w:val="05D04016"/>
    <w:rsid w:val="05D55D36"/>
    <w:rsid w:val="060C2525"/>
    <w:rsid w:val="062756FD"/>
    <w:rsid w:val="06465A4B"/>
    <w:rsid w:val="065F7A31"/>
    <w:rsid w:val="067C53E7"/>
    <w:rsid w:val="06820F5E"/>
    <w:rsid w:val="06977B53"/>
    <w:rsid w:val="06A7180A"/>
    <w:rsid w:val="06AE2ABA"/>
    <w:rsid w:val="06B74DC7"/>
    <w:rsid w:val="06BA1001"/>
    <w:rsid w:val="06C75DF5"/>
    <w:rsid w:val="06DD02BB"/>
    <w:rsid w:val="06DD649D"/>
    <w:rsid w:val="06E71F51"/>
    <w:rsid w:val="06F965AD"/>
    <w:rsid w:val="07050666"/>
    <w:rsid w:val="071A6392"/>
    <w:rsid w:val="071C4DB7"/>
    <w:rsid w:val="07362674"/>
    <w:rsid w:val="073B54B2"/>
    <w:rsid w:val="07410810"/>
    <w:rsid w:val="07537EF9"/>
    <w:rsid w:val="07815EE7"/>
    <w:rsid w:val="0784155A"/>
    <w:rsid w:val="07CD6512"/>
    <w:rsid w:val="081748AE"/>
    <w:rsid w:val="08635851"/>
    <w:rsid w:val="08A30341"/>
    <w:rsid w:val="08C2359B"/>
    <w:rsid w:val="09041814"/>
    <w:rsid w:val="092D7BDC"/>
    <w:rsid w:val="09332D2B"/>
    <w:rsid w:val="093D1475"/>
    <w:rsid w:val="093E2D64"/>
    <w:rsid w:val="09455F12"/>
    <w:rsid w:val="09472203"/>
    <w:rsid w:val="09513E3D"/>
    <w:rsid w:val="097951E0"/>
    <w:rsid w:val="098B1DA7"/>
    <w:rsid w:val="09907951"/>
    <w:rsid w:val="099F43E4"/>
    <w:rsid w:val="09A31A61"/>
    <w:rsid w:val="09BA7A85"/>
    <w:rsid w:val="09DE1094"/>
    <w:rsid w:val="09E2475B"/>
    <w:rsid w:val="09E4577A"/>
    <w:rsid w:val="0A183EA3"/>
    <w:rsid w:val="0A207013"/>
    <w:rsid w:val="0A3D61EC"/>
    <w:rsid w:val="0A3F34B7"/>
    <w:rsid w:val="0A4B11BE"/>
    <w:rsid w:val="0A51661E"/>
    <w:rsid w:val="0A7B4003"/>
    <w:rsid w:val="0A7D7D7B"/>
    <w:rsid w:val="0A8E5B8D"/>
    <w:rsid w:val="0AA240FA"/>
    <w:rsid w:val="0AAC0CBB"/>
    <w:rsid w:val="0AB2039C"/>
    <w:rsid w:val="0AD84BD3"/>
    <w:rsid w:val="0AE909AB"/>
    <w:rsid w:val="0AE941D3"/>
    <w:rsid w:val="0AFA761E"/>
    <w:rsid w:val="0B1061C6"/>
    <w:rsid w:val="0B2A04E5"/>
    <w:rsid w:val="0B2B08D5"/>
    <w:rsid w:val="0B3A2110"/>
    <w:rsid w:val="0B444D3D"/>
    <w:rsid w:val="0B6401BF"/>
    <w:rsid w:val="0B840496"/>
    <w:rsid w:val="0B9874FD"/>
    <w:rsid w:val="0BA35012"/>
    <w:rsid w:val="0BB825ED"/>
    <w:rsid w:val="0BC0647C"/>
    <w:rsid w:val="0BD7624B"/>
    <w:rsid w:val="0BF26817"/>
    <w:rsid w:val="0C14470F"/>
    <w:rsid w:val="0C22464A"/>
    <w:rsid w:val="0C2B72AE"/>
    <w:rsid w:val="0C486A95"/>
    <w:rsid w:val="0C517E31"/>
    <w:rsid w:val="0C623EAC"/>
    <w:rsid w:val="0C946488"/>
    <w:rsid w:val="0CA84FD3"/>
    <w:rsid w:val="0CAB3827"/>
    <w:rsid w:val="0CAD24AF"/>
    <w:rsid w:val="0CB27F34"/>
    <w:rsid w:val="0CD91B3C"/>
    <w:rsid w:val="0CEA5470"/>
    <w:rsid w:val="0D0D3F93"/>
    <w:rsid w:val="0D12389F"/>
    <w:rsid w:val="0D2820B7"/>
    <w:rsid w:val="0D2B5BA2"/>
    <w:rsid w:val="0D2F6875"/>
    <w:rsid w:val="0D33523D"/>
    <w:rsid w:val="0D662EE5"/>
    <w:rsid w:val="0D6A3AE7"/>
    <w:rsid w:val="0D6A7339"/>
    <w:rsid w:val="0D860EC5"/>
    <w:rsid w:val="0D9339BE"/>
    <w:rsid w:val="0D991370"/>
    <w:rsid w:val="0D9E6A67"/>
    <w:rsid w:val="0D9F0DC4"/>
    <w:rsid w:val="0DA07FC9"/>
    <w:rsid w:val="0DC02AA1"/>
    <w:rsid w:val="0DDE695A"/>
    <w:rsid w:val="0DF73A5B"/>
    <w:rsid w:val="0DF94EC9"/>
    <w:rsid w:val="0E164CA8"/>
    <w:rsid w:val="0E231949"/>
    <w:rsid w:val="0E2D072E"/>
    <w:rsid w:val="0E3B295D"/>
    <w:rsid w:val="0E47249B"/>
    <w:rsid w:val="0E551882"/>
    <w:rsid w:val="0E7306EC"/>
    <w:rsid w:val="0E843F8C"/>
    <w:rsid w:val="0E963048"/>
    <w:rsid w:val="0EAD7E50"/>
    <w:rsid w:val="0EB254B2"/>
    <w:rsid w:val="0ED91C40"/>
    <w:rsid w:val="0EFB3F5D"/>
    <w:rsid w:val="0F041CC7"/>
    <w:rsid w:val="0F042317"/>
    <w:rsid w:val="0F1209F8"/>
    <w:rsid w:val="0F4C19DA"/>
    <w:rsid w:val="0F4C7D05"/>
    <w:rsid w:val="0F4F31AF"/>
    <w:rsid w:val="0F5F17BD"/>
    <w:rsid w:val="0F6B0BDE"/>
    <w:rsid w:val="0F7E014D"/>
    <w:rsid w:val="0F90531D"/>
    <w:rsid w:val="0FAD64B5"/>
    <w:rsid w:val="0FB21FD4"/>
    <w:rsid w:val="0FFF5930"/>
    <w:rsid w:val="100131FC"/>
    <w:rsid w:val="1018536D"/>
    <w:rsid w:val="108E33C3"/>
    <w:rsid w:val="10A265EF"/>
    <w:rsid w:val="10B464C1"/>
    <w:rsid w:val="10C50464"/>
    <w:rsid w:val="10EC4A0F"/>
    <w:rsid w:val="10FB7C4C"/>
    <w:rsid w:val="11156FC6"/>
    <w:rsid w:val="11485B0D"/>
    <w:rsid w:val="114C7209"/>
    <w:rsid w:val="1154158B"/>
    <w:rsid w:val="11677BA5"/>
    <w:rsid w:val="117076B2"/>
    <w:rsid w:val="119E6579"/>
    <w:rsid w:val="11A72EAF"/>
    <w:rsid w:val="11C22850"/>
    <w:rsid w:val="11C97065"/>
    <w:rsid w:val="11CD2769"/>
    <w:rsid w:val="11D435DD"/>
    <w:rsid w:val="11DA3C43"/>
    <w:rsid w:val="11E15B8A"/>
    <w:rsid w:val="1220326C"/>
    <w:rsid w:val="123A67B6"/>
    <w:rsid w:val="125515DD"/>
    <w:rsid w:val="125670E6"/>
    <w:rsid w:val="125E1A9C"/>
    <w:rsid w:val="12714AC1"/>
    <w:rsid w:val="1276289F"/>
    <w:rsid w:val="1288522D"/>
    <w:rsid w:val="129D6A95"/>
    <w:rsid w:val="12AF4046"/>
    <w:rsid w:val="12C54E79"/>
    <w:rsid w:val="12CE506D"/>
    <w:rsid w:val="12D036D1"/>
    <w:rsid w:val="12E23CE3"/>
    <w:rsid w:val="12F65490"/>
    <w:rsid w:val="12F73D2A"/>
    <w:rsid w:val="12F9698E"/>
    <w:rsid w:val="13112273"/>
    <w:rsid w:val="131C7C5D"/>
    <w:rsid w:val="133F0EDC"/>
    <w:rsid w:val="13511DF6"/>
    <w:rsid w:val="135530FF"/>
    <w:rsid w:val="1359610F"/>
    <w:rsid w:val="138B4634"/>
    <w:rsid w:val="138D3FA2"/>
    <w:rsid w:val="138F1214"/>
    <w:rsid w:val="13BF412F"/>
    <w:rsid w:val="13C00A21"/>
    <w:rsid w:val="13D101C7"/>
    <w:rsid w:val="1400440E"/>
    <w:rsid w:val="142669A3"/>
    <w:rsid w:val="14301CC2"/>
    <w:rsid w:val="143805F9"/>
    <w:rsid w:val="144729D8"/>
    <w:rsid w:val="14514366"/>
    <w:rsid w:val="145F42FA"/>
    <w:rsid w:val="147C265E"/>
    <w:rsid w:val="148530C5"/>
    <w:rsid w:val="148E78CB"/>
    <w:rsid w:val="149F4D92"/>
    <w:rsid w:val="14A13E6D"/>
    <w:rsid w:val="14AB614D"/>
    <w:rsid w:val="14B96C2B"/>
    <w:rsid w:val="15067DFC"/>
    <w:rsid w:val="15181495"/>
    <w:rsid w:val="153870BF"/>
    <w:rsid w:val="15436E45"/>
    <w:rsid w:val="15507C7E"/>
    <w:rsid w:val="15664AEF"/>
    <w:rsid w:val="15796998"/>
    <w:rsid w:val="158E23E1"/>
    <w:rsid w:val="15910B7E"/>
    <w:rsid w:val="159D7EA6"/>
    <w:rsid w:val="159F1BF9"/>
    <w:rsid w:val="15AF4F21"/>
    <w:rsid w:val="15B71B1D"/>
    <w:rsid w:val="15BC3979"/>
    <w:rsid w:val="15E63361"/>
    <w:rsid w:val="160B0227"/>
    <w:rsid w:val="16602DF6"/>
    <w:rsid w:val="16864176"/>
    <w:rsid w:val="16C03193"/>
    <w:rsid w:val="16D84968"/>
    <w:rsid w:val="16E04880"/>
    <w:rsid w:val="16F86032"/>
    <w:rsid w:val="17081A7A"/>
    <w:rsid w:val="17092996"/>
    <w:rsid w:val="17292C0C"/>
    <w:rsid w:val="176F50FE"/>
    <w:rsid w:val="17B17230"/>
    <w:rsid w:val="17D10049"/>
    <w:rsid w:val="17DD0B49"/>
    <w:rsid w:val="17E74083"/>
    <w:rsid w:val="17F1563C"/>
    <w:rsid w:val="17F23C73"/>
    <w:rsid w:val="17F84EE5"/>
    <w:rsid w:val="18083490"/>
    <w:rsid w:val="180F3B80"/>
    <w:rsid w:val="18133ACD"/>
    <w:rsid w:val="181B1411"/>
    <w:rsid w:val="181C1400"/>
    <w:rsid w:val="18223BBF"/>
    <w:rsid w:val="18406E44"/>
    <w:rsid w:val="184175DD"/>
    <w:rsid w:val="185C1918"/>
    <w:rsid w:val="1880349D"/>
    <w:rsid w:val="18D435BC"/>
    <w:rsid w:val="18E261BC"/>
    <w:rsid w:val="18E6320F"/>
    <w:rsid w:val="18E71F88"/>
    <w:rsid w:val="19193365"/>
    <w:rsid w:val="19261639"/>
    <w:rsid w:val="195D5C0E"/>
    <w:rsid w:val="19B116AD"/>
    <w:rsid w:val="19B64CC2"/>
    <w:rsid w:val="19BA69A5"/>
    <w:rsid w:val="19CC487B"/>
    <w:rsid w:val="19DF6D3F"/>
    <w:rsid w:val="19E24459"/>
    <w:rsid w:val="19EF2451"/>
    <w:rsid w:val="1A194A1B"/>
    <w:rsid w:val="1A2226ED"/>
    <w:rsid w:val="1A305FF4"/>
    <w:rsid w:val="1A3D7EBE"/>
    <w:rsid w:val="1A4353A0"/>
    <w:rsid w:val="1A557489"/>
    <w:rsid w:val="1A836C58"/>
    <w:rsid w:val="1AF45443"/>
    <w:rsid w:val="1B075A0C"/>
    <w:rsid w:val="1B67066F"/>
    <w:rsid w:val="1B7229E4"/>
    <w:rsid w:val="1B7A5EC7"/>
    <w:rsid w:val="1B8E5EC0"/>
    <w:rsid w:val="1B9F706E"/>
    <w:rsid w:val="1BBE47DE"/>
    <w:rsid w:val="1BC10D01"/>
    <w:rsid w:val="1C2613A8"/>
    <w:rsid w:val="1C477E44"/>
    <w:rsid w:val="1C8E38DD"/>
    <w:rsid w:val="1C9B22E2"/>
    <w:rsid w:val="1CA53B30"/>
    <w:rsid w:val="1CB33990"/>
    <w:rsid w:val="1CB638A1"/>
    <w:rsid w:val="1CBE72D2"/>
    <w:rsid w:val="1CBF2475"/>
    <w:rsid w:val="1CE12BB5"/>
    <w:rsid w:val="1CF6260F"/>
    <w:rsid w:val="1CF83AEA"/>
    <w:rsid w:val="1CF911FC"/>
    <w:rsid w:val="1CFC5477"/>
    <w:rsid w:val="1D0E163B"/>
    <w:rsid w:val="1D1A3B4F"/>
    <w:rsid w:val="1D34223E"/>
    <w:rsid w:val="1D6914D5"/>
    <w:rsid w:val="1D7C7A22"/>
    <w:rsid w:val="1D7E09CF"/>
    <w:rsid w:val="1D9F1A69"/>
    <w:rsid w:val="1DB50BD0"/>
    <w:rsid w:val="1DE41480"/>
    <w:rsid w:val="1DE837F1"/>
    <w:rsid w:val="1DF44267"/>
    <w:rsid w:val="1E1D3D89"/>
    <w:rsid w:val="1E2139B7"/>
    <w:rsid w:val="1E4F15D7"/>
    <w:rsid w:val="1E7A14A8"/>
    <w:rsid w:val="1E7F32B0"/>
    <w:rsid w:val="1EBA058B"/>
    <w:rsid w:val="1EBB622E"/>
    <w:rsid w:val="1EDD751C"/>
    <w:rsid w:val="1EE170B7"/>
    <w:rsid w:val="1EEA13A6"/>
    <w:rsid w:val="1EEB392A"/>
    <w:rsid w:val="1EFE64E9"/>
    <w:rsid w:val="1F022AED"/>
    <w:rsid w:val="1F6207D0"/>
    <w:rsid w:val="1F953961"/>
    <w:rsid w:val="1FB05914"/>
    <w:rsid w:val="1FCA360B"/>
    <w:rsid w:val="1FE1627D"/>
    <w:rsid w:val="1FE45D5A"/>
    <w:rsid w:val="1FE67D19"/>
    <w:rsid w:val="1FEA603B"/>
    <w:rsid w:val="20133D98"/>
    <w:rsid w:val="20226856"/>
    <w:rsid w:val="20293E2F"/>
    <w:rsid w:val="20686E43"/>
    <w:rsid w:val="206E3E8E"/>
    <w:rsid w:val="207224C8"/>
    <w:rsid w:val="2076639A"/>
    <w:rsid w:val="2093114F"/>
    <w:rsid w:val="209B57AA"/>
    <w:rsid w:val="209E4B77"/>
    <w:rsid w:val="20A121FD"/>
    <w:rsid w:val="20C20004"/>
    <w:rsid w:val="20C73DF0"/>
    <w:rsid w:val="20D83D6E"/>
    <w:rsid w:val="20DE5531"/>
    <w:rsid w:val="20E1180E"/>
    <w:rsid w:val="20EA6084"/>
    <w:rsid w:val="20F01139"/>
    <w:rsid w:val="20F1461D"/>
    <w:rsid w:val="211641D5"/>
    <w:rsid w:val="212B522B"/>
    <w:rsid w:val="215D5571"/>
    <w:rsid w:val="21736537"/>
    <w:rsid w:val="21977807"/>
    <w:rsid w:val="219A6D4B"/>
    <w:rsid w:val="21B30D9B"/>
    <w:rsid w:val="21B32189"/>
    <w:rsid w:val="21B756DD"/>
    <w:rsid w:val="21BB2C48"/>
    <w:rsid w:val="21C2735E"/>
    <w:rsid w:val="21CB4BCC"/>
    <w:rsid w:val="21DB409B"/>
    <w:rsid w:val="21E57FA3"/>
    <w:rsid w:val="21FB5A74"/>
    <w:rsid w:val="226827C0"/>
    <w:rsid w:val="227B31BE"/>
    <w:rsid w:val="227C6EFF"/>
    <w:rsid w:val="228A7172"/>
    <w:rsid w:val="22942795"/>
    <w:rsid w:val="22A10D06"/>
    <w:rsid w:val="22B665A5"/>
    <w:rsid w:val="22C925E0"/>
    <w:rsid w:val="22D84291"/>
    <w:rsid w:val="22E46F4A"/>
    <w:rsid w:val="22E82DE7"/>
    <w:rsid w:val="22E86E52"/>
    <w:rsid w:val="22F20159"/>
    <w:rsid w:val="23005537"/>
    <w:rsid w:val="232C54A8"/>
    <w:rsid w:val="233C2C53"/>
    <w:rsid w:val="23486890"/>
    <w:rsid w:val="236F1F61"/>
    <w:rsid w:val="23977AD9"/>
    <w:rsid w:val="23AB4CDF"/>
    <w:rsid w:val="23AF2CD2"/>
    <w:rsid w:val="23C37A75"/>
    <w:rsid w:val="240404D0"/>
    <w:rsid w:val="24220F3E"/>
    <w:rsid w:val="2423604B"/>
    <w:rsid w:val="243A3F7E"/>
    <w:rsid w:val="24436391"/>
    <w:rsid w:val="244A36EC"/>
    <w:rsid w:val="2450121E"/>
    <w:rsid w:val="247A4C56"/>
    <w:rsid w:val="247F01ED"/>
    <w:rsid w:val="2487622C"/>
    <w:rsid w:val="24973094"/>
    <w:rsid w:val="24AD6D9A"/>
    <w:rsid w:val="24B74B71"/>
    <w:rsid w:val="24DD5B8E"/>
    <w:rsid w:val="24E52AD8"/>
    <w:rsid w:val="24E85B0E"/>
    <w:rsid w:val="251418FC"/>
    <w:rsid w:val="251B0F81"/>
    <w:rsid w:val="254925FD"/>
    <w:rsid w:val="255249D2"/>
    <w:rsid w:val="256C0CC0"/>
    <w:rsid w:val="25712B23"/>
    <w:rsid w:val="25A845B3"/>
    <w:rsid w:val="25C94365"/>
    <w:rsid w:val="25EB71B7"/>
    <w:rsid w:val="26154215"/>
    <w:rsid w:val="261A0BE6"/>
    <w:rsid w:val="26385E8A"/>
    <w:rsid w:val="263C7691"/>
    <w:rsid w:val="265E2776"/>
    <w:rsid w:val="26666FDC"/>
    <w:rsid w:val="26770056"/>
    <w:rsid w:val="267D1DF8"/>
    <w:rsid w:val="26963D4E"/>
    <w:rsid w:val="26AA5F44"/>
    <w:rsid w:val="26AB763C"/>
    <w:rsid w:val="26B267E7"/>
    <w:rsid w:val="26D794B7"/>
    <w:rsid w:val="26F131DC"/>
    <w:rsid w:val="26F61BE2"/>
    <w:rsid w:val="26F65310"/>
    <w:rsid w:val="27052D05"/>
    <w:rsid w:val="27082804"/>
    <w:rsid w:val="270832AE"/>
    <w:rsid w:val="2718139A"/>
    <w:rsid w:val="27357F9F"/>
    <w:rsid w:val="275A646F"/>
    <w:rsid w:val="275E35BF"/>
    <w:rsid w:val="27A4553F"/>
    <w:rsid w:val="27BE0742"/>
    <w:rsid w:val="27D35135"/>
    <w:rsid w:val="27DD1D93"/>
    <w:rsid w:val="27EF1935"/>
    <w:rsid w:val="280A1B75"/>
    <w:rsid w:val="28257458"/>
    <w:rsid w:val="2829235B"/>
    <w:rsid w:val="283962F8"/>
    <w:rsid w:val="287A36F4"/>
    <w:rsid w:val="288458E7"/>
    <w:rsid w:val="28A0077B"/>
    <w:rsid w:val="28A33A20"/>
    <w:rsid w:val="28A47F17"/>
    <w:rsid w:val="28A95D87"/>
    <w:rsid w:val="28B9421C"/>
    <w:rsid w:val="28FE6071"/>
    <w:rsid w:val="290212C1"/>
    <w:rsid w:val="290D5ED8"/>
    <w:rsid w:val="29656DCE"/>
    <w:rsid w:val="29722140"/>
    <w:rsid w:val="298B4B23"/>
    <w:rsid w:val="29AD63FD"/>
    <w:rsid w:val="29B71FDB"/>
    <w:rsid w:val="29CF18DD"/>
    <w:rsid w:val="29D65D23"/>
    <w:rsid w:val="29D875FE"/>
    <w:rsid w:val="2A194E5D"/>
    <w:rsid w:val="2A21554B"/>
    <w:rsid w:val="2A594BC2"/>
    <w:rsid w:val="2A9F7561"/>
    <w:rsid w:val="2AA90FA0"/>
    <w:rsid w:val="2AB103DC"/>
    <w:rsid w:val="2AB31CE2"/>
    <w:rsid w:val="2AB55266"/>
    <w:rsid w:val="2AC554AE"/>
    <w:rsid w:val="2AF000D8"/>
    <w:rsid w:val="2B487382"/>
    <w:rsid w:val="2B552F60"/>
    <w:rsid w:val="2B5D3585"/>
    <w:rsid w:val="2B730950"/>
    <w:rsid w:val="2B7841A6"/>
    <w:rsid w:val="2B906D86"/>
    <w:rsid w:val="2BB367B9"/>
    <w:rsid w:val="2C13380B"/>
    <w:rsid w:val="2C184D47"/>
    <w:rsid w:val="2C521827"/>
    <w:rsid w:val="2C796A89"/>
    <w:rsid w:val="2CB73169"/>
    <w:rsid w:val="2CBD3A96"/>
    <w:rsid w:val="2CC74339"/>
    <w:rsid w:val="2CCC23F7"/>
    <w:rsid w:val="2CCE1414"/>
    <w:rsid w:val="2CDE6947"/>
    <w:rsid w:val="2CF93ABF"/>
    <w:rsid w:val="2D087972"/>
    <w:rsid w:val="2D1E27A3"/>
    <w:rsid w:val="2D1E560F"/>
    <w:rsid w:val="2D394FF5"/>
    <w:rsid w:val="2D766528"/>
    <w:rsid w:val="2DF50B51"/>
    <w:rsid w:val="2E402CEA"/>
    <w:rsid w:val="2E6111A5"/>
    <w:rsid w:val="2E671D49"/>
    <w:rsid w:val="2E6A704D"/>
    <w:rsid w:val="2E8A6255"/>
    <w:rsid w:val="2EB8596B"/>
    <w:rsid w:val="2EC8145A"/>
    <w:rsid w:val="2F0B1048"/>
    <w:rsid w:val="2F132DA3"/>
    <w:rsid w:val="2F141AAA"/>
    <w:rsid w:val="2FCA4353"/>
    <w:rsid w:val="2FE55D75"/>
    <w:rsid w:val="2FF23F99"/>
    <w:rsid w:val="2FFF3277"/>
    <w:rsid w:val="30236367"/>
    <w:rsid w:val="30331BC6"/>
    <w:rsid w:val="303E7E03"/>
    <w:rsid w:val="30405AEB"/>
    <w:rsid w:val="304A182B"/>
    <w:rsid w:val="30700C52"/>
    <w:rsid w:val="30757C00"/>
    <w:rsid w:val="30782C0F"/>
    <w:rsid w:val="307D5D65"/>
    <w:rsid w:val="30AB4F91"/>
    <w:rsid w:val="30B34CE3"/>
    <w:rsid w:val="30CB1C83"/>
    <w:rsid w:val="30E97669"/>
    <w:rsid w:val="30ED2830"/>
    <w:rsid w:val="3112096E"/>
    <w:rsid w:val="31633AA7"/>
    <w:rsid w:val="316B2857"/>
    <w:rsid w:val="3173117E"/>
    <w:rsid w:val="31832D29"/>
    <w:rsid w:val="319D5339"/>
    <w:rsid w:val="319F2F47"/>
    <w:rsid w:val="31B2277E"/>
    <w:rsid w:val="31D20CDE"/>
    <w:rsid w:val="31F37E23"/>
    <w:rsid w:val="31FE689A"/>
    <w:rsid w:val="32223DC6"/>
    <w:rsid w:val="325A02A1"/>
    <w:rsid w:val="329032EF"/>
    <w:rsid w:val="329970EF"/>
    <w:rsid w:val="32AE0B6A"/>
    <w:rsid w:val="32B35AAA"/>
    <w:rsid w:val="32E84303"/>
    <w:rsid w:val="330F3777"/>
    <w:rsid w:val="33135210"/>
    <w:rsid w:val="3326373F"/>
    <w:rsid w:val="334459AC"/>
    <w:rsid w:val="33705A64"/>
    <w:rsid w:val="338E32D5"/>
    <w:rsid w:val="33A055AF"/>
    <w:rsid w:val="33A51E80"/>
    <w:rsid w:val="33EE589E"/>
    <w:rsid w:val="340329A9"/>
    <w:rsid w:val="3404708F"/>
    <w:rsid w:val="342645AD"/>
    <w:rsid w:val="342B057B"/>
    <w:rsid w:val="34335C8F"/>
    <w:rsid w:val="344219DC"/>
    <w:rsid w:val="34617CD8"/>
    <w:rsid w:val="346317C9"/>
    <w:rsid w:val="34753860"/>
    <w:rsid w:val="34A61339"/>
    <w:rsid w:val="34AF4725"/>
    <w:rsid w:val="34CC3006"/>
    <w:rsid w:val="34E56399"/>
    <w:rsid w:val="34F3793E"/>
    <w:rsid w:val="34FA09EA"/>
    <w:rsid w:val="350D601C"/>
    <w:rsid w:val="354B5D9D"/>
    <w:rsid w:val="35574E9C"/>
    <w:rsid w:val="357069B7"/>
    <w:rsid w:val="35712E34"/>
    <w:rsid w:val="357C3ACE"/>
    <w:rsid w:val="359305B1"/>
    <w:rsid w:val="35966E67"/>
    <w:rsid w:val="35E84393"/>
    <w:rsid w:val="35ED793B"/>
    <w:rsid w:val="35F06F52"/>
    <w:rsid w:val="35F84740"/>
    <w:rsid w:val="36383125"/>
    <w:rsid w:val="366C082D"/>
    <w:rsid w:val="368C388A"/>
    <w:rsid w:val="36C90DD1"/>
    <w:rsid w:val="36EF2646"/>
    <w:rsid w:val="36F275DD"/>
    <w:rsid w:val="36F55D23"/>
    <w:rsid w:val="374634AB"/>
    <w:rsid w:val="37543CF6"/>
    <w:rsid w:val="37704489"/>
    <w:rsid w:val="37710026"/>
    <w:rsid w:val="37925427"/>
    <w:rsid w:val="37A01319"/>
    <w:rsid w:val="37A55DCC"/>
    <w:rsid w:val="37CA04FF"/>
    <w:rsid w:val="37D30771"/>
    <w:rsid w:val="37E3512E"/>
    <w:rsid w:val="37EC0BB8"/>
    <w:rsid w:val="37FA18DB"/>
    <w:rsid w:val="38194E02"/>
    <w:rsid w:val="382F75E3"/>
    <w:rsid w:val="38371ACC"/>
    <w:rsid w:val="384F44DE"/>
    <w:rsid w:val="385C7AF5"/>
    <w:rsid w:val="38A748FD"/>
    <w:rsid w:val="38FF39F5"/>
    <w:rsid w:val="394C68A5"/>
    <w:rsid w:val="3952462B"/>
    <w:rsid w:val="395E479A"/>
    <w:rsid w:val="39675804"/>
    <w:rsid w:val="398A60A0"/>
    <w:rsid w:val="39A36C2D"/>
    <w:rsid w:val="39AA29B9"/>
    <w:rsid w:val="39AE63D1"/>
    <w:rsid w:val="39D7D99B"/>
    <w:rsid w:val="39E71AEC"/>
    <w:rsid w:val="39F60058"/>
    <w:rsid w:val="39FB00A4"/>
    <w:rsid w:val="3A104089"/>
    <w:rsid w:val="3A190FBF"/>
    <w:rsid w:val="3A1A692D"/>
    <w:rsid w:val="3A255BB6"/>
    <w:rsid w:val="3A7417E1"/>
    <w:rsid w:val="3A8217DE"/>
    <w:rsid w:val="3A822B01"/>
    <w:rsid w:val="3AB8426E"/>
    <w:rsid w:val="3ACF765C"/>
    <w:rsid w:val="3AD278CD"/>
    <w:rsid w:val="3AE2573F"/>
    <w:rsid w:val="3AFA4BE5"/>
    <w:rsid w:val="3B1E118C"/>
    <w:rsid w:val="3B2A44B8"/>
    <w:rsid w:val="3B2B6476"/>
    <w:rsid w:val="3BAF3CA2"/>
    <w:rsid w:val="3BBC038E"/>
    <w:rsid w:val="3BCE2040"/>
    <w:rsid w:val="3BFE3F02"/>
    <w:rsid w:val="3C0D32ED"/>
    <w:rsid w:val="3C2972FD"/>
    <w:rsid w:val="3C4E579D"/>
    <w:rsid w:val="3C5B4444"/>
    <w:rsid w:val="3C6D57D1"/>
    <w:rsid w:val="3C852047"/>
    <w:rsid w:val="3C9506A5"/>
    <w:rsid w:val="3CA13116"/>
    <w:rsid w:val="3CA925AE"/>
    <w:rsid w:val="3CCF4FA4"/>
    <w:rsid w:val="3CD81175"/>
    <w:rsid w:val="3CE53DCB"/>
    <w:rsid w:val="3CF877AB"/>
    <w:rsid w:val="3D306CB2"/>
    <w:rsid w:val="3D32729D"/>
    <w:rsid w:val="3D485E54"/>
    <w:rsid w:val="3D5642D8"/>
    <w:rsid w:val="3D62504C"/>
    <w:rsid w:val="3D667959"/>
    <w:rsid w:val="3D8230F2"/>
    <w:rsid w:val="3D886E2C"/>
    <w:rsid w:val="3D9A6B04"/>
    <w:rsid w:val="3DAA5519"/>
    <w:rsid w:val="3DC413E8"/>
    <w:rsid w:val="3DCA34BB"/>
    <w:rsid w:val="3DD83D60"/>
    <w:rsid w:val="3DEE7764"/>
    <w:rsid w:val="3DFD1C5E"/>
    <w:rsid w:val="3E044CAE"/>
    <w:rsid w:val="3E12201C"/>
    <w:rsid w:val="3E427218"/>
    <w:rsid w:val="3E460E59"/>
    <w:rsid w:val="3E491747"/>
    <w:rsid w:val="3E54217C"/>
    <w:rsid w:val="3E8F30B5"/>
    <w:rsid w:val="3E9D9EE9"/>
    <w:rsid w:val="3EA27573"/>
    <w:rsid w:val="3EA72ABE"/>
    <w:rsid w:val="3EAD4174"/>
    <w:rsid w:val="3EAD7F9C"/>
    <w:rsid w:val="3EB32892"/>
    <w:rsid w:val="3EBC3336"/>
    <w:rsid w:val="3ED84B73"/>
    <w:rsid w:val="3EDE79C6"/>
    <w:rsid w:val="3EF34099"/>
    <w:rsid w:val="3EF60080"/>
    <w:rsid w:val="3EF65530"/>
    <w:rsid w:val="3EFEC654"/>
    <w:rsid w:val="3F064AE9"/>
    <w:rsid w:val="3F3A3818"/>
    <w:rsid w:val="3F3B0C43"/>
    <w:rsid w:val="3F4C62B0"/>
    <w:rsid w:val="3F6A4BE4"/>
    <w:rsid w:val="3F7279F0"/>
    <w:rsid w:val="3F7C65CA"/>
    <w:rsid w:val="3F7F0FB6"/>
    <w:rsid w:val="3F9717D1"/>
    <w:rsid w:val="3FB2485B"/>
    <w:rsid w:val="3FBD3AE8"/>
    <w:rsid w:val="402A34B8"/>
    <w:rsid w:val="40360CD1"/>
    <w:rsid w:val="40361D66"/>
    <w:rsid w:val="404C1EBB"/>
    <w:rsid w:val="405214DD"/>
    <w:rsid w:val="406060C3"/>
    <w:rsid w:val="40613E30"/>
    <w:rsid w:val="40736573"/>
    <w:rsid w:val="407D7357"/>
    <w:rsid w:val="408D0A8F"/>
    <w:rsid w:val="409B4A07"/>
    <w:rsid w:val="40A92A60"/>
    <w:rsid w:val="40BF6E39"/>
    <w:rsid w:val="40C25B7F"/>
    <w:rsid w:val="40F66678"/>
    <w:rsid w:val="40FA12EB"/>
    <w:rsid w:val="410A16AB"/>
    <w:rsid w:val="410E1C56"/>
    <w:rsid w:val="4120577A"/>
    <w:rsid w:val="416C142E"/>
    <w:rsid w:val="41B94E35"/>
    <w:rsid w:val="41C95F2D"/>
    <w:rsid w:val="41E677EA"/>
    <w:rsid w:val="41FD121E"/>
    <w:rsid w:val="42117A10"/>
    <w:rsid w:val="421A7627"/>
    <w:rsid w:val="42260731"/>
    <w:rsid w:val="4233112B"/>
    <w:rsid w:val="42401E98"/>
    <w:rsid w:val="42474F8A"/>
    <w:rsid w:val="426B4687"/>
    <w:rsid w:val="42872311"/>
    <w:rsid w:val="428B5762"/>
    <w:rsid w:val="429F3B64"/>
    <w:rsid w:val="42B64F1C"/>
    <w:rsid w:val="42BE0D20"/>
    <w:rsid w:val="42D47C2B"/>
    <w:rsid w:val="42DA32B5"/>
    <w:rsid w:val="42FB45E4"/>
    <w:rsid w:val="4307713D"/>
    <w:rsid w:val="431C567C"/>
    <w:rsid w:val="4326087F"/>
    <w:rsid w:val="433543AC"/>
    <w:rsid w:val="43420FE8"/>
    <w:rsid w:val="434513F0"/>
    <w:rsid w:val="435624D6"/>
    <w:rsid w:val="43606D1A"/>
    <w:rsid w:val="43702851"/>
    <w:rsid w:val="437269BA"/>
    <w:rsid w:val="437F3C65"/>
    <w:rsid w:val="43CA4F48"/>
    <w:rsid w:val="43FE3539"/>
    <w:rsid w:val="43FE78B1"/>
    <w:rsid w:val="440A7CA0"/>
    <w:rsid w:val="4424604A"/>
    <w:rsid w:val="442967DE"/>
    <w:rsid w:val="445014AB"/>
    <w:rsid w:val="44C935E1"/>
    <w:rsid w:val="44CE660D"/>
    <w:rsid w:val="454F0B76"/>
    <w:rsid w:val="45795008"/>
    <w:rsid w:val="4579514B"/>
    <w:rsid w:val="457E2BBE"/>
    <w:rsid w:val="457F72E8"/>
    <w:rsid w:val="45A56FE6"/>
    <w:rsid w:val="45DE083B"/>
    <w:rsid w:val="45E076C0"/>
    <w:rsid w:val="45F36067"/>
    <w:rsid w:val="45F55D0C"/>
    <w:rsid w:val="460C0745"/>
    <w:rsid w:val="463122D8"/>
    <w:rsid w:val="4632053D"/>
    <w:rsid w:val="46577675"/>
    <w:rsid w:val="4662415A"/>
    <w:rsid w:val="4662498C"/>
    <w:rsid w:val="466E26B2"/>
    <w:rsid w:val="468425B0"/>
    <w:rsid w:val="46A022D9"/>
    <w:rsid w:val="46A9554B"/>
    <w:rsid w:val="46B21457"/>
    <w:rsid w:val="46BE1A6C"/>
    <w:rsid w:val="46BE6647"/>
    <w:rsid w:val="46D0431B"/>
    <w:rsid w:val="46EE3897"/>
    <w:rsid w:val="471B3499"/>
    <w:rsid w:val="4730142A"/>
    <w:rsid w:val="475A025C"/>
    <w:rsid w:val="478E4BD2"/>
    <w:rsid w:val="47AB6B38"/>
    <w:rsid w:val="47C848F5"/>
    <w:rsid w:val="47D27E79"/>
    <w:rsid w:val="47D84DCE"/>
    <w:rsid w:val="47DD756D"/>
    <w:rsid w:val="48037A8A"/>
    <w:rsid w:val="48057880"/>
    <w:rsid w:val="48150BC3"/>
    <w:rsid w:val="48377D23"/>
    <w:rsid w:val="486634EE"/>
    <w:rsid w:val="48807890"/>
    <w:rsid w:val="48A64B98"/>
    <w:rsid w:val="48A71804"/>
    <w:rsid w:val="48B30830"/>
    <w:rsid w:val="48BC156D"/>
    <w:rsid w:val="48DF62C3"/>
    <w:rsid w:val="48F765BE"/>
    <w:rsid w:val="490445F2"/>
    <w:rsid w:val="49137521"/>
    <w:rsid w:val="49320F23"/>
    <w:rsid w:val="49A10911"/>
    <w:rsid w:val="49DD73AE"/>
    <w:rsid w:val="49EF6290"/>
    <w:rsid w:val="49F95BD6"/>
    <w:rsid w:val="4A0C7375"/>
    <w:rsid w:val="4A194AA5"/>
    <w:rsid w:val="4A2710F3"/>
    <w:rsid w:val="4A4934DE"/>
    <w:rsid w:val="4A5E47CC"/>
    <w:rsid w:val="4A7D2EA4"/>
    <w:rsid w:val="4A9106FD"/>
    <w:rsid w:val="4AA73240"/>
    <w:rsid w:val="4AB72272"/>
    <w:rsid w:val="4AD703A4"/>
    <w:rsid w:val="4AFF1B0B"/>
    <w:rsid w:val="4B305E1B"/>
    <w:rsid w:val="4B5D2E40"/>
    <w:rsid w:val="4B602D44"/>
    <w:rsid w:val="4B6F0573"/>
    <w:rsid w:val="4BB92D8E"/>
    <w:rsid w:val="4BBB7216"/>
    <w:rsid w:val="4BD07B58"/>
    <w:rsid w:val="4BE87BA5"/>
    <w:rsid w:val="4C076A44"/>
    <w:rsid w:val="4C155F10"/>
    <w:rsid w:val="4C3176AB"/>
    <w:rsid w:val="4C324162"/>
    <w:rsid w:val="4C3C12ED"/>
    <w:rsid w:val="4C415DC1"/>
    <w:rsid w:val="4C571AC7"/>
    <w:rsid w:val="4C6E278E"/>
    <w:rsid w:val="4C87625C"/>
    <w:rsid w:val="4CA95F3B"/>
    <w:rsid w:val="4CB456F9"/>
    <w:rsid w:val="4CC77460"/>
    <w:rsid w:val="4CE45067"/>
    <w:rsid w:val="4CFF538B"/>
    <w:rsid w:val="4D2A4B22"/>
    <w:rsid w:val="4D471EEE"/>
    <w:rsid w:val="4D4D7800"/>
    <w:rsid w:val="4D6D36A4"/>
    <w:rsid w:val="4D7251FF"/>
    <w:rsid w:val="4D7629FC"/>
    <w:rsid w:val="4DDB4948"/>
    <w:rsid w:val="4DE50C0B"/>
    <w:rsid w:val="4DF26BF1"/>
    <w:rsid w:val="4DF831B6"/>
    <w:rsid w:val="4E11105D"/>
    <w:rsid w:val="4E16225A"/>
    <w:rsid w:val="4E253AB8"/>
    <w:rsid w:val="4E3F66C2"/>
    <w:rsid w:val="4E472C92"/>
    <w:rsid w:val="4E824D97"/>
    <w:rsid w:val="4E9D5C2D"/>
    <w:rsid w:val="4EA97FF6"/>
    <w:rsid w:val="4EBA57C1"/>
    <w:rsid w:val="4EC8768D"/>
    <w:rsid w:val="4EEB58EF"/>
    <w:rsid w:val="4EFE6975"/>
    <w:rsid w:val="4F047E0A"/>
    <w:rsid w:val="4F477F24"/>
    <w:rsid w:val="4FA113E3"/>
    <w:rsid w:val="4FA91AAC"/>
    <w:rsid w:val="4FBD0FF5"/>
    <w:rsid w:val="4FC854D7"/>
    <w:rsid w:val="4FD01956"/>
    <w:rsid w:val="50142DE1"/>
    <w:rsid w:val="5015687B"/>
    <w:rsid w:val="501926CA"/>
    <w:rsid w:val="50213118"/>
    <w:rsid w:val="503109FF"/>
    <w:rsid w:val="50397C5E"/>
    <w:rsid w:val="503E4E84"/>
    <w:rsid w:val="503E7F87"/>
    <w:rsid w:val="504544C8"/>
    <w:rsid w:val="504B4026"/>
    <w:rsid w:val="505E3D68"/>
    <w:rsid w:val="505F5918"/>
    <w:rsid w:val="506F5953"/>
    <w:rsid w:val="50C2531E"/>
    <w:rsid w:val="50CE7F89"/>
    <w:rsid w:val="50D13748"/>
    <w:rsid w:val="50D43A3A"/>
    <w:rsid w:val="512A18AC"/>
    <w:rsid w:val="516A440A"/>
    <w:rsid w:val="51B053DC"/>
    <w:rsid w:val="51BA5A6F"/>
    <w:rsid w:val="51C42E16"/>
    <w:rsid w:val="51E179B6"/>
    <w:rsid w:val="51E5538B"/>
    <w:rsid w:val="520D6221"/>
    <w:rsid w:val="52187956"/>
    <w:rsid w:val="525351F4"/>
    <w:rsid w:val="525A6FBC"/>
    <w:rsid w:val="526C0997"/>
    <w:rsid w:val="52855A65"/>
    <w:rsid w:val="52E44E05"/>
    <w:rsid w:val="53311AB3"/>
    <w:rsid w:val="53317F44"/>
    <w:rsid w:val="533D33D1"/>
    <w:rsid w:val="53511F1B"/>
    <w:rsid w:val="5353295D"/>
    <w:rsid w:val="53670B33"/>
    <w:rsid w:val="537735FB"/>
    <w:rsid w:val="53775B6A"/>
    <w:rsid w:val="538F5737"/>
    <w:rsid w:val="53CD7B39"/>
    <w:rsid w:val="53D43855"/>
    <w:rsid w:val="53D6214F"/>
    <w:rsid w:val="53EE1101"/>
    <w:rsid w:val="53FC4E8E"/>
    <w:rsid w:val="541717DC"/>
    <w:rsid w:val="54271D5C"/>
    <w:rsid w:val="544E58B1"/>
    <w:rsid w:val="54976AA9"/>
    <w:rsid w:val="549A3F89"/>
    <w:rsid w:val="54A022DD"/>
    <w:rsid w:val="54DE0134"/>
    <w:rsid w:val="551B5793"/>
    <w:rsid w:val="553C46BA"/>
    <w:rsid w:val="55494082"/>
    <w:rsid w:val="555F54CC"/>
    <w:rsid w:val="557D5B60"/>
    <w:rsid w:val="55834A19"/>
    <w:rsid w:val="559D43FA"/>
    <w:rsid w:val="55CF743F"/>
    <w:rsid w:val="55F27046"/>
    <w:rsid w:val="55F526C6"/>
    <w:rsid w:val="56066DC9"/>
    <w:rsid w:val="560B2337"/>
    <w:rsid w:val="561A7CC7"/>
    <w:rsid w:val="563D3B5A"/>
    <w:rsid w:val="564E1228"/>
    <w:rsid w:val="569D042A"/>
    <w:rsid w:val="56A6131D"/>
    <w:rsid w:val="56A82B00"/>
    <w:rsid w:val="56BC5AD0"/>
    <w:rsid w:val="56D00C68"/>
    <w:rsid w:val="56EB60FD"/>
    <w:rsid w:val="57022BD1"/>
    <w:rsid w:val="57212B27"/>
    <w:rsid w:val="572809C2"/>
    <w:rsid w:val="57480C4D"/>
    <w:rsid w:val="574C27F3"/>
    <w:rsid w:val="57895A45"/>
    <w:rsid w:val="579D6934"/>
    <w:rsid w:val="57A16858"/>
    <w:rsid w:val="57B30CDA"/>
    <w:rsid w:val="57C5313B"/>
    <w:rsid w:val="57D807D4"/>
    <w:rsid w:val="57EA7969"/>
    <w:rsid w:val="57F740F4"/>
    <w:rsid w:val="57FA3D86"/>
    <w:rsid w:val="582D52F7"/>
    <w:rsid w:val="58750691"/>
    <w:rsid w:val="58975E5A"/>
    <w:rsid w:val="58AB575D"/>
    <w:rsid w:val="58BC728D"/>
    <w:rsid w:val="58DD0763"/>
    <w:rsid w:val="58DD46F2"/>
    <w:rsid w:val="58EA22FF"/>
    <w:rsid w:val="58EB59C1"/>
    <w:rsid w:val="59445F91"/>
    <w:rsid w:val="59815208"/>
    <w:rsid w:val="5993057B"/>
    <w:rsid w:val="59A64B68"/>
    <w:rsid w:val="59F001A4"/>
    <w:rsid w:val="5A1E2DE7"/>
    <w:rsid w:val="5A20427A"/>
    <w:rsid w:val="5A331DE9"/>
    <w:rsid w:val="5A395FB6"/>
    <w:rsid w:val="5A436A2D"/>
    <w:rsid w:val="5A6439D8"/>
    <w:rsid w:val="5A9833A8"/>
    <w:rsid w:val="5AAC047B"/>
    <w:rsid w:val="5B0A066E"/>
    <w:rsid w:val="5B123FA7"/>
    <w:rsid w:val="5B5E18A4"/>
    <w:rsid w:val="5B613C0E"/>
    <w:rsid w:val="5B755A94"/>
    <w:rsid w:val="5B7E4A2B"/>
    <w:rsid w:val="5B955E96"/>
    <w:rsid w:val="5B9B3675"/>
    <w:rsid w:val="5BA26571"/>
    <w:rsid w:val="5BCA6564"/>
    <w:rsid w:val="5BCD355F"/>
    <w:rsid w:val="5BD66D67"/>
    <w:rsid w:val="5BFE7E52"/>
    <w:rsid w:val="5C107D40"/>
    <w:rsid w:val="5C1E3775"/>
    <w:rsid w:val="5C381264"/>
    <w:rsid w:val="5C3B0D6A"/>
    <w:rsid w:val="5C672644"/>
    <w:rsid w:val="5C6A3A2D"/>
    <w:rsid w:val="5C8132C7"/>
    <w:rsid w:val="5CA23A25"/>
    <w:rsid w:val="5CC26330"/>
    <w:rsid w:val="5CD67F41"/>
    <w:rsid w:val="5CDF760E"/>
    <w:rsid w:val="5D017C51"/>
    <w:rsid w:val="5D3C274B"/>
    <w:rsid w:val="5D4165A3"/>
    <w:rsid w:val="5D463591"/>
    <w:rsid w:val="5D4F2A78"/>
    <w:rsid w:val="5D570A59"/>
    <w:rsid w:val="5D792AE4"/>
    <w:rsid w:val="5DAC778D"/>
    <w:rsid w:val="5DC25C67"/>
    <w:rsid w:val="5DD97571"/>
    <w:rsid w:val="5E101ABB"/>
    <w:rsid w:val="5E2F58D3"/>
    <w:rsid w:val="5E5A06FD"/>
    <w:rsid w:val="5E7F5A64"/>
    <w:rsid w:val="5E8425FB"/>
    <w:rsid w:val="5E9342EC"/>
    <w:rsid w:val="5EA27CF7"/>
    <w:rsid w:val="5EBC3C1E"/>
    <w:rsid w:val="5EC47248"/>
    <w:rsid w:val="5F3815EE"/>
    <w:rsid w:val="5F5C32D6"/>
    <w:rsid w:val="5F904FD0"/>
    <w:rsid w:val="5FB10E83"/>
    <w:rsid w:val="5FCF6A24"/>
    <w:rsid w:val="5FDC6467"/>
    <w:rsid w:val="5FDC7576"/>
    <w:rsid w:val="5FFD96AC"/>
    <w:rsid w:val="60084BEC"/>
    <w:rsid w:val="600E788A"/>
    <w:rsid w:val="60173C67"/>
    <w:rsid w:val="60206354"/>
    <w:rsid w:val="603911C4"/>
    <w:rsid w:val="604130CF"/>
    <w:rsid w:val="60572C99"/>
    <w:rsid w:val="60663C94"/>
    <w:rsid w:val="60794FD4"/>
    <w:rsid w:val="60814FEF"/>
    <w:rsid w:val="60946411"/>
    <w:rsid w:val="60A05F91"/>
    <w:rsid w:val="60AE4E89"/>
    <w:rsid w:val="60CD4AC4"/>
    <w:rsid w:val="60D32F5A"/>
    <w:rsid w:val="610E2B4C"/>
    <w:rsid w:val="61296084"/>
    <w:rsid w:val="613E3956"/>
    <w:rsid w:val="61856288"/>
    <w:rsid w:val="619945D7"/>
    <w:rsid w:val="61C210E3"/>
    <w:rsid w:val="61C24BFD"/>
    <w:rsid w:val="61DE43D4"/>
    <w:rsid w:val="61E06967"/>
    <w:rsid w:val="61ED083B"/>
    <w:rsid w:val="624216A0"/>
    <w:rsid w:val="626343A0"/>
    <w:rsid w:val="626736F9"/>
    <w:rsid w:val="62683FE2"/>
    <w:rsid w:val="626B4082"/>
    <w:rsid w:val="626B6B00"/>
    <w:rsid w:val="628E1BE9"/>
    <w:rsid w:val="629E645C"/>
    <w:rsid w:val="62C126EC"/>
    <w:rsid w:val="62CF1703"/>
    <w:rsid w:val="62D06FF9"/>
    <w:rsid w:val="62D358FF"/>
    <w:rsid w:val="62D765EB"/>
    <w:rsid w:val="6329057B"/>
    <w:rsid w:val="63320ECD"/>
    <w:rsid w:val="636B22CC"/>
    <w:rsid w:val="636C198B"/>
    <w:rsid w:val="63B65AC7"/>
    <w:rsid w:val="63D7428B"/>
    <w:rsid w:val="63E540E9"/>
    <w:rsid w:val="64002DAD"/>
    <w:rsid w:val="640B0A0C"/>
    <w:rsid w:val="640C4C0D"/>
    <w:rsid w:val="643B5584"/>
    <w:rsid w:val="645830D7"/>
    <w:rsid w:val="64675414"/>
    <w:rsid w:val="646D58E0"/>
    <w:rsid w:val="647258C3"/>
    <w:rsid w:val="64763CBE"/>
    <w:rsid w:val="648D31A2"/>
    <w:rsid w:val="64947D16"/>
    <w:rsid w:val="64AA2E73"/>
    <w:rsid w:val="64B8434A"/>
    <w:rsid w:val="64C5008F"/>
    <w:rsid w:val="64E8446E"/>
    <w:rsid w:val="64E959FD"/>
    <w:rsid w:val="64F9CCE6"/>
    <w:rsid w:val="65073BFF"/>
    <w:rsid w:val="651B5828"/>
    <w:rsid w:val="65305110"/>
    <w:rsid w:val="65376B47"/>
    <w:rsid w:val="654042F5"/>
    <w:rsid w:val="65E44DFA"/>
    <w:rsid w:val="65F66C79"/>
    <w:rsid w:val="660447CA"/>
    <w:rsid w:val="663253A5"/>
    <w:rsid w:val="665622BC"/>
    <w:rsid w:val="66653739"/>
    <w:rsid w:val="666C4EE6"/>
    <w:rsid w:val="66792487"/>
    <w:rsid w:val="66A5640D"/>
    <w:rsid w:val="66B86EDC"/>
    <w:rsid w:val="66FB0FDC"/>
    <w:rsid w:val="66FC5AFF"/>
    <w:rsid w:val="6709462E"/>
    <w:rsid w:val="67127912"/>
    <w:rsid w:val="671E1113"/>
    <w:rsid w:val="6777196F"/>
    <w:rsid w:val="678A1ED0"/>
    <w:rsid w:val="67AB61F8"/>
    <w:rsid w:val="67BA7741"/>
    <w:rsid w:val="67E6170C"/>
    <w:rsid w:val="67ED1A09"/>
    <w:rsid w:val="67ED1BBE"/>
    <w:rsid w:val="680D0CA5"/>
    <w:rsid w:val="68122C4A"/>
    <w:rsid w:val="686C7F9F"/>
    <w:rsid w:val="686E4E9E"/>
    <w:rsid w:val="68A45648"/>
    <w:rsid w:val="68A5668C"/>
    <w:rsid w:val="68BD44C2"/>
    <w:rsid w:val="68D27297"/>
    <w:rsid w:val="6911241F"/>
    <w:rsid w:val="69586B5E"/>
    <w:rsid w:val="698536CB"/>
    <w:rsid w:val="69B55D5F"/>
    <w:rsid w:val="69B67115"/>
    <w:rsid w:val="69B82DF4"/>
    <w:rsid w:val="69EF53B4"/>
    <w:rsid w:val="69FB8724"/>
    <w:rsid w:val="6A126DD2"/>
    <w:rsid w:val="6A420E56"/>
    <w:rsid w:val="6A5F4F63"/>
    <w:rsid w:val="6A811C2E"/>
    <w:rsid w:val="6A924E32"/>
    <w:rsid w:val="6A94008C"/>
    <w:rsid w:val="6AC635A8"/>
    <w:rsid w:val="6AE60947"/>
    <w:rsid w:val="6AEF6EB8"/>
    <w:rsid w:val="6AFD0629"/>
    <w:rsid w:val="6B0B374F"/>
    <w:rsid w:val="6B0E6D92"/>
    <w:rsid w:val="6B17074E"/>
    <w:rsid w:val="6B1F0CCB"/>
    <w:rsid w:val="6B4A6EF2"/>
    <w:rsid w:val="6B6234E5"/>
    <w:rsid w:val="6B7610DD"/>
    <w:rsid w:val="6BA67A32"/>
    <w:rsid w:val="6BBD11F5"/>
    <w:rsid w:val="6BC72CB2"/>
    <w:rsid w:val="6BCE1834"/>
    <w:rsid w:val="6BD12800"/>
    <w:rsid w:val="6BF30DC0"/>
    <w:rsid w:val="6C022DB1"/>
    <w:rsid w:val="6C172034"/>
    <w:rsid w:val="6C1B1096"/>
    <w:rsid w:val="6C5E02FC"/>
    <w:rsid w:val="6C721812"/>
    <w:rsid w:val="6C8B0F52"/>
    <w:rsid w:val="6CDD0DD0"/>
    <w:rsid w:val="6CFA7DB1"/>
    <w:rsid w:val="6D0127E4"/>
    <w:rsid w:val="6D135E16"/>
    <w:rsid w:val="6D1C168A"/>
    <w:rsid w:val="6D347A31"/>
    <w:rsid w:val="6D3668DD"/>
    <w:rsid w:val="6D471CAB"/>
    <w:rsid w:val="6D540140"/>
    <w:rsid w:val="6D70425D"/>
    <w:rsid w:val="6DAC0977"/>
    <w:rsid w:val="6DB941BD"/>
    <w:rsid w:val="6DC60F63"/>
    <w:rsid w:val="6DC618A6"/>
    <w:rsid w:val="6DDA6225"/>
    <w:rsid w:val="6DE456D2"/>
    <w:rsid w:val="6DF11063"/>
    <w:rsid w:val="6DFC64FD"/>
    <w:rsid w:val="6E3B32BE"/>
    <w:rsid w:val="6E4C770B"/>
    <w:rsid w:val="6E5F1098"/>
    <w:rsid w:val="6E6F2793"/>
    <w:rsid w:val="6E703D8E"/>
    <w:rsid w:val="6E732CC4"/>
    <w:rsid w:val="6E84323D"/>
    <w:rsid w:val="6E942A76"/>
    <w:rsid w:val="6EA41FA2"/>
    <w:rsid w:val="6EA87C9B"/>
    <w:rsid w:val="6EB44AD4"/>
    <w:rsid w:val="6F313FE8"/>
    <w:rsid w:val="6F381CAC"/>
    <w:rsid w:val="6F6128C1"/>
    <w:rsid w:val="6F7173E3"/>
    <w:rsid w:val="6F9C6902"/>
    <w:rsid w:val="6F9E6156"/>
    <w:rsid w:val="6FA0729C"/>
    <w:rsid w:val="6FD01F71"/>
    <w:rsid w:val="70100CA2"/>
    <w:rsid w:val="70393572"/>
    <w:rsid w:val="706E27A1"/>
    <w:rsid w:val="70A24D48"/>
    <w:rsid w:val="70AA6167"/>
    <w:rsid w:val="70BA64EF"/>
    <w:rsid w:val="70C42D2B"/>
    <w:rsid w:val="70C900DF"/>
    <w:rsid w:val="70F80524"/>
    <w:rsid w:val="710A2419"/>
    <w:rsid w:val="710E65A0"/>
    <w:rsid w:val="712D6B22"/>
    <w:rsid w:val="71326D32"/>
    <w:rsid w:val="71453598"/>
    <w:rsid w:val="714C2CD0"/>
    <w:rsid w:val="715A596A"/>
    <w:rsid w:val="717C247D"/>
    <w:rsid w:val="717F26E4"/>
    <w:rsid w:val="71816B8E"/>
    <w:rsid w:val="71832D29"/>
    <w:rsid w:val="71907818"/>
    <w:rsid w:val="71B252F9"/>
    <w:rsid w:val="71C13B33"/>
    <w:rsid w:val="71E95916"/>
    <w:rsid w:val="71EB1F0E"/>
    <w:rsid w:val="7203413E"/>
    <w:rsid w:val="72161DBF"/>
    <w:rsid w:val="72191ED0"/>
    <w:rsid w:val="72495B34"/>
    <w:rsid w:val="7250588C"/>
    <w:rsid w:val="726F5278"/>
    <w:rsid w:val="727E786A"/>
    <w:rsid w:val="72887FD4"/>
    <w:rsid w:val="72BD0544"/>
    <w:rsid w:val="72C0472D"/>
    <w:rsid w:val="72D11D5C"/>
    <w:rsid w:val="72DB0ED8"/>
    <w:rsid w:val="72DC3720"/>
    <w:rsid w:val="72E4193A"/>
    <w:rsid w:val="72E85DAD"/>
    <w:rsid w:val="732303D9"/>
    <w:rsid w:val="7344428A"/>
    <w:rsid w:val="734979C3"/>
    <w:rsid w:val="734A25E8"/>
    <w:rsid w:val="73532CC9"/>
    <w:rsid w:val="73B646AF"/>
    <w:rsid w:val="73D73D11"/>
    <w:rsid w:val="73E95EE8"/>
    <w:rsid w:val="744975DD"/>
    <w:rsid w:val="74610332"/>
    <w:rsid w:val="746920A5"/>
    <w:rsid w:val="74A62C0B"/>
    <w:rsid w:val="74AE06FF"/>
    <w:rsid w:val="74BD1F21"/>
    <w:rsid w:val="74CB1EDB"/>
    <w:rsid w:val="74DE73F5"/>
    <w:rsid w:val="74E0439D"/>
    <w:rsid w:val="7517095A"/>
    <w:rsid w:val="751E77AF"/>
    <w:rsid w:val="75462718"/>
    <w:rsid w:val="757A6A57"/>
    <w:rsid w:val="758E1A5F"/>
    <w:rsid w:val="75D07F8B"/>
    <w:rsid w:val="75EE25EF"/>
    <w:rsid w:val="75EE5669"/>
    <w:rsid w:val="76957051"/>
    <w:rsid w:val="76BD4232"/>
    <w:rsid w:val="76C10199"/>
    <w:rsid w:val="76C57BCB"/>
    <w:rsid w:val="76D101FA"/>
    <w:rsid w:val="76D23D36"/>
    <w:rsid w:val="76D474B3"/>
    <w:rsid w:val="76F927CD"/>
    <w:rsid w:val="77045D62"/>
    <w:rsid w:val="772F78A5"/>
    <w:rsid w:val="773B2934"/>
    <w:rsid w:val="773E064E"/>
    <w:rsid w:val="774E1211"/>
    <w:rsid w:val="77745D03"/>
    <w:rsid w:val="77797E47"/>
    <w:rsid w:val="777B71D8"/>
    <w:rsid w:val="77A54D53"/>
    <w:rsid w:val="77AB25AD"/>
    <w:rsid w:val="77D75F2B"/>
    <w:rsid w:val="77FC6767"/>
    <w:rsid w:val="77FE2FC7"/>
    <w:rsid w:val="781A0BEC"/>
    <w:rsid w:val="78202415"/>
    <w:rsid w:val="78213FC9"/>
    <w:rsid w:val="78572B59"/>
    <w:rsid w:val="78576736"/>
    <w:rsid w:val="78701D9C"/>
    <w:rsid w:val="78B83176"/>
    <w:rsid w:val="78C0202A"/>
    <w:rsid w:val="78F9F6D3"/>
    <w:rsid w:val="78FA0671"/>
    <w:rsid w:val="793A634F"/>
    <w:rsid w:val="797A5A56"/>
    <w:rsid w:val="798635EB"/>
    <w:rsid w:val="79A5750A"/>
    <w:rsid w:val="79CF368F"/>
    <w:rsid w:val="79E310B9"/>
    <w:rsid w:val="79ED0DA8"/>
    <w:rsid w:val="7A0C1011"/>
    <w:rsid w:val="7A0E7A81"/>
    <w:rsid w:val="7A321CDB"/>
    <w:rsid w:val="7A567B6E"/>
    <w:rsid w:val="7A6E32C8"/>
    <w:rsid w:val="7AB0113D"/>
    <w:rsid w:val="7AC900CF"/>
    <w:rsid w:val="7B052FBD"/>
    <w:rsid w:val="7B1C36F3"/>
    <w:rsid w:val="7B2F54B5"/>
    <w:rsid w:val="7B4A73FF"/>
    <w:rsid w:val="7B5A5A6C"/>
    <w:rsid w:val="7B5C250E"/>
    <w:rsid w:val="7B5C3BBA"/>
    <w:rsid w:val="7B6273C9"/>
    <w:rsid w:val="7B6D0F87"/>
    <w:rsid w:val="7B72691F"/>
    <w:rsid w:val="7B783FD8"/>
    <w:rsid w:val="7B945E14"/>
    <w:rsid w:val="7B9A3DB8"/>
    <w:rsid w:val="7BA113AB"/>
    <w:rsid w:val="7BD52290"/>
    <w:rsid w:val="7BD568A0"/>
    <w:rsid w:val="7BDF074F"/>
    <w:rsid w:val="7BE22960"/>
    <w:rsid w:val="7BF20E1E"/>
    <w:rsid w:val="7BFF70BE"/>
    <w:rsid w:val="7C1B29E5"/>
    <w:rsid w:val="7C1E325F"/>
    <w:rsid w:val="7C3D3469"/>
    <w:rsid w:val="7C551B8B"/>
    <w:rsid w:val="7C5728ED"/>
    <w:rsid w:val="7C9408F4"/>
    <w:rsid w:val="7CB83597"/>
    <w:rsid w:val="7CB90CC2"/>
    <w:rsid w:val="7CC7518F"/>
    <w:rsid w:val="7CC752E0"/>
    <w:rsid w:val="7CE04A49"/>
    <w:rsid w:val="7CFB2CE9"/>
    <w:rsid w:val="7CFBCE9D"/>
    <w:rsid w:val="7D0C34C4"/>
    <w:rsid w:val="7D212CA5"/>
    <w:rsid w:val="7D255EE2"/>
    <w:rsid w:val="7D293184"/>
    <w:rsid w:val="7D4B3EE6"/>
    <w:rsid w:val="7D6112EF"/>
    <w:rsid w:val="7D68620F"/>
    <w:rsid w:val="7D69777E"/>
    <w:rsid w:val="7D6FB106"/>
    <w:rsid w:val="7D752C5B"/>
    <w:rsid w:val="7D7C3FEC"/>
    <w:rsid w:val="7D927DC0"/>
    <w:rsid w:val="7D9F66B2"/>
    <w:rsid w:val="7DA222B6"/>
    <w:rsid w:val="7DB34706"/>
    <w:rsid w:val="7DD10525"/>
    <w:rsid w:val="7E1A0A9F"/>
    <w:rsid w:val="7E3C401A"/>
    <w:rsid w:val="7E641213"/>
    <w:rsid w:val="7E8F2BCB"/>
    <w:rsid w:val="7EA7EB6C"/>
    <w:rsid w:val="7EAD3628"/>
    <w:rsid w:val="7EB859C9"/>
    <w:rsid w:val="7ECB1729"/>
    <w:rsid w:val="7ECB4935"/>
    <w:rsid w:val="7EE33139"/>
    <w:rsid w:val="7EEBD690"/>
    <w:rsid w:val="7EF34773"/>
    <w:rsid w:val="7EF931C4"/>
    <w:rsid w:val="7F0D08DC"/>
    <w:rsid w:val="7F173D26"/>
    <w:rsid w:val="7F385028"/>
    <w:rsid w:val="7F457705"/>
    <w:rsid w:val="7F666017"/>
    <w:rsid w:val="7F6FBE70"/>
    <w:rsid w:val="7F714EE5"/>
    <w:rsid w:val="7F765549"/>
    <w:rsid w:val="7F7F2734"/>
    <w:rsid w:val="7FA63F96"/>
    <w:rsid w:val="7FB9287C"/>
    <w:rsid w:val="7FC32F20"/>
    <w:rsid w:val="7FCC47FD"/>
    <w:rsid w:val="7FD31973"/>
    <w:rsid w:val="7FE15B01"/>
    <w:rsid w:val="7FFB1B6E"/>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pPr>
  </w:style>
  <w:style w:type="paragraph" w:styleId="3">
    <w:name w:val="Body Text Indent"/>
    <w:basedOn w:val="1"/>
    <w:next w:val="1"/>
    <w:link w:val="74"/>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8"/>
    <w:qFormat/>
    <w:uiPriority w:val="0"/>
    <w:pPr>
      <w:ind w:firstLine="420" w:firstLineChars="200"/>
    </w:p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w:basedOn w:val="1"/>
    <w:next w:val="1"/>
    <w:link w:val="64"/>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9"/>
    <w:qFormat/>
    <w:uiPriority w:val="0"/>
    <w:rPr>
      <w:kern w:val="0"/>
      <w:sz w:val="18"/>
      <w:szCs w:val="18"/>
    </w:rPr>
  </w:style>
  <w:style w:type="paragraph" w:styleId="27">
    <w:name w:val="footer"/>
    <w:basedOn w:val="1"/>
    <w:link w:val="93"/>
    <w:qFormat/>
    <w:uiPriority w:val="99"/>
    <w:pPr>
      <w:tabs>
        <w:tab w:val="center" w:pos="4153"/>
        <w:tab w:val="right" w:pos="8306"/>
      </w:tabs>
      <w:snapToGrid w:val="0"/>
      <w:jc w:val="left"/>
    </w:pPr>
    <w:rPr>
      <w:kern w:val="0"/>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eastAsia="宋体"/>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5"/>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5"/>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7"/>
    <w:qFormat/>
    <w:uiPriority w:val="0"/>
    <w:rPr>
      <w:b/>
      <w:bCs/>
    </w:rPr>
  </w:style>
  <w:style w:type="paragraph" w:styleId="42">
    <w:name w:val="Body Text First Indent"/>
    <w:basedOn w:val="18"/>
    <w:qFormat/>
    <w:uiPriority w:val="0"/>
    <w:pPr>
      <w:adjustRightInd w:val="0"/>
      <w:spacing w:line="275" w:lineRule="atLeast"/>
      <w:ind w:firstLine="420"/>
      <w:textAlignment w:val="baseline"/>
    </w:pPr>
    <w:rPr>
      <w:rFonts w:ascii="宋体" w:eastAsia="楷体_GB2312"/>
      <w:sz w:val="24"/>
      <w:szCs w:val="20"/>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6"/>
    <w:qFormat/>
    <w:uiPriority w:val="0"/>
    <w:rPr>
      <w:rFonts w:ascii="Times New Roman" w:hAnsi="Times New Roman" w:eastAsia="宋体" w:cs="Times New Roman"/>
      <w:b/>
      <w:bCs/>
      <w:sz w:val="32"/>
      <w:szCs w:val="32"/>
    </w:rPr>
  </w:style>
  <w:style w:type="character" w:customStyle="1" w:styleId="57">
    <w:name w:val="批注文字 Char1"/>
    <w:link w:val="16"/>
    <w:semiHidden/>
    <w:qFormat/>
    <w:uiPriority w:val="99"/>
    <w:rPr>
      <w:rFonts w:ascii="Times New Roman" w:hAnsi="Times New Roman" w:eastAsia="宋体" w:cs="Times New Roman"/>
      <w:szCs w:val="24"/>
    </w:rPr>
  </w:style>
  <w:style w:type="character" w:customStyle="1" w:styleId="58">
    <w:name w:val="标题 6 Char"/>
    <w:link w:val="8"/>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18"/>
    <w:qFormat/>
    <w:uiPriority w:val="0"/>
    <w:rPr>
      <w:rFonts w:eastAsia="宋体"/>
      <w:szCs w:val="24"/>
    </w:rPr>
  </w:style>
  <w:style w:type="character" w:customStyle="1" w:styleId="65">
    <w:name w:val="脚注文本 Char"/>
    <w:link w:val="31"/>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1"/>
    <w:qFormat/>
    <w:uiPriority w:val="0"/>
    <w:rPr>
      <w:rFonts w:ascii="Times New Roman" w:hAnsi="Times New Roman" w:eastAsia="宋体" w:cs="Times New Roman"/>
      <w:b/>
      <w:bCs/>
      <w:szCs w:val="24"/>
    </w:rPr>
  </w:style>
  <w:style w:type="character" w:customStyle="1" w:styleId="68">
    <w:name w:val="正文缩进 Char"/>
    <w:link w:val="14"/>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8"/>
    <w:qFormat/>
    <w:uiPriority w:val="0"/>
    <w:rPr>
      <w:rFonts w:ascii="Times New Roman" w:hAnsi="Times New Roman" w:eastAsia="宋体" w:cs="Times New Roman"/>
      <w:sz w:val="18"/>
      <w:szCs w:val="18"/>
    </w:rPr>
  </w:style>
  <w:style w:type="character" w:customStyle="1" w:styleId="72">
    <w:name w:val="标题 9 Char"/>
    <w:link w:val="11"/>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3"/>
    <w:qFormat/>
    <w:uiPriority w:val="0"/>
    <w:rPr>
      <w:szCs w:val="24"/>
    </w:rPr>
  </w:style>
  <w:style w:type="character" w:customStyle="1" w:styleId="75">
    <w:name w:val="文档结构图 Char"/>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5"/>
    <w:qFormat/>
    <w:uiPriority w:val="0"/>
    <w:rPr>
      <w:rFonts w:ascii="Arial" w:hAnsi="Arial" w:eastAsia="黑体" w:cs="Times New Roman"/>
      <w:b/>
      <w:bCs/>
      <w:sz w:val="32"/>
      <w:szCs w:val="32"/>
    </w:rPr>
  </w:style>
  <w:style w:type="character" w:customStyle="1" w:styleId="78">
    <w:name w:val="标题 Char"/>
    <w:link w:val="40"/>
    <w:qFormat/>
    <w:uiPriority w:val="0"/>
    <w:rPr>
      <w:rFonts w:ascii="Arial" w:hAnsi="Arial"/>
      <w:b/>
      <w:sz w:val="32"/>
    </w:rPr>
  </w:style>
  <w:style w:type="character" w:customStyle="1" w:styleId="79">
    <w:name w:val="批注框文本 Char"/>
    <w:link w:val="26"/>
    <w:qFormat/>
    <w:uiPriority w:val="0"/>
    <w:rPr>
      <w:rFonts w:ascii="Times New Roman" w:hAnsi="Times New Roman" w:eastAsia="宋体" w:cs="Times New Roman"/>
      <w:sz w:val="18"/>
      <w:szCs w:val="18"/>
    </w:rPr>
  </w:style>
  <w:style w:type="character" w:customStyle="1" w:styleId="80">
    <w:name w:val="标题 8 Char"/>
    <w:link w:val="10"/>
    <w:qFormat/>
    <w:uiPriority w:val="0"/>
    <w:rPr>
      <w:rFonts w:ascii="Arial" w:hAnsi="Arial" w:eastAsia="黑体" w:cs="Times New Roman"/>
      <w:kern w:val="0"/>
      <w:sz w:val="24"/>
      <w:szCs w:val="24"/>
    </w:rPr>
  </w:style>
  <w:style w:type="character" w:customStyle="1" w:styleId="81">
    <w:name w:val="日期 Char"/>
    <w:link w:val="24"/>
    <w:qFormat/>
    <w:uiPriority w:val="0"/>
    <w:rPr>
      <w:rFonts w:ascii="Times New Roman" w:hAnsi="Times New Roman" w:eastAsia="宋体" w:cs="Times New Roman"/>
      <w:sz w:val="24"/>
      <w:szCs w:val="20"/>
    </w:rPr>
  </w:style>
  <w:style w:type="character" w:customStyle="1" w:styleId="82">
    <w:name w:val="标题 1 Char"/>
    <w:link w:val="4"/>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3"/>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7"/>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7"/>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7"/>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2"/>
    <w:qFormat/>
    <w:uiPriority w:val="99"/>
    <w:rPr>
      <w:rFonts w:ascii="Courier New" w:hAnsi="Courier New"/>
    </w:rPr>
  </w:style>
  <w:style w:type="character" w:customStyle="1" w:styleId="98">
    <w:name w:val="标题 7 Char"/>
    <w:link w:val="9"/>
    <w:qFormat/>
    <w:uiPriority w:val="0"/>
    <w:rPr>
      <w:rFonts w:ascii="Times New Roman" w:hAnsi="Times New Roman" w:eastAsia="宋体" w:cs="Times New Roman"/>
      <w:b/>
      <w:bCs/>
      <w:kern w:val="0"/>
      <w:sz w:val="24"/>
      <w:szCs w:val="24"/>
    </w:rPr>
  </w:style>
  <w:style w:type="paragraph" w:customStyle="1" w:styleId="99">
    <w:name w:val="样式4"/>
    <w:basedOn w:val="6"/>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6"/>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6"/>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6"/>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26</Pages>
  <Words>8534</Words>
  <Characters>8791</Characters>
  <Lines>1</Lines>
  <Paragraphs>1</Paragraphs>
  <TotalTime>8</TotalTime>
  <ScaleCrop>false</ScaleCrop>
  <LinksUpToDate>false</LinksUpToDate>
  <CharactersWithSpaces>9636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2020-05-01T00:16:00Z</dcterms:created>
  <dc:creator>陈桂兰</dc:creator>
  <cp:lastModifiedBy>毕浪</cp:lastModifiedBy>
  <cp:lastPrinted>2022-06-08T10:10:00Z</cp:lastPrinted>
  <dcterms:modified xsi:type="dcterms:W3CDTF">2023-09-07T03:23:54Z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