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firstLine="391"/>
        <w:jc w:val="left"/>
        <w:rPr>
          <w:rFonts w:hint="eastAsia" w:ascii="宋体" w:hAnsi="宋体" w:eastAsia="宋体" w:cs="Times New Roman"/>
          <w:color w:val="000000"/>
          <w:kern w:val="0"/>
          <w:sz w:val="40"/>
          <w:szCs w:val="40"/>
          <w:lang w:val="en-US" w:eastAsia="zh-CN"/>
        </w:rPr>
      </w:pPr>
      <w:bookmarkStart w:id="0" w:name="_GoBack"/>
      <w:bookmarkEnd w:id="0"/>
      <w:r>
        <w:rPr>
          <w:rFonts w:hint="eastAsia" w:ascii="宋体" w:hAnsi="宋体" w:eastAsia="宋体" w:cs="Times New Roman"/>
          <w:color w:val="000000"/>
          <w:kern w:val="0"/>
          <w:sz w:val="40"/>
          <w:szCs w:val="40"/>
          <w:lang w:val="en-US" w:eastAsia="zh-CN"/>
        </w:rPr>
        <w:t>附件5：</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重庆市城乡建设委员会</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转发重庆市物价局关于工程造价咨询</w:t>
      </w:r>
    </w:p>
    <w:p>
      <w:pPr>
        <w:widowControl/>
        <w:spacing w:line="480" w:lineRule="auto"/>
        <w:ind w:firstLine="391"/>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服务收费标准的通知</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各区县（自治县）城乡建委，两江新区、北部新区、经开区、高新区、万盛经开区、双桥经开区建设局，工程造价管理协会，各工程造价咨询企业，有关单位：</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为进一步规范建设工程造价咨询服务收费行为，促进造价咨询行业健康发展，维护当事人合法权益，重庆市物价局颁发了《关于工程造价咨询服务收费标准的通知》（渝价〔2013〕428号），现转发你们，结合我市工程造价咨询行业管理实际，提出如下要求，请一并贯彻执行。</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一、工程造价咨询服务收费应当遵循公开、公正、公平、自愿有偿、诚实信用的原则，各工程造价咨询企业应严格按照重庆市物价局规定标准进行造价咨询服务收费，不得自立收费项目、提高收费标准；不得以降低服务质量为代价，恶意压低收费标准进行不正当竞争，收费下浮不得超过20%。</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二、各工程造价咨询企业应当遵守国家法律法规和行业行为准则，诚实守信经营，与委托人依法签订服务合同，明确服务内容和收费标准，严格按照业务规程提供质量合格的服务。</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三、各区县城乡建委要加大对工程造价咨询企业违反本通知第一条之规定进行不正当竞争行为的查处力度，并将处罚情况及时上报市城乡建委。市城乡建委造价管理机构将把工程造价咨询企业收费标准的执行情况纳入企业诚信评价内容，并与企业资质动态监管联动。</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四、行业协会要加强对工程造价咨询行业的自律管理，加强对工程造价咨询企业的收费情况及造价咨询成果文件质量情况的自律检查。发现工程造价咨询企业违反本通知第一条之规定进行不正当竞争时，要及时报告城乡建设主管部门。</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附件：重庆市物价局关于工程造价咨询服务收费标准的通知（渝价〔2013〕428号）</w:t>
      </w:r>
    </w:p>
    <w:p>
      <w:pPr>
        <w:widowControl/>
        <w:spacing w:line="480" w:lineRule="auto"/>
        <w:ind w:firstLine="39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 xml:space="preserve">重庆市城乡建设委员会 </w:t>
      </w:r>
    </w:p>
    <w:p>
      <w:pPr>
        <w:widowControl/>
        <w:spacing w:line="480" w:lineRule="auto"/>
        <w:ind w:right="320" w:firstLine="39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2014年1月9日</w:t>
      </w:r>
    </w:p>
    <w:p>
      <w:pPr>
        <w:widowControl/>
        <w:spacing w:line="480" w:lineRule="auto"/>
        <w:jc w:val="center"/>
        <w:rPr>
          <w:rFonts w:hint="eastAsia" w:ascii="宋体" w:hAnsi="宋体" w:eastAsia="宋体" w:cs="Times New Roman"/>
          <w:color w:val="000000"/>
          <w:kern w:val="0"/>
          <w:sz w:val="44"/>
          <w:szCs w:val="44"/>
        </w:rPr>
      </w:pPr>
      <w:r>
        <w:rPr>
          <w:rFonts w:hint="eastAsia" w:ascii="宋体" w:hAnsi="宋体" w:eastAsia="宋体" w:cs="Times New Roman"/>
          <w:color w:val="000000"/>
          <w:kern w:val="0"/>
          <w:sz w:val="44"/>
          <w:szCs w:val="44"/>
        </w:rPr>
        <w:br w:type="page"/>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重庆市物价局关于</w:t>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44"/>
          <w:szCs w:val="44"/>
        </w:rPr>
        <w:t>工程造价咨询服务收费标准的通知</w:t>
      </w:r>
    </w:p>
    <w:p>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渝价[2013]428号</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重庆市建设工程造价管理总站、各有关单位：</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根据国家中介服务收费管理办法有关规定，经研究，现就我市工程造价咨询服务收费有关事项通知如下：</w:t>
      </w:r>
    </w:p>
    <w:p>
      <w:pPr>
        <w:widowControl/>
        <w:spacing w:line="48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一、工程造价咨询服务收费属经营服务性收费，实行政府指导价管理。</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二、收费项目及标准</w:t>
      </w:r>
    </w:p>
    <w:p>
      <w:pPr>
        <w:widowControl/>
        <w:spacing w:line="480" w:lineRule="auto"/>
        <w:ind w:firstLine="480"/>
        <w:jc w:val="left"/>
        <w:rPr>
          <w:rFonts w:hint="eastAsia" w:ascii="宋体" w:hAnsi="宋体" w:eastAsia="宋体" w:cs="Times New Roman"/>
          <w:color w:val="000000"/>
          <w:kern w:val="0"/>
          <w:sz w:val="32"/>
          <w:szCs w:val="32"/>
        </w:rPr>
      </w:pPr>
      <w:r>
        <w:rPr>
          <w:rFonts w:hint="eastAsia" w:ascii="宋体" w:hAnsi="宋体" w:eastAsia="宋体" w:cs="Times New Roman"/>
          <w:color w:val="000000"/>
          <w:kern w:val="0"/>
          <w:sz w:val="32"/>
          <w:szCs w:val="32"/>
        </w:rPr>
        <w:t>（一）工程造价咨询服务收费采用定额计价或者清单计价两种计费方式，具体标准见附表1和附表2。工程造价咨询服务单位可以根据业主委托的工作量大小、咨询服务项目的难易程度等具体情况，在附表规定的标准内向下浮动，但下浮不得超过20%。</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二）施工阶段工程造价全过程控制服务包括以下工作内容：施工方案的经济评价、设计变更的经济分析、参与施工阶段的现场计量、现场签证、新增项目的价格审核及评价、建筑材料认（审）价、工程进度款审核、专业分包造价控制、工程索赔和反索赔咨询、有关工程造价信息及法规咨询、完工后的结算审核等与造价控制有关的其他服务工作。</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三、工程造价咨询服务实行“谁委托谁付费”的自愿服务原则。</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委托人可自主选择工程造价咨询单位提供服务，工程造价咨询单位不得强制或变相强制当事人接受服务收费。工程造价咨询单位的收费行为应当按本通知规定执行，不得自立收费项目、提高收费标准。</w:t>
      </w:r>
    </w:p>
    <w:p>
      <w:pPr>
        <w:widowControl/>
        <w:spacing w:line="480" w:lineRule="auto"/>
        <w:ind w:firstLine="64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四、加强动态管理。</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为加强工程造价咨询服务收费的动态管理，重庆市建设工程造价管理总站应配合市价格主管部门加强行业的收费监管，将每年将各工程造价咨询收费单位的收支情况汇总报我局，作为下次调整收费标准的重要参考。</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五、本通知从2014年1月1日起执行。原《重庆市物价局关于工程造价咨询服务收费标准的通知》（渝价【2012】444号）同时废止。</w:t>
      </w:r>
    </w:p>
    <w:p>
      <w:pPr>
        <w:widowControl/>
        <w:spacing w:line="480" w:lineRule="auto"/>
        <w:ind w:firstLine="630"/>
        <w:jc w:val="lef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附件：1、工程造价咨询服务收费项目及标准（定额计价方式）（附表1）。</w:t>
      </w:r>
    </w:p>
    <w:p>
      <w:pPr>
        <w:widowControl/>
        <w:spacing w:line="480" w:lineRule="auto"/>
        <w:ind w:firstLine="630"/>
        <w:jc w:val="right"/>
        <w:rPr>
          <w:rFonts w:ascii="Times New Roman" w:hAnsi="Times New Roman" w:eastAsia="宋体" w:cs="Times New Roman"/>
          <w:kern w:val="0"/>
          <w:szCs w:val="21"/>
        </w:rPr>
      </w:pPr>
      <w:r>
        <w:rPr>
          <w:rFonts w:hint="eastAsia" w:ascii="宋体" w:hAnsi="宋体" w:eastAsia="宋体" w:cs="Times New Roman"/>
          <w:color w:val="000000"/>
          <w:kern w:val="0"/>
          <w:sz w:val="32"/>
          <w:szCs w:val="32"/>
        </w:rPr>
        <w:t>2、工程造价咨询服务收费项目及标准（清单计价式）（附表2）。</w:t>
      </w:r>
      <w:r>
        <w:rPr>
          <w:rFonts w:hint="eastAsia" w:ascii="宋体" w:hAnsi="宋体" w:eastAsia="宋体" w:cs="Times New Roman"/>
          <w:color w:val="000000"/>
          <w:kern w:val="0"/>
          <w:sz w:val="24"/>
          <w:szCs w:val="24"/>
        </w:rPr>
        <w:t xml:space="preserve"> </w:t>
      </w:r>
      <w:r>
        <w:rPr>
          <w:rFonts w:hint="eastAsia" w:ascii="宋体" w:hAnsi="宋体" w:eastAsia="宋体" w:cs="Times New Roman"/>
          <w:color w:val="000000"/>
          <w:kern w:val="0"/>
          <w:sz w:val="32"/>
          <w:szCs w:val="32"/>
        </w:rPr>
        <w:t>2013年12月31日</w:t>
      </w:r>
    </w:p>
    <w:p>
      <w:pPr>
        <w:widowControl/>
        <w:spacing w:line="360" w:lineRule="auto"/>
        <w:jc w:val="left"/>
        <w:rPr>
          <w:rFonts w:hint="eastAsia" w:ascii="宋体" w:hAnsi="宋体" w:eastAsia="宋体" w:cs="Times New Roman"/>
          <w:color w:val="000000"/>
          <w:kern w:val="0"/>
          <w:sz w:val="24"/>
          <w:szCs w:val="24"/>
        </w:rPr>
        <w:sectPr>
          <w:pgSz w:w="11906" w:h="16838"/>
          <w:pgMar w:top="1440" w:right="1236" w:bottom="1440" w:left="1236" w:header="851" w:footer="992" w:gutter="0"/>
          <w:cols w:space="0" w:num="1"/>
          <w:rtlGutter w:val="0"/>
          <w:docGrid w:type="lines" w:linePitch="312" w:charSpace="0"/>
        </w:sectPr>
      </w:pPr>
      <w:r>
        <w:rPr>
          <w:rFonts w:hint="eastAsia" w:ascii="宋体" w:hAnsi="宋体" w:eastAsia="宋体" w:cs="Times New Roman"/>
          <w:color w:val="000000"/>
          <w:kern w:val="0"/>
          <w:sz w:val="24"/>
          <w:szCs w:val="24"/>
        </w:rPr>
        <w:br w:type="page"/>
      </w:r>
    </w:p>
    <w:p>
      <w:pPr>
        <w:widowControl/>
        <w:spacing w:line="360" w:lineRule="auto"/>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附表1</w:t>
      </w:r>
    </w:p>
    <w:p>
      <w:pPr>
        <w:widowControl/>
        <w:spacing w:before="150" w:after="150"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32"/>
          <w:szCs w:val="32"/>
        </w:rPr>
        <w:t>工程造价咨询服务收费项目及标准(定额计价方式)</w:t>
      </w:r>
    </w:p>
    <w:tbl>
      <w:tblPr>
        <w:tblStyle w:val="4"/>
        <w:tblW w:w="12920" w:type="dxa"/>
        <w:tblInd w:w="0" w:type="dxa"/>
        <w:tblLayout w:type="fixed"/>
        <w:tblCellMar>
          <w:top w:w="0" w:type="dxa"/>
          <w:left w:w="0" w:type="dxa"/>
          <w:bottom w:w="0" w:type="dxa"/>
          <w:right w:w="0" w:type="dxa"/>
        </w:tblCellMar>
      </w:tblPr>
      <w:tblGrid>
        <w:gridCol w:w="522"/>
        <w:gridCol w:w="899"/>
        <w:gridCol w:w="853"/>
        <w:gridCol w:w="1840"/>
        <w:gridCol w:w="2390"/>
        <w:gridCol w:w="956"/>
        <w:gridCol w:w="1367"/>
        <w:gridCol w:w="1468"/>
        <w:gridCol w:w="1576"/>
        <w:gridCol w:w="1049"/>
      </w:tblGrid>
      <w:tr>
        <w:tblPrEx>
          <w:tblCellMar>
            <w:top w:w="0" w:type="dxa"/>
            <w:left w:w="0" w:type="dxa"/>
            <w:bottom w:w="0" w:type="dxa"/>
            <w:right w:w="0" w:type="dxa"/>
          </w:tblCellMar>
        </w:tblPrEx>
        <w:trPr>
          <w:trHeight w:val="461" w:hRule="atLeast"/>
        </w:trPr>
        <w:tc>
          <w:tcPr>
            <w:tcW w:w="522"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592"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2390" w:type="dxa"/>
            <w:vMerge w:val="restart"/>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6416"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341" w:hRule="atLeast"/>
        </w:trPr>
        <w:tc>
          <w:tcPr>
            <w:tcW w:w="52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592" w:type="dxa"/>
            <w:gridSpan w:val="3"/>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39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500万元以下</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0"/>
                <w:szCs w:val="20"/>
              </w:rPr>
              <w:t>501-1000</w:t>
            </w:r>
            <w:r>
              <w:rPr>
                <w:rFonts w:hint="eastAsia" w:ascii="宋体" w:hAnsi="宋体" w:eastAsia="宋体" w:cs="Times New Roman"/>
                <w:b/>
                <w:bCs/>
                <w:color w:val="000000"/>
                <w:kern w:val="0"/>
                <w:sz w:val="24"/>
                <w:szCs w:val="24"/>
              </w:rPr>
              <w:t>万元以</w:t>
            </w:r>
            <w:r>
              <w:rPr>
                <w:rFonts w:hint="eastAsia" w:ascii="宋体" w:hAnsi="宋体" w:eastAsia="宋体" w:cs="Times New Roman"/>
                <w:b/>
                <w:bCs/>
                <w:color w:val="000000"/>
                <w:kern w:val="0"/>
                <w:sz w:val="20"/>
                <w:szCs w:val="20"/>
              </w:rPr>
              <w:t>内</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1001-5000万元以内</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5001万元-1亿元以内</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66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w:t>
            </w:r>
          </w:p>
        </w:tc>
        <w:tc>
          <w:tcPr>
            <w:tcW w:w="1752" w:type="dxa"/>
            <w:gridSpan w:val="2"/>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概算编制（审核）</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0.17</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0.09</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0.08</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52"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概算工程造价(％)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46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w:t>
            </w:r>
          </w:p>
        </w:tc>
        <w:tc>
          <w:tcPr>
            <w:tcW w:w="1752" w:type="dxa"/>
            <w:gridSpan w:val="2"/>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预算、最高限价（标底）编制（审核）</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0.12</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752"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0.55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r>
      <w:tr>
        <w:tblPrEx>
          <w:tblCellMar>
            <w:top w:w="0" w:type="dxa"/>
            <w:left w:w="0" w:type="dxa"/>
            <w:bottom w:w="0" w:type="dxa"/>
            <w:right w:w="0" w:type="dxa"/>
          </w:tblCellMar>
        </w:tblPrEx>
        <w:trPr>
          <w:trHeight w:val="620" w:hRule="atLeast"/>
        </w:trPr>
        <w:tc>
          <w:tcPr>
            <w:tcW w:w="522" w:type="dxa"/>
            <w:vMerge w:val="restart"/>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p>
        </w:tc>
        <w:tc>
          <w:tcPr>
            <w:tcW w:w="899" w:type="dxa"/>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工程结算</w:t>
            </w:r>
          </w:p>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编制（审核）</w:t>
            </w:r>
          </w:p>
        </w:tc>
        <w:tc>
          <w:tcPr>
            <w:tcW w:w="853" w:type="dxa"/>
            <w:vMerge w:val="restart"/>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基本</w:t>
            </w:r>
          </w:p>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收费</w:t>
            </w: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建筑、市政、园林</w:t>
            </w:r>
          </w:p>
        </w:tc>
        <w:tc>
          <w:tcPr>
            <w:tcW w:w="2390" w:type="dxa"/>
            <w:vMerge w:val="restart"/>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0.15</w:t>
            </w:r>
          </w:p>
        </w:tc>
      </w:tr>
      <w:tr>
        <w:tblPrEx>
          <w:tblCellMar>
            <w:top w:w="0" w:type="dxa"/>
            <w:left w:w="0" w:type="dxa"/>
            <w:bottom w:w="0" w:type="dxa"/>
            <w:right w:w="0" w:type="dxa"/>
          </w:tblCellMar>
        </w:tblPrEx>
        <w:trPr>
          <w:trHeight w:val="44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8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4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安装、装饰、维修</w:t>
            </w:r>
          </w:p>
        </w:tc>
        <w:tc>
          <w:tcPr>
            <w:tcW w:w="239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0.70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0.60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0.45</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0.35</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0.25</w:t>
            </w:r>
          </w:p>
        </w:tc>
      </w:tr>
      <w:tr>
        <w:tblPrEx>
          <w:tblCellMar>
            <w:top w:w="0" w:type="dxa"/>
            <w:left w:w="0" w:type="dxa"/>
            <w:bottom w:w="0" w:type="dxa"/>
            <w:right w:w="0" w:type="dxa"/>
          </w:tblCellMar>
        </w:tblPrEx>
        <w:trPr>
          <w:trHeight w:val="600" w:hRule="atLeast"/>
        </w:trPr>
        <w:tc>
          <w:tcPr>
            <w:tcW w:w="522"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8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693" w:type="dxa"/>
            <w:gridSpan w:val="2"/>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审减效益费</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审减额(％)</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4.5</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4.00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3.50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2.50</w:t>
            </w:r>
          </w:p>
        </w:tc>
      </w:tr>
      <w:tr>
        <w:tblPrEx>
          <w:tblCellMar>
            <w:top w:w="0" w:type="dxa"/>
            <w:left w:w="0" w:type="dxa"/>
            <w:bottom w:w="0" w:type="dxa"/>
            <w:right w:w="0" w:type="dxa"/>
          </w:tblCellMar>
        </w:tblPrEx>
        <w:trPr>
          <w:trHeight w:val="370" w:hRule="atLeast"/>
        </w:trPr>
        <w:tc>
          <w:tcPr>
            <w:tcW w:w="522"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w:t>
            </w:r>
          </w:p>
        </w:tc>
        <w:tc>
          <w:tcPr>
            <w:tcW w:w="3592"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工程造价纠纷鉴定</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鉴定工程造价(％)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1.80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1.20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r>
        <w:tblPrEx>
          <w:tblCellMar>
            <w:top w:w="0" w:type="dxa"/>
            <w:left w:w="0" w:type="dxa"/>
            <w:bottom w:w="0" w:type="dxa"/>
            <w:right w:w="0" w:type="dxa"/>
          </w:tblCellMar>
        </w:tblPrEx>
        <w:trPr>
          <w:trHeight w:val="760" w:hRule="atLeast"/>
        </w:trPr>
        <w:tc>
          <w:tcPr>
            <w:tcW w:w="522" w:type="dxa"/>
            <w:tcBorders>
              <w:top w:val="nil"/>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p>
        </w:tc>
        <w:tc>
          <w:tcPr>
            <w:tcW w:w="3592" w:type="dxa"/>
            <w:gridSpan w:val="3"/>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施工阶段工程造价全过程控制</w:t>
            </w:r>
          </w:p>
        </w:tc>
        <w:tc>
          <w:tcPr>
            <w:tcW w:w="239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送审工程造价(％)</w:t>
            </w:r>
          </w:p>
        </w:tc>
        <w:tc>
          <w:tcPr>
            <w:tcW w:w="95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1.50</w:t>
            </w:r>
          </w:p>
        </w:tc>
        <w:tc>
          <w:tcPr>
            <w:tcW w:w="1367"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1.30</w:t>
            </w:r>
          </w:p>
        </w:tc>
        <w:tc>
          <w:tcPr>
            <w:tcW w:w="1468"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1.10</w:t>
            </w:r>
          </w:p>
        </w:tc>
        <w:tc>
          <w:tcPr>
            <w:tcW w:w="1576"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1.00</w:t>
            </w:r>
          </w:p>
        </w:tc>
        <w:tc>
          <w:tcPr>
            <w:tcW w:w="1049"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0.80</w:t>
            </w:r>
          </w:p>
        </w:tc>
      </w:tr>
    </w:tbl>
    <w:p>
      <w:pPr>
        <w:widowControl/>
        <w:snapToGrid w:val="0"/>
        <w:spacing w:before="150" w:after="150" w:line="360" w:lineRule="auto"/>
        <w:jc w:val="left"/>
        <w:rPr>
          <w:rFonts w:ascii="Times New Roman" w:hAnsi="Times New Roman" w:eastAsia="宋体" w:cs="Times New Roman"/>
          <w:kern w:val="0"/>
          <w:szCs w:val="21"/>
        </w:rPr>
      </w:pPr>
      <w:r>
        <w:rPr>
          <w:rFonts w:hint="eastAsia" w:ascii="宋体" w:hAnsi="宋体" w:eastAsia="宋体" w:cs="宋体"/>
          <w:color w:val="000000"/>
          <w:kern w:val="0"/>
          <w:szCs w:val="21"/>
        </w:rPr>
        <w:br w:type="page"/>
      </w:r>
      <w:r>
        <w:rPr>
          <w:rFonts w:hint="eastAsia" w:ascii="宋体" w:hAnsi="宋体" w:eastAsia="宋体" w:cs="Times New Roman"/>
          <w:color w:val="000000"/>
          <w:kern w:val="0"/>
          <w:sz w:val="24"/>
          <w:szCs w:val="24"/>
        </w:rPr>
        <w:t>附表2</w:t>
      </w:r>
      <w:r>
        <w:rPr>
          <w:rFonts w:hint="eastAsia" w:ascii="宋体" w:hAnsi="宋体" w:eastAsia="宋体" w:cs="Times New Roman"/>
          <w:b/>
          <w:bCs/>
          <w:color w:val="000000"/>
          <w:kern w:val="0"/>
          <w:sz w:val="32"/>
          <w:szCs w:val="32"/>
        </w:rPr>
        <w:t>工程造价咨询服务收费项目及标准(清单计价方式)</w:t>
      </w:r>
    </w:p>
    <w:tbl>
      <w:tblPr>
        <w:tblStyle w:val="4"/>
        <w:tblW w:w="13927" w:type="dxa"/>
        <w:tblInd w:w="5" w:type="dxa"/>
        <w:tblLayout w:type="fixed"/>
        <w:tblCellMar>
          <w:top w:w="0" w:type="dxa"/>
          <w:left w:w="0" w:type="dxa"/>
          <w:bottom w:w="0" w:type="dxa"/>
          <w:right w:w="0" w:type="dxa"/>
        </w:tblCellMar>
      </w:tblPr>
      <w:tblGrid>
        <w:gridCol w:w="457"/>
        <w:gridCol w:w="622"/>
        <w:gridCol w:w="968"/>
        <w:gridCol w:w="1905"/>
        <w:gridCol w:w="1980"/>
        <w:gridCol w:w="1395"/>
        <w:gridCol w:w="1605"/>
        <w:gridCol w:w="1605"/>
        <w:gridCol w:w="1770"/>
        <w:gridCol w:w="1620"/>
      </w:tblGrid>
      <w:tr>
        <w:tblPrEx>
          <w:tblCellMar>
            <w:top w:w="0" w:type="dxa"/>
            <w:left w:w="0" w:type="dxa"/>
            <w:bottom w:w="0" w:type="dxa"/>
            <w:right w:w="0" w:type="dxa"/>
          </w:tblCellMar>
        </w:tblPrEx>
        <w:trPr>
          <w:trHeight w:val="417" w:hRule="atLeast"/>
        </w:trPr>
        <w:tc>
          <w:tcPr>
            <w:tcW w:w="457"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3495" w:type="dxa"/>
            <w:gridSpan w:val="3"/>
            <w:vMerge w:val="restart"/>
            <w:tcBorders>
              <w:top w:val="single" w:color="auto" w:sz="8" w:space="0"/>
              <w:left w:val="nil"/>
              <w:bottom w:val="single" w:color="auto" w:sz="8" w:space="0"/>
              <w:right w:val="single" w:color="auto" w:sz="8" w:space="0"/>
            </w:tcBorders>
            <w:vAlign w:val="center"/>
          </w:tcPr>
          <w:p>
            <w:pPr>
              <w:widowControl/>
              <w:spacing w:before="150" w:after="150"/>
              <w:ind w:firstLine="1325"/>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收费项目</w:t>
            </w:r>
          </w:p>
        </w:tc>
        <w:tc>
          <w:tcPr>
            <w:tcW w:w="1980" w:type="dxa"/>
            <w:vMerge w:val="restart"/>
            <w:tcBorders>
              <w:top w:val="single" w:color="auto" w:sz="8" w:space="0"/>
              <w:left w:val="nil"/>
              <w:bottom w:val="single" w:color="auto" w:sz="8" w:space="0"/>
              <w:right w:val="single" w:color="auto" w:sz="8" w:space="0"/>
            </w:tcBorders>
            <w:vAlign w:val="center"/>
          </w:tcPr>
          <w:p>
            <w:pPr>
              <w:widowControl/>
              <w:spacing w:before="150" w:after="150"/>
              <w:ind w:firstLine="482"/>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计费基数</w:t>
            </w:r>
          </w:p>
        </w:tc>
        <w:tc>
          <w:tcPr>
            <w:tcW w:w="7995" w:type="dxa"/>
            <w:gridSpan w:val="5"/>
            <w:tcBorders>
              <w:top w:val="single" w:color="auto" w:sz="8" w:space="0"/>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收费标准</w:t>
            </w:r>
          </w:p>
        </w:tc>
      </w:tr>
      <w:tr>
        <w:tblPrEx>
          <w:tblCellMar>
            <w:top w:w="0" w:type="dxa"/>
            <w:left w:w="0" w:type="dxa"/>
            <w:bottom w:w="0" w:type="dxa"/>
            <w:right w:w="0" w:type="dxa"/>
          </w:tblCellMar>
        </w:tblPrEx>
        <w:trPr>
          <w:trHeight w:val="872" w:hRule="atLeast"/>
        </w:trPr>
        <w:tc>
          <w:tcPr>
            <w:tcW w:w="457"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3495" w:type="dxa"/>
            <w:gridSpan w:val="3"/>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8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395" w:type="dxa"/>
            <w:tcBorders>
              <w:top w:val="nil"/>
              <w:left w:val="nil"/>
              <w:bottom w:val="single" w:color="auto" w:sz="8" w:space="0"/>
              <w:right w:val="single" w:color="auto" w:sz="8" w:space="0"/>
            </w:tcBorders>
            <w:vAlign w:val="center"/>
          </w:tcPr>
          <w:p>
            <w:pPr>
              <w:widowControl/>
              <w:spacing w:before="150" w:after="150"/>
              <w:jc w:val="left"/>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500万元以下</w:t>
            </w:r>
          </w:p>
        </w:tc>
        <w:tc>
          <w:tcPr>
            <w:tcW w:w="160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0"/>
                <w:szCs w:val="20"/>
              </w:rPr>
              <w:t>501-1000</w:t>
            </w:r>
            <w:r>
              <w:rPr>
                <w:rFonts w:hint="eastAsia" w:ascii="宋体" w:hAnsi="宋体" w:eastAsia="宋体" w:cs="Times New Roman"/>
                <w:b/>
                <w:bCs/>
                <w:color w:val="000000"/>
                <w:kern w:val="0"/>
                <w:sz w:val="24"/>
                <w:szCs w:val="24"/>
              </w:rPr>
              <w:t>万元以</w:t>
            </w:r>
            <w:r>
              <w:rPr>
                <w:rFonts w:hint="eastAsia" w:ascii="宋体" w:hAnsi="宋体" w:eastAsia="宋体" w:cs="Times New Roman"/>
                <w:b/>
                <w:bCs/>
                <w:color w:val="000000"/>
                <w:kern w:val="0"/>
                <w:sz w:val="20"/>
                <w:szCs w:val="20"/>
              </w:rPr>
              <w:t>内</w:t>
            </w:r>
          </w:p>
        </w:tc>
        <w:tc>
          <w:tcPr>
            <w:tcW w:w="1605"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1001-5000万元以内</w:t>
            </w:r>
          </w:p>
        </w:tc>
        <w:tc>
          <w:tcPr>
            <w:tcW w:w="177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5001万元-1亿元以内</w:t>
            </w:r>
          </w:p>
        </w:tc>
        <w:tc>
          <w:tcPr>
            <w:tcW w:w="1620" w:type="dxa"/>
            <w:tcBorders>
              <w:top w:val="nil"/>
              <w:left w:val="nil"/>
              <w:bottom w:val="single" w:color="auto" w:sz="8" w:space="0"/>
              <w:right w:val="single" w:color="auto" w:sz="8" w:space="0"/>
            </w:tcBorders>
            <w:vAlign w:val="center"/>
          </w:tcPr>
          <w:p>
            <w:pPr>
              <w:widowControl/>
              <w:spacing w:before="150" w:after="150"/>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1亿元以上</w:t>
            </w:r>
          </w:p>
        </w:tc>
      </w:tr>
      <w:tr>
        <w:tblPrEx>
          <w:tblCellMar>
            <w:top w:w="0" w:type="dxa"/>
            <w:left w:w="0" w:type="dxa"/>
            <w:bottom w:w="0" w:type="dxa"/>
            <w:right w:w="0" w:type="dxa"/>
          </w:tblCellMar>
        </w:tblPrEx>
        <w:trPr>
          <w:trHeight w:val="572"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0.18</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r>
      <w:tr>
        <w:tblPrEx>
          <w:tblCellMar>
            <w:top w:w="0" w:type="dxa"/>
            <w:left w:w="0" w:type="dxa"/>
            <w:bottom w:w="0" w:type="dxa"/>
            <w:right w:w="0" w:type="dxa"/>
          </w:tblCellMar>
        </w:tblPrEx>
        <w:trPr>
          <w:trHeight w:val="468"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0.35</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r>
      <w:tr>
        <w:tblPrEx>
          <w:tblCellMar>
            <w:top w:w="0" w:type="dxa"/>
            <w:left w:w="0" w:type="dxa"/>
            <w:bottom w:w="0" w:type="dxa"/>
            <w:right w:w="0" w:type="dxa"/>
          </w:tblCellMar>
        </w:tblPrEx>
        <w:trPr>
          <w:trHeight w:val="516"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工程量清单组价编制（审核）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0.18</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0.08</w:t>
            </w:r>
          </w:p>
        </w:tc>
      </w:tr>
      <w:tr>
        <w:tblPrEx>
          <w:tblCellMar>
            <w:top w:w="0" w:type="dxa"/>
            <w:left w:w="0" w:type="dxa"/>
            <w:bottom w:w="0" w:type="dxa"/>
            <w:right w:w="0" w:type="dxa"/>
          </w:tblCellMar>
        </w:tblPrEx>
        <w:trPr>
          <w:trHeight w:val="552"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0.28</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0.24</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0.16</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0.12</w:t>
            </w:r>
          </w:p>
        </w:tc>
      </w:tr>
      <w:tr>
        <w:tblPrEx>
          <w:tblCellMar>
            <w:top w:w="0" w:type="dxa"/>
            <w:left w:w="0" w:type="dxa"/>
            <w:bottom w:w="0" w:type="dxa"/>
            <w:right w:w="0" w:type="dxa"/>
          </w:tblCellMar>
        </w:tblPrEx>
        <w:trPr>
          <w:trHeight w:val="412"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3</w:t>
            </w:r>
          </w:p>
        </w:tc>
        <w:tc>
          <w:tcPr>
            <w:tcW w:w="1590" w:type="dxa"/>
            <w:gridSpan w:val="2"/>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工程量清单及组价编制（审核）</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建筑、市政、园林</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0.40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0.25</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0.20</w:t>
            </w:r>
          </w:p>
        </w:tc>
      </w:tr>
      <w:tr>
        <w:tblPrEx>
          <w:tblCellMar>
            <w:top w:w="0" w:type="dxa"/>
            <w:left w:w="0" w:type="dxa"/>
            <w:bottom w:w="0" w:type="dxa"/>
            <w:right w:w="0" w:type="dxa"/>
          </w:tblCellMar>
        </w:tblPrEx>
        <w:trPr>
          <w:trHeight w:val="419"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p>
        </w:tc>
        <w:tc>
          <w:tcPr>
            <w:tcW w:w="1590" w:type="dxa"/>
            <w:gridSpan w:val="2"/>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color w:val="FF0000"/>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安装、装饰、维修</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清单量工程造价(％)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0.70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0.50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0.40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FF0000"/>
                <w:kern w:val="0"/>
                <w:szCs w:val="21"/>
              </w:rPr>
            </w:pPr>
            <w:r>
              <w:rPr>
                <w:rFonts w:hint="eastAsia" w:ascii="宋体" w:hAnsi="宋体" w:eastAsia="宋体" w:cs="Times New Roman"/>
                <w:color w:val="FF0000"/>
                <w:kern w:val="0"/>
                <w:sz w:val="24"/>
                <w:szCs w:val="24"/>
              </w:rPr>
              <w:t>0.35</w:t>
            </w:r>
          </w:p>
        </w:tc>
      </w:tr>
      <w:tr>
        <w:tblPrEx>
          <w:tblCellMar>
            <w:top w:w="0" w:type="dxa"/>
            <w:left w:w="0" w:type="dxa"/>
            <w:bottom w:w="0" w:type="dxa"/>
            <w:right w:w="0" w:type="dxa"/>
          </w:tblCellMar>
        </w:tblPrEx>
        <w:trPr>
          <w:trHeight w:val="425" w:hRule="atLeast"/>
        </w:trPr>
        <w:tc>
          <w:tcPr>
            <w:tcW w:w="457"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4</w:t>
            </w:r>
          </w:p>
        </w:tc>
        <w:tc>
          <w:tcPr>
            <w:tcW w:w="622"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工程量清单结</w:t>
            </w:r>
          </w:p>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算编制（审核）</w:t>
            </w:r>
          </w:p>
        </w:tc>
        <w:tc>
          <w:tcPr>
            <w:tcW w:w="968"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基本</w:t>
            </w:r>
          </w:p>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收费</w:t>
            </w: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建筑、市政、园林</w:t>
            </w:r>
          </w:p>
        </w:tc>
        <w:tc>
          <w:tcPr>
            <w:tcW w:w="198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送审工程造价(％)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0.35</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0.15</w:t>
            </w:r>
          </w:p>
        </w:tc>
      </w:tr>
      <w:tr>
        <w:tblPrEx>
          <w:tblCellMar>
            <w:top w:w="0" w:type="dxa"/>
            <w:left w:w="0" w:type="dxa"/>
            <w:bottom w:w="0" w:type="dxa"/>
            <w:right w:w="0" w:type="dxa"/>
          </w:tblCellMar>
        </w:tblPrEx>
        <w:trPr>
          <w:trHeight w:val="486"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968"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安装、装饰、维修</w:t>
            </w:r>
          </w:p>
        </w:tc>
        <w:tc>
          <w:tcPr>
            <w:tcW w:w="198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0.50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0.40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0.30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0.25</w:t>
            </w:r>
          </w:p>
        </w:tc>
      </w:tr>
      <w:tr>
        <w:tblPrEx>
          <w:tblCellMar>
            <w:top w:w="0" w:type="dxa"/>
            <w:left w:w="0" w:type="dxa"/>
            <w:bottom w:w="0" w:type="dxa"/>
            <w:right w:w="0" w:type="dxa"/>
          </w:tblCellMar>
        </w:tblPrEx>
        <w:trPr>
          <w:trHeight w:val="480" w:hRule="atLeast"/>
        </w:trPr>
        <w:tc>
          <w:tcPr>
            <w:tcW w:w="457" w:type="dxa"/>
            <w:vMerge w:val="continue"/>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p>
        </w:tc>
        <w:tc>
          <w:tcPr>
            <w:tcW w:w="62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873" w:type="dxa"/>
            <w:gridSpan w:val="2"/>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审减效益费</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审减额(％)</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3.50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3.00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2.50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2.00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1.50</w:t>
            </w:r>
          </w:p>
        </w:tc>
      </w:tr>
      <w:tr>
        <w:tblPrEx>
          <w:tblCellMar>
            <w:top w:w="0" w:type="dxa"/>
            <w:left w:w="0" w:type="dxa"/>
            <w:bottom w:w="0" w:type="dxa"/>
            <w:right w:w="0" w:type="dxa"/>
          </w:tblCellMar>
        </w:tblPrEx>
        <w:trPr>
          <w:trHeight w:val="420" w:hRule="atLeast"/>
        </w:trPr>
        <w:tc>
          <w:tcPr>
            <w:tcW w:w="45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5</w:t>
            </w:r>
          </w:p>
        </w:tc>
        <w:tc>
          <w:tcPr>
            <w:tcW w:w="3495" w:type="dxa"/>
            <w:gridSpan w:val="3"/>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工程量清单工程造价纠纷鉴定</w:t>
            </w:r>
          </w:p>
        </w:tc>
        <w:tc>
          <w:tcPr>
            <w:tcW w:w="198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鉴定工程造价(％)</w:t>
            </w:r>
          </w:p>
        </w:tc>
        <w:tc>
          <w:tcPr>
            <w:tcW w:w="139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1.60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1.30</w:t>
            </w:r>
          </w:p>
        </w:tc>
        <w:tc>
          <w:tcPr>
            <w:tcW w:w="1605"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1.10</w:t>
            </w:r>
          </w:p>
        </w:tc>
        <w:tc>
          <w:tcPr>
            <w:tcW w:w="177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0.90</w:t>
            </w:r>
          </w:p>
        </w:tc>
        <w:tc>
          <w:tcPr>
            <w:tcW w:w="1620"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r>
      <w:tr>
        <w:tblPrEx>
          <w:tblCellMar>
            <w:top w:w="0" w:type="dxa"/>
            <w:left w:w="0" w:type="dxa"/>
            <w:bottom w:w="0" w:type="dxa"/>
            <w:right w:w="0" w:type="dxa"/>
          </w:tblCellMar>
        </w:tblPrEx>
        <w:trPr>
          <w:trHeight w:val="20" w:hRule="atLeast"/>
        </w:trPr>
        <w:tc>
          <w:tcPr>
            <w:tcW w:w="457" w:type="dxa"/>
            <w:tcBorders>
              <w:top w:val="nil"/>
              <w:left w:val="single" w:color="auto" w:sz="8" w:space="0"/>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6</w:t>
            </w:r>
          </w:p>
        </w:tc>
        <w:tc>
          <w:tcPr>
            <w:tcW w:w="3495" w:type="dxa"/>
            <w:gridSpan w:val="3"/>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工程量清单施工阶段工程造价全过程控制</w:t>
            </w:r>
          </w:p>
        </w:tc>
        <w:tc>
          <w:tcPr>
            <w:tcW w:w="198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送审工程造价(％)</w:t>
            </w:r>
          </w:p>
        </w:tc>
        <w:tc>
          <w:tcPr>
            <w:tcW w:w="139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1.30</w:t>
            </w:r>
          </w:p>
        </w:tc>
        <w:tc>
          <w:tcPr>
            <w:tcW w:w="160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1.10</w:t>
            </w:r>
          </w:p>
        </w:tc>
        <w:tc>
          <w:tcPr>
            <w:tcW w:w="1605"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1.00</w:t>
            </w:r>
          </w:p>
        </w:tc>
        <w:tc>
          <w:tcPr>
            <w:tcW w:w="177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0.80</w:t>
            </w:r>
          </w:p>
        </w:tc>
        <w:tc>
          <w:tcPr>
            <w:tcW w:w="1620" w:type="dxa"/>
            <w:tcBorders>
              <w:top w:val="nil"/>
              <w:left w:val="nil"/>
              <w:bottom w:val="single" w:color="auto" w:sz="8" w:space="0"/>
              <w:right w:val="single" w:color="auto" w:sz="8" w:space="0"/>
            </w:tcBorders>
            <w:vAlign w:val="center"/>
          </w:tcPr>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0.60</w:t>
            </w:r>
          </w:p>
        </w:tc>
      </w:tr>
    </w:tbl>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附表1、2说明：</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1、收费按累进分档计取。例如：某工程编制施工图预算工程总造价3000万元，计算收费如下（按定额计）：500×0.35%=1.75万元，（1000-500）×0.30%=1.5万元，（3000-1000）×0.25%=5万元，应收咨询费合计：1.75+1. 5+5=8.25万元</w:t>
      </w:r>
    </w:p>
    <w:p>
      <w:pPr>
        <w:widowControl/>
        <w:snapToGrid w:val="0"/>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2、表中“计费基数”是指委托方委托的单位工程造价。</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3、</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表中“工程造价纠纷鉴定”是指由司法机关委托办理的工程造价纠纷鉴定。</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4、</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工程结算审核审减效益费的审减额为送审项目的审减额，该审减金额不抵销审增金额。</w:t>
      </w:r>
    </w:p>
    <w:p>
      <w:pPr>
        <w:widowControl/>
        <w:snapToGrid w:val="0"/>
        <w:spacing w:line="360" w:lineRule="auto"/>
        <w:ind w:left="360" w:hanging="360"/>
        <w:jc w:val="left"/>
        <w:rPr>
          <w:rFonts w:ascii="Times New Roman" w:hAnsi="Times New Roman" w:eastAsia="宋体" w:cs="Times New Roman"/>
          <w:kern w:val="0"/>
          <w:szCs w:val="21"/>
        </w:rPr>
      </w:pPr>
      <w:r>
        <w:rPr>
          <w:rFonts w:hint="eastAsia" w:ascii="宋体" w:hAnsi="宋体" w:eastAsia="宋体" w:cs="Times New Roman"/>
          <w:color w:val="000000"/>
          <w:kern w:val="0"/>
          <w:sz w:val="18"/>
          <w:szCs w:val="18"/>
        </w:rPr>
        <w:t>5、</w:t>
      </w:r>
      <w:r>
        <w:rPr>
          <w:rFonts w:hint="eastAsia" w:ascii="宋体" w:hAnsi="宋体" w:eastAsia="宋体" w:cs="Times New Roman"/>
          <w:color w:val="000000"/>
          <w:kern w:val="0"/>
          <w:sz w:val="14"/>
          <w:szCs w:val="14"/>
        </w:rPr>
        <w:t xml:space="preserve"> </w:t>
      </w:r>
      <w:r>
        <w:rPr>
          <w:rFonts w:hint="eastAsia" w:ascii="宋体" w:hAnsi="宋体" w:eastAsia="宋体" w:cs="Times New Roman"/>
          <w:color w:val="000000"/>
          <w:kern w:val="0"/>
          <w:sz w:val="18"/>
          <w:szCs w:val="18"/>
        </w:rPr>
        <w:t>公路、铁路、水电等土木工程按照本表所对应的收费项目的收费标准的70%计收。</w:t>
      </w:r>
    </w:p>
    <w:p>
      <w:pPr>
        <w:widowControl/>
        <w:snapToGrid w:val="0"/>
        <w:spacing w:line="360" w:lineRule="auto"/>
        <w:jc w:val="left"/>
        <w:rPr>
          <w:rFonts w:ascii="Times New Roman" w:hAnsi="Times New Roman" w:eastAsia="宋体" w:cs="Times New Roman"/>
          <w:color w:val="FF0000"/>
          <w:kern w:val="0"/>
          <w:szCs w:val="21"/>
        </w:rPr>
      </w:pPr>
      <w:r>
        <w:rPr>
          <w:rFonts w:hint="eastAsia" w:ascii="宋体" w:hAnsi="宋体" w:eastAsia="宋体" w:cs="Times New Roman"/>
          <w:color w:val="FF0000"/>
          <w:kern w:val="0"/>
          <w:sz w:val="18"/>
          <w:szCs w:val="18"/>
        </w:rPr>
        <w:t>6、单项委托合同按上述费用计算不足3000元时，按3000元计取。</w:t>
      </w:r>
      <w:r>
        <w:rPr>
          <w:rFonts w:hint="eastAsia" w:ascii="宋体" w:hAnsi="宋体" w:eastAsia="宋体" w:cs="Times New Roman"/>
          <w:color w:val="FF0000"/>
          <w:kern w:val="0"/>
          <w:szCs w:val="21"/>
        </w:rPr>
        <w:t xml:space="preserve"> </w:t>
      </w:r>
    </w:p>
    <w:p/>
    <w:sectPr>
      <w:pgSz w:w="16838" w:h="11906" w:orient="landscape"/>
      <w:pgMar w:top="1236" w:right="1440" w:bottom="1236"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iMWZiM2VlMzhmY2YzOTM5MzQ2NWM5NTdiYTExMGYifQ=="/>
  </w:docVars>
  <w:rsids>
    <w:rsidRoot w:val="001F7CD0"/>
    <w:rsid w:val="00185848"/>
    <w:rsid w:val="001F7CD0"/>
    <w:rsid w:val="00844B4E"/>
    <w:rsid w:val="009443EB"/>
    <w:rsid w:val="00E67E53"/>
    <w:rsid w:val="2630232C"/>
    <w:rsid w:val="28DE697D"/>
    <w:rsid w:val="2CF41974"/>
    <w:rsid w:val="3513483B"/>
    <w:rsid w:val="5763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2382</Words>
  <Characters>2825</Characters>
  <Lines>22</Lines>
  <Paragraphs>6</Paragraphs>
  <TotalTime>2</TotalTime>
  <ScaleCrop>false</ScaleCrop>
  <LinksUpToDate>false</LinksUpToDate>
  <CharactersWithSpaces>2832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2017-07-24T02:14:00Z</dcterms:created>
  <dc:creator>admin</dc:creator>
  <cp:lastModifiedBy>SONG</cp:lastModifiedBy>
  <cp:lastPrinted>2024-01-08T06:04:44Z</cp:lastPrinted>
  <dcterms:modified xsi:type="dcterms:W3CDTF">2024-01-08T06:04:49Z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5A3930A02B6147E0A2F5A469A424A666</vt:lpwstr>
  </property>
</Properties>
</file>