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spacing w:val="-16"/>
          <w:sz w:val="36"/>
          <w:szCs w:val="36"/>
        </w:rPr>
      </w:pPr>
      <w:r>
        <w:rPr>
          <w:rFonts w:hint="eastAsia" w:ascii="方正小标宋_GBK" w:hAnsi="方正小标宋_GBK" w:eastAsia="方正小标宋_GBK" w:cs="方正小标宋_GBK"/>
          <w:spacing w:val="-16"/>
          <w:sz w:val="36"/>
          <w:szCs w:val="36"/>
        </w:rPr>
        <w:t>重庆高速公路集团有限公司东南营运分公司</w:t>
      </w:r>
    </w:p>
    <w:p>
      <w:pPr>
        <w:spacing w:line="360" w:lineRule="auto"/>
        <w:jc w:val="center"/>
        <w:rPr>
          <w:rFonts w:hint="eastAsia" w:ascii="方正小标宋_GBK" w:hAnsi="方正小标宋_GBK" w:eastAsia="方正小标宋_GBK" w:cs="方正小标宋_GBK"/>
          <w:spacing w:val="-16"/>
          <w:sz w:val="36"/>
          <w:szCs w:val="36"/>
          <w:lang w:val="en-US"/>
        </w:rPr>
      </w:pPr>
      <w:r>
        <w:rPr>
          <w:rFonts w:hint="eastAsia" w:ascii="方正小标宋_GBK" w:hAnsi="方正小标宋_GBK" w:eastAsia="方正小标宋_GBK" w:cs="方正小标宋_GBK"/>
          <w:spacing w:val="-16"/>
          <w:sz w:val="36"/>
          <w:szCs w:val="36"/>
          <w:lang w:val="en-US" w:eastAsia="zh-CN"/>
        </w:rPr>
        <w:t>黔江基地与黔江管理中心办公区域办公场所绿化租摆</w:t>
      </w:r>
      <w:r>
        <w:rPr>
          <w:rFonts w:hint="eastAsia" w:ascii="方正小标宋_GBK" w:hAnsi="方正小标宋_GBK" w:eastAsia="方正小标宋_GBK" w:cs="方正小标宋_GBK"/>
          <w:spacing w:val="-16"/>
          <w:sz w:val="36"/>
          <w:szCs w:val="36"/>
          <w:lang w:eastAsia="zh-CN"/>
        </w:rPr>
        <w:t>竞争性比选</w:t>
      </w:r>
      <w:r>
        <w:rPr>
          <w:rFonts w:hint="eastAsia" w:ascii="方正小标宋_GBK" w:hAnsi="方正小标宋_GBK" w:eastAsia="方正小标宋_GBK" w:cs="方正小标宋_GBK"/>
          <w:spacing w:val="-16"/>
          <w:sz w:val="36"/>
          <w:szCs w:val="36"/>
          <w:lang w:val="en-US" w:eastAsia="zh-CN"/>
        </w:rPr>
        <w:t>文件</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东南公司黔江基地与黔江管理中心办公场所绿化租摆项目，业主单位为重庆高速公路集团有限公司东南营运分公司，项目已具备竞争性比选条件，现对该项目的施工单位进行竞争性比选。</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工程名称：黔江基地与黔江管理中心办公区域办公场所绿化租摆项目</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 xml:space="preserve">    二、工程内容</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1、工程地点：东南公司办公基地、濯水收费站、黔江西收费站。</w:t>
      </w:r>
    </w:p>
    <w:p>
      <w:pPr>
        <w:spacing w:line="360" w:lineRule="auto"/>
        <w:ind w:firstLine="480" w:firstLineChars="200"/>
        <w:rPr>
          <w:rFonts w:hint="default" w:ascii="宋体" w:hAnsi="宋体"/>
          <w:color w:val="000000"/>
          <w:sz w:val="24"/>
          <w:lang w:val="en-US" w:eastAsia="zh-CN"/>
        </w:rPr>
      </w:pPr>
      <w:r>
        <w:rPr>
          <w:rFonts w:hint="eastAsia" w:ascii="宋体" w:hAnsi="宋体"/>
          <w:color w:val="000000"/>
          <w:sz w:val="24"/>
          <w:lang w:val="en-US" w:eastAsia="zh-CN"/>
        </w:rPr>
        <w:t>2、工程内容：东南公司办公基地、濯水收费站、黔江西收费站办公场所绿化维护，维护期三年。</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3、询价范围：黔江基地与黔江管理中心办公区域办公场所绿化租摆项目</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4、本项目上限价：144144元。</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5、施工时间：2024.2.1-2027.2.1。</w:t>
      </w:r>
    </w:p>
    <w:p>
      <w:pPr>
        <w:spacing w:line="360" w:lineRule="auto"/>
        <w:ind w:firstLine="480" w:firstLineChars="200"/>
        <w:rPr>
          <w:rFonts w:hint="eastAsia" w:ascii="宋体" w:hAnsi="宋体"/>
          <w:color w:val="000000"/>
          <w:sz w:val="24"/>
          <w:lang w:val="en-US" w:eastAsia="zh-CN"/>
        </w:rPr>
      </w:pPr>
      <w:bookmarkStart w:id="0" w:name="_Toc446357040"/>
      <w:bookmarkStart w:id="1" w:name="_Toc446247227"/>
      <w:r>
        <w:rPr>
          <w:rFonts w:hint="eastAsia" w:ascii="宋体" w:hAnsi="宋体"/>
          <w:color w:val="000000"/>
          <w:sz w:val="24"/>
          <w:lang w:val="en-US" w:eastAsia="zh-CN"/>
        </w:rPr>
        <w:t>三、投标人资格及业绩要求</w:t>
      </w:r>
      <w:bookmarkEnd w:id="0"/>
      <w:bookmarkEnd w:id="1"/>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1、营业执照具有苗木、绿色植物种植或花卉、花木销售经营范围单位。</w:t>
      </w:r>
    </w:p>
    <w:p>
      <w:pPr>
        <w:spacing w:line="360" w:lineRule="auto"/>
        <w:ind w:firstLine="480" w:firstLineChars="200"/>
        <w:rPr>
          <w:rFonts w:hint="eastAsia" w:ascii="宋体" w:hAnsi="宋体"/>
          <w:color w:val="000000"/>
          <w:sz w:val="24"/>
        </w:rPr>
      </w:pPr>
      <w:r>
        <w:rPr>
          <w:rFonts w:hint="eastAsia" w:ascii="宋体" w:hAnsi="宋体"/>
          <w:color w:val="000000"/>
          <w:sz w:val="24"/>
        </w:rPr>
        <w:t>2、本次招标不接受联合体投标。</w:t>
      </w:r>
    </w:p>
    <w:p>
      <w:pPr>
        <w:spacing w:line="360" w:lineRule="auto"/>
        <w:ind w:firstLine="480" w:firstLineChars="200"/>
        <w:rPr>
          <w:rFonts w:hint="eastAsia" w:ascii="宋体" w:hAnsi="宋体"/>
          <w:color w:val="000000"/>
          <w:sz w:val="24"/>
        </w:rPr>
      </w:pPr>
      <w:r>
        <w:rPr>
          <w:rFonts w:hint="eastAsia" w:ascii="宋体" w:hAnsi="宋体"/>
          <w:color w:val="000000"/>
          <w:sz w:val="24"/>
        </w:rPr>
        <w:t>3、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cs="宋体"/>
          <w:color w:val="FF0000"/>
          <w:sz w:val="24"/>
          <w:highlight w:val="yellow"/>
        </w:rPr>
      </w:pPr>
      <w:r>
        <w:rPr>
          <w:rFonts w:hint="eastAsia" w:ascii="宋体" w:hAnsi="宋体"/>
          <w:sz w:val="24"/>
        </w:rPr>
        <w:t>4、竞价方的报价不应超过询价方的限价，超出限价的，做废标处理。</w:t>
      </w:r>
    </w:p>
    <w:p>
      <w:pPr>
        <w:spacing w:line="360" w:lineRule="auto"/>
        <w:ind w:firstLine="480" w:firstLineChars="200"/>
        <w:rPr>
          <w:rFonts w:hint="eastAsia" w:ascii="宋体" w:hAnsi="宋体"/>
          <w:color w:val="000000"/>
          <w:sz w:val="24"/>
        </w:rPr>
      </w:pPr>
      <w:r>
        <w:rPr>
          <w:rFonts w:hint="eastAsia" w:ascii="宋体" w:hAnsi="宋体"/>
          <w:color w:val="000000"/>
          <w:sz w:val="24"/>
        </w:rPr>
        <w:t>5、 报价人在报价书中只允许有一个报价，单价报价不接受选择报价，也不接受调价函。</w:t>
      </w:r>
    </w:p>
    <w:p>
      <w:pPr>
        <w:spacing w:line="360" w:lineRule="auto"/>
        <w:ind w:firstLine="480" w:firstLineChars="200"/>
        <w:rPr>
          <w:rFonts w:hint="eastAsia" w:ascii="宋体" w:hAnsi="宋体"/>
          <w:color w:val="000000"/>
          <w:sz w:val="24"/>
        </w:rPr>
      </w:pPr>
      <w:r>
        <w:rPr>
          <w:rFonts w:hint="eastAsia" w:ascii="宋体" w:hAnsi="宋体"/>
          <w:color w:val="000000"/>
          <w:sz w:val="24"/>
        </w:rPr>
        <w:t>6、 报价人根据询价方提供的相关资料进行综合报价，所报综合单价包括完成本项目所需的一切人工费、机械费、材料费、车辆使用费、管理费、通行费（高速公路过路费自付）、利润、规费、税金等一切明示或暗示的费用。</w:t>
      </w:r>
    </w:p>
    <w:p>
      <w:pPr>
        <w:spacing w:line="360" w:lineRule="auto"/>
        <w:ind w:firstLine="480" w:firstLineChars="200"/>
        <w:rPr>
          <w:rFonts w:hint="eastAsia" w:eastAsiaTheme="minorEastAsia"/>
          <w:b w:val="0"/>
          <w:bCs w:val="0"/>
          <w:lang w:val="en-US" w:eastAsia="zh-CN"/>
        </w:rPr>
      </w:pPr>
      <w:r>
        <w:rPr>
          <w:rFonts w:hint="eastAsia" w:ascii="宋体" w:hAnsi="宋体"/>
          <w:color w:val="000000"/>
          <w:sz w:val="24"/>
        </w:rPr>
        <w:t>7、业主可根据集团及公司预算情况临时调整施工规模或终止招标以及施工项目。</w:t>
      </w:r>
    </w:p>
    <w:p>
      <w:pPr>
        <w:spacing w:line="360" w:lineRule="auto"/>
        <w:ind w:firstLine="482"/>
        <w:rPr>
          <w:rFonts w:hint="eastAsia" w:ascii="宋体" w:hAnsi="宋体"/>
          <w:color w:val="000000"/>
          <w:sz w:val="24"/>
        </w:rPr>
      </w:pPr>
      <w:r>
        <w:rPr>
          <w:rFonts w:hint="eastAsia" w:ascii="宋体" w:hAnsi="宋体"/>
          <w:color w:val="000000"/>
          <w:sz w:val="24"/>
        </w:rPr>
        <w:t>四、评价原则</w:t>
      </w:r>
    </w:p>
    <w:p>
      <w:pPr>
        <w:spacing w:line="360" w:lineRule="auto"/>
        <w:ind w:firstLine="480" w:firstLineChars="200"/>
        <w:rPr>
          <w:rFonts w:hint="eastAsia" w:ascii="宋体" w:hAnsi="宋体"/>
          <w:sz w:val="24"/>
          <w:lang w:val="en-US" w:eastAsia="zh-CN"/>
        </w:rPr>
      </w:pPr>
      <w:r>
        <w:rPr>
          <w:rFonts w:hint="eastAsia" w:ascii="宋体" w:hAnsi="宋体"/>
          <w:color w:val="000000"/>
          <w:sz w:val="24"/>
        </w:rPr>
        <w:t>1、</w:t>
      </w:r>
      <w:r>
        <w:rPr>
          <w:rFonts w:hint="eastAsia" w:ascii="宋体" w:hAnsi="宋体"/>
          <w:color w:val="000000"/>
          <w:sz w:val="24"/>
          <w:highlight w:val="none"/>
          <w:lang w:eastAsia="zh-CN"/>
        </w:rPr>
        <w:t>本次询价为竞争性询价，</w:t>
      </w:r>
      <w:r>
        <w:rPr>
          <w:rFonts w:hint="eastAsia" w:ascii="宋体" w:hAnsi="宋体"/>
          <w:sz w:val="24"/>
          <w:lang w:eastAsia="zh-CN"/>
        </w:rPr>
        <w:t>采用</w:t>
      </w:r>
      <w:r>
        <w:rPr>
          <w:rFonts w:hint="eastAsia" w:ascii="宋体" w:hAnsi="宋体"/>
          <w:sz w:val="24"/>
          <w:lang w:val="en-US" w:eastAsia="zh-CN"/>
        </w:rPr>
        <w:t>最低价中标法</w:t>
      </w:r>
      <w:r>
        <w:rPr>
          <w:rFonts w:hint="eastAsia" w:ascii="宋体" w:hAnsi="宋体"/>
          <w:sz w:val="24"/>
        </w:rPr>
        <w:t>，</w:t>
      </w:r>
      <w:r>
        <w:rPr>
          <w:rFonts w:hint="eastAsia" w:ascii="宋体" w:hAnsi="宋体"/>
          <w:color w:val="000000"/>
          <w:sz w:val="24"/>
          <w:highlight w:val="none"/>
          <w:lang w:val="en-US" w:eastAsia="zh-CN"/>
        </w:rPr>
        <w:t>报价最低的单位即为拟合作单位。</w:t>
      </w:r>
      <w:r>
        <w:rPr>
          <w:rFonts w:hint="eastAsia" w:ascii="宋体" w:hAnsi="宋体"/>
          <w:sz w:val="24"/>
        </w:rPr>
        <w:t>如果所有单位报价高于</w:t>
      </w:r>
      <w:r>
        <w:rPr>
          <w:rFonts w:hint="eastAsia" w:ascii="宋体" w:hAnsi="宋体"/>
          <w:sz w:val="24"/>
          <w:lang w:val="en-US" w:eastAsia="zh-CN"/>
        </w:rPr>
        <w:t>限</w:t>
      </w:r>
      <w:r>
        <w:rPr>
          <w:rFonts w:hint="eastAsia" w:ascii="宋体" w:hAnsi="宋体"/>
          <w:sz w:val="24"/>
        </w:rPr>
        <w:t>价，询价方有权取消此次询价</w:t>
      </w:r>
      <w:r>
        <w:rPr>
          <w:rFonts w:hint="eastAsia" w:ascii="宋体" w:hAnsi="宋体"/>
          <w:sz w:val="24"/>
          <w:lang w:eastAsia="zh-CN"/>
        </w:rPr>
        <w:t>。</w:t>
      </w:r>
      <w:r>
        <w:rPr>
          <w:rFonts w:hint="eastAsia" w:ascii="宋体" w:hAnsi="宋体"/>
          <w:sz w:val="24"/>
          <w:lang w:val="en-US" w:eastAsia="zh-CN"/>
        </w:rPr>
        <w:t xml:space="preserve">                 </w:t>
      </w:r>
    </w:p>
    <w:p>
      <w:pPr>
        <w:spacing w:line="360" w:lineRule="auto"/>
        <w:ind w:firstLine="480" w:firstLineChars="200"/>
        <w:rPr>
          <w:rFonts w:hint="eastAsia" w:ascii="宋体" w:hAnsi="宋体"/>
          <w:color w:val="auto"/>
          <w:sz w:val="24"/>
          <w:highlight w:val="none"/>
          <w:lang w:eastAsia="zh-CN"/>
        </w:rPr>
      </w:pPr>
      <w:r>
        <w:rPr>
          <w:rFonts w:hint="eastAsia" w:ascii="宋体" w:hAnsi="宋体"/>
          <w:color w:val="000000"/>
          <w:sz w:val="24"/>
          <w:highlight w:val="none"/>
          <w:lang w:val="en-US" w:eastAsia="zh-CN"/>
        </w:rPr>
        <w:t>2、</w:t>
      </w:r>
      <w:r>
        <w:rPr>
          <w:rFonts w:hint="eastAsia" w:ascii="宋体" w:hAnsi="宋体"/>
          <w:color w:val="000000"/>
          <w:sz w:val="24"/>
          <w:highlight w:val="none"/>
          <w:lang w:eastAsia="zh-CN"/>
        </w:rPr>
        <w:t>竞价方应提供如下资质材料：公司营业执照</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组织机构代码证、税务登记证。</w:t>
      </w:r>
    </w:p>
    <w:p>
      <w:pPr>
        <w:spacing w:line="360" w:lineRule="auto"/>
        <w:ind w:firstLine="480" w:firstLineChars="200"/>
        <w:rPr>
          <w:rFonts w:hint="eastAsia" w:ascii="宋体" w:hAnsi="宋体"/>
          <w:color w:val="000000"/>
          <w:sz w:val="24"/>
        </w:rPr>
      </w:pPr>
      <w:r>
        <w:rPr>
          <w:rFonts w:hint="eastAsia" w:ascii="宋体" w:hAnsi="宋体"/>
          <w:color w:val="auto"/>
          <w:sz w:val="24"/>
          <w:highlight w:val="none"/>
          <w:lang w:val="en-US" w:eastAsia="zh-CN"/>
        </w:rPr>
        <w:t>3、</w:t>
      </w:r>
      <w:r>
        <w:rPr>
          <w:rFonts w:hint="eastAsia" w:ascii="宋体" w:hAnsi="宋体"/>
          <w:color w:val="auto"/>
          <w:sz w:val="24"/>
          <w:highlight w:val="none"/>
          <w:lang w:eastAsia="zh-CN"/>
        </w:rPr>
        <w:t>报价超过限价、资料不齐全</w:t>
      </w:r>
      <w:r>
        <w:rPr>
          <w:rFonts w:hint="eastAsia" w:ascii="宋体" w:hAnsi="宋体"/>
          <w:color w:val="auto"/>
          <w:sz w:val="24"/>
          <w:highlight w:val="none"/>
          <w:lang w:val="en-US" w:eastAsia="zh-CN"/>
        </w:rPr>
        <w:t>或不满足</w:t>
      </w:r>
      <w:r>
        <w:rPr>
          <w:rFonts w:hint="eastAsia" w:ascii="宋体" w:hAnsi="宋体"/>
          <w:color w:val="auto"/>
          <w:sz w:val="24"/>
          <w:highlight w:val="none"/>
          <w:lang w:eastAsia="zh-CN"/>
        </w:rPr>
        <w:t>条件的</w:t>
      </w:r>
      <w:r>
        <w:rPr>
          <w:rFonts w:hint="eastAsia" w:ascii="宋体" w:hAnsi="宋体"/>
          <w:color w:val="auto"/>
          <w:sz w:val="24"/>
          <w:highlight w:val="none"/>
          <w:lang w:val="en-US" w:eastAsia="zh-CN"/>
        </w:rPr>
        <w:t>均</w:t>
      </w:r>
      <w:r>
        <w:rPr>
          <w:rFonts w:hint="eastAsia" w:ascii="宋体" w:hAnsi="宋体"/>
          <w:color w:val="auto"/>
          <w:sz w:val="24"/>
          <w:highlight w:val="none"/>
          <w:lang w:eastAsia="zh-CN"/>
        </w:rPr>
        <w:t>为废标，废标单位的所有资料均一律按</w:t>
      </w:r>
      <w:r>
        <w:rPr>
          <w:rFonts w:hint="eastAsia" w:ascii="宋体" w:hAnsi="宋体"/>
          <w:color w:val="auto"/>
          <w:sz w:val="24"/>
          <w:highlight w:val="none"/>
          <w:lang w:val="en-US" w:eastAsia="zh-CN"/>
        </w:rPr>
        <w:t>时</w:t>
      </w:r>
      <w:r>
        <w:rPr>
          <w:rFonts w:hint="eastAsia" w:ascii="宋体" w:hAnsi="宋体"/>
          <w:color w:val="auto"/>
          <w:sz w:val="24"/>
          <w:highlight w:val="none"/>
          <w:lang w:eastAsia="zh-CN"/>
        </w:rPr>
        <w:t>退回。</w:t>
      </w:r>
    </w:p>
    <w:p>
      <w:pPr>
        <w:spacing w:line="360" w:lineRule="auto"/>
        <w:ind w:firstLine="480" w:firstLineChars="200"/>
        <w:rPr>
          <w:rFonts w:ascii="宋体" w:hAnsi="宋体"/>
          <w:color w:val="000000"/>
          <w:sz w:val="24"/>
        </w:rPr>
      </w:pPr>
      <w:r>
        <w:rPr>
          <w:rFonts w:hint="eastAsia" w:ascii="宋体" w:hAnsi="宋体"/>
          <w:color w:val="000000"/>
          <w:sz w:val="24"/>
        </w:rPr>
        <w:t>五、承包人乙方义务</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乙方应按约定的时间和要求完成本项目的施工工作并完善施工资料。</w:t>
      </w:r>
    </w:p>
    <w:p>
      <w:pPr>
        <w:spacing w:line="360" w:lineRule="auto"/>
        <w:ind w:firstLine="480" w:firstLineChars="200"/>
        <w:rPr>
          <w:rFonts w:hint="eastAsia" w:ascii="宋体" w:hAnsi="宋体" w:eastAsiaTheme="minorEastAsia" w:cstheme="minorBidi"/>
          <w:b w:val="0"/>
          <w:bCs w:val="0"/>
          <w:color w:val="000000"/>
          <w:kern w:val="2"/>
          <w:sz w:val="24"/>
          <w:szCs w:val="24"/>
          <w:lang w:val="en-US" w:eastAsia="zh-CN" w:bidi="ar-SA"/>
        </w:rPr>
      </w:pPr>
      <w:r>
        <w:rPr>
          <w:rFonts w:hint="eastAsia" w:ascii="宋体" w:hAnsi="宋体"/>
          <w:color w:val="000000"/>
          <w:sz w:val="24"/>
          <w:lang w:val="en-US" w:eastAsia="zh-CN"/>
        </w:rPr>
        <w:t>2</w:t>
      </w:r>
      <w:r>
        <w:rPr>
          <w:rFonts w:hint="eastAsia" w:ascii="宋体" w:hAnsi="宋体" w:eastAsiaTheme="minorEastAsia" w:cstheme="minorBidi"/>
          <w:b w:val="0"/>
          <w:bCs w:val="0"/>
          <w:color w:val="000000"/>
          <w:kern w:val="2"/>
          <w:sz w:val="24"/>
          <w:szCs w:val="24"/>
          <w:lang w:val="en-US" w:eastAsia="zh-CN" w:bidi="ar-SA"/>
        </w:rPr>
        <w:t>、因工程质量造成的甲方损失由乙方承担。</w:t>
      </w:r>
    </w:p>
    <w:p>
      <w:pPr>
        <w:spacing w:line="360" w:lineRule="auto"/>
        <w:ind w:firstLine="480" w:firstLineChars="200"/>
        <w:rPr>
          <w:rFonts w:hint="eastAsia" w:ascii="宋体" w:hAnsi="宋体"/>
          <w:sz w:val="24"/>
        </w:rPr>
      </w:pPr>
      <w:r>
        <w:rPr>
          <w:rFonts w:hint="eastAsia" w:ascii="宋体" w:hAnsi="宋体"/>
          <w:sz w:val="24"/>
        </w:rPr>
        <w:t>六、支付方式</w:t>
      </w:r>
    </w:p>
    <w:p>
      <w:pPr>
        <w:spacing w:line="400" w:lineRule="exact"/>
        <w:ind w:firstLine="480" w:firstLineChars="200"/>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color w:val="000000"/>
          <w:sz w:val="24"/>
          <w:lang w:val="en-US" w:eastAsia="zh-CN"/>
        </w:rPr>
        <w:t>本项目分六次支付，每半年支付一次维护费用</w:t>
      </w:r>
      <w:r>
        <w:rPr>
          <w:rFonts w:hint="eastAsia" w:ascii="宋体" w:hAnsi="宋体"/>
          <w:color w:val="000000"/>
          <w:sz w:val="24"/>
          <w:lang w:eastAsia="zh-CN"/>
        </w:rPr>
        <w:t>。</w:t>
      </w:r>
    </w:p>
    <w:p>
      <w:pPr>
        <w:spacing w:line="400" w:lineRule="exact"/>
        <w:ind w:firstLine="480" w:firstLineChars="200"/>
        <w:rPr>
          <w:rFonts w:hint="default"/>
          <w:lang w:val="en-US" w:eastAsia="zh-CN"/>
        </w:rPr>
      </w:pPr>
      <w:r>
        <w:rPr>
          <w:rFonts w:hint="eastAsia" w:ascii="宋体" w:hAnsi="宋体"/>
          <w:color w:val="000000"/>
          <w:sz w:val="24"/>
          <w:lang w:val="en-US" w:eastAsia="zh-CN"/>
        </w:rPr>
        <w:t>2</w:t>
      </w:r>
      <w:r>
        <w:rPr>
          <w:rFonts w:hint="eastAsia" w:ascii="宋体" w:hAnsi="宋体"/>
          <w:color w:val="000000"/>
          <w:sz w:val="24"/>
        </w:rPr>
        <w:t>、</w:t>
      </w:r>
      <w:r>
        <w:rPr>
          <w:rFonts w:hint="eastAsia" w:ascii="宋体" w:hAnsi="宋体"/>
          <w:color w:val="000000"/>
          <w:sz w:val="24"/>
          <w:lang w:val="en-US" w:eastAsia="zh-CN"/>
        </w:rPr>
        <w:t>附件报价表中的工程量为预估量，最后以实际收方为准。</w:t>
      </w:r>
    </w:p>
    <w:p>
      <w:pPr>
        <w:spacing w:line="360" w:lineRule="auto"/>
        <w:ind w:firstLine="480" w:firstLineChars="200"/>
        <w:rPr>
          <w:rFonts w:hint="eastAsia" w:ascii="宋体" w:hAnsi="宋体"/>
          <w:sz w:val="24"/>
        </w:rPr>
      </w:pPr>
      <w:r>
        <w:rPr>
          <w:rFonts w:hint="eastAsia" w:ascii="宋体" w:hAnsi="宋体"/>
          <w:sz w:val="24"/>
        </w:rPr>
        <w:t>七、竞价文件的组成部分：</w:t>
      </w:r>
    </w:p>
    <w:p>
      <w:pPr>
        <w:spacing w:line="360" w:lineRule="auto"/>
        <w:ind w:firstLine="480" w:firstLineChars="200"/>
        <w:rPr>
          <w:rFonts w:hint="eastAsia" w:ascii="宋体" w:hAnsi="宋体"/>
          <w:sz w:val="24"/>
        </w:rPr>
      </w:pPr>
      <w:r>
        <w:rPr>
          <w:rFonts w:hint="eastAsia" w:ascii="宋体" w:hAnsi="宋体"/>
          <w:sz w:val="24"/>
        </w:rPr>
        <w:t>1、报价单：报价方根据询价方提供的相关资料进行综合报价。</w:t>
      </w:r>
    </w:p>
    <w:p>
      <w:pPr>
        <w:spacing w:line="360" w:lineRule="auto"/>
        <w:ind w:firstLine="480" w:firstLineChars="200"/>
        <w:rPr>
          <w:rFonts w:hint="eastAsia"/>
        </w:rPr>
      </w:pPr>
      <w:r>
        <w:rPr>
          <w:rFonts w:hint="eastAsia" w:ascii="宋体" w:hAnsi="宋体"/>
          <w:color w:val="000000"/>
          <w:sz w:val="24"/>
        </w:rPr>
        <w:t>2、公司营业执照、资质证书和安全生产许可证。</w:t>
      </w:r>
    </w:p>
    <w:p>
      <w:pPr>
        <w:spacing w:line="360" w:lineRule="auto"/>
        <w:ind w:firstLine="480" w:firstLineChars="200"/>
        <w:rPr>
          <w:rFonts w:hint="eastAsia" w:ascii="宋体" w:hAnsi="宋体" w:eastAsiaTheme="minorEastAsia"/>
          <w:color w:val="000000"/>
          <w:sz w:val="24"/>
          <w:lang w:val="en-US" w:eastAsia="zh-CN"/>
        </w:rPr>
      </w:pPr>
      <w:r>
        <w:rPr>
          <w:rFonts w:hint="eastAsia" w:ascii="宋体" w:hAnsi="宋体"/>
          <w:color w:val="000000"/>
          <w:sz w:val="24"/>
          <w:lang w:val="en-US" w:eastAsia="zh-CN"/>
        </w:rPr>
        <w:t>3、相关施工业绩证明材料。</w:t>
      </w:r>
    </w:p>
    <w:p>
      <w:pPr>
        <w:spacing w:line="360" w:lineRule="auto"/>
        <w:ind w:firstLine="480" w:firstLineChars="200"/>
        <w:rPr>
          <w:rFonts w:hint="eastAsia" w:ascii="宋体" w:hAnsi="宋体" w:eastAsiaTheme="minorEastAsia" w:cstheme="minorBidi"/>
          <w:b w:val="0"/>
          <w:bCs w:val="0"/>
          <w:color w:val="000000"/>
          <w:kern w:val="2"/>
          <w:sz w:val="24"/>
          <w:szCs w:val="24"/>
          <w:lang w:val="en-US" w:eastAsia="zh-CN" w:bidi="ar-SA"/>
        </w:rPr>
      </w:pPr>
      <w:r>
        <w:rPr>
          <w:rFonts w:hint="eastAsia" w:ascii="宋体" w:hAnsi="宋体"/>
          <w:color w:val="000000"/>
          <w:sz w:val="24"/>
          <w:lang w:val="en-US" w:eastAsia="zh-CN"/>
        </w:rPr>
        <w:t>4</w:t>
      </w:r>
      <w:r>
        <w:rPr>
          <w:rFonts w:hint="eastAsia" w:ascii="宋体" w:hAnsi="宋体"/>
          <w:color w:val="000000"/>
          <w:sz w:val="24"/>
        </w:rPr>
        <w:t>、所有资料装袋密封，在封口处加盖报价人单位公章，报价函（须盖单位公章（复印件无效），提供的证明材料（如营业执照、资质证书）复印件需加盖报价人公章。</w:t>
      </w:r>
    </w:p>
    <w:p>
      <w:pPr>
        <w:spacing w:line="360" w:lineRule="auto"/>
        <w:ind w:firstLine="480" w:firstLineChars="200"/>
        <w:rPr>
          <w:rFonts w:hint="eastAsia" w:ascii="宋体" w:hAnsi="宋体"/>
          <w:color w:val="000000"/>
          <w:sz w:val="24"/>
        </w:rPr>
      </w:pPr>
      <w:r>
        <w:rPr>
          <w:rFonts w:hint="eastAsia" w:ascii="宋体" w:hAnsi="宋体"/>
          <w:color w:val="000000"/>
          <w:sz w:val="24"/>
        </w:rPr>
        <w:t>八、递交时间：</w:t>
      </w:r>
    </w:p>
    <w:p>
      <w:pPr>
        <w:spacing w:line="360" w:lineRule="auto"/>
        <w:ind w:firstLine="480" w:firstLineChars="200"/>
        <w:rPr>
          <w:rFonts w:hint="eastAsia" w:ascii="宋体" w:hAnsi="宋体"/>
          <w:color w:val="000000"/>
          <w:sz w:val="24"/>
        </w:rPr>
      </w:pPr>
      <w:r>
        <w:rPr>
          <w:rFonts w:hint="eastAsia" w:ascii="宋体" w:hAnsi="宋体"/>
          <w:color w:val="000000"/>
          <w:sz w:val="24"/>
        </w:rPr>
        <w:t>竞价文件应于20</w:t>
      </w:r>
      <w:r>
        <w:rPr>
          <w:rFonts w:hint="eastAsia" w:ascii="宋体" w:hAnsi="宋体"/>
          <w:color w:val="000000"/>
          <w:sz w:val="24"/>
          <w:lang w:val="en-US" w:eastAsia="zh-CN"/>
        </w:rPr>
        <w:t>24</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17</w:t>
      </w:r>
      <w:bookmarkStart w:id="3" w:name="_GoBack"/>
      <w:bookmarkEnd w:id="3"/>
      <w:r>
        <w:rPr>
          <w:rFonts w:hint="eastAsia" w:ascii="宋体" w:hAnsi="宋体"/>
          <w:color w:val="000000"/>
          <w:sz w:val="24"/>
        </w:rPr>
        <w:t>日上午</w:t>
      </w:r>
      <w:r>
        <w:rPr>
          <w:rFonts w:hint="eastAsia" w:ascii="宋体" w:hAnsi="宋体"/>
          <w:color w:val="000000"/>
          <w:sz w:val="24"/>
          <w:lang w:val="en-US" w:eastAsia="zh-CN"/>
        </w:rPr>
        <w:t>9</w:t>
      </w:r>
      <w:r>
        <w:rPr>
          <w:rFonts w:hint="eastAsia" w:ascii="宋体" w:hAnsi="宋体"/>
          <w:color w:val="000000"/>
          <w:sz w:val="24"/>
        </w:rPr>
        <w:t>:30（北京时间）前递交我公司</w:t>
      </w:r>
      <w:r>
        <w:rPr>
          <w:rFonts w:hint="eastAsia" w:ascii="宋体" w:hAnsi="宋体"/>
          <w:color w:val="000000"/>
          <w:sz w:val="24"/>
          <w:lang w:val="en-US" w:eastAsia="zh-CN"/>
        </w:rPr>
        <w:t>黔江管理中心</w:t>
      </w:r>
      <w:r>
        <w:rPr>
          <w:rFonts w:hint="eastAsia" w:ascii="宋体" w:hAnsi="宋体"/>
          <w:color w:val="000000"/>
          <w:sz w:val="24"/>
        </w:rPr>
        <w:t>（重庆市</w:t>
      </w:r>
      <w:r>
        <w:rPr>
          <w:rFonts w:hint="eastAsia" w:ascii="宋体" w:hAnsi="宋体"/>
          <w:color w:val="000000"/>
          <w:sz w:val="24"/>
          <w:lang w:val="en-US" w:eastAsia="zh-CN"/>
        </w:rPr>
        <w:t>黔江区城西街道办事处大庄居委东南公司220会议室</w:t>
      </w:r>
      <w:r>
        <w:rPr>
          <w:rFonts w:hint="eastAsia" w:ascii="宋体" w:hAnsi="宋体"/>
          <w:color w:val="000000"/>
          <w:sz w:val="24"/>
        </w:rPr>
        <w:t>）。</w:t>
      </w:r>
    </w:p>
    <w:p>
      <w:pPr>
        <w:spacing w:line="360" w:lineRule="auto"/>
        <w:ind w:firstLine="480" w:firstLineChars="200"/>
        <w:rPr>
          <w:rFonts w:hint="eastAsia" w:ascii="宋体" w:hAnsi="宋体"/>
          <w:color w:val="000000"/>
          <w:sz w:val="24"/>
          <w:lang w:val="en-US" w:eastAsia="zh-CN"/>
        </w:rPr>
      </w:pPr>
      <w:r>
        <w:rPr>
          <w:rFonts w:hint="eastAsia" w:ascii="宋体" w:hAnsi="宋体"/>
          <w:color w:val="000000"/>
          <w:sz w:val="24"/>
          <w:lang w:val="en-US" w:eastAsia="zh-CN"/>
        </w:rPr>
        <w:t>黔江管理中心</w:t>
      </w:r>
      <w:r>
        <w:rPr>
          <w:rFonts w:hint="eastAsia" w:ascii="宋体" w:hAnsi="宋体"/>
          <w:color w:val="000000"/>
          <w:sz w:val="24"/>
        </w:rPr>
        <w:t>联系人：</w:t>
      </w:r>
      <w:r>
        <w:rPr>
          <w:rFonts w:hint="eastAsia" w:ascii="宋体" w:hAnsi="宋体"/>
          <w:color w:val="000000"/>
          <w:sz w:val="24"/>
          <w:lang w:val="en-US" w:eastAsia="zh-CN"/>
        </w:rPr>
        <w:t>周杨</w:t>
      </w:r>
      <w:r>
        <w:rPr>
          <w:rFonts w:hint="eastAsia" w:ascii="宋体" w:hAnsi="宋体"/>
          <w:color w:val="000000"/>
          <w:sz w:val="24"/>
        </w:rPr>
        <w:t xml:space="preserve">  </w:t>
      </w:r>
      <w:r>
        <w:rPr>
          <w:rFonts w:hint="eastAsia" w:ascii="宋体" w:hAnsi="宋体"/>
          <w:color w:val="000000"/>
          <w:sz w:val="24"/>
          <w:lang w:val="en-US" w:eastAsia="zh-CN"/>
        </w:rPr>
        <w:t>18623299611</w:t>
      </w:r>
    </w:p>
    <w:p>
      <w:pPr>
        <w:spacing w:line="360" w:lineRule="auto"/>
        <w:ind w:firstLine="480" w:firstLineChars="200"/>
        <w:rPr>
          <w:rFonts w:hint="eastAsia" w:ascii="宋体" w:hAnsi="宋体"/>
          <w:color w:val="000000"/>
          <w:sz w:val="24"/>
        </w:rPr>
      </w:pPr>
      <w:r>
        <w:rPr>
          <w:rFonts w:hint="eastAsia" w:ascii="宋体" w:hAnsi="宋体"/>
          <w:color w:val="000000"/>
          <w:sz w:val="24"/>
        </w:rPr>
        <w:t>竞价文件须密封完好，加盖密封章</w:t>
      </w:r>
    </w:p>
    <w:p>
      <w:pPr>
        <w:spacing w:line="360" w:lineRule="auto"/>
        <w:rPr>
          <w:rFonts w:hint="eastAsia" w:ascii="宋体" w:hAnsi="宋体"/>
          <w:color w:val="000000"/>
          <w:sz w:val="24"/>
        </w:rPr>
      </w:pPr>
      <w:r>
        <w:rPr>
          <w:rFonts w:hint="eastAsia" w:ascii="宋体" w:hAnsi="宋体"/>
          <w:color w:val="000000"/>
          <w:sz w:val="24"/>
        </w:rPr>
        <w:t xml:space="preserve">    （此页以下无正文） </w:t>
      </w:r>
    </w:p>
    <w:p>
      <w:pPr>
        <w:spacing w:line="360" w:lineRule="auto"/>
        <w:rPr>
          <w:rFonts w:hint="eastAsia" w:ascii="宋体" w:hAnsi="宋体"/>
          <w:color w:val="000000"/>
          <w:sz w:val="24"/>
        </w:rPr>
      </w:pPr>
      <w:r>
        <w:rPr>
          <w:rFonts w:hint="eastAsia" w:ascii="宋体" w:hAnsi="宋体"/>
          <w:color w:val="000000"/>
          <w:sz w:val="24"/>
        </w:rPr>
        <w:t xml:space="preserve">                     </w:t>
      </w:r>
    </w:p>
    <w:p>
      <w:pPr>
        <w:spacing w:line="360" w:lineRule="auto"/>
        <w:rPr>
          <w:rFonts w:hint="eastAsia" w:ascii="宋体" w:hAnsi="宋体"/>
          <w:color w:val="000000"/>
          <w:sz w:val="24"/>
        </w:rPr>
      </w:pPr>
      <w:r>
        <w:rPr>
          <w:rFonts w:hint="eastAsia" w:ascii="宋体" w:hAnsi="宋体"/>
          <w:color w:val="000000"/>
          <w:sz w:val="24"/>
        </w:rPr>
        <w:t xml:space="preserve">                              重庆高速公路集团有限公司东南营运分公司</w:t>
      </w:r>
    </w:p>
    <w:p>
      <w:pPr>
        <w:spacing w:line="360" w:lineRule="auto"/>
        <w:ind w:right="40"/>
        <w:rPr>
          <w:rFonts w:hint="eastAsia" w:ascii="宋体" w:hAnsi="宋体"/>
          <w:color w:val="000000"/>
          <w:sz w:val="24"/>
        </w:rPr>
      </w:pPr>
      <w:r>
        <w:rPr>
          <w:rFonts w:hint="eastAsia" w:ascii="宋体" w:hAnsi="宋体"/>
          <w:color w:val="000000"/>
          <w:sz w:val="24"/>
        </w:rPr>
        <w:t xml:space="preserve">                                        20</w:t>
      </w:r>
      <w:r>
        <w:rPr>
          <w:rFonts w:hint="eastAsia" w:ascii="宋体" w:hAnsi="宋体"/>
          <w:color w:val="000000"/>
          <w:sz w:val="24"/>
          <w:lang w:val="en-US" w:eastAsia="zh-CN"/>
        </w:rPr>
        <w:t>24</w:t>
      </w:r>
      <w:r>
        <w:rPr>
          <w:rFonts w:hint="eastAsia" w:ascii="宋体" w:hAnsi="宋体"/>
          <w:color w:val="000000"/>
          <w:sz w:val="24"/>
        </w:rPr>
        <w:t>年</w:t>
      </w:r>
      <w:r>
        <w:rPr>
          <w:rFonts w:hint="eastAsia" w:ascii="宋体" w:hAnsi="宋体"/>
          <w:color w:val="000000"/>
          <w:sz w:val="24"/>
          <w:lang w:val="en-US" w:eastAsia="zh-CN"/>
        </w:rPr>
        <w:t>1</w:t>
      </w:r>
      <w:r>
        <w:rPr>
          <w:rFonts w:hint="eastAsia" w:ascii="宋体" w:hAnsi="宋体"/>
          <w:color w:val="000000"/>
          <w:sz w:val="24"/>
        </w:rPr>
        <w:t>月</w:t>
      </w:r>
      <w:r>
        <w:rPr>
          <w:rFonts w:hint="eastAsia" w:ascii="宋体" w:hAnsi="宋体"/>
          <w:color w:val="000000"/>
          <w:sz w:val="24"/>
          <w:lang w:val="en-US" w:eastAsia="zh-CN"/>
        </w:rPr>
        <w:t>9</w:t>
      </w:r>
      <w:r>
        <w:rPr>
          <w:rFonts w:hint="eastAsia" w:ascii="宋体" w:hAnsi="宋体"/>
          <w:color w:val="000000"/>
          <w:sz w:val="24"/>
        </w:rPr>
        <w:t>日</w:t>
      </w:r>
    </w:p>
    <w:p>
      <w:pPr>
        <w:spacing w:line="360" w:lineRule="auto"/>
        <w:ind w:right="40"/>
        <w:rPr>
          <w:rFonts w:hint="eastAsia" w:ascii="宋体" w:hAnsi="宋体"/>
          <w:color w:val="000000"/>
          <w:sz w:val="24"/>
        </w:rPr>
      </w:pPr>
    </w:p>
    <w:p>
      <w:pPr>
        <w:spacing w:line="360" w:lineRule="auto"/>
        <w:ind w:right="40"/>
        <w:rPr>
          <w:rFonts w:hint="eastAsia" w:ascii="宋体" w:hAnsi="宋体"/>
          <w:color w:val="000000"/>
          <w:sz w:val="24"/>
        </w:rPr>
      </w:pPr>
    </w:p>
    <w:p>
      <w:pPr>
        <w:spacing w:line="360" w:lineRule="auto"/>
        <w:ind w:right="40"/>
        <w:rPr>
          <w:rFonts w:hint="eastAsia" w:ascii="宋体" w:hAnsi="宋体"/>
          <w:color w:val="000000"/>
          <w:sz w:val="24"/>
        </w:rPr>
      </w:pPr>
    </w:p>
    <w:p>
      <w:pPr>
        <w:spacing w:line="360" w:lineRule="auto"/>
        <w:ind w:right="40"/>
        <w:rPr>
          <w:rFonts w:hint="eastAsia" w:ascii="宋体" w:hAnsi="宋体"/>
          <w:color w:val="000000"/>
          <w:sz w:val="24"/>
        </w:rPr>
      </w:pPr>
    </w:p>
    <w:p>
      <w:pPr>
        <w:pStyle w:val="2"/>
        <w:rPr>
          <w:rFonts w:hint="eastAsia" w:ascii="宋体" w:hAnsi="宋体"/>
          <w:color w:val="000000"/>
          <w:sz w:val="24"/>
        </w:rPr>
      </w:pPr>
    </w:p>
    <w:p>
      <w:pPr>
        <w:pStyle w:val="2"/>
        <w:ind w:left="0" w:leftChars="0" w:firstLine="0" w:firstLineChars="0"/>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spacing w:line="360" w:lineRule="auto"/>
        <w:rPr>
          <w:rFonts w:hint="eastAsia" w:ascii="仿宋_GB2312" w:eastAsia="仿宋_GB2312"/>
          <w:b/>
          <w:sz w:val="32"/>
          <w:szCs w:val="32"/>
        </w:rPr>
      </w:pPr>
    </w:p>
    <w:p>
      <w:pPr>
        <w:pStyle w:val="2"/>
        <w:rPr>
          <w:rFonts w:hint="eastAsia"/>
        </w:rPr>
      </w:pPr>
    </w:p>
    <w:p>
      <w:pPr>
        <w:adjustRightInd w:val="0"/>
        <w:snapToGrid w:val="0"/>
        <w:spacing w:line="360" w:lineRule="auto"/>
        <w:rPr>
          <w:rFonts w:hint="eastAsia" w:ascii="仿宋_GB2312" w:eastAsia="仿宋_GB2312"/>
          <w:b/>
          <w:sz w:val="32"/>
          <w:szCs w:val="32"/>
        </w:rPr>
      </w:pPr>
    </w:p>
    <w:p>
      <w:pPr>
        <w:adjustRightInd w:val="0"/>
        <w:snapToGrid w:val="0"/>
        <w:spacing w:line="360" w:lineRule="auto"/>
        <w:rPr>
          <w:rFonts w:hint="eastAsia" w:ascii="仿宋_GB2312" w:eastAsia="仿宋_GB2312"/>
          <w:b/>
          <w:sz w:val="32"/>
          <w:szCs w:val="32"/>
        </w:rPr>
      </w:pPr>
    </w:p>
    <w:p>
      <w:pPr>
        <w:adjustRightInd w:val="0"/>
        <w:snapToGrid w:val="0"/>
        <w:spacing w:line="360" w:lineRule="auto"/>
        <w:rPr>
          <w:rFonts w:hint="eastAsia" w:ascii="仿宋_GB2312" w:eastAsia="仿宋_GB2312"/>
          <w:b/>
          <w:sz w:val="32"/>
          <w:szCs w:val="32"/>
        </w:rPr>
      </w:pPr>
    </w:p>
    <w:p>
      <w:pPr>
        <w:adjustRightInd w:val="0"/>
        <w:snapToGrid w:val="0"/>
        <w:spacing w:line="360" w:lineRule="auto"/>
        <w:rPr>
          <w:rFonts w:hint="eastAsia" w:ascii="仿宋_GB2312" w:eastAsia="仿宋_GB2312"/>
          <w:b/>
          <w:sz w:val="32"/>
          <w:szCs w:val="32"/>
        </w:rPr>
      </w:pPr>
    </w:p>
    <w:p>
      <w:pPr>
        <w:adjustRightInd w:val="0"/>
        <w:snapToGrid w:val="0"/>
        <w:spacing w:line="360" w:lineRule="auto"/>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rPr>
      </w:pPr>
    </w:p>
    <w:p>
      <w:pPr>
        <w:adjustRightInd w:val="0"/>
        <w:snapToGrid w:val="0"/>
        <w:spacing w:line="360" w:lineRule="auto"/>
        <w:rPr>
          <w:rFonts w:hint="eastAsia" w:ascii="仿宋_GB2312" w:eastAsia="仿宋_GB2312"/>
          <w:b/>
          <w:sz w:val="32"/>
          <w:szCs w:val="32"/>
        </w:rPr>
      </w:pPr>
    </w:p>
    <w:p>
      <w:pPr>
        <w:adjustRightInd w:val="0"/>
        <w:snapToGrid w:val="0"/>
        <w:spacing w:line="360" w:lineRule="auto"/>
        <w:rPr>
          <w:rFonts w:hint="eastAsia" w:ascii="仿宋_GB2312" w:eastAsia="仿宋_GB2312"/>
          <w:b/>
          <w:sz w:val="32"/>
          <w:szCs w:val="32"/>
        </w:rPr>
      </w:pPr>
      <w:r>
        <w:rPr>
          <w:rFonts w:hint="eastAsia" w:ascii="仿宋_GB2312" w:eastAsia="仿宋_GB2312"/>
          <w:b/>
          <w:sz w:val="32"/>
          <w:szCs w:val="32"/>
        </w:rPr>
        <w:t>附件一：</w:t>
      </w:r>
    </w:p>
    <w:tbl>
      <w:tblPr>
        <w:tblStyle w:val="4"/>
        <w:tblpPr w:leftFromText="180" w:rightFromText="180" w:vertAnchor="text" w:horzAnchor="page" w:tblpX="688" w:tblpY="496"/>
        <w:tblOverlap w:val="never"/>
        <w:tblW w:w="10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6"/>
        <w:gridCol w:w="3368"/>
        <w:gridCol w:w="1866"/>
        <w:gridCol w:w="2327"/>
        <w:gridCol w:w="2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7" w:hRule="atLeast"/>
        </w:trPr>
        <w:tc>
          <w:tcPr>
            <w:tcW w:w="108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东南公司黔江中心办公场所绿化租摆报价表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7" w:hRule="atLeast"/>
        </w:trPr>
        <w:tc>
          <w:tcPr>
            <w:tcW w:w="4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36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摆放位置</w:t>
            </w:r>
          </w:p>
        </w:tc>
        <w:tc>
          <w:tcPr>
            <w:tcW w:w="6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lang w:val="en-US" w:eastAsia="zh-CN"/>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办公楼</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大</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中</w:t>
            </w: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公司大门</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办公楼大厅</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后大门</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2楼露台</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220</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221</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监控楼</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门口</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监控中心</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2楼过道</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会议大厅</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3楼</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宿舍楼</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过道</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旧宿舍楼楼梯</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w:t>
            </w: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新宿舍楼大厅</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新宿舍楼楼梯</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黔江西收费站</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濯水收费站</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合计数量</w:t>
            </w:r>
          </w:p>
        </w:tc>
        <w:tc>
          <w:tcPr>
            <w:tcW w:w="186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w:t>
            </w:r>
          </w:p>
        </w:tc>
        <w:tc>
          <w:tcPr>
            <w:tcW w:w="232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w:t>
            </w:r>
          </w:p>
        </w:tc>
        <w:tc>
          <w:tcPr>
            <w:tcW w:w="278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8"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p>
        </w:tc>
        <w:tc>
          <w:tcPr>
            <w:tcW w:w="1866"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3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p>
        </w:tc>
        <w:tc>
          <w:tcPr>
            <w:tcW w:w="2787"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pStyle w:val="2"/>
        <w:rPr>
          <w:rFonts w:hint="eastAsia"/>
        </w:rPr>
      </w:pPr>
    </w:p>
    <w:p>
      <w:pPr>
        <w:adjustRightInd w:val="0"/>
        <w:snapToGrid w:val="0"/>
        <w:spacing w:line="360" w:lineRule="auto"/>
        <w:rPr>
          <w:rFonts w:hint="eastAsia"/>
          <w:lang w:eastAsia="zh-CN"/>
        </w:rPr>
      </w:pPr>
      <w:r>
        <w:rPr>
          <w:rFonts w:hint="eastAsia" w:ascii="宋体" w:hAnsi="宋体"/>
          <w:bCs/>
          <w:spacing w:val="-16"/>
          <w:sz w:val="22"/>
          <w:szCs w:val="22"/>
        </w:rPr>
        <w:t>报价说明：</w:t>
      </w:r>
      <w:r>
        <w:rPr>
          <w:rFonts w:hint="eastAsia" w:ascii="宋体" w:hAnsi="宋体"/>
          <w:bCs/>
          <w:spacing w:val="-16"/>
          <w:sz w:val="22"/>
          <w:szCs w:val="22"/>
          <w:lang w:val="en-US" w:eastAsia="zh-CN"/>
        </w:rPr>
        <w:t>1、</w:t>
      </w:r>
      <w:r>
        <w:rPr>
          <w:rFonts w:hint="eastAsia" w:ascii="宋体" w:hAnsi="宋体"/>
          <w:bCs/>
          <w:spacing w:val="-16"/>
          <w:sz w:val="22"/>
          <w:szCs w:val="22"/>
          <w:lang w:eastAsia="zh-CN"/>
        </w:rPr>
        <w:t>每一项报价均不能超过上限价，否则视为废标。</w:t>
      </w:r>
    </w:p>
    <w:p>
      <w:pPr>
        <w:adjustRightInd w:val="0"/>
        <w:snapToGrid w:val="0"/>
        <w:spacing w:line="360" w:lineRule="auto"/>
        <w:rPr>
          <w:rFonts w:hint="eastAsia" w:ascii="宋体" w:hAnsi="宋体"/>
          <w:bCs/>
          <w:spacing w:val="-16"/>
          <w:sz w:val="22"/>
          <w:szCs w:val="22"/>
          <w:lang w:val="en-US" w:eastAsia="zh-CN"/>
        </w:rPr>
      </w:pPr>
      <w:r>
        <w:rPr>
          <w:rFonts w:hint="eastAsia" w:ascii="宋体" w:hAnsi="宋体"/>
          <w:bCs/>
          <w:spacing w:val="-16"/>
          <w:sz w:val="22"/>
          <w:szCs w:val="22"/>
          <w:lang w:val="en-US" w:eastAsia="zh-CN"/>
        </w:rPr>
        <w:t xml:space="preserve">            2、上限价清单项目采用全费用清单，已包含安全生产费、税金等费用。</w:t>
      </w:r>
    </w:p>
    <w:p>
      <w:pPr>
        <w:numPr>
          <w:ilvl w:val="0"/>
          <w:numId w:val="1"/>
        </w:numPr>
        <w:adjustRightInd w:val="0"/>
        <w:snapToGrid w:val="0"/>
        <w:spacing w:line="360" w:lineRule="auto"/>
        <w:ind w:firstLine="940" w:firstLineChars="500"/>
        <w:jc w:val="both"/>
        <w:rPr>
          <w:rFonts w:hint="eastAsia" w:ascii="宋体" w:hAnsi="宋体"/>
          <w:bCs/>
          <w:spacing w:val="-16"/>
          <w:sz w:val="22"/>
          <w:szCs w:val="22"/>
          <w:lang w:val="en-US" w:eastAsia="zh-CN"/>
        </w:rPr>
      </w:pPr>
      <w:r>
        <w:rPr>
          <w:rFonts w:hint="eastAsia" w:ascii="宋体" w:hAnsi="宋体"/>
          <w:bCs/>
          <w:spacing w:val="-16"/>
          <w:sz w:val="22"/>
          <w:szCs w:val="22"/>
          <w:lang w:val="en-US" w:eastAsia="zh-CN"/>
        </w:rPr>
        <w:t>上限价清单表中每一页都需盖单位章。</w:t>
      </w:r>
    </w:p>
    <w:p>
      <w:pPr>
        <w:numPr>
          <w:ilvl w:val="0"/>
          <w:numId w:val="1"/>
        </w:numPr>
        <w:adjustRightInd w:val="0"/>
        <w:snapToGrid w:val="0"/>
        <w:spacing w:line="360" w:lineRule="auto"/>
        <w:ind w:firstLine="940" w:firstLineChars="500"/>
        <w:jc w:val="both"/>
        <w:rPr>
          <w:rFonts w:hint="eastAsia" w:ascii="宋体" w:hAnsi="宋体"/>
          <w:bCs/>
          <w:spacing w:val="-16"/>
          <w:sz w:val="22"/>
          <w:szCs w:val="22"/>
          <w:lang w:val="en-US" w:eastAsia="zh-CN"/>
        </w:rPr>
      </w:pPr>
      <w:r>
        <w:rPr>
          <w:rFonts w:hint="eastAsia" w:ascii="宋体" w:hAnsi="宋体"/>
          <w:bCs/>
          <w:spacing w:val="-16"/>
          <w:sz w:val="22"/>
          <w:szCs w:val="22"/>
          <w:lang w:val="en-US" w:eastAsia="zh-CN"/>
        </w:rPr>
        <w:t>报价需单价和合计价都填写。</w:t>
      </w:r>
    </w:p>
    <w:p>
      <w:pPr>
        <w:spacing w:line="360" w:lineRule="auto"/>
        <w:rPr>
          <w:rFonts w:hint="eastAsia" w:ascii="仿宋_GB2312" w:eastAsia="仿宋_GB2312"/>
          <w:b/>
          <w:sz w:val="32"/>
          <w:szCs w:val="32"/>
        </w:rPr>
      </w:pPr>
    </w:p>
    <w:p>
      <w:pPr>
        <w:spacing w:line="360" w:lineRule="auto"/>
        <w:ind w:firstLine="4620" w:firstLineChars="1650"/>
        <w:rPr>
          <w:rFonts w:hint="eastAsia" w:ascii="仿宋_GB2312" w:eastAsia="仿宋_GB2312"/>
          <w:b/>
          <w:sz w:val="32"/>
          <w:szCs w:val="32"/>
        </w:rPr>
      </w:pPr>
      <w:r>
        <w:rPr>
          <w:rFonts w:hint="eastAsia" w:ascii="仿宋_GB2312" w:eastAsia="仿宋_GB2312"/>
          <w:sz w:val="28"/>
          <w:szCs w:val="28"/>
        </w:rPr>
        <w:t>报价单位</w:t>
      </w:r>
      <w:r>
        <w:rPr>
          <w:rFonts w:hint="eastAsia" w:ascii="仿宋_GB2312" w:eastAsia="仿宋_GB2312"/>
          <w:sz w:val="28"/>
          <w:szCs w:val="28"/>
          <w:lang w:eastAsia="zh-CN"/>
        </w:rPr>
        <w:t>（盖章）</w:t>
      </w:r>
      <w:r>
        <w:rPr>
          <w:rFonts w:hint="eastAsia" w:ascii="仿宋_GB2312" w:eastAsia="仿宋_GB2312"/>
          <w:sz w:val="28"/>
          <w:szCs w:val="28"/>
        </w:rPr>
        <w:t>：</w:t>
      </w: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spacing w:line="360" w:lineRule="auto"/>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ascii="仿宋_GB2312" w:eastAsia="仿宋_GB2312"/>
          <w:b/>
          <w:sz w:val="32"/>
          <w:szCs w:val="32"/>
        </w:rPr>
      </w:pPr>
    </w:p>
    <w:p>
      <w:pPr>
        <w:rPr>
          <w:rFonts w:hint="eastAsia"/>
        </w:rPr>
      </w:pPr>
    </w:p>
    <w:p>
      <w:pPr>
        <w:pStyle w:val="2"/>
        <w:rPr>
          <w:rFonts w:hint="eastAsia" w:ascii="仿宋_GB2312" w:eastAsia="仿宋_GB2312"/>
          <w:b/>
          <w:sz w:val="32"/>
          <w:szCs w:val="32"/>
        </w:rPr>
      </w:pPr>
    </w:p>
    <w:p>
      <w:pPr>
        <w:spacing w:line="360" w:lineRule="auto"/>
        <w:rPr>
          <w:rFonts w:hint="eastAsia" w:ascii="仿宋_GB2312" w:eastAsia="仿宋_GB2312"/>
          <w:b/>
          <w:sz w:val="32"/>
          <w:szCs w:val="32"/>
        </w:rPr>
      </w:pPr>
    </w:p>
    <w:p>
      <w:pPr>
        <w:pStyle w:val="2"/>
        <w:rPr>
          <w:rFonts w:hint="eastAsia" w:ascii="仿宋_GB2312" w:eastAsia="仿宋_GB2312"/>
          <w:b/>
          <w:sz w:val="32"/>
          <w:szCs w:val="32"/>
        </w:rPr>
      </w:pPr>
    </w:p>
    <w:p>
      <w:pPr>
        <w:rPr>
          <w:rFonts w:hint="eastAsia" w:ascii="仿宋_GB2312" w:eastAsia="仿宋_GB2312"/>
          <w:b/>
          <w:sz w:val="32"/>
          <w:szCs w:val="32"/>
        </w:rPr>
      </w:pPr>
    </w:p>
    <w:p>
      <w:pPr>
        <w:pStyle w:val="2"/>
        <w:rPr>
          <w:rFonts w:hint="eastAsia"/>
        </w:rPr>
      </w:pPr>
    </w:p>
    <w:p>
      <w:pPr>
        <w:spacing w:line="360" w:lineRule="auto"/>
        <w:rPr>
          <w:rFonts w:hint="eastAsia" w:ascii="仿宋_GB2312" w:eastAsia="仿宋_GB2312"/>
          <w:b/>
          <w:sz w:val="32"/>
          <w:szCs w:val="32"/>
        </w:rPr>
      </w:pPr>
      <w:r>
        <w:rPr>
          <w:rFonts w:hint="eastAsia" w:ascii="仿宋_GB2312" w:eastAsia="仿宋_GB2312"/>
          <w:b/>
          <w:sz w:val="32"/>
          <w:szCs w:val="32"/>
        </w:rPr>
        <w:t>附件二：</w:t>
      </w:r>
    </w:p>
    <w:p>
      <w:pPr>
        <w:topLinePunct/>
        <w:spacing w:line="440" w:lineRule="exact"/>
        <w:ind w:firstLine="643" w:firstLineChars="200"/>
        <w:jc w:val="center"/>
        <w:outlineLvl w:val="2"/>
        <w:rPr>
          <w:rFonts w:hint="eastAsia"/>
          <w:b/>
          <w:sz w:val="32"/>
          <w:szCs w:val="32"/>
        </w:rPr>
      </w:pPr>
      <w:bookmarkStart w:id="2" w:name="_Toc262547329"/>
      <w:r>
        <w:rPr>
          <w:rFonts w:hint="eastAsia"/>
          <w:b/>
          <w:sz w:val="32"/>
          <w:szCs w:val="32"/>
        </w:rPr>
        <w:t>授权委托书</w:t>
      </w:r>
      <w:bookmarkEnd w:id="2"/>
      <w:r>
        <w:rPr>
          <w:b/>
          <w:sz w:val="32"/>
          <w:szCs w:val="32"/>
        </w:rPr>
        <w:t xml:space="preserve"> </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1820"/>
          <w:tab w:val="left" w:pos="4215"/>
          <w:tab w:val="left" w:pos="4305"/>
          <w:tab w:val="left" w:pos="8000"/>
        </w:tabs>
        <w:autoSpaceDE w:val="0"/>
        <w:autoSpaceDN w:val="0"/>
        <w:adjustRightInd w:val="0"/>
        <w:snapToGrid w:val="0"/>
        <w:spacing w:line="360" w:lineRule="auto"/>
        <w:ind w:firstLine="560" w:firstLineChars="200"/>
        <w:rPr>
          <w:rFonts w:hint="eastAsia" w:ascii="宋体" w:hAnsi="宋体" w:cs="MingLiU"/>
          <w:kern w:val="0"/>
          <w:sz w:val="28"/>
          <w:szCs w:val="28"/>
        </w:rPr>
      </w:pPr>
      <w:r>
        <w:rPr>
          <w:rFonts w:hint="eastAsia" w:ascii="宋体" w:hAnsi="宋体" w:cs="MingLiU"/>
          <w:kern w:val="0"/>
          <w:sz w:val="28"/>
          <w:szCs w:val="28"/>
        </w:rPr>
        <w:t>本人</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cs="MingLiU"/>
          <w:kern w:val="0"/>
          <w:sz w:val="28"/>
          <w:szCs w:val="28"/>
        </w:rPr>
        <w:t>（姓名）系</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cs="MingLiU"/>
          <w:kern w:val="0"/>
          <w:sz w:val="28"/>
          <w:szCs w:val="28"/>
        </w:rPr>
        <w:t>（</w:t>
      </w:r>
      <w:r>
        <w:rPr>
          <w:rFonts w:hint="eastAsia" w:ascii="宋体" w:hAnsi="宋体" w:cs="MingLiU"/>
          <w:spacing w:val="-1"/>
          <w:kern w:val="0"/>
          <w:sz w:val="28"/>
          <w:szCs w:val="28"/>
        </w:rPr>
        <w:t>投</w:t>
      </w:r>
      <w:r>
        <w:rPr>
          <w:rFonts w:hint="eastAsia" w:ascii="宋体" w:hAnsi="宋体" w:cs="MingLiU"/>
          <w:kern w:val="0"/>
          <w:sz w:val="28"/>
          <w:szCs w:val="28"/>
        </w:rPr>
        <w:t>标人名称</w:t>
      </w:r>
      <w:r>
        <w:rPr>
          <w:rFonts w:hint="eastAsia" w:ascii="宋体" w:hAnsi="宋体" w:cs="MingLiU"/>
          <w:spacing w:val="1"/>
          <w:kern w:val="0"/>
          <w:sz w:val="28"/>
          <w:szCs w:val="28"/>
        </w:rPr>
        <w:t>）</w:t>
      </w:r>
      <w:r>
        <w:rPr>
          <w:rFonts w:hint="eastAsia" w:ascii="宋体" w:hAnsi="宋体" w:cs="MingLiU"/>
          <w:kern w:val="0"/>
          <w:sz w:val="28"/>
          <w:szCs w:val="28"/>
        </w:rPr>
        <w:t>的法定代</w:t>
      </w:r>
      <w:r>
        <w:rPr>
          <w:rFonts w:hint="eastAsia" w:ascii="宋体" w:hAnsi="宋体" w:cs="MingLiU"/>
          <w:spacing w:val="1"/>
          <w:kern w:val="0"/>
          <w:sz w:val="28"/>
          <w:szCs w:val="28"/>
        </w:rPr>
        <w:t>表</w:t>
      </w:r>
      <w:r>
        <w:rPr>
          <w:rFonts w:hint="eastAsia" w:ascii="宋体" w:hAnsi="宋体" w:cs="MingLiU"/>
          <w:kern w:val="0"/>
          <w:sz w:val="28"/>
          <w:szCs w:val="28"/>
        </w:rPr>
        <w:t>人，现委托</w:t>
      </w:r>
      <w:r>
        <w:rPr>
          <w:rFonts w:hint="eastAsia" w:ascii="宋体" w:hAnsi="宋体" w:cs="MingLiU"/>
          <w:w w:val="200"/>
          <w:kern w:val="0"/>
          <w:sz w:val="28"/>
          <w:szCs w:val="28"/>
          <w:u w:val="single"/>
        </w:rPr>
        <w:t xml:space="preserve">  </w:t>
      </w:r>
      <w:r>
        <w:rPr>
          <w:rFonts w:hint="eastAsia" w:ascii="宋体" w:hAnsi="宋体" w:cs="MingLiU"/>
          <w:kern w:val="0"/>
          <w:sz w:val="28"/>
          <w:szCs w:val="28"/>
        </w:rPr>
        <w:t>（姓</w:t>
      </w:r>
      <w:r>
        <w:rPr>
          <w:rFonts w:hint="eastAsia" w:ascii="宋体" w:hAnsi="宋体"/>
          <w:kern w:val="0"/>
          <w:sz w:val="28"/>
          <w:szCs w:val="28"/>
        </w:rPr>
        <w:t xml:space="preserve"> </w:t>
      </w:r>
      <w:r>
        <w:rPr>
          <w:rFonts w:hint="eastAsia" w:ascii="宋体" w:hAnsi="宋体" w:cs="MingLiU"/>
          <w:kern w:val="0"/>
          <w:sz w:val="28"/>
          <w:szCs w:val="28"/>
        </w:rPr>
        <w:t>名）为我方代理人。代理人根据授权，以我方名义签署、澄清、说明、补正、递交、撤回、修改</w:t>
      </w:r>
      <w:r>
        <w:rPr>
          <w:rFonts w:hint="eastAsia" w:ascii="宋体" w:hAnsi="宋体" w:cs="MingLiU"/>
          <w:w w:val="200"/>
          <w:kern w:val="0"/>
          <w:sz w:val="28"/>
          <w:szCs w:val="28"/>
          <w:u w:val="single"/>
        </w:rPr>
        <w:t xml:space="preserve">  </w:t>
      </w:r>
      <w:r>
        <w:rPr>
          <w:rFonts w:hint="eastAsia" w:ascii="宋体" w:hAnsi="宋体" w:cs="MingLiU"/>
          <w:kern w:val="0"/>
          <w:sz w:val="28"/>
          <w:szCs w:val="28"/>
        </w:rPr>
        <w:t>（项</w:t>
      </w:r>
      <w:r>
        <w:rPr>
          <w:rFonts w:hint="eastAsia" w:ascii="宋体" w:hAnsi="宋体" w:cs="MingLiU"/>
          <w:spacing w:val="-1"/>
          <w:kern w:val="0"/>
          <w:sz w:val="28"/>
          <w:szCs w:val="28"/>
        </w:rPr>
        <w:t>目</w:t>
      </w:r>
      <w:r>
        <w:rPr>
          <w:rFonts w:hint="eastAsia" w:ascii="宋体" w:hAnsi="宋体" w:cs="MingLiU"/>
          <w:kern w:val="0"/>
          <w:sz w:val="28"/>
          <w:szCs w:val="28"/>
        </w:rPr>
        <w:t>名称）</w:t>
      </w:r>
      <w:r>
        <w:rPr>
          <w:rFonts w:hint="eastAsia" w:ascii="宋体" w:hAnsi="宋体" w:cs="MingLiU"/>
          <w:w w:val="200"/>
          <w:kern w:val="0"/>
          <w:sz w:val="28"/>
          <w:szCs w:val="28"/>
          <w:u w:val="single"/>
        </w:rPr>
        <w:t xml:space="preserve">    </w:t>
      </w:r>
      <w:r>
        <w:rPr>
          <w:rFonts w:hint="eastAsia" w:ascii="宋体" w:hAnsi="宋体" w:cs="MingLiU"/>
          <w:spacing w:val="-1"/>
          <w:kern w:val="0"/>
          <w:sz w:val="28"/>
          <w:szCs w:val="28"/>
        </w:rPr>
        <w:t>段</w:t>
      </w:r>
      <w:r>
        <w:rPr>
          <w:rFonts w:hint="eastAsia" w:ascii="宋体" w:hAnsi="宋体" w:cs="MingLiU"/>
          <w:kern w:val="0"/>
          <w:sz w:val="28"/>
          <w:szCs w:val="28"/>
        </w:rPr>
        <w:t>施工报价文件、签订合同和处理有关事宜，</w:t>
      </w:r>
      <w:r>
        <w:rPr>
          <w:rFonts w:hint="eastAsia" w:ascii="宋体" w:hAnsi="宋体"/>
          <w:kern w:val="0"/>
          <w:sz w:val="28"/>
          <w:szCs w:val="28"/>
        </w:rPr>
        <w:t xml:space="preserve"> </w:t>
      </w:r>
      <w:r>
        <w:rPr>
          <w:rFonts w:hint="eastAsia" w:ascii="宋体" w:hAnsi="宋体" w:cs="MingLiU"/>
          <w:kern w:val="0"/>
          <w:sz w:val="28"/>
          <w:szCs w:val="28"/>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宋体" w:hAnsi="宋体"/>
          <w:kern w:val="0"/>
          <w:sz w:val="28"/>
          <w:szCs w:val="28"/>
        </w:rPr>
      </w:pPr>
      <w:r>
        <w:rPr>
          <w:rFonts w:hint="eastAsia" w:ascii="宋体" w:hAnsi="宋体" w:cs="MingLiU"/>
          <w:kern w:val="0"/>
          <w:sz w:val="28"/>
          <w:szCs w:val="28"/>
        </w:rPr>
        <w:t>委托</w:t>
      </w:r>
      <w:r>
        <w:rPr>
          <w:rFonts w:hint="eastAsia" w:ascii="宋体" w:hAnsi="宋体" w:cs="MingLiU"/>
          <w:spacing w:val="-1"/>
          <w:kern w:val="0"/>
          <w:sz w:val="28"/>
          <w:szCs w:val="28"/>
        </w:rPr>
        <w:t>期</w:t>
      </w:r>
      <w:r>
        <w:rPr>
          <w:rFonts w:hint="eastAsia" w:ascii="宋体" w:hAnsi="宋体" w:cs="MingLiU"/>
          <w:kern w:val="0"/>
          <w:sz w:val="28"/>
          <w:szCs w:val="28"/>
        </w:rPr>
        <w:t>限：</w:t>
      </w:r>
      <w:r>
        <w:rPr>
          <w:rFonts w:hint="eastAsia" w:ascii="宋体" w:hAnsi="宋体" w:cs="MingLiU"/>
          <w:w w:val="200"/>
          <w:kern w:val="0"/>
          <w:sz w:val="28"/>
          <w:szCs w:val="28"/>
        </w:rPr>
        <w:t xml:space="preserve"> </w:t>
      </w:r>
      <w:r>
        <w:rPr>
          <w:rFonts w:hint="eastAsia" w:ascii="宋体" w:hAnsi="宋体" w:cs="MingLiU"/>
          <w:kern w:val="0"/>
          <w:sz w:val="28"/>
          <w:szCs w:val="28"/>
          <w:u w:val="single"/>
        </w:rPr>
        <w:t xml:space="preserve"> 20</w:t>
      </w:r>
      <w:r>
        <w:rPr>
          <w:rFonts w:hint="eastAsia" w:ascii="宋体" w:hAnsi="宋体" w:cs="MingLiU"/>
          <w:kern w:val="0"/>
          <w:sz w:val="28"/>
          <w:szCs w:val="28"/>
          <w:u w:val="single"/>
          <w:lang w:val="en-US" w:eastAsia="zh-CN"/>
        </w:rPr>
        <w:t xml:space="preserve"> </w:t>
      </w:r>
      <w:r>
        <w:rPr>
          <w:rFonts w:hint="eastAsia" w:ascii="宋体" w:hAnsi="宋体" w:cs="MingLiU"/>
          <w:kern w:val="0"/>
          <w:sz w:val="28"/>
          <w:szCs w:val="28"/>
          <w:u w:val="single"/>
        </w:rPr>
        <w:t xml:space="preserve"> 年  月  日至20</w:t>
      </w:r>
      <w:r>
        <w:rPr>
          <w:rFonts w:hint="eastAsia" w:ascii="宋体" w:hAnsi="宋体" w:cs="MingLiU"/>
          <w:kern w:val="0"/>
          <w:sz w:val="28"/>
          <w:szCs w:val="28"/>
          <w:u w:val="single"/>
          <w:lang w:val="en-US" w:eastAsia="zh-CN"/>
        </w:rPr>
        <w:t xml:space="preserve"> </w:t>
      </w:r>
      <w:r>
        <w:rPr>
          <w:rFonts w:hint="eastAsia" w:ascii="宋体" w:hAnsi="宋体" w:cs="MingLiU"/>
          <w:kern w:val="0"/>
          <w:sz w:val="28"/>
          <w:szCs w:val="28"/>
          <w:u w:val="single"/>
        </w:rPr>
        <w:t xml:space="preserve"> 年  月  日。</w:t>
      </w:r>
      <w:r>
        <w:rPr>
          <w:rFonts w:hint="eastAsia" w:ascii="宋体" w:hAnsi="宋体"/>
          <w:kern w:val="0"/>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宋体" w:hAnsi="宋体" w:cs="MingLiU"/>
          <w:kern w:val="0"/>
          <w:sz w:val="28"/>
          <w:szCs w:val="28"/>
        </w:rPr>
      </w:pPr>
      <w:r>
        <w:rPr>
          <w:rFonts w:hint="eastAsia" w:ascii="宋体" w:hAnsi="宋体" w:cs="MingLiU"/>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hint="eastAsia" w:ascii="宋体" w:hAnsi="宋体" w:cs="MingLiU"/>
          <w:kern w:val="0"/>
          <w:sz w:val="28"/>
          <w:szCs w:val="28"/>
        </w:rPr>
      </w:pPr>
      <w:r>
        <w:rPr>
          <w:rFonts w:hint="eastAsia" w:ascii="宋体" w:hAnsi="宋体" w:cs="MingLiU"/>
          <w:kern w:val="0"/>
          <w:sz w:val="28"/>
          <w:szCs w:val="28"/>
        </w:rPr>
        <w:t>附：法定代表人、委托人身份证复印件。（复印件应彩色清晰，无法辨认的按废标处理）</w:t>
      </w:r>
    </w:p>
    <w:p>
      <w:pPr>
        <w:autoSpaceDE w:val="0"/>
        <w:autoSpaceDN w:val="0"/>
        <w:adjustRightInd w:val="0"/>
        <w:snapToGrid w:val="0"/>
        <w:spacing w:line="360" w:lineRule="auto"/>
        <w:jc w:val="left"/>
        <w:rPr>
          <w:rFonts w:hint="eastAsia" w:ascii="宋体" w:hAnsi="宋体" w:cs="MingLiU"/>
          <w:kern w:val="0"/>
          <w:sz w:val="28"/>
          <w:szCs w:val="28"/>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 w:val="28"/>
          <w:szCs w:val="28"/>
        </w:rPr>
      </w:pPr>
      <w:r>
        <w:rPr>
          <w:rFonts w:hint="eastAsia" w:ascii="宋体" w:hAnsi="宋体" w:cs="MingLiU"/>
          <w:kern w:val="0"/>
          <w:sz w:val="28"/>
          <w:szCs w:val="28"/>
        </w:rPr>
        <w:t>投  标  人：</w:t>
      </w:r>
      <w:r>
        <w:rPr>
          <w:rFonts w:hint="eastAsia" w:ascii="宋体" w:hAnsi="宋体" w:cs="MingLiU"/>
          <w:w w:val="200"/>
          <w:kern w:val="0"/>
          <w:sz w:val="28"/>
          <w:szCs w:val="28"/>
          <w:u w:val="single"/>
        </w:rPr>
        <w:t xml:space="preserve">           </w:t>
      </w:r>
      <w:r>
        <w:rPr>
          <w:rFonts w:hint="eastAsia" w:ascii="宋体" w:hAnsi="宋体" w:cs="MingLiU"/>
          <w:kern w:val="0"/>
          <w:sz w:val="28"/>
          <w:szCs w:val="28"/>
        </w:rPr>
        <w:t>（</w:t>
      </w:r>
      <w:r>
        <w:rPr>
          <w:rFonts w:hint="eastAsia" w:ascii="宋体" w:hAnsi="宋体" w:cs="MingLiU"/>
          <w:spacing w:val="-1"/>
          <w:kern w:val="0"/>
          <w:sz w:val="28"/>
          <w:szCs w:val="28"/>
        </w:rPr>
        <w:t>盖</w:t>
      </w:r>
      <w:r>
        <w:rPr>
          <w:rFonts w:hint="eastAsia" w:ascii="宋体" w:hAnsi="宋体" w:cs="MingLiU"/>
          <w:kern w:val="0"/>
          <w:sz w:val="28"/>
          <w:szCs w:val="28"/>
        </w:rPr>
        <w:t>单位公章）</w:t>
      </w:r>
      <w:r>
        <w:rPr>
          <w:rFonts w:hint="eastAsia" w:ascii="宋体" w:hAnsi="宋体"/>
          <w:kern w:val="0"/>
          <w:sz w:val="28"/>
          <w:szCs w:val="28"/>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 w:val="28"/>
          <w:szCs w:val="28"/>
        </w:rPr>
        <w:t>法定代表人：</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kern w:val="0"/>
          <w:sz w:val="28"/>
          <w:szCs w:val="28"/>
          <w:u w:val="single"/>
        </w:rPr>
        <w:tab/>
      </w:r>
      <w:r>
        <w:rPr>
          <w:rFonts w:hint="eastAsia" w:ascii="宋体" w:hAnsi="宋体" w:cs="MingLiU"/>
          <w:kern w:val="0"/>
          <w:sz w:val="28"/>
          <w:szCs w:val="28"/>
        </w:rPr>
        <w:t>（签字）</w:t>
      </w:r>
    </w:p>
    <w:p>
      <w:pPr>
        <w:tabs>
          <w:tab w:val="left" w:pos="5260"/>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 w:val="28"/>
          <w:szCs w:val="28"/>
        </w:rPr>
        <w:t>身份证号码：</w:t>
      </w:r>
      <w:r>
        <w:rPr>
          <w:rFonts w:hint="eastAsia" w:ascii="宋体" w:hAnsi="宋体" w:cs="MingLiU"/>
          <w:w w:val="200"/>
          <w:kern w:val="0"/>
          <w:sz w:val="28"/>
          <w:szCs w:val="28"/>
          <w:u w:val="single"/>
        </w:rPr>
        <w:t xml:space="preserve">            </w:t>
      </w:r>
    </w:p>
    <w:p>
      <w:pPr>
        <w:tabs>
          <w:tab w:val="left" w:pos="6720"/>
        </w:tabs>
        <w:autoSpaceDE w:val="0"/>
        <w:autoSpaceDN w:val="0"/>
        <w:adjustRightInd w:val="0"/>
        <w:snapToGrid w:val="0"/>
        <w:spacing w:line="360" w:lineRule="auto"/>
        <w:ind w:firstLine="1680"/>
        <w:jc w:val="left"/>
        <w:rPr>
          <w:rFonts w:hint="eastAsia" w:ascii="宋体" w:hAnsi="宋体" w:cs="MingLiU"/>
          <w:kern w:val="0"/>
          <w:sz w:val="28"/>
          <w:szCs w:val="28"/>
        </w:rPr>
      </w:pPr>
      <w:r>
        <w:rPr>
          <w:rFonts w:hint="eastAsia" w:ascii="宋体" w:hAnsi="宋体" w:cs="MingLiU"/>
          <w:kern w:val="0"/>
          <w:sz w:val="28"/>
          <w:szCs w:val="28"/>
        </w:rPr>
        <w:t>委托代理人：</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r>
        <w:rPr>
          <w:rFonts w:hint="eastAsia" w:ascii="宋体" w:hAnsi="宋体" w:cs="MingLiU"/>
          <w:kern w:val="0"/>
          <w:sz w:val="28"/>
          <w:szCs w:val="28"/>
        </w:rPr>
        <w:t>（签</w:t>
      </w:r>
      <w:r>
        <w:rPr>
          <w:rFonts w:hint="eastAsia" w:ascii="宋体" w:hAnsi="宋体" w:cs="MingLiU"/>
          <w:spacing w:val="-1"/>
          <w:kern w:val="0"/>
          <w:sz w:val="28"/>
          <w:szCs w:val="28"/>
        </w:rPr>
        <w:t>字</w:t>
      </w:r>
      <w:r>
        <w:rPr>
          <w:rFonts w:hint="eastAsia" w:ascii="宋体" w:hAnsi="宋体" w:cs="MingLiU"/>
          <w:kern w:val="0"/>
          <w:sz w:val="28"/>
          <w:szCs w:val="28"/>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 w:val="28"/>
          <w:szCs w:val="28"/>
        </w:rPr>
        <w:t>身份证号码：</w:t>
      </w:r>
      <w:r>
        <w:rPr>
          <w:rFonts w:hint="eastAsia" w:ascii="宋体" w:hAnsi="宋体" w:cs="MingLiU"/>
          <w:w w:val="200"/>
          <w:kern w:val="0"/>
          <w:sz w:val="28"/>
          <w:szCs w:val="28"/>
          <w:u w:val="single"/>
        </w:rPr>
        <w:t xml:space="preserve"> </w:t>
      </w:r>
      <w:r>
        <w:rPr>
          <w:rFonts w:hint="eastAsia" w:ascii="宋体" w:hAnsi="宋体"/>
          <w:kern w:val="0"/>
          <w:sz w:val="28"/>
          <w:szCs w:val="28"/>
          <w:u w:val="single"/>
        </w:rPr>
        <w:tab/>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86ECA"/>
    <w:multiLevelType w:val="singleLevel"/>
    <w:tmpl w:val="5F686EC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A11E2"/>
    <w:rsid w:val="00AD74EF"/>
    <w:rsid w:val="025B34CD"/>
    <w:rsid w:val="0364529B"/>
    <w:rsid w:val="05BD6B13"/>
    <w:rsid w:val="05C72A50"/>
    <w:rsid w:val="06AC3E64"/>
    <w:rsid w:val="09B62EC3"/>
    <w:rsid w:val="0B9454CF"/>
    <w:rsid w:val="0C90470E"/>
    <w:rsid w:val="10AB67E2"/>
    <w:rsid w:val="122C0E96"/>
    <w:rsid w:val="167B0F01"/>
    <w:rsid w:val="19952A60"/>
    <w:rsid w:val="1A17251C"/>
    <w:rsid w:val="1B7E4692"/>
    <w:rsid w:val="1EAA71B8"/>
    <w:rsid w:val="213C18B2"/>
    <w:rsid w:val="21CA11E2"/>
    <w:rsid w:val="22753E75"/>
    <w:rsid w:val="22C3570D"/>
    <w:rsid w:val="25A567BC"/>
    <w:rsid w:val="27A32138"/>
    <w:rsid w:val="29295A60"/>
    <w:rsid w:val="2CC02013"/>
    <w:rsid w:val="2DAC13AC"/>
    <w:rsid w:val="2F1212A5"/>
    <w:rsid w:val="31F82ED6"/>
    <w:rsid w:val="331578DD"/>
    <w:rsid w:val="35065EB0"/>
    <w:rsid w:val="36687B45"/>
    <w:rsid w:val="3BE66D47"/>
    <w:rsid w:val="3EC46B3E"/>
    <w:rsid w:val="415C5BF7"/>
    <w:rsid w:val="438D4EF3"/>
    <w:rsid w:val="4ADE5C33"/>
    <w:rsid w:val="4BF25474"/>
    <w:rsid w:val="4D7E3247"/>
    <w:rsid w:val="4FA27441"/>
    <w:rsid w:val="533A5954"/>
    <w:rsid w:val="54E61225"/>
    <w:rsid w:val="55C53817"/>
    <w:rsid w:val="57F6161E"/>
    <w:rsid w:val="58AC7EFC"/>
    <w:rsid w:val="5BE33E40"/>
    <w:rsid w:val="609632B4"/>
    <w:rsid w:val="64031C80"/>
    <w:rsid w:val="653A54F6"/>
    <w:rsid w:val="6659282A"/>
    <w:rsid w:val="679F592E"/>
    <w:rsid w:val="6852384E"/>
    <w:rsid w:val="69311D91"/>
    <w:rsid w:val="694F4E5B"/>
    <w:rsid w:val="6B3107A5"/>
    <w:rsid w:val="6F31670B"/>
    <w:rsid w:val="721F469D"/>
    <w:rsid w:val="72CC0E26"/>
    <w:rsid w:val="75F97321"/>
    <w:rsid w:val="772A2ACD"/>
    <w:rsid w:val="7A28082A"/>
    <w:rsid w:val="7EFD28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2019-09-11T06:44:00Z</dcterms:created>
  <dc:creator>潘俊臣</dc:creator>
  <cp:lastModifiedBy>刘佳</cp:lastModifiedBy>
  <cp:lastPrinted>2020-09-21T09:26:00Z</cp:lastPrinted>
  <dcterms:modified xsi:type="dcterms:W3CDTF">2024-01-11T01:11:34Z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