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11"/>
        <w:rPr>
          <w:color w:va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巴南服务区商业经营项目</w:t>
      </w:r>
      <w:r>
        <w:rPr>
          <w:rFonts w:hint="eastAsia" w:ascii="方正小标宋_GBK" w:hAnsi="方正小标宋_GBK" w:eastAsia="方正小标宋_GBK" w:cs="方正小标宋_GBK"/>
          <w:b w:val="0"/>
          <w:bCs w:val="0"/>
          <w:color w:val="auto"/>
          <w:sz w:val="44"/>
          <w:szCs w:val="44"/>
        </w:rPr>
        <w:t>招商文件</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lang w:val="en-US" w:eastAsia="zh-CN"/>
        </w:rPr>
        <w:t>第二次</w:t>
      </w:r>
      <w:r>
        <w:rPr>
          <w:rFonts w:hint="eastAsia" w:ascii="方正小标宋_GBK" w:hAnsi="方正小标宋_GBK" w:eastAsia="方正小标宋_GBK" w:cs="方正小标宋_GBK"/>
          <w:b w:val="0"/>
          <w:bCs w:val="0"/>
          <w:color w:val="auto"/>
          <w:sz w:val="44"/>
          <w:szCs w:val="44"/>
          <w:lang w:eastAsia="zh-CN"/>
        </w:rPr>
        <w:t>）</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1"/>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二〇二四年一月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巴南服务区（单侧）位于G75兰海高速K1009处，地处界石镇新玉村，总面积15300㎡，服务区综合楼1750㎡，商业面积754㎡。目前设有中餐、小吃、超市等业态。</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pStyle w:val="29"/>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招商标的：巴南服务区（单侧）商业经营项目。</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租赁物用途仅限为中、西式快餐；利百客超市；精品类卤食、小吃、小面、水果、糕点、饮品经营项目。经招商人同意，承租方可引入其他经营项目。招商人有权增设或引入其他经营项目，承租方须无条件服从。承租方只能在其租赁区域内进行自身品牌宣传与开展经营，除此之外，不得在服务区任何区域内进行广告发布及开展其它经营项目。</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租金收取方式采取“保底租金和提成租金”两者取其高方式。即当年度提成租金小于或等于年度保底租金时，</w:t>
      </w:r>
      <w:r>
        <w:rPr>
          <w:rFonts w:hint="eastAsia" w:ascii="方正仿宋_GBK" w:hAnsi="方正仿宋_GBK" w:eastAsia="方正仿宋_GBK" w:cs="方正仿宋_GBK"/>
          <w:sz w:val="32"/>
          <w:szCs w:val="32"/>
          <w:highlight w:val="none"/>
          <w:lang w:val="en-US" w:eastAsia="zh-CN"/>
        </w:rPr>
        <w:t>招商</w:t>
      </w:r>
      <w:r>
        <w:rPr>
          <w:rFonts w:hint="eastAsia" w:ascii="方正仿宋_GBK" w:hAnsi="方正仿宋_GBK" w:eastAsia="方正仿宋_GBK" w:cs="方正仿宋_GBK"/>
          <w:sz w:val="32"/>
          <w:szCs w:val="32"/>
          <w:highlight w:val="none"/>
          <w:lang w:eastAsia="zh-CN"/>
        </w:rPr>
        <w:t>人按保底租金收取；当年度提成租金大于年度保底租金时，招</w:t>
      </w:r>
      <w:r>
        <w:rPr>
          <w:rFonts w:hint="eastAsia" w:ascii="方正仿宋_GBK" w:hAnsi="方正仿宋_GBK" w:eastAsia="方正仿宋_GBK" w:cs="方正仿宋_GBK"/>
          <w:sz w:val="32"/>
          <w:szCs w:val="32"/>
          <w:highlight w:val="none"/>
          <w:lang w:val="en-US" w:eastAsia="zh-CN"/>
        </w:rPr>
        <w:t>商</w:t>
      </w:r>
      <w:r>
        <w:rPr>
          <w:rFonts w:hint="eastAsia" w:ascii="方正仿宋_GBK" w:hAnsi="方正仿宋_GBK" w:eastAsia="方正仿宋_GBK" w:cs="方正仿宋_GBK"/>
          <w:sz w:val="32"/>
          <w:szCs w:val="32"/>
          <w:highlight w:val="none"/>
          <w:lang w:eastAsia="zh-CN"/>
        </w:rPr>
        <w:t>人按提成租金收取。保底租金逐年递增5%，提成比例不递增。</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提成租金的计算方式：提成租金=经营总收入（含税）*提成比例。提成租金按照年度核算。</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2.承租方</w:t>
      </w:r>
      <w:r>
        <w:rPr>
          <w:rFonts w:hint="eastAsia" w:ascii="方正仿宋_GBK" w:hAnsi="方正仿宋_GBK" w:eastAsia="方正仿宋_GBK" w:cs="方正仿宋_GBK"/>
          <w:sz w:val="32"/>
          <w:szCs w:val="32"/>
          <w:highlight w:val="none"/>
          <w:lang w:eastAsia="zh-CN"/>
        </w:rPr>
        <w:t>“仅申报第1年度的保底租金和提成比例”，以后年度保底租金按5%逐年递增，提成比例不变，即Y2=Y1×1.05、Y3=Y2×1.05、Y4=Y3×1.05，以此类推（注：Y1即第1年度、Y2即第2年度）</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3.承租方</w:t>
      </w:r>
      <w:r>
        <w:rPr>
          <w:rFonts w:hint="eastAsia" w:ascii="方正仿宋_GBK" w:hAnsi="方正仿宋_GBK" w:eastAsia="方正仿宋_GBK" w:cs="方正仿宋_GBK"/>
          <w:sz w:val="32"/>
          <w:szCs w:val="32"/>
          <w:highlight w:val="none"/>
          <w:lang w:eastAsia="zh-CN"/>
        </w:rPr>
        <w:t>自行承担包括但不限于聘用人员的劳务费用（薪酬、福利、补贴、保险、奖金等）、广告宣传费用、相关税金、业务招待费、商业运营、水电气等因招商经营管理而产生的所有费用，以及明示或暗示的所有责任、义务和一般风险。</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4.下限控制价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首年保底租金下限控制价：23万元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提成比例下限控制率：15%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首年保底租金下限控制价和提成比例下限控制率为招商底价，申请人报价不得低于招商底价。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1.为确保招商人准确掌握服务区商业真实营收数据，承租方于合同期内统一租用招商人指定的收银系统及收银机，租赁费用为：500元/月/台。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3.招商人有权对承租方的营业额进行监督和查核，因承租方虚报/误报或提供虚假、不准确的营业额等违约行为导致营业额不准确的，承租方应按合同约定向招商人支付违约金和接受处罚。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1.资质要求。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在中国境内注册，具有独立法人资格，需提供有效的营业执照。</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2.信誉要求。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申请人自行承诺不得存在下列情形之一：</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（1）被人民法院列入失信被执行人名单且在被执行期内；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（3）被责令停业，暂扣或吊销执照，或吊销资质证书；</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（4）进入清算程序，或被宣告破产，或其他丧失履约能力的情形；</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（6）承租方或其法定代表人在近两年内有行贿犯罪行为的。</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注：申请人应按上述要求进行承诺。</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3.不接受从招商公告发布之日起前12个月内，与招商人及其上级公司合作项目中，未经双方协商同意而单方面提前终止合同的对象投标。</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4.本项目不接受联合体投标。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val="0"/>
          <w:bCs w:val="0"/>
          <w:color w:val="auto"/>
          <w:sz w:val="32"/>
          <w:szCs w:val="32"/>
        </w:rPr>
        <w:t>“竞争性比选”。</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重庆高速集团官网（http://www.cegc.com.cn）以及重庆高速公路集团有限公司招投标管理平台（http://cqgsbid.cegc.com.cn:7900）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（一）申请保证金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lang w:val="en-US" w:eastAsia="zh-CN"/>
        </w:rPr>
        <w:t>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巴南服务区（单侧）商业经营项目申请保证金：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巴南服务区</w:t>
      </w:r>
      <w:r>
        <w:rPr>
          <w:rFonts w:hint="eastAsia" w:ascii="方正仿宋_GBK" w:hAnsi="方正仿宋_GBK" w:eastAsia="方正仿宋_GBK" w:cs="方正仿宋_GBK"/>
          <w:b/>
          <w:bCs/>
          <w:color w:val="auto"/>
          <w:sz w:val="32"/>
          <w:szCs w:val="32"/>
          <w:lang w:eastAsia="zh-CN"/>
        </w:rPr>
        <w:t>申请保证金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申请保证金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截止时间为2024年1月24日上午11：00时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人同意，而未履行合同的签订，</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申请保证金退还申请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履约保证金按照中标合同额的10%设置，四舍五入取整。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巴南服务区（单侧）装修保证金为10万元。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十、与租赁相关的其他条件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（一）装修条款。</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1.承租方</w:t>
      </w:r>
      <w:r>
        <w:rPr>
          <w:rFonts w:hint="eastAsia" w:ascii="方正仿宋_GBK" w:hAnsi="方正仿宋_GBK" w:eastAsia="方正仿宋_GBK" w:cs="方正仿宋_GBK"/>
          <w:sz w:val="32"/>
          <w:szCs w:val="32"/>
          <w:highlight w:val="none"/>
          <w:lang w:val="en-US" w:eastAsia="zh-CN"/>
        </w:rPr>
        <w:t>需对所承租的服务区商业区域内进行装修升级改造，</w:t>
      </w:r>
      <w:r>
        <w:rPr>
          <w:rFonts w:hint="eastAsia" w:ascii="方正仿宋_GBK" w:hAnsi="方正仿宋_GBK" w:eastAsia="方正仿宋_GBK" w:cs="方正仿宋_GBK"/>
          <w:kern w:val="2"/>
          <w:sz w:val="32"/>
          <w:szCs w:val="32"/>
          <w:highlight w:val="none"/>
          <w:lang w:val="en-US" w:eastAsia="zh-CN" w:bidi="ar-SA"/>
        </w:rPr>
        <w:t>承租方</w:t>
      </w:r>
      <w:r>
        <w:rPr>
          <w:rFonts w:hint="eastAsia" w:ascii="方正仿宋_GBK" w:hAnsi="方正仿宋_GBK" w:eastAsia="方正仿宋_GBK" w:cs="方正仿宋_GBK"/>
          <w:sz w:val="32"/>
          <w:szCs w:val="32"/>
          <w:highlight w:val="none"/>
          <w:lang w:val="en-US" w:eastAsia="zh-CN"/>
        </w:rPr>
        <w:t>的装修方案需报招商人审核，</w:t>
      </w:r>
      <w:r>
        <w:rPr>
          <w:rFonts w:hint="eastAsia" w:ascii="方正仿宋_GBK" w:hAnsi="方正仿宋_GBK" w:eastAsia="方正仿宋_GBK" w:cs="方正仿宋_GBK"/>
          <w:kern w:val="2"/>
          <w:sz w:val="32"/>
          <w:szCs w:val="32"/>
          <w:highlight w:val="none"/>
          <w:lang w:val="en-US" w:eastAsia="zh-CN" w:bidi="ar-SA"/>
        </w:rPr>
        <w:t>租方</w:t>
      </w:r>
      <w:r>
        <w:rPr>
          <w:rFonts w:hint="eastAsia" w:ascii="方正仿宋_GBK" w:hAnsi="方正仿宋_GBK" w:eastAsia="方正仿宋_GBK" w:cs="方正仿宋_GBK"/>
          <w:sz w:val="32"/>
          <w:szCs w:val="32"/>
          <w:highlight w:val="none"/>
          <w:lang w:val="en-US" w:eastAsia="zh-CN"/>
        </w:rPr>
        <w:t>需严格按照招商人审定后的装修方案实施施工。装修施工不超过30天。</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eastAsia="方正仿宋_GBK" w:cs="方正仿宋_GBK"/>
          <w:color w:val="auto"/>
          <w:kern w:val="2"/>
          <w:sz w:val="32"/>
          <w:szCs w:val="32"/>
          <w:highlight w:val="none"/>
          <w:lang w:val="en-US" w:eastAsia="zh-CN" w:bidi="ar-SA"/>
        </w:rPr>
        <w:t>2.超市必须加盟“利百客”品牌，按照品牌规范装修。</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kern w:val="2"/>
          <w:sz w:val="32"/>
          <w:szCs w:val="32"/>
          <w:highlight w:val="none"/>
          <w:lang w:val="en-US" w:eastAsia="zh-CN" w:bidi="ar-SA"/>
        </w:rPr>
        <w:t>.合同履行到期或承租方提前退租的，建筑内不可移动的装饰装修所形成的不动资产归招商人所有。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（二）其他。</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kern w:val="2"/>
          <w:sz w:val="32"/>
          <w:szCs w:val="32"/>
          <w:highlight w:val="none"/>
          <w:lang w:val="en-US" w:eastAsia="zh-CN" w:bidi="ar-SA"/>
        </w:rPr>
        <w:t>4.承租方</w:t>
      </w:r>
      <w:r>
        <w:rPr>
          <w:rFonts w:hint="eastAsia" w:ascii="方正仿宋_GBK" w:hAnsi="方正仿宋_GBK" w:eastAsia="方正仿宋_GBK" w:cs="方正仿宋_GBK"/>
          <w:color w:val="000000"/>
          <w:sz w:val="32"/>
          <w:szCs w:val="32"/>
          <w:highlight w:val="none"/>
        </w:rPr>
        <w:t>负责</w:t>
      </w:r>
      <w:r>
        <w:rPr>
          <w:rFonts w:hint="eastAsia" w:ascii="方正仿宋_GBK" w:hAnsi="方正仿宋_GBK" w:eastAsia="方正仿宋_GBK" w:cs="方正仿宋_GBK"/>
          <w:color w:val="000000"/>
          <w:sz w:val="32"/>
          <w:szCs w:val="32"/>
          <w:highlight w:val="none"/>
          <w:lang w:val="en-US" w:eastAsia="zh-CN"/>
        </w:rPr>
        <w:t>综合楼</w:t>
      </w:r>
      <w:r>
        <w:rPr>
          <w:rFonts w:hint="eastAsia" w:ascii="方正仿宋_GBK" w:hAnsi="方正仿宋_GBK" w:eastAsia="方正仿宋_GBK" w:cs="方正仿宋_GBK"/>
          <w:color w:val="000000"/>
          <w:sz w:val="32"/>
          <w:szCs w:val="32"/>
          <w:highlight w:val="none"/>
          <w:lang w:eastAsia="zh-CN"/>
        </w:rPr>
        <w:t>商业区域</w:t>
      </w:r>
      <w:r>
        <w:rPr>
          <w:rFonts w:hint="eastAsia" w:ascii="方正仿宋_GBK" w:hAnsi="方正仿宋_GBK" w:eastAsia="方正仿宋_GBK" w:cs="方正仿宋_GBK"/>
          <w:color w:val="000000"/>
          <w:sz w:val="32"/>
          <w:szCs w:val="32"/>
          <w:highlight w:val="none"/>
          <w:lang w:val="en-US" w:eastAsia="zh-CN"/>
        </w:rPr>
        <w:t>内</w:t>
      </w:r>
      <w:r>
        <w:rPr>
          <w:rFonts w:hint="eastAsia" w:ascii="方正仿宋_GBK" w:hAnsi="方正仿宋_GBK" w:eastAsia="方正仿宋_GBK" w:cs="方正仿宋_GBK"/>
          <w:color w:val="000000"/>
          <w:sz w:val="32"/>
          <w:szCs w:val="32"/>
          <w:highlight w:val="none"/>
          <w:lang w:eastAsia="zh-CN"/>
        </w:rPr>
        <w:t>（含合作场地内公共区域部分）</w:t>
      </w:r>
      <w:r>
        <w:rPr>
          <w:rFonts w:hint="eastAsia" w:ascii="方正仿宋_GBK" w:hAnsi="方正仿宋_GBK" w:eastAsia="方正仿宋_GBK" w:cs="方正仿宋_GBK"/>
          <w:color w:val="000000"/>
          <w:sz w:val="32"/>
          <w:szCs w:val="32"/>
          <w:highlight w:val="none"/>
          <w:lang w:val="en-US" w:eastAsia="zh-CN"/>
        </w:rPr>
        <w:t>水、</w:t>
      </w:r>
      <w:r>
        <w:rPr>
          <w:rFonts w:hint="eastAsia" w:ascii="方正仿宋_GBK" w:hAnsi="方正仿宋_GBK" w:eastAsia="方正仿宋_GBK" w:cs="方正仿宋_GBK"/>
          <w:color w:val="000000"/>
          <w:sz w:val="32"/>
          <w:szCs w:val="32"/>
          <w:highlight w:val="none"/>
        </w:rPr>
        <w:t>电</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气</w:t>
      </w:r>
      <w:r>
        <w:rPr>
          <w:rFonts w:hint="eastAsia" w:ascii="方正仿宋_GBK" w:hAnsi="方正仿宋_GBK" w:eastAsia="方正仿宋_GBK" w:cs="方正仿宋_GBK"/>
          <w:color w:val="000000"/>
          <w:sz w:val="32"/>
          <w:szCs w:val="32"/>
          <w:highlight w:val="none"/>
        </w:rPr>
        <w:t>费；</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交纳的水、电、气费用单价收费标准在国家规定的商业用电、用水、用气收费标准基础上增加20%的公摊费。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方正黑体_GBK" w:hAnsi="方正黑体_GBK" w:eastAsia="方正黑体_GBK" w:cs="方正黑体_GBK"/>
          <w:color w:val="auto"/>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5.承租方</w:t>
      </w:r>
      <w:r>
        <w:rPr>
          <w:rFonts w:hint="eastAsia" w:ascii="方正仿宋_GBK" w:hAnsi="方正仿宋_GBK" w:eastAsia="方正仿宋_GBK" w:cs="方正仿宋_GBK"/>
          <w:color w:val="000000"/>
          <w:sz w:val="32"/>
          <w:szCs w:val="32"/>
          <w:highlight w:val="none"/>
        </w:rPr>
        <w:t>应向服务区所属的营运公司交纳日常维护分摊费用（设备运行维护费、公共垃圾处置（装修垃圾由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自行按规定处置）、清沟、清运等分摊费用）</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房屋维护、环境卫生、公用设施费、防火安全、门前三包等费用由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自行负责，上述费用由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按照服务区所属的营运公司要求及标准交纳。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6.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申请文件递交3份，正本一份、副本二份，密封在同一档案袋内，且在封套上加盖单位鲜章。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24</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上</w:t>
      </w:r>
      <w:r>
        <w:rPr>
          <w:rFonts w:hint="eastAsia" w:ascii="方正仿宋_GBK" w:hAnsi="方正仿宋_GBK" w:eastAsia="方正仿宋_GBK" w:cs="方正仿宋_GBK"/>
          <w:color w:val="auto"/>
          <w:sz w:val="32"/>
          <w:szCs w:val="32"/>
          <w:highlight w:val="none"/>
        </w:rPr>
        <w:t>午</w:t>
      </w:r>
      <w:r>
        <w:rPr>
          <w:rFonts w:hint="eastAsia" w:ascii="方正仿宋_GBK" w:hAnsi="方正仿宋_GBK" w:eastAsia="方正仿宋_GBK" w:cs="方正仿宋_GBK"/>
          <w:color w:val="auto"/>
          <w:sz w:val="32"/>
          <w:szCs w:val="32"/>
          <w:highlight w:val="none"/>
          <w:lang w:val="en-US" w:eastAsia="zh-CN"/>
        </w:rPr>
        <w:t>11：0</w:t>
      </w:r>
      <w:bookmarkStart w:id="0" w:name="_GoBack"/>
      <w:bookmarkEnd w:id="0"/>
      <w:r>
        <w:rPr>
          <w:rFonts w:hint="eastAsia" w:ascii="方正仿宋_GBK" w:hAnsi="方正仿宋_GBK" w:eastAsia="方正仿宋_GBK" w:cs="方正仿宋_GBK"/>
          <w:color w:val="auto"/>
          <w:sz w:val="32"/>
          <w:szCs w:val="32"/>
          <w:highlight w:val="none"/>
          <w:lang w:val="en-US" w:eastAsia="zh-CN"/>
        </w:rPr>
        <w:t>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申请保证金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十二、评审方案</w:t>
      </w:r>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80分。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保底租金</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w:t>
            </w:r>
            <w:r>
              <w:rPr>
                <w:rFonts w:hint="eastAsia" w:ascii="方正仿宋_GBK" w:hAnsi="方正仿宋_GBK" w:eastAsia="方正仿宋_GBK" w:cs="方正仿宋_GBK"/>
                <w:color w:val="auto"/>
                <w:kern w:val="0"/>
                <w:sz w:val="28"/>
                <w:szCs w:val="28"/>
                <w:lang w:val="en-US" w:eastAsia="zh-CN"/>
              </w:rPr>
              <w:t>申请</w:t>
            </w:r>
            <w:r>
              <w:rPr>
                <w:rFonts w:hint="eastAsia" w:ascii="方正仿宋_GBK" w:hAnsi="方正仿宋_GBK" w:eastAsia="方正仿宋_GBK" w:cs="方正仿宋_GBK"/>
                <w:color w:val="auto"/>
                <w:kern w:val="0"/>
                <w:sz w:val="28"/>
                <w:szCs w:val="28"/>
                <w:lang w:eastAsia="zh-CN"/>
              </w:rPr>
              <w:t>人的保底租金报价得分（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保底租金报价最高的得分80分，其余申请人保底租金报价得分=申请报价/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申请报价*80分。</w:t>
            </w:r>
          </w:p>
          <w:p>
            <w:pPr>
              <w:pStyle w:val="18"/>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提成比例</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w:t>
            </w:r>
            <w:r>
              <w:rPr>
                <w:rFonts w:hint="eastAsia" w:ascii="方正仿宋_GBK" w:hAnsi="方正仿宋_GBK" w:eastAsia="方正仿宋_GBK" w:cs="方正仿宋_GBK"/>
                <w:color w:val="auto"/>
                <w:kern w:val="0"/>
                <w:sz w:val="28"/>
                <w:szCs w:val="28"/>
                <w:lang w:val="en-US" w:eastAsia="zh-CN"/>
              </w:rPr>
              <w:t>申请</w:t>
            </w:r>
            <w:r>
              <w:rPr>
                <w:rFonts w:hint="eastAsia" w:ascii="方正仿宋_GBK" w:hAnsi="方正仿宋_GBK" w:eastAsia="方正仿宋_GBK" w:cs="方正仿宋_GBK"/>
                <w:color w:val="auto"/>
                <w:kern w:val="0"/>
                <w:sz w:val="28"/>
                <w:szCs w:val="28"/>
                <w:lang w:eastAsia="zh-CN"/>
              </w:rPr>
              <w:t>人的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提成比例报价最高的得分20分，其余申请人提成比例报价得分=申请提成比例/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提成比例*20分。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申请</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val="en-US" w:eastAsia="zh-CN"/>
              </w:rPr>
              <w:t>申请</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中标人</w:t>
            </w:r>
            <w:r>
              <w:rPr>
                <w:rFonts w:hint="eastAsia" w:ascii="方正仿宋_GBK" w:hAnsi="方正仿宋_GBK" w:eastAsia="方正仿宋_GBK" w:cs="方正仿宋_GBK"/>
                <w:color w:val="auto"/>
                <w:sz w:val="28"/>
                <w:szCs w:val="28"/>
                <w:lang w:val="en-US" w:eastAsia="zh-CN"/>
              </w:rPr>
              <w:t>候选人</w:t>
            </w:r>
          </w:p>
        </w:tc>
        <w:tc>
          <w:tcPr>
            <w:tcW w:w="64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经评审，根据综合得分由高至低排序，推荐总得分排名前三（按得分由高到低排序）的</w:t>
            </w:r>
            <w:r>
              <w:rPr>
                <w:rFonts w:hint="eastAsia" w:ascii="方正仿宋_GBK" w:hAnsi="方正仿宋_GBK" w:eastAsia="方正仿宋_GBK" w:cs="方正仿宋_GBK"/>
                <w:color w:val="auto"/>
                <w:sz w:val="28"/>
                <w:szCs w:val="28"/>
                <w:lang w:val="en-US" w:eastAsia="zh-CN"/>
              </w:rPr>
              <w:t>投标人</w:t>
            </w:r>
            <w:r>
              <w:rPr>
                <w:rFonts w:hint="eastAsia" w:ascii="方正仿宋_GBK" w:hAnsi="方正仿宋_GBK" w:eastAsia="方正仿宋_GBK" w:cs="方正仿宋_GBK"/>
                <w:color w:val="auto"/>
                <w:sz w:val="28"/>
                <w:szCs w:val="28"/>
                <w:lang w:eastAsia="zh-CN"/>
              </w:rPr>
              <w:t>为中标候选人，不足三名按实际数量推荐。</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5"/>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十三、重新招商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有下列情形之一的，招商人将重新招商：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（一）投标截止时间止，投标人少于 3 个的。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（二）经评审后否决所有投标的。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（三）经评审后部分投标被否决，导致有效投标人不足三个的，评审小组应当否决所有投标。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十四、二次招商和不再招商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首次招商流标后，招商人将组织第二次招商。二次招商的投标人仍然少于三个的，将按照招标投标法律法规规定的程序开标和评标。二次招商经评审有有效投标人的，应当依法确定中标候选人；无有效投标人的，可以不再进行招商，以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十五、其他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十六、联系方式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附件1：招商</w:t>
      </w:r>
      <w:r>
        <w:rPr>
          <w:rFonts w:hint="eastAsia" w:ascii="方正仿宋_GBK" w:hAnsi="方正仿宋_GBK" w:eastAsia="方正仿宋_GBK" w:cs="方正仿宋_GBK"/>
          <w:color w:val="auto"/>
          <w:sz w:val="32"/>
          <w:szCs w:val="32"/>
          <w:lang w:val="en-US" w:eastAsia="zh-CN"/>
        </w:rPr>
        <w:t>服务区平面示意图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附件1：招商区域示意图</w:t>
      </w:r>
    </w:p>
    <w:p>
      <w:pPr>
        <w:pStyle w:val="18"/>
        <w:spacing w:line="240" w:lineRule="auto"/>
        <w:rPr>
          <w:rFonts w:hint="eastAsia"/>
          <w:color w:val="auto"/>
          <w:lang w:val="en-US" w:eastAsia="zh-CN"/>
        </w:rPr>
      </w:pPr>
    </w:p>
    <w:p>
      <w:pPr>
        <w:pStyle w:val="18"/>
        <w:spacing w:line="240" w:lineRule="auto"/>
        <w:rPr>
          <w:rFonts w:hint="eastAsia"/>
          <w:color w:val="auto"/>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color w:val="auto"/>
          <w:lang w:eastAsia="zh-CN"/>
        </w:rPr>
        <w:drawing>
          <wp:inline distT="0" distB="0" distL="114300" distR="114300">
            <wp:extent cx="7724775" cy="4410075"/>
            <wp:effectExtent l="0" t="0" r="9525" b="9525"/>
            <wp:docPr id="4" name="图片 4" descr="777fa1f5abea1ee88e7ab55d06d69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7fa1f5abea1ee88e7ab55d06d690a"/>
                    <pic:cNvPicPr>
                      <a:picLocks noChangeAspect="1"/>
                    </pic:cNvPicPr>
                  </pic:nvPicPr>
                  <pic:blipFill>
                    <a:blip r:embed="rId5"/>
                    <a:stretch>
                      <a:fillRect/>
                    </a:stretch>
                  </pic:blipFill>
                  <pic:spPr>
                    <a:xfrm>
                      <a:off x="0" y="0"/>
                      <a:ext cx="7724775" cy="44100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附件2：申请文件格式</w:t>
      </w:r>
    </w:p>
    <w:p>
      <w:pPr>
        <w:jc w:val="center"/>
        <w:rPr>
          <w:rFonts w:hint="eastAsia" w:ascii="宋体" w:hAnsi="宋体" w:eastAsia="宋体" w:cs="宋体"/>
          <w:b/>
          <w:color w:val="auto"/>
          <w:sz w:val="36"/>
          <w:szCs w:val="36"/>
          <w:lang w:val="en-US" w:eastAsia="zh-CN"/>
        </w:rPr>
      </w:pPr>
    </w:p>
    <w:p>
      <w:pPr>
        <w:jc w:val="center"/>
        <w:rPr>
          <w:rFonts w:hint="eastAsia" w:ascii="宋体" w:hAnsi="宋体" w:eastAsia="宋体" w:cs="宋体"/>
          <w:b/>
          <w:bCs/>
          <w:color w:val="auto"/>
          <w:sz w:val="36"/>
          <w:szCs w:val="36"/>
        </w:rPr>
      </w:pPr>
      <w:r>
        <w:rPr>
          <w:rFonts w:hint="eastAsia" w:ascii="宋体" w:hAnsi="宋体" w:eastAsia="宋体" w:cs="宋体"/>
          <w:b/>
          <w:color w:val="auto"/>
          <w:sz w:val="36"/>
          <w:szCs w:val="36"/>
          <w:lang w:val="en-US" w:eastAsia="zh-CN"/>
        </w:rPr>
        <w:t>项目名称：巴南</w:t>
      </w:r>
      <w:r>
        <w:rPr>
          <w:rFonts w:hint="eastAsia" w:ascii="宋体" w:hAnsi="宋体" w:eastAsia="宋体" w:cs="宋体"/>
          <w:b/>
          <w:color w:val="auto"/>
          <w:sz w:val="36"/>
          <w:szCs w:val="36"/>
        </w:rPr>
        <w:t>服务区</w:t>
      </w:r>
      <w:r>
        <w:rPr>
          <w:rFonts w:hint="eastAsia" w:ascii="宋体" w:hAnsi="宋体" w:eastAsia="宋体" w:cs="宋体"/>
          <w:b/>
          <w:color w:val="auto"/>
          <w:sz w:val="36"/>
          <w:szCs w:val="36"/>
          <w:lang w:val="en-US" w:eastAsia="zh-CN"/>
        </w:rPr>
        <w:t>商业</w:t>
      </w:r>
      <w:r>
        <w:rPr>
          <w:rFonts w:hint="eastAsia" w:ascii="宋体" w:hAnsi="宋体" w:eastAsia="宋体" w:cs="宋体"/>
          <w:b/>
          <w:color w:val="auto"/>
          <w:sz w:val="36"/>
          <w:szCs w:val="36"/>
        </w:rPr>
        <w:t>经营项目</w:t>
      </w:r>
    </w:p>
    <w:p>
      <w:pPr>
        <w:pStyle w:val="30"/>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申</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请</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文</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件</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方正仿宋_GBK" w:hAnsi="方正仿宋_GBK" w:eastAsia="方正仿宋_GBK" w:cs="方正仿宋_GBK"/>
          <w:b/>
          <w:color w:val="auto"/>
          <w:kern w:val="2"/>
          <w:sz w:val="32"/>
          <w:szCs w:val="3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方正仿宋_GBK" w:hAnsi="方正仿宋_GBK" w:eastAsia="方正仿宋_GBK" w:cs="方正仿宋_GBK"/>
          <w:b/>
          <w:color w:val="auto"/>
          <w:kern w:val="2"/>
          <w:sz w:val="32"/>
          <w:szCs w:val="32"/>
          <w:lang w:val="en-US" w:eastAsia="zh-CN" w:bidi="ar-SA"/>
        </w:rPr>
      </w:pPr>
    </w:p>
    <w:p>
      <w:pPr>
        <w:pStyle w:val="11"/>
        <w:ind w:left="0" w:leftChars="0" w:firstLine="0" w:firstLineChars="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申请单位</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u w:val="single"/>
          <w:lang w:val="en-US" w:eastAsia="zh-CN"/>
        </w:rPr>
        <w:t xml:space="preserve">                 </w:t>
      </w:r>
      <w:r>
        <w:rPr>
          <w:rFonts w:hint="eastAsia" w:ascii="宋体" w:hAnsi="宋体" w:eastAsia="宋体" w:cs="宋体"/>
          <w:color w:val="auto"/>
          <w:kern w:val="0"/>
          <w:sz w:val="32"/>
          <w:szCs w:val="32"/>
        </w:rPr>
        <w:t>（盖单位章）</w:t>
      </w:r>
    </w:p>
    <w:p>
      <w:pPr>
        <w:pStyle w:val="11"/>
        <w:ind w:left="0" w:leftChars="0" w:firstLine="0" w:firstLineChars="0"/>
        <w:jc w:val="center"/>
        <w:rPr>
          <w:rFonts w:hint="eastAsia" w:ascii="宋体" w:hAnsi="宋体" w:eastAsia="宋体" w:cs="宋体"/>
          <w:color w:val="auto"/>
          <w:kern w:val="0"/>
          <w:sz w:val="32"/>
          <w:szCs w:val="32"/>
          <w:u w:val="none"/>
          <w:lang w:val="en-US" w:eastAsia="zh-CN"/>
        </w:rPr>
      </w:pPr>
      <w:r>
        <w:rPr>
          <w:rFonts w:hint="eastAsia" w:ascii="宋体" w:hAnsi="宋体" w:eastAsia="宋体" w:cs="宋体"/>
          <w:color w:val="auto"/>
          <w:kern w:val="0"/>
          <w:sz w:val="32"/>
          <w:szCs w:val="32"/>
          <w:u w:val="none"/>
          <w:lang w:val="en-US" w:eastAsia="zh-CN"/>
        </w:rPr>
        <w:t>二〇二四年一月</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巴南</w:t>
      </w:r>
      <w:r>
        <w:rPr>
          <w:rFonts w:hint="eastAsia" w:ascii="方正仿宋_GBK" w:hAnsi="方正仿宋_GBK" w:eastAsia="方正仿宋_GBK" w:cs="方正仿宋_GBK"/>
          <w:color w:val="auto"/>
          <w:sz w:val="32"/>
          <w:szCs w:val="32"/>
          <w:u w:val="single"/>
        </w:rPr>
        <w:t>服务区</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单侧</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商业</w:t>
      </w:r>
      <w:r>
        <w:rPr>
          <w:rFonts w:hint="eastAsia" w:ascii="方正仿宋_GBK" w:hAnsi="方正仿宋_GBK" w:eastAsia="方正仿宋_GBK" w:cs="方正仿宋_GBK"/>
          <w:color w:val="auto"/>
          <w:sz w:val="32"/>
          <w:szCs w:val="32"/>
          <w:u w:val="single"/>
        </w:rPr>
        <w:t>经营项目</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none"/>
          <w:lang w:val="en-US" w:eastAsia="zh-CN"/>
        </w:rPr>
        <w:t>对</w:t>
      </w:r>
      <w:r>
        <w:rPr>
          <w:rFonts w:hint="eastAsia" w:ascii="方正仿宋_GBK" w:hAnsi="方正仿宋_GBK" w:eastAsia="方正仿宋_GBK" w:cs="方正仿宋_GBK"/>
          <w:color w:val="auto"/>
          <w:sz w:val="32"/>
          <w:szCs w:val="32"/>
          <w:u w:val="single"/>
          <w:lang w:val="en-US" w:eastAsia="zh-CN"/>
        </w:rPr>
        <w:t>巴南服务区（单侧）商业经营项目</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元），“经营总收入提成比例”报价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 xml:space="preserve"> 。以后年度的“保底租金”按5%逐年递增（即Y2=Y1×1.05、Y3=Y2×1.05、Y4=Y3×1.05，以此类推）。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kern w:val="0"/>
          <w:sz w:val="32"/>
          <w:szCs w:val="32"/>
          <w:u w:val="single"/>
          <w:lang w:val="en-US" w:eastAsia="zh-CN"/>
        </w:rPr>
        <w:t>巴南</w:t>
      </w:r>
      <w:r>
        <w:rPr>
          <w:rFonts w:hint="eastAsia" w:ascii="方正仿宋_GBK" w:hAnsi="方正仿宋_GBK" w:eastAsia="方正仿宋_GBK" w:cs="方正仿宋_GBK"/>
          <w:color w:val="auto"/>
          <w:sz w:val="32"/>
          <w:szCs w:val="32"/>
          <w:u w:val="single"/>
          <w:lang w:val="en-US" w:eastAsia="zh-CN"/>
        </w:rPr>
        <w:t>服务区（单侧）商业经营项目</w:t>
      </w:r>
      <w:r>
        <w:rPr>
          <w:rFonts w:hint="eastAsia" w:ascii="方正仿宋_GBK" w:hAnsi="方正仿宋_GBK" w:eastAsia="方正仿宋_GBK" w:cs="方正仿宋_GBK"/>
          <w:color w:val="auto"/>
          <w:kern w:val="0"/>
          <w:sz w:val="32"/>
          <w:szCs w:val="32"/>
          <w:lang w:eastAsia="zh-CN"/>
        </w:rPr>
        <w:t>申请保证金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1"/>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w:t>
      </w:r>
      <w:r>
        <w:rPr>
          <w:rFonts w:hint="eastAsia" w:ascii="方正仿宋_GBK" w:hAnsi="方正仿宋_GBK" w:eastAsia="方正仿宋_GBK" w:cs="方正仿宋_GBK"/>
          <w:color w:val="auto"/>
          <w:sz w:val="32"/>
          <w:szCs w:val="32"/>
          <w:lang w:val="en-US" w:eastAsia="zh-CN"/>
        </w:rPr>
        <w:t>公</w:t>
      </w:r>
      <w:r>
        <w:rPr>
          <w:rFonts w:hint="eastAsia" w:ascii="方正仿宋_GBK" w:hAnsi="方正仿宋_GBK" w:eastAsia="方正仿宋_GBK" w:cs="方正仿宋_GBK"/>
          <w:color w:val="auto"/>
          <w:sz w:val="32"/>
          <w:szCs w:val="32"/>
        </w:rPr>
        <w:t>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ascii="方正仿宋_GBK" w:hAnsi="宋体" w:eastAsia="方正仿宋_GBK"/>
          <w:bCs/>
          <w:color w:val="auto"/>
          <w:sz w:val="28"/>
          <w:szCs w:val="28"/>
        </w:rPr>
      </w:pPr>
      <w:r>
        <w:rPr>
          <w:rFonts w:hint="eastAsia" w:ascii="方正仿宋_GBK" w:hAnsi="宋体" w:eastAsia="方正仿宋_GBK"/>
          <w:bCs/>
          <w:color w:val="auto"/>
          <w:sz w:val="28"/>
          <w:szCs w:val="28"/>
          <w:u w:val="single"/>
        </w:rPr>
        <w:t>高速管家（重庆）实业有限公司</w:t>
      </w: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我</w:t>
      </w:r>
      <w:r>
        <w:rPr>
          <w:rFonts w:hint="eastAsia" w:ascii="方正仿宋_GBK" w:hAnsi="宋体" w:eastAsia="方正仿宋_GBK"/>
          <w:bCs/>
          <w:color w:val="auto"/>
          <w:sz w:val="28"/>
          <w:szCs w:val="28"/>
          <w:lang w:val="en-US" w:eastAsia="zh-CN"/>
        </w:rPr>
        <w:t>单位</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u w:val="single"/>
          <w:lang w:val="en-US" w:eastAsia="zh-CN"/>
        </w:rPr>
        <w:t xml:space="preserve">              </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申请人</w:t>
      </w:r>
      <w:r>
        <w:rPr>
          <w:rFonts w:hint="eastAsia" w:ascii="方正仿宋_GBK" w:hAnsi="宋体" w:eastAsia="方正仿宋_GBK"/>
          <w:bCs/>
          <w:color w:val="auto"/>
          <w:sz w:val="28"/>
          <w:szCs w:val="28"/>
        </w:rPr>
        <w:t>名称）参</w:t>
      </w:r>
      <w:r>
        <w:rPr>
          <w:rFonts w:hint="eastAsia" w:ascii="方正仿宋_GBK" w:hAnsi="宋体" w:eastAsia="方正仿宋_GBK"/>
          <w:bCs/>
          <w:color w:val="auto"/>
          <w:sz w:val="28"/>
          <w:szCs w:val="28"/>
          <w:lang w:val="en-US" w:eastAsia="zh-CN"/>
        </w:rPr>
        <w:t>与贵单位</w:t>
      </w:r>
      <w:r>
        <w:rPr>
          <w:rFonts w:hint="eastAsia" w:ascii="方正仿宋_GBK" w:hAnsi="宋体" w:eastAsia="方正仿宋_GBK"/>
          <w:bCs/>
          <w:color w:val="auto"/>
          <w:sz w:val="28"/>
          <w:szCs w:val="28"/>
          <w:u w:val="single"/>
        </w:rPr>
        <w:t>巴南服务区（单侧）商业经营项目</w:t>
      </w:r>
      <w:r>
        <w:rPr>
          <w:rFonts w:hint="eastAsia" w:ascii="方正仿宋_GBK" w:hAnsi="宋体" w:eastAsia="方正仿宋_GBK"/>
          <w:bCs/>
          <w:color w:val="auto"/>
          <w:sz w:val="28"/>
          <w:szCs w:val="28"/>
        </w:rPr>
        <w:t>（项目名称）的投标，自愿作出以下承诺：</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截止日</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资格情况不存在下列情形之一：</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（1）被人民法院列入失信被执行人名单且在被执行期内；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（2）被国家、重庆市（含市或任意区县）有关行政部门处以暂停投标资格行政处罚，且在处罚期限内；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（3）被责令停业，暂扣或吊销执照，或吊销资质证书；</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（4）进入清算程序，或被宣告破产，或其他丧失履约能力的情形；</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（5）在国家企业信用信息公示系统（http://www.gsxt.gov.cn/）中被列入严重违法失信企业名单；</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rPr>
        <w:t>6</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申请人</w:t>
      </w:r>
      <w:r>
        <w:rPr>
          <w:rFonts w:hint="eastAsia" w:ascii="方正仿宋_GBK" w:hAnsi="宋体" w:eastAsia="方正仿宋_GBK"/>
          <w:bCs/>
          <w:color w:val="auto"/>
          <w:sz w:val="28"/>
          <w:szCs w:val="28"/>
        </w:rPr>
        <w:t>或其法定代表人在近两年内有行贿犯罪行为的。</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2、我公司在</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文件中提供的相关证明材料真实有效，不存在弄虚作假情形。</w:t>
      </w:r>
      <w:r>
        <w:rPr>
          <w:rFonts w:hint="eastAsia" w:ascii="方正仿宋_GBK" w:hAnsi="宋体" w:eastAsia="方正仿宋_GBK"/>
          <w:bCs/>
          <w:color w:val="auto"/>
          <w:sz w:val="28"/>
          <w:szCs w:val="28"/>
          <w:lang w:val="en-US" w:eastAsia="zh-CN"/>
        </w:rPr>
        <w:t>招商人</w:t>
      </w:r>
      <w:r>
        <w:rPr>
          <w:rFonts w:hint="eastAsia" w:ascii="方正仿宋_GBK" w:hAnsi="宋体" w:eastAsia="方正仿宋_GBK"/>
          <w:bCs/>
          <w:color w:val="auto"/>
          <w:sz w:val="28"/>
          <w:szCs w:val="28"/>
        </w:rPr>
        <w:t>在合同签订前均有权对我司提供的资料进行核实，若发现弄虚作假或承诺无法兑现的，取消其中标资格，</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保证金不予退还，并按相关法律法规报招标投标监督部门处理，</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人承担因此造成的相关责任并赔偿相应损失。</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3、我单位承诺</w:t>
      </w:r>
      <w:r>
        <w:rPr>
          <w:rFonts w:hint="eastAsia" w:ascii="方正仿宋_GBK" w:hAnsi="宋体" w:eastAsia="方正仿宋_GBK"/>
          <w:bCs/>
          <w:color w:val="auto"/>
          <w:sz w:val="28"/>
          <w:szCs w:val="28"/>
          <w:lang w:val="en-US"/>
        </w:rPr>
        <w:t>对所承租的服务区</w:t>
      </w:r>
      <w:r>
        <w:rPr>
          <w:rFonts w:hint="eastAsia" w:ascii="方正仿宋_GBK" w:hAnsi="宋体" w:eastAsia="方正仿宋_GBK"/>
          <w:bCs/>
          <w:color w:val="auto"/>
          <w:sz w:val="28"/>
          <w:szCs w:val="28"/>
          <w:lang w:val="en-US" w:eastAsia="zh-CN"/>
        </w:rPr>
        <w:t>综合楼</w:t>
      </w:r>
      <w:r>
        <w:rPr>
          <w:rFonts w:hint="eastAsia" w:ascii="方正仿宋_GBK" w:hAnsi="宋体" w:eastAsia="方正仿宋_GBK"/>
          <w:bCs/>
          <w:color w:val="auto"/>
          <w:sz w:val="28"/>
          <w:szCs w:val="28"/>
          <w:lang w:val="en-US"/>
        </w:rPr>
        <w:t>商业区域内进行装修升级改造，</w:t>
      </w:r>
      <w:r>
        <w:rPr>
          <w:rFonts w:hint="eastAsia" w:ascii="方正仿宋_GBK" w:hAnsi="宋体" w:eastAsia="方正仿宋_GBK"/>
          <w:bCs/>
          <w:color w:val="auto"/>
          <w:sz w:val="28"/>
          <w:szCs w:val="28"/>
          <w:lang w:val="en-US" w:eastAsia="zh-CN"/>
        </w:rPr>
        <w:t>我单位的装修方案需报贵单位审核，我单位严格按照贵单位审定后的装修方案实施施工。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right" w:pos="8641"/>
        </w:tabs>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keepNext w:val="0"/>
        <w:keepLines w:val="0"/>
        <w:pageBreakBefore w:val="0"/>
        <w:widowControl w:val="0"/>
        <w:kinsoku/>
        <w:wordWrap/>
        <w:overflowPunct/>
        <w:topLinePunct w:val="0"/>
        <w:autoSpaceDE/>
        <w:autoSpaceDN/>
        <w:bidi w:val="0"/>
        <w:adjustRightInd/>
        <w:spacing w:line="58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lang w:eastAsia="zh-CN"/>
        </w:rPr>
      </w:pPr>
      <w:r>
        <w:rPr>
          <w:rFonts w:hint="eastAsia" w:ascii="方正仿宋_GBK" w:hAnsi="宋体" w:eastAsia="方正仿宋_GBK"/>
          <w:bCs/>
          <w:color w:val="auto"/>
          <w:sz w:val="28"/>
          <w:szCs w:val="28"/>
        </w:rPr>
        <w:t>注：</w:t>
      </w: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应提供有效的营业执照副本复印件（盖单位公章）</w:t>
      </w:r>
      <w:r>
        <w:rPr>
          <w:rFonts w:hint="eastAsia" w:ascii="方正仿宋_GBK" w:hAnsi="宋体" w:eastAsia="方正仿宋_GBK"/>
          <w:bCs/>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五、申请保证金证明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申请保证金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六、其他资料（如有）</w:t>
      </w: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hint="default" w:ascii="方正仿宋_GBK" w:hAnsi="方正仿宋_GBK" w:eastAsia="方正仿宋_GBK" w:cs="方正仿宋_GBK"/>
          <w:color w:val="auto"/>
          <w:sz w:val="30"/>
          <w:szCs w:val="30"/>
          <w:lang w:val="en-US"/>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A63BF"/>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0C5D"/>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E305A8"/>
    <w:rsid w:val="01EE3F66"/>
    <w:rsid w:val="022F5414"/>
    <w:rsid w:val="02385AB4"/>
    <w:rsid w:val="02E76B51"/>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12DB5"/>
    <w:rsid w:val="063B1146"/>
    <w:rsid w:val="063B36C5"/>
    <w:rsid w:val="065964F8"/>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69411A"/>
    <w:rsid w:val="0AA74589"/>
    <w:rsid w:val="0AAB518D"/>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CE12BAF"/>
    <w:rsid w:val="0D650672"/>
    <w:rsid w:val="0D6C2ECC"/>
    <w:rsid w:val="0DAC357C"/>
    <w:rsid w:val="0DF83D51"/>
    <w:rsid w:val="0E21124C"/>
    <w:rsid w:val="0E4A7885"/>
    <w:rsid w:val="0E767028"/>
    <w:rsid w:val="0E94477D"/>
    <w:rsid w:val="0EB72D36"/>
    <w:rsid w:val="0EC43E0F"/>
    <w:rsid w:val="0EE30586"/>
    <w:rsid w:val="0EFE18C1"/>
    <w:rsid w:val="0F2E7001"/>
    <w:rsid w:val="0F363427"/>
    <w:rsid w:val="0F656151"/>
    <w:rsid w:val="0F665DD1"/>
    <w:rsid w:val="0F714162"/>
    <w:rsid w:val="0F7C68D3"/>
    <w:rsid w:val="0F8C1528"/>
    <w:rsid w:val="0FA10548"/>
    <w:rsid w:val="0FF103A7"/>
    <w:rsid w:val="10067CF4"/>
    <w:rsid w:val="104B7348"/>
    <w:rsid w:val="106B2065"/>
    <w:rsid w:val="1086286E"/>
    <w:rsid w:val="10873021"/>
    <w:rsid w:val="10CC7F87"/>
    <w:rsid w:val="10DD097D"/>
    <w:rsid w:val="110D7406"/>
    <w:rsid w:val="11CD3FC1"/>
    <w:rsid w:val="11DF775E"/>
    <w:rsid w:val="11E6296C"/>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6011D0"/>
    <w:rsid w:val="147A00D6"/>
    <w:rsid w:val="147B176D"/>
    <w:rsid w:val="14A40031"/>
    <w:rsid w:val="14EA645D"/>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3C554F"/>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AD7DE2"/>
    <w:rsid w:val="1EBA46CF"/>
    <w:rsid w:val="1EBE6018"/>
    <w:rsid w:val="1ECA3D41"/>
    <w:rsid w:val="1EEB2585"/>
    <w:rsid w:val="1F034F6D"/>
    <w:rsid w:val="1F1F37D4"/>
    <w:rsid w:val="1F2F1F53"/>
    <w:rsid w:val="1F3F2B62"/>
    <w:rsid w:val="1F667210"/>
    <w:rsid w:val="1F8345C2"/>
    <w:rsid w:val="1F927947"/>
    <w:rsid w:val="1FD06C40"/>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E47DE4"/>
    <w:rsid w:val="23EA3C62"/>
    <w:rsid w:val="241746F0"/>
    <w:rsid w:val="2441618A"/>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5C189F"/>
    <w:rsid w:val="277D7253"/>
    <w:rsid w:val="278814E0"/>
    <w:rsid w:val="278E48B4"/>
    <w:rsid w:val="27AB4E39"/>
    <w:rsid w:val="27F8262F"/>
    <w:rsid w:val="281A6F8E"/>
    <w:rsid w:val="283B6D0F"/>
    <w:rsid w:val="28E13773"/>
    <w:rsid w:val="28FC0D47"/>
    <w:rsid w:val="2922359D"/>
    <w:rsid w:val="29492AC3"/>
    <w:rsid w:val="29A53E05"/>
    <w:rsid w:val="29AF6870"/>
    <w:rsid w:val="2A2433F6"/>
    <w:rsid w:val="2A3000C3"/>
    <w:rsid w:val="2A4976CA"/>
    <w:rsid w:val="2AC97BFE"/>
    <w:rsid w:val="2AD11B67"/>
    <w:rsid w:val="2AD90B54"/>
    <w:rsid w:val="2AEA0767"/>
    <w:rsid w:val="2AF22A8B"/>
    <w:rsid w:val="2B47568D"/>
    <w:rsid w:val="2B616237"/>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3A4766"/>
    <w:rsid w:val="2E446B03"/>
    <w:rsid w:val="2E977BB2"/>
    <w:rsid w:val="2E990AAC"/>
    <w:rsid w:val="2EE87D82"/>
    <w:rsid w:val="2F010CAC"/>
    <w:rsid w:val="2F012EAA"/>
    <w:rsid w:val="2F5310D8"/>
    <w:rsid w:val="2F5364B1"/>
    <w:rsid w:val="2F5716BB"/>
    <w:rsid w:val="2F5E1BEF"/>
    <w:rsid w:val="2F6973D6"/>
    <w:rsid w:val="2F6B28DA"/>
    <w:rsid w:val="2F7164CA"/>
    <w:rsid w:val="2FDF49B2"/>
    <w:rsid w:val="300A115E"/>
    <w:rsid w:val="30110AE9"/>
    <w:rsid w:val="305B7C64"/>
    <w:rsid w:val="305E56A9"/>
    <w:rsid w:val="306E0E83"/>
    <w:rsid w:val="308C0433"/>
    <w:rsid w:val="30AA3B33"/>
    <w:rsid w:val="30AD08ED"/>
    <w:rsid w:val="30AF274F"/>
    <w:rsid w:val="30B86C6C"/>
    <w:rsid w:val="30C60FCB"/>
    <w:rsid w:val="30E3303B"/>
    <w:rsid w:val="311C22A0"/>
    <w:rsid w:val="312B0056"/>
    <w:rsid w:val="313111D2"/>
    <w:rsid w:val="31AE7611"/>
    <w:rsid w:val="31FE2FBB"/>
    <w:rsid w:val="321231C7"/>
    <w:rsid w:val="328672F4"/>
    <w:rsid w:val="329955E9"/>
    <w:rsid w:val="32A24447"/>
    <w:rsid w:val="32A724AC"/>
    <w:rsid w:val="32A76E6F"/>
    <w:rsid w:val="330111BC"/>
    <w:rsid w:val="334675F5"/>
    <w:rsid w:val="334A28B5"/>
    <w:rsid w:val="334B6F32"/>
    <w:rsid w:val="33716A39"/>
    <w:rsid w:val="344055DB"/>
    <w:rsid w:val="346421AE"/>
    <w:rsid w:val="349921D7"/>
    <w:rsid w:val="34B13680"/>
    <w:rsid w:val="35081F3C"/>
    <w:rsid w:val="351B1D0B"/>
    <w:rsid w:val="3529352F"/>
    <w:rsid w:val="35594813"/>
    <w:rsid w:val="35596118"/>
    <w:rsid w:val="35645510"/>
    <w:rsid w:val="356D03A5"/>
    <w:rsid w:val="356F3B0C"/>
    <w:rsid w:val="357B34F2"/>
    <w:rsid w:val="35AB0DC6"/>
    <w:rsid w:val="35CF3EBB"/>
    <w:rsid w:val="36322285"/>
    <w:rsid w:val="36BF695C"/>
    <w:rsid w:val="36EE26AB"/>
    <w:rsid w:val="370051FB"/>
    <w:rsid w:val="376D796F"/>
    <w:rsid w:val="37BE7500"/>
    <w:rsid w:val="37D358A9"/>
    <w:rsid w:val="38156C48"/>
    <w:rsid w:val="3871485E"/>
    <w:rsid w:val="38C77E3B"/>
    <w:rsid w:val="38D351DF"/>
    <w:rsid w:val="38F71AD6"/>
    <w:rsid w:val="38FC777E"/>
    <w:rsid w:val="391067A0"/>
    <w:rsid w:val="39533EFA"/>
    <w:rsid w:val="396531C1"/>
    <w:rsid w:val="39A150C6"/>
    <w:rsid w:val="3A9B298B"/>
    <w:rsid w:val="3AD42011"/>
    <w:rsid w:val="3ADE2921"/>
    <w:rsid w:val="3AE45CEC"/>
    <w:rsid w:val="3B2F09B1"/>
    <w:rsid w:val="3B6D1693"/>
    <w:rsid w:val="3B9B6557"/>
    <w:rsid w:val="3BCE2DBC"/>
    <w:rsid w:val="3BE846ED"/>
    <w:rsid w:val="3C114887"/>
    <w:rsid w:val="3C4E4986"/>
    <w:rsid w:val="3C611E49"/>
    <w:rsid w:val="3C7C2C1D"/>
    <w:rsid w:val="3CE4270A"/>
    <w:rsid w:val="3CE55274"/>
    <w:rsid w:val="3CEA4F7F"/>
    <w:rsid w:val="3CEB109E"/>
    <w:rsid w:val="3CF53310"/>
    <w:rsid w:val="3D111E64"/>
    <w:rsid w:val="3D175E00"/>
    <w:rsid w:val="3D537284"/>
    <w:rsid w:val="3D7A6CC9"/>
    <w:rsid w:val="3D8B69FD"/>
    <w:rsid w:val="3E2171FA"/>
    <w:rsid w:val="3E2378B8"/>
    <w:rsid w:val="3E8D4899"/>
    <w:rsid w:val="3E9A6868"/>
    <w:rsid w:val="3EBE0E78"/>
    <w:rsid w:val="3EC95E8B"/>
    <w:rsid w:val="3ED85910"/>
    <w:rsid w:val="3EE71542"/>
    <w:rsid w:val="3F7707D9"/>
    <w:rsid w:val="3F7A18F8"/>
    <w:rsid w:val="3F95531E"/>
    <w:rsid w:val="3FB1516C"/>
    <w:rsid w:val="3FD9093B"/>
    <w:rsid w:val="3FE03B01"/>
    <w:rsid w:val="3FEA3FF6"/>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800DA9"/>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ED3AEB"/>
    <w:rsid w:val="44FD2E17"/>
    <w:rsid w:val="45007B43"/>
    <w:rsid w:val="456A31D2"/>
    <w:rsid w:val="45864F57"/>
    <w:rsid w:val="45C733F0"/>
    <w:rsid w:val="467614CB"/>
    <w:rsid w:val="46CE1899"/>
    <w:rsid w:val="46F53476"/>
    <w:rsid w:val="47461F7B"/>
    <w:rsid w:val="47562BD9"/>
    <w:rsid w:val="4767646F"/>
    <w:rsid w:val="47FA6065"/>
    <w:rsid w:val="485965C0"/>
    <w:rsid w:val="48AF12A5"/>
    <w:rsid w:val="48C45C6F"/>
    <w:rsid w:val="48E13021"/>
    <w:rsid w:val="49141918"/>
    <w:rsid w:val="49223AEA"/>
    <w:rsid w:val="49320E62"/>
    <w:rsid w:val="495C4BAB"/>
    <w:rsid w:val="497E2D8A"/>
    <w:rsid w:val="4993373C"/>
    <w:rsid w:val="49F308E0"/>
    <w:rsid w:val="4A503D34"/>
    <w:rsid w:val="4A5867AF"/>
    <w:rsid w:val="4A6F68F4"/>
    <w:rsid w:val="4A8D7688"/>
    <w:rsid w:val="4AA0401B"/>
    <w:rsid w:val="4AC12232"/>
    <w:rsid w:val="4AFF6625"/>
    <w:rsid w:val="4B0D19D8"/>
    <w:rsid w:val="4B1663C4"/>
    <w:rsid w:val="4B227AD6"/>
    <w:rsid w:val="4B403E05"/>
    <w:rsid w:val="4B512950"/>
    <w:rsid w:val="4BA72569"/>
    <w:rsid w:val="4BA86CAC"/>
    <w:rsid w:val="4BA93D64"/>
    <w:rsid w:val="4BF53156"/>
    <w:rsid w:val="4C1E46ED"/>
    <w:rsid w:val="4C7D71E6"/>
    <w:rsid w:val="4C87411C"/>
    <w:rsid w:val="4CC40815"/>
    <w:rsid w:val="4CD25495"/>
    <w:rsid w:val="4CF36EDE"/>
    <w:rsid w:val="4CF50903"/>
    <w:rsid w:val="4D0F3C65"/>
    <w:rsid w:val="4D373B8E"/>
    <w:rsid w:val="4D40134C"/>
    <w:rsid w:val="4D59246D"/>
    <w:rsid w:val="4D7A03A5"/>
    <w:rsid w:val="4D7E7C65"/>
    <w:rsid w:val="4DB73ACE"/>
    <w:rsid w:val="4DFB243D"/>
    <w:rsid w:val="4E462DF8"/>
    <w:rsid w:val="4E657FC8"/>
    <w:rsid w:val="4EA61139"/>
    <w:rsid w:val="4EB821B8"/>
    <w:rsid w:val="4ED748E6"/>
    <w:rsid w:val="4F06761A"/>
    <w:rsid w:val="4F1625AD"/>
    <w:rsid w:val="4F267EE8"/>
    <w:rsid w:val="4F275969"/>
    <w:rsid w:val="4F2B52C1"/>
    <w:rsid w:val="4F752C5C"/>
    <w:rsid w:val="4FAE6DE8"/>
    <w:rsid w:val="4FBB2B41"/>
    <w:rsid w:val="4FDD3430"/>
    <w:rsid w:val="4FDF36E3"/>
    <w:rsid w:val="4FFC4121"/>
    <w:rsid w:val="50076C03"/>
    <w:rsid w:val="500C4AC9"/>
    <w:rsid w:val="50247608"/>
    <w:rsid w:val="50280D8F"/>
    <w:rsid w:val="504B48A7"/>
    <w:rsid w:val="505962C7"/>
    <w:rsid w:val="50792360"/>
    <w:rsid w:val="509C3104"/>
    <w:rsid w:val="519F1876"/>
    <w:rsid w:val="51B8717E"/>
    <w:rsid w:val="521425AF"/>
    <w:rsid w:val="522762D7"/>
    <w:rsid w:val="52284921"/>
    <w:rsid w:val="52497DCE"/>
    <w:rsid w:val="52592CF5"/>
    <w:rsid w:val="527C4F8C"/>
    <w:rsid w:val="528021E8"/>
    <w:rsid w:val="52BD1722"/>
    <w:rsid w:val="5334770E"/>
    <w:rsid w:val="536F7AC2"/>
    <w:rsid w:val="53814831"/>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2733C1"/>
    <w:rsid w:val="55310935"/>
    <w:rsid w:val="553C7AE3"/>
    <w:rsid w:val="555C0720"/>
    <w:rsid w:val="555E2986"/>
    <w:rsid w:val="55820E19"/>
    <w:rsid w:val="55A84C13"/>
    <w:rsid w:val="55B62897"/>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090EFA"/>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8F2DC6"/>
    <w:rsid w:val="5BAA0022"/>
    <w:rsid w:val="5BC86423"/>
    <w:rsid w:val="5BEA43D9"/>
    <w:rsid w:val="5BF736EF"/>
    <w:rsid w:val="5C4B3179"/>
    <w:rsid w:val="5C790492"/>
    <w:rsid w:val="5C7B0E85"/>
    <w:rsid w:val="5C7E6851"/>
    <w:rsid w:val="5CA03EE9"/>
    <w:rsid w:val="5D00776E"/>
    <w:rsid w:val="5D0B317A"/>
    <w:rsid w:val="5D183066"/>
    <w:rsid w:val="5D5839DA"/>
    <w:rsid w:val="5D7D64BE"/>
    <w:rsid w:val="5D7E2271"/>
    <w:rsid w:val="5DEE4F2A"/>
    <w:rsid w:val="5E666123"/>
    <w:rsid w:val="5E872AA3"/>
    <w:rsid w:val="5EA01370"/>
    <w:rsid w:val="5ED067FB"/>
    <w:rsid w:val="5EE00BB3"/>
    <w:rsid w:val="5F122687"/>
    <w:rsid w:val="5F3673C4"/>
    <w:rsid w:val="600638B7"/>
    <w:rsid w:val="60174499"/>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A237E9"/>
    <w:rsid w:val="64107237"/>
    <w:rsid w:val="64232A40"/>
    <w:rsid w:val="643F7402"/>
    <w:rsid w:val="64771AAA"/>
    <w:rsid w:val="649303EC"/>
    <w:rsid w:val="64B74971"/>
    <w:rsid w:val="650F715A"/>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10234B"/>
    <w:rsid w:val="684626D0"/>
    <w:rsid w:val="687E64A3"/>
    <w:rsid w:val="687F65B4"/>
    <w:rsid w:val="68D74F6E"/>
    <w:rsid w:val="68DD26B8"/>
    <w:rsid w:val="68F9273B"/>
    <w:rsid w:val="69095760"/>
    <w:rsid w:val="692E469B"/>
    <w:rsid w:val="69447E74"/>
    <w:rsid w:val="69B22269"/>
    <w:rsid w:val="69FB0204"/>
    <w:rsid w:val="6A06437E"/>
    <w:rsid w:val="6A24399F"/>
    <w:rsid w:val="6A4576E6"/>
    <w:rsid w:val="6A6025DF"/>
    <w:rsid w:val="6A825A1E"/>
    <w:rsid w:val="6B4636D2"/>
    <w:rsid w:val="6B5C52B4"/>
    <w:rsid w:val="6B601138"/>
    <w:rsid w:val="6B703951"/>
    <w:rsid w:val="6B867142"/>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881507"/>
    <w:rsid w:val="6F934B69"/>
    <w:rsid w:val="6FDA69DF"/>
    <w:rsid w:val="70026C53"/>
    <w:rsid w:val="70147557"/>
    <w:rsid w:val="706304C2"/>
    <w:rsid w:val="708036F9"/>
    <w:rsid w:val="708273CF"/>
    <w:rsid w:val="70877BB7"/>
    <w:rsid w:val="70DA42FD"/>
    <w:rsid w:val="71223BA1"/>
    <w:rsid w:val="71286A35"/>
    <w:rsid w:val="7179553A"/>
    <w:rsid w:val="71B707ED"/>
    <w:rsid w:val="71C233B0"/>
    <w:rsid w:val="71D77AD2"/>
    <w:rsid w:val="722021E3"/>
    <w:rsid w:val="72882D4B"/>
    <w:rsid w:val="72B15F17"/>
    <w:rsid w:val="72C309D4"/>
    <w:rsid w:val="72C84721"/>
    <w:rsid w:val="72CC5B44"/>
    <w:rsid w:val="73006CAB"/>
    <w:rsid w:val="730124CA"/>
    <w:rsid w:val="731E5F29"/>
    <w:rsid w:val="73211D71"/>
    <w:rsid w:val="737F6B14"/>
    <w:rsid w:val="73925305"/>
    <w:rsid w:val="739560E8"/>
    <w:rsid w:val="739F2554"/>
    <w:rsid w:val="73A96B68"/>
    <w:rsid w:val="73BF1B32"/>
    <w:rsid w:val="73CC6C88"/>
    <w:rsid w:val="73DE5DF7"/>
    <w:rsid w:val="74381CBE"/>
    <w:rsid w:val="74645128"/>
    <w:rsid w:val="74F96E35"/>
    <w:rsid w:val="757B0F4D"/>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9323F"/>
    <w:rsid w:val="782B6F11"/>
    <w:rsid w:val="78333ABF"/>
    <w:rsid w:val="784072DC"/>
    <w:rsid w:val="785D5F3F"/>
    <w:rsid w:val="78976F8A"/>
    <w:rsid w:val="78F03039"/>
    <w:rsid w:val="78F0601D"/>
    <w:rsid w:val="78F114F9"/>
    <w:rsid w:val="78F637DD"/>
    <w:rsid w:val="79676F3A"/>
    <w:rsid w:val="797B4D1B"/>
    <w:rsid w:val="79966B70"/>
    <w:rsid w:val="79967E13"/>
    <w:rsid w:val="79DD5C7F"/>
    <w:rsid w:val="79E43920"/>
    <w:rsid w:val="7A2B296B"/>
    <w:rsid w:val="7A342E0A"/>
    <w:rsid w:val="7A390DBB"/>
    <w:rsid w:val="7AA037BE"/>
    <w:rsid w:val="7ABC23ED"/>
    <w:rsid w:val="7B1A12D6"/>
    <w:rsid w:val="7B560E53"/>
    <w:rsid w:val="7B610AA0"/>
    <w:rsid w:val="7B750522"/>
    <w:rsid w:val="7BB80A08"/>
    <w:rsid w:val="7C2166E2"/>
    <w:rsid w:val="7C2B2B29"/>
    <w:rsid w:val="7C345DD3"/>
    <w:rsid w:val="7C4E2200"/>
    <w:rsid w:val="7C640B20"/>
    <w:rsid w:val="7C661C74"/>
    <w:rsid w:val="7C793044"/>
    <w:rsid w:val="7C86235A"/>
    <w:rsid w:val="7C8B6C84"/>
    <w:rsid w:val="7C8E74B8"/>
    <w:rsid w:val="7C9570F1"/>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186E10"/>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annotation text"/>
    <w:basedOn w:val="1"/>
    <w:unhideWhenUsed/>
    <w:qFormat/>
    <w:uiPriority w:val="99"/>
    <w:pPr>
      <w:jc w:val="left"/>
    </w:pPr>
  </w:style>
  <w:style w:type="paragraph" w:styleId="5">
    <w:name w:val="Body Text"/>
    <w:basedOn w:val="1"/>
    <w:next w:val="1"/>
    <w:link w:val="26"/>
    <w:qFormat/>
    <w:uiPriority w:val="0"/>
    <w:pPr>
      <w:spacing w:after="120"/>
    </w:pPr>
    <w:rPr>
      <w:rFonts w:ascii="Times New Roman" w:hAnsi="Times New Roman" w:eastAsia="宋体" w:cs="Times New Roman"/>
      <w:szCs w:val="20"/>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Normal (Web)"/>
    <w:basedOn w:val="1"/>
    <w:qFormat/>
    <w:uiPriority w:val="0"/>
    <w:pPr>
      <w:spacing w:beforeAutospacing="1" w:afterAutospacing="1"/>
      <w:jc w:val="left"/>
    </w:pPr>
    <w:rPr>
      <w:rFonts w:cs="Times New Roman"/>
      <w:kern w:val="0"/>
      <w:sz w:val="24"/>
      <w:szCs w:val="24"/>
    </w:rPr>
  </w:style>
  <w:style w:type="paragraph" w:styleId="11">
    <w:name w:val="Body Text First Indent"/>
    <w:basedOn w:val="5"/>
    <w:next w:val="1"/>
    <w:unhideWhenUsed/>
    <w:qFormat/>
    <w:uiPriority w:val="99"/>
    <w:pPr>
      <w:spacing w:line="360" w:lineRule="auto"/>
      <w:ind w:firstLine="420"/>
      <w:jc w:val="left"/>
    </w:pPr>
    <w:rPr>
      <w:rFonts w:ascii="宋体" w:hAnsi="宋体"/>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annotation reference"/>
    <w:basedOn w:val="14"/>
    <w:unhideWhenUsed/>
    <w:qFormat/>
    <w:uiPriority w:val="99"/>
    <w:rPr>
      <w:sz w:val="21"/>
      <w:szCs w:val="21"/>
    </w:rPr>
  </w:style>
  <w:style w:type="paragraph" w:customStyle="1" w:styleId="17">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4"/>
    <w:link w:val="8"/>
    <w:qFormat/>
    <w:uiPriority w:val="99"/>
    <w:rPr>
      <w:sz w:val="18"/>
      <w:szCs w:val="18"/>
    </w:rPr>
  </w:style>
  <w:style w:type="character" w:customStyle="1" w:styleId="21">
    <w:name w:val="页脚 字符"/>
    <w:basedOn w:val="14"/>
    <w:link w:val="7"/>
    <w:qFormat/>
    <w:uiPriority w:val="99"/>
    <w:rPr>
      <w:sz w:val="18"/>
      <w:szCs w:val="18"/>
    </w:rPr>
  </w:style>
  <w:style w:type="character" w:customStyle="1" w:styleId="22">
    <w:name w:val="font11"/>
    <w:basedOn w:val="14"/>
    <w:qFormat/>
    <w:uiPriority w:val="0"/>
    <w:rPr>
      <w:rFonts w:hint="eastAsia" w:ascii="宋体" w:hAnsi="宋体" w:eastAsia="宋体" w:cs="宋体"/>
      <w:color w:val="000000"/>
      <w:sz w:val="20"/>
      <w:szCs w:val="20"/>
      <w:u w:val="none"/>
    </w:rPr>
  </w:style>
  <w:style w:type="character" w:customStyle="1" w:styleId="23">
    <w:name w:val="font01"/>
    <w:basedOn w:val="14"/>
    <w:qFormat/>
    <w:uiPriority w:val="0"/>
    <w:rPr>
      <w:rFonts w:hint="default" w:ascii="Times New Roman" w:hAnsi="Times New Roman" w:cs="Times New Roman"/>
      <w:color w:val="000000"/>
      <w:sz w:val="20"/>
      <w:szCs w:val="20"/>
      <w:u w:val="none"/>
    </w:rPr>
  </w:style>
  <w:style w:type="character" w:customStyle="1" w:styleId="24">
    <w:name w:val="批注框文本 字符"/>
    <w:basedOn w:val="14"/>
    <w:link w:val="6"/>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4"/>
    <w:link w:val="5"/>
    <w:qFormat/>
    <w:uiPriority w:val="0"/>
    <w:rPr>
      <w:rFonts w:ascii="Times New Roman" w:hAnsi="Times New Roman" w:eastAsia="宋体" w:cs="Times New Roman"/>
      <w:kern w:val="2"/>
      <w:sz w:val="21"/>
    </w:rPr>
  </w:style>
  <w:style w:type="character" w:customStyle="1" w:styleId="27">
    <w:name w:val="引用 字符"/>
    <w:basedOn w:val="14"/>
    <w:link w:val="17"/>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30">
    <w:name w:val="BodyText1I"/>
    <w:basedOn w:val="31"/>
    <w:qFormat/>
    <w:uiPriority w:val="0"/>
    <w:pPr>
      <w:spacing w:after="120"/>
      <w:ind w:firstLine="420" w:firstLineChars="100"/>
    </w:pPr>
    <w:rPr>
      <w:rFonts w:ascii="Calibri" w:hAnsi="Calibri" w:eastAsia="宋体" w:cs="Times New Roman"/>
      <w:szCs w:val="24"/>
    </w:rPr>
  </w:style>
  <w:style w:type="paragraph" w:customStyle="1" w:styleId="31">
    <w:name w:val="Body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5</TotalTime>
  <ScaleCrop>false</ScaleCrop>
  <LinksUpToDate>false</LinksUpToDate>
  <CharactersWithSpaces>5167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Administrator</cp:lastModifiedBy>
  <cp:lastPrinted>2023-04-13T10:23:00Z</cp:lastPrinted>
  <dcterms:modified xsi:type="dcterms:W3CDTF">2024-01-17T06:16:10Z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065360C4C1DA4280815D257E2616170C</vt:lpwstr>
  </property>
</Properties>
</file>