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2024年车道栏杆机“公众责任险”采购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bidi="ar"/>
        </w:rPr>
        <w:t>挂网之日起三个工作日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2024年车道栏杆机“公众责任险”采购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经评审的最低价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中国人民财产保险股份有限公司重庆市大渡口支公司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158355.00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中国太平洋财产保险股份有限公司重庆分公司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172125.00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中国人民财产保险股份有限公司重庆市大渡口支公司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中国太平洋财产保险股份有限公司重庆分公司</w:t>
      </w:r>
      <w:bookmarkStart w:id="0" w:name="_GoBack"/>
      <w:bookmarkEnd w:id="0"/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53B9B"/>
    <w:rsid w:val="000544F1"/>
    <w:rsid w:val="0006380E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  <w:rsid w:val="37DC6D88"/>
    <w:rsid w:val="68964A1B"/>
    <w:rsid w:val="7CD8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430</Characters>
  <Lines>3</Lines>
  <Paragraphs>1</Paragraphs>
  <TotalTime>0</TotalTime>
  <ScaleCrop>false</ScaleCrop>
  <LinksUpToDate>false</LinksUpToDate>
  <CharactersWithSpaces>449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孙大圣</cp:lastModifiedBy>
  <dcterms:modified xsi:type="dcterms:W3CDTF">2024-01-23T05:48:11Z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177823B4295948A0B1B2F2494F8BE55B_12</vt:lpwstr>
  </property>
</Properties>
</file>