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方正小标宋_GBK" w:hAnsi="方正小标宋_GBK" w:eastAsia="方正小标宋_GBK" w:cs="方正小标宋_GBK"/>
          <w:sz w:val="44"/>
          <w:szCs w:val="44"/>
        </w:rPr>
      </w:pPr>
    </w:p>
    <w:p>
      <w:pPr>
        <w:spacing w:line="500" w:lineRule="exact"/>
        <w:jc w:val="center"/>
        <w:rPr>
          <w:rFonts w:ascii="方正小标宋_GBK" w:hAnsi="方正小标宋_GBK" w:eastAsia="方正小标宋_GBK" w:cs="方正小标宋_GBK"/>
          <w:sz w:val="44"/>
          <w:szCs w:val="44"/>
        </w:rPr>
      </w:pPr>
      <w:bookmarkStart w:id="0" w:name="OLE_LINK2"/>
      <w:r>
        <w:rPr>
          <w:rFonts w:hint="eastAsia" w:ascii="方正小标宋_GBK" w:hAnsi="方正小标宋_GBK" w:eastAsia="方正小标宋_GBK" w:cs="方正小标宋_GBK"/>
          <w:sz w:val="44"/>
          <w:szCs w:val="44"/>
        </w:rPr>
        <w:t>工程安全生产的违约处理细则</w:t>
      </w:r>
      <w:bookmarkEnd w:id="0"/>
    </w:p>
    <w:p>
      <w:pPr>
        <w:spacing w:line="500" w:lineRule="exact"/>
        <w:jc w:val="center"/>
        <w:rPr>
          <w:rFonts w:hAnsi="宋体" w:cs="宋体"/>
          <w:b/>
          <w:bCs/>
          <w:sz w:val="32"/>
          <w:szCs w:val="32"/>
        </w:rPr>
      </w:pPr>
      <w:r>
        <w:rPr>
          <w:rFonts w:hint="eastAsia" w:hAnsi="宋体" w:cs="宋体"/>
          <w:b/>
          <w:bCs/>
          <w:sz w:val="32"/>
          <w:szCs w:val="32"/>
        </w:rPr>
        <w:t>SX（</w:t>
      </w:r>
      <w:r>
        <w:rPr>
          <w:rFonts w:hint="eastAsia" w:ascii="宋体" w:hAnsi="宋体" w:eastAsia="宋体" w:cs="宋体"/>
          <w:b/>
          <w:bCs/>
          <w:sz w:val="32"/>
          <w:szCs w:val="32"/>
        </w:rPr>
        <w:t>Ⅱ</w:t>
      </w:r>
      <w:r>
        <w:rPr>
          <w:rFonts w:hint="eastAsia" w:hAnsi="宋体" w:cs="宋体"/>
          <w:b/>
          <w:bCs/>
          <w:sz w:val="32"/>
          <w:szCs w:val="32"/>
        </w:rPr>
        <w:t>）/AH19026</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1、目的与范围</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1" w:name="OLE_LINK1"/>
      <w:r>
        <w:rPr>
          <w:rFonts w:hint="eastAsia" w:ascii="方正仿宋_GBK" w:hAnsi="方正仿宋_GBK" w:eastAsia="方正仿宋_GBK" w:cs="方正仿宋_GBK"/>
          <w:sz w:val="32"/>
          <w:szCs w:val="32"/>
        </w:rPr>
        <w:t>为确保工程安全得以有效控制，纠正和处理工程过程中不规范的行为，</w:t>
      </w:r>
      <w:bookmarkEnd w:id="1"/>
      <w:r>
        <w:rPr>
          <w:rFonts w:hint="eastAsia" w:ascii="方正仿宋_GBK" w:hAnsi="方正仿宋_GBK" w:eastAsia="方正仿宋_GBK" w:cs="方正仿宋_GBK"/>
          <w:sz w:val="32"/>
          <w:szCs w:val="32"/>
        </w:rPr>
        <w:t>特制定本违约处理实施细则。</w:t>
      </w:r>
    </w:p>
    <w:p>
      <w:pPr>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本细则适用于重庆</w:t>
      </w:r>
      <w:r>
        <w:rPr>
          <w:rFonts w:hint="eastAsia" w:ascii="方正仿宋_GBK" w:hAnsi="方正仿宋_GBK" w:eastAsia="方正仿宋_GBK" w:cs="方正仿宋_GBK"/>
          <w:sz w:val="32"/>
          <w:szCs w:val="32"/>
          <w:lang w:val="en-US" w:eastAsia="zh-CN"/>
        </w:rPr>
        <w:t>通慧网联科技</w:t>
      </w:r>
      <w:r>
        <w:rPr>
          <w:rFonts w:hint="eastAsia" w:ascii="方正仿宋_GBK" w:hAnsi="方正仿宋_GBK" w:eastAsia="方正仿宋_GBK" w:cs="方正仿宋_GBK"/>
          <w:sz w:val="32"/>
          <w:szCs w:val="32"/>
        </w:rPr>
        <w:t>有限公司（以下简称发包人）发包的所有施工、维护、服务等项目的承包人。</w:t>
      </w:r>
    </w:p>
    <w:p>
      <w:pPr>
        <w:numPr>
          <w:ilvl w:val="0"/>
          <w:numId w:val="1"/>
        </w:num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原则</w:t>
      </w:r>
    </w:p>
    <w:p>
      <w:pPr>
        <w:spacing w:line="6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告知原则：发包人在与承包人签订合同（或施工协议、任务书）时，本细则作为《合同协议书》、《安全生产合同》附件。未与承包人签订合同时，管理（维护中心）、项目部在进场前书面告知,并经承包人签字或盖章确认。</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违约处理原则：承包人应认真履行合同条款，凡是违反合同条款规定的，均按规定承担违约责任，接受相应处理。</w:t>
      </w:r>
    </w:p>
    <w:p>
      <w:pPr>
        <w:numPr>
          <w:ilvl w:val="0"/>
          <w:numId w:val="1"/>
        </w:num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违约处理依据：</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shd w:val="clear" w:color="auto" w:fill="FFFFFF"/>
        </w:rPr>
        <w:t>中华人民共和国合同法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 xml:space="preserve">，第一百一十四条，违约金：当事人可以约定一方违约时应当根据违约情况向对方支付一定数额的违约金，也可以约定因违约产生的损失赔偿额的计算方法。 </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4、职责</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4.1安全监管职能部门（</w:t>
      </w:r>
      <w:r>
        <w:rPr>
          <w:rFonts w:hint="eastAsia" w:ascii="方正仿宋_GBK" w:hAnsi="方正仿宋_GBK" w:eastAsia="方正仿宋_GBK" w:cs="方正仿宋_GBK"/>
          <w:sz w:val="32"/>
          <w:szCs w:val="32"/>
          <w:lang w:val="en-US" w:eastAsia="zh-CN"/>
        </w:rPr>
        <w:t>技术服务部</w:t>
      </w:r>
      <w:r>
        <w:rPr>
          <w:rFonts w:hint="eastAsia" w:ascii="方正仿宋_GBK" w:hAnsi="方正仿宋_GBK" w:eastAsia="方正仿宋_GBK" w:cs="方正仿宋_GBK"/>
          <w:sz w:val="32"/>
          <w:szCs w:val="32"/>
        </w:rPr>
        <w:t>）是安全生产的违约处理的执行部门，具体负责对违约处理。</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4.2违约处理人员：项目负责人、安全负责人、技术负责人。</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4.3施工单位必须严格执行国家、行业、主管部门、发包人安全生产相关规定，管好项目相关作业人员，如被发现违约行为，则按本文规定接受相应的违约金处理。</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5、履约保证金交纳</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承包人在与公司签订施工、维护、服务合同后，按合同约定交纳履约保证金，如未交纳履约保证金或履约保证金不足的，则违约处理在项目结算时扣减。</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6、违约处理标准</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6.1承包人必须重视安全生产，严格按照施工安全规范制订符合本工程实际的施工安全技术方案和安全保证措施，若在项目实施工程中未按审批后的技术方案和保证措施执行的，将处以1000元/次的违约金。</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6.2施工单位须建立安全管理机构或设置安全管理人员，明确责任，安全管理人员必须到岗，否则，将处以1000元/次的违约金。</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6.5施工现场必须有明显的各种安全标识及安全保护措施，涉路作业必须按照《公路养护安全作业规程》（JTG H30-2015）进行交通组织，否则，处以承包人每处1000元/次违约金。</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6.6承包人必须文明施工，施工现场整齐规范，无乱堆乱放，由于生产、生活原因破坏生态环境，每处违约金 500元/次，并限期整改。</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6.7特种工作人员，无证上岗的，则处以施工单位500元/人的违约金，并责令更换无证人员。</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6.8未参加岗前培训或未购买保险的作业人员从事养护施工作业，则处以施工单位500元/人的违约金，并责令更换人员。</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6.9施工单位或施工现场有如下情况之一者，每人每次处以违约金500～2000元：</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6.9.1违章指挥，强令施工人员违章作业者。</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6.9.2不遵守安全生产技术操作规程。</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6.9.3发现事故隐患苗头，未采取积极有效措施及时整改者。 6.9.4发生事故隐患不报告，或隐瞒事故真相，或未保护好事故现场者。</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6.9.5使用安全生产用品不符合使用质量要求者。</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6.9.6未配带安全防护器具者。</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6.9.7在未摆放安全锥标情况下在紧急停车带内临时停车作业、较长时间停车情况下车内留人。</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6.9.8在6级以上大风天气开展高处作业、吊装作业和能见度&lt;50米的气候条件下室外作业。</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6.9.9在通车的道路内采用攀登脚手架、井字架、龙门架进行高处移动作业。</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6.9.10开展高压外线巡检、供配电维护、高位水池检查等作业，未按要求监护的。</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6.9.11施工单位未按规定办理相关施工手或施工手续不全、施工作业范围不在审批的手续范围内、擅自施工或未在维护中心、机电站报备的。</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7、违约处理程序</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7.1违约发现：</w:t>
      </w:r>
    </w:p>
    <w:p>
      <w:pPr>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违约监督人员在履行发包人的监督检查工作中，发现承包人有违约行为，应现场及时制止、纠正、整改承包人的违约行为，作好记录，让承包人现场人员确认。</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7.2违约处理：</w:t>
      </w:r>
    </w:p>
    <w:p>
      <w:pPr>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具有处理权限人员根据监督人员记录的承包人违约行为，按本文件规定作出处理决定，填写《违约处理通知书》交职能部门，由职能部门最终确认。</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7.3违约处理的执行：</w:t>
      </w:r>
    </w:p>
    <w:p>
      <w:pPr>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包人的项目完工后，在履约保障金在退还时，发包人根据承包人在该项目实施过程中所获得的《违约处理通知书》计算累计处理金额，并在履约保障金中扣除，未缴纳履约保证金或履约保证金不足的，在结算支付款中扣除。</w:t>
      </w:r>
    </w:p>
    <w:p>
      <w:pPr>
        <w:numPr>
          <w:ilvl w:val="255"/>
          <w:numId w:val="0"/>
        </w:num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8、相关记录：</w:t>
      </w:r>
    </w:p>
    <w:p>
      <w:pPr>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《违约处理通知书》</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9、其它</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9.1本规定在使用过程中，应结合发包人实施的各项管理办法及规章制度等执行。</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9.2本规定对合同协议双方当事人具有约束力。若出现违约，须严格按以上规定进行违约处理，对严重违约或不履约者，或有以上违约行为超过  次的，发包人有权解除合同，并有权要求其赔偿损失。</w:t>
      </w: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9.3本办法未尽事宜由发包人在过程中另行补充完善和约定执行。</w:t>
      </w:r>
    </w:p>
    <w:p>
      <w:pPr>
        <w:spacing w:line="360" w:lineRule="auto"/>
        <w:rPr>
          <w:rFonts w:ascii="仿宋_GB2312" w:eastAsia="仿宋_GB2312"/>
          <w:sz w:val="32"/>
          <w:szCs w:val="32"/>
        </w:rPr>
      </w:pPr>
    </w:p>
    <w:p>
      <w:pPr>
        <w:spacing w:line="360" w:lineRule="auto"/>
        <w:rPr>
          <w:rFonts w:ascii="方正仿宋_GBK" w:hAnsi="方正仿宋_GBK" w:eastAsia="方正仿宋_GBK" w:cs="方正仿宋_GBK"/>
          <w:b/>
          <w:bCs/>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ascii="仿宋_GB2312" w:eastAsia="仿宋_GB2312"/>
          <w:sz w:val="24"/>
        </w:rPr>
      </w:pPr>
      <w:bookmarkStart w:id="2" w:name="_GoBack"/>
      <w:bookmarkEnd w:id="2"/>
      <w:r>
        <w:rPr>
          <w:rFonts w:hint="eastAsia" w:ascii="仿宋_GB2312" w:eastAsia="仿宋_GB2312"/>
          <w:sz w:val="24"/>
        </w:rPr>
        <w:t>附：《处理通知书》</w:t>
      </w:r>
    </w:p>
    <w:p>
      <w:pPr>
        <w:spacing w:line="360" w:lineRule="auto"/>
        <w:jc w:val="center"/>
        <w:rPr>
          <w:rFonts w:ascii="仿宋_GB2312" w:eastAsia="仿宋_GB2312"/>
          <w:sz w:val="24"/>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通慧网联科技</w:t>
      </w:r>
      <w:r>
        <w:rPr>
          <w:rFonts w:hint="eastAsia" w:ascii="方正仿宋_GBK" w:hAnsi="方正仿宋_GBK" w:eastAsia="方正仿宋_GBK" w:cs="方正仿宋_GBK"/>
          <w:sz w:val="32"/>
          <w:szCs w:val="32"/>
        </w:rPr>
        <w:t>有限公司</w:t>
      </w:r>
    </w:p>
    <w:p>
      <w:pPr>
        <w:spacing w:line="360"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违约处理通知书</w:t>
      </w:r>
    </w:p>
    <w:p>
      <w:pPr>
        <w:snapToGrid w:val="0"/>
        <w:rPr>
          <w:rFonts w:ascii="仿宋_GB2312" w:eastAsia="仿宋_GB2312"/>
          <w:sz w:val="28"/>
          <w:szCs w:val="28"/>
        </w:rPr>
      </w:pPr>
      <w:r>
        <w:rPr>
          <w:rFonts w:hint="eastAsia" w:ascii="仿宋_GB2312" w:eastAsia="仿宋_GB2312"/>
          <w:sz w:val="28"/>
          <w:szCs w:val="28"/>
        </w:rPr>
        <w:t>编号：</w:t>
      </w:r>
    </w:p>
    <w:tbl>
      <w:tblPr>
        <w:tblStyle w:val="4"/>
        <w:tblpPr w:leftFromText="180" w:rightFromText="180" w:vertAnchor="text" w:horzAnchor="page" w:tblpXSpec="center" w:tblpY="133"/>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受处理单位名称</w:t>
            </w:r>
          </w:p>
        </w:tc>
        <w:tc>
          <w:tcPr>
            <w:tcW w:w="6389" w:type="dxa"/>
          </w:tcPr>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施工项目名称</w:t>
            </w:r>
          </w:p>
        </w:tc>
        <w:tc>
          <w:tcPr>
            <w:tcW w:w="6389" w:type="dxa"/>
          </w:tcPr>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违章地点</w:t>
            </w:r>
          </w:p>
        </w:tc>
        <w:tc>
          <w:tcPr>
            <w:tcW w:w="6389" w:type="dxa"/>
          </w:tcPr>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356" w:hRule="atLeast"/>
          <w:jc w:val="center"/>
        </w:trPr>
        <w:tc>
          <w:tcPr>
            <w:tcW w:w="2090" w:type="dxa"/>
            <w:vAlign w:val="center"/>
          </w:tcPr>
          <w:p>
            <w:pPr>
              <w:spacing w:line="360" w:lineRule="auto"/>
              <w:ind w:firstLine="560" w:firstLineChars="200"/>
              <w:jc w:val="center"/>
              <w:rPr>
                <w:rFonts w:ascii="仿宋_GB2312" w:eastAsia="仿宋_GB2312"/>
                <w:sz w:val="28"/>
                <w:szCs w:val="28"/>
              </w:rPr>
            </w:pPr>
          </w:p>
          <w:p>
            <w:pPr>
              <w:spacing w:line="360" w:lineRule="auto"/>
              <w:jc w:val="center"/>
              <w:rPr>
                <w:rFonts w:ascii="仿宋_GB2312" w:eastAsia="仿宋_GB2312"/>
                <w:sz w:val="28"/>
                <w:szCs w:val="28"/>
              </w:rPr>
            </w:pPr>
            <w:r>
              <w:rPr>
                <w:rFonts w:hint="eastAsia" w:ascii="仿宋_GB2312" w:eastAsia="仿宋_GB2312"/>
                <w:sz w:val="28"/>
                <w:szCs w:val="28"/>
              </w:rPr>
              <w:t>处理原因</w:t>
            </w:r>
          </w:p>
          <w:p>
            <w:pPr>
              <w:spacing w:line="360" w:lineRule="auto"/>
              <w:ind w:firstLine="560" w:firstLineChars="200"/>
              <w:jc w:val="center"/>
              <w:rPr>
                <w:rFonts w:ascii="仿宋_GB2312" w:eastAsia="仿宋_GB2312"/>
                <w:sz w:val="28"/>
                <w:szCs w:val="28"/>
              </w:rPr>
            </w:pPr>
          </w:p>
        </w:tc>
        <w:tc>
          <w:tcPr>
            <w:tcW w:w="6389" w:type="dxa"/>
          </w:tcPr>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4"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处理依据</w:t>
            </w:r>
          </w:p>
        </w:tc>
        <w:tc>
          <w:tcPr>
            <w:tcW w:w="6389" w:type="dxa"/>
          </w:tcPr>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5"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处理决定</w:t>
            </w:r>
          </w:p>
        </w:tc>
        <w:tc>
          <w:tcPr>
            <w:tcW w:w="6389" w:type="dxa"/>
          </w:tcPr>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4" w:hRule="atLeast"/>
          <w:jc w:val="center"/>
        </w:trPr>
        <w:tc>
          <w:tcPr>
            <w:tcW w:w="2090" w:type="dxa"/>
            <w:vAlign w:val="center"/>
          </w:tcPr>
          <w:p>
            <w:pPr>
              <w:snapToGrid w:val="0"/>
              <w:jc w:val="center"/>
              <w:rPr>
                <w:rFonts w:ascii="仿宋_GB2312" w:eastAsia="仿宋_GB2312"/>
                <w:sz w:val="28"/>
                <w:szCs w:val="28"/>
              </w:rPr>
            </w:pPr>
            <w:r>
              <w:rPr>
                <w:rFonts w:hint="eastAsia" w:ascii="仿宋_GB2312" w:eastAsia="仿宋_GB2312"/>
                <w:sz w:val="28"/>
                <w:szCs w:val="28"/>
              </w:rPr>
              <w:t>处理违约金</w:t>
            </w:r>
          </w:p>
          <w:p>
            <w:pPr>
              <w:snapToGrid w:val="0"/>
              <w:jc w:val="center"/>
              <w:rPr>
                <w:rFonts w:ascii="仿宋_GB2312" w:eastAsia="仿宋_GB2312"/>
                <w:sz w:val="28"/>
                <w:szCs w:val="28"/>
              </w:rPr>
            </w:pPr>
            <w:r>
              <w:rPr>
                <w:rFonts w:hint="eastAsia" w:ascii="仿宋_GB2312" w:eastAsia="仿宋_GB2312"/>
                <w:sz w:val="28"/>
                <w:szCs w:val="28"/>
              </w:rPr>
              <w:t>金额</w:t>
            </w:r>
          </w:p>
        </w:tc>
        <w:tc>
          <w:tcPr>
            <w:tcW w:w="6389" w:type="dxa"/>
            <w:vAlign w:val="center"/>
          </w:tcPr>
          <w:p>
            <w:pPr>
              <w:snapToGrid w:val="0"/>
              <w:ind w:firstLine="560" w:firstLineChars="200"/>
              <w:rPr>
                <w:rFonts w:ascii="仿宋_GB2312" w:eastAsia="仿宋_GB2312"/>
                <w:sz w:val="28"/>
                <w:szCs w:val="28"/>
              </w:rPr>
            </w:pPr>
            <w:r>
              <w:rPr>
                <w:rFonts w:hint="eastAsia" w:ascii="仿宋_GB2312" w:eastAsia="仿宋_GB2312"/>
                <w:sz w:val="28"/>
                <w:szCs w:val="28"/>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9"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开单部门</w:t>
            </w:r>
          </w:p>
        </w:tc>
        <w:tc>
          <w:tcPr>
            <w:tcW w:w="6389" w:type="dxa"/>
            <w:vAlign w:val="center"/>
          </w:tcPr>
          <w:p>
            <w:pPr>
              <w:spacing w:line="360" w:lineRule="auto"/>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9"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开单人</w:t>
            </w:r>
          </w:p>
        </w:tc>
        <w:tc>
          <w:tcPr>
            <w:tcW w:w="6389" w:type="dxa"/>
            <w:vAlign w:val="center"/>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9" w:hRule="atLeast"/>
          <w:jc w:val="center"/>
        </w:trPr>
        <w:tc>
          <w:tcPr>
            <w:tcW w:w="209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接收人</w:t>
            </w:r>
          </w:p>
        </w:tc>
        <w:tc>
          <w:tcPr>
            <w:tcW w:w="6389" w:type="dxa"/>
            <w:vAlign w:val="center"/>
          </w:tcPr>
          <w:p>
            <w:pPr>
              <w:spacing w:line="360" w:lineRule="auto"/>
              <w:rPr>
                <w:rFonts w:ascii="仿宋_GB2312" w:eastAsia="仿宋_GB2312"/>
                <w:sz w:val="28"/>
                <w:szCs w:val="28"/>
              </w:rPr>
            </w:pPr>
          </w:p>
        </w:tc>
      </w:tr>
    </w:tbl>
    <w:p>
      <w:pPr>
        <w:spacing w:line="360" w:lineRule="auto"/>
        <w:rPr>
          <w:rFonts w:ascii="仿宋_GB2312" w:eastAsia="仿宋_GB2312"/>
          <w:sz w:val="28"/>
          <w:szCs w:val="28"/>
        </w:rPr>
      </w:pPr>
      <w:r>
        <w:rPr>
          <w:rFonts w:hint="eastAsia" w:ascii="仿宋_GB2312" w:eastAsia="仿宋_GB2312"/>
          <w:sz w:val="24"/>
          <w:szCs w:val="24"/>
        </w:rPr>
        <w:t>注：本《违约处理通知书》一式三份，一份交违约施工单位，一份开具违约通知书部门留底，一份交职能部门。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598BC"/>
    <w:multiLevelType w:val="singleLevel"/>
    <w:tmpl w:val="D75598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62A4A"/>
    <w:rsid w:val="00205009"/>
    <w:rsid w:val="006E3DAD"/>
    <w:rsid w:val="009E1D89"/>
    <w:rsid w:val="00B05359"/>
    <w:rsid w:val="00CA0B22"/>
    <w:rsid w:val="00E023A1"/>
    <w:rsid w:val="120B7F15"/>
    <w:rsid w:val="3E922926"/>
    <w:rsid w:val="4A7D36B0"/>
    <w:rsid w:val="4E67237F"/>
    <w:rsid w:val="6AC6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368</Words>
  <Characters>2099</Characters>
  <Lines>17</Lines>
  <Paragraphs>4</Paragraphs>
  <TotalTime>1</TotalTime>
  <ScaleCrop>false</ScaleCrop>
  <LinksUpToDate>false</LinksUpToDate>
  <CharactersWithSpaces>2463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2019-05-27T06:44:00Z</dcterms:created>
  <dc:creator>冉伟</dc:creator>
  <cp:lastModifiedBy>陈泊利</cp:lastModifiedBy>
  <cp:lastPrinted>2023-08-11T07:17:00Z</cp:lastPrinted>
  <dcterms:modified xsi:type="dcterms:W3CDTF">2024-01-29T06:42:16Z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668103F256DC454D8349E09895E13118</vt:lpwstr>
  </property>
</Properties>
</file>