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kern w:val="0"/>
          <w:sz w:val="32"/>
          <w:szCs w:val="32"/>
          <w:highlight w:val="none"/>
          <w:u w:val="none"/>
          <w:lang w:eastAsia="zh-CN"/>
        </w:rPr>
      </w:pPr>
      <w:bookmarkStart w:id="0" w:name="_Toc536781693"/>
      <w:bookmarkStart w:id="1" w:name="_Toc43278824"/>
      <w:bookmarkStart w:id="2" w:name="_Toc37531048"/>
      <w:bookmarkStart w:id="3" w:name="_Toc536782092"/>
      <w:bookmarkStart w:id="4" w:name="_Toc536800622"/>
      <w:bookmarkStart w:id="5" w:name="_Toc536628229"/>
      <w:bookmarkStart w:id="6" w:name="_Toc536621766"/>
      <w:bookmarkStart w:id="7" w:name="_Toc509218549"/>
      <w:bookmarkStart w:id="8" w:name="_Toc28400"/>
      <w:bookmarkStart w:id="9" w:name="_Toc287620665"/>
      <w:r>
        <w:rPr>
          <w:rFonts w:hint="eastAsia" w:ascii="宋体" w:hAnsi="宋体" w:cs="宋体"/>
          <w:color w:val="auto"/>
          <w:kern w:val="0"/>
          <w:sz w:val="32"/>
          <w:szCs w:val="32"/>
          <w:highlight w:val="none"/>
          <w:u w:val="none"/>
          <w:lang w:eastAsia="zh-CN"/>
        </w:rPr>
        <w:t>巫溪至开州高速公路项目机电工程通风照明工程专项分包</w:t>
      </w:r>
    </w:p>
    <w:p>
      <w:pPr>
        <w:spacing w:line="360" w:lineRule="auto"/>
        <w:jc w:val="both"/>
        <w:rPr>
          <w:rFonts w:hint="eastAsia" w:ascii="宋体" w:hAnsi="宋体" w:eastAsia="宋体" w:cs="宋体"/>
          <w:color w:val="auto"/>
          <w:kern w:val="0"/>
          <w:sz w:val="32"/>
          <w:szCs w:val="32"/>
          <w:highlight w:val="none"/>
          <w:u w:val="single"/>
          <w:lang w:eastAsia="zh-CN"/>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招 标 文 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ascii="宋体" w:hAnsi="宋体" w:eastAsia="宋体" w:cs="宋体"/>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招　　标　 人：</w:t>
      </w:r>
      <w:r>
        <w:rPr>
          <w:rFonts w:hint="eastAsia" w:ascii="宋体" w:hAnsi="宋体" w:eastAsia="宋体" w:cs="宋体"/>
          <w:b/>
          <w:color w:val="auto"/>
          <w:w w:val="99"/>
          <w:kern w:val="0"/>
          <w:sz w:val="28"/>
          <w:szCs w:val="28"/>
          <w:highlight w:val="none"/>
          <w:u w:val="single"/>
          <w:lang w:val="en-US" w:eastAsia="zh-CN"/>
        </w:rPr>
        <w:t>重庆首讯科技股份有限公司</w:t>
      </w:r>
    </w:p>
    <w:p>
      <w:pPr>
        <w:keepNext w:val="0"/>
        <w:keepLines w:val="0"/>
        <w:widowControl w:val="0"/>
        <w:suppressLineNumbers w:val="0"/>
        <w:tabs>
          <w:tab w:val="left" w:pos="6252"/>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color w:val="auto"/>
          <w:w w:val="99"/>
          <w:kern w:val="0"/>
          <w:sz w:val="28"/>
          <w:szCs w:val="28"/>
          <w:highlight w:val="none"/>
        </w:rPr>
      </w:pPr>
      <w:r>
        <w:rPr>
          <w:rFonts w:hint="eastAsia" w:ascii="宋体" w:hAnsi="宋体" w:eastAsia="宋体" w:cs="宋体"/>
          <w:b/>
          <w:color w:val="auto"/>
          <w:spacing w:val="8"/>
          <w:kern w:val="0"/>
          <w:sz w:val="28"/>
          <w:szCs w:val="28"/>
          <w:highlight w:val="none"/>
        </w:rPr>
        <w:t xml:space="preserve"> </w:t>
      </w:r>
      <w:r>
        <w:rPr>
          <w:rFonts w:hint="eastAsia" w:ascii="宋体" w:hAnsi="宋体" w:eastAsia="宋体" w:cs="宋体"/>
          <w:b/>
          <w:color w:val="auto"/>
          <w:spacing w:val="8"/>
          <w:kern w:val="0"/>
          <w:sz w:val="28"/>
          <w:szCs w:val="28"/>
          <w:highlight w:val="none"/>
          <w:lang w:val="en-US" w:eastAsia="zh-CN"/>
        </w:rPr>
        <w:t xml:space="preserve">    </w:t>
      </w:r>
      <w:r>
        <w:rPr>
          <w:rFonts w:hint="eastAsia" w:ascii="宋体" w:hAnsi="宋体" w:eastAsia="宋体" w:cs="宋体"/>
          <w:b/>
          <w:color w:val="auto"/>
          <w:spacing w:val="8"/>
          <w:kern w:val="0"/>
          <w:sz w:val="28"/>
          <w:szCs w:val="28"/>
          <w:highlight w:val="none"/>
        </w:rPr>
        <w:t xml:space="preserve"> </w:t>
      </w:r>
    </w:p>
    <w:p>
      <w:pPr>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val="en-US" w:eastAsia="zh-CN"/>
        </w:rPr>
        <w:t>202</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u w:val="single"/>
          <w:lang w:val="en-US" w:eastAsia="zh-CN"/>
        </w:rPr>
        <w:t>3</w:t>
      </w:r>
      <w:r>
        <w:rPr>
          <w:rFonts w:hint="eastAsia" w:ascii="宋体" w:hAnsi="宋体" w:eastAsia="宋体" w:cs="宋体"/>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hint="eastAsia" w:ascii="宋体" w:hAnsi="宋体" w:eastAsia="宋体" w:cs="宋体"/>
          <w:b/>
          <w:color w:val="auto"/>
          <w:kern w:val="0"/>
          <w:sz w:val="20"/>
          <w:szCs w:val="20"/>
          <w:highlight w:val="none"/>
        </w:rPr>
      </w:pPr>
    </w:p>
    <w:p>
      <w:pPr>
        <w:pStyle w:val="3"/>
        <w:spacing w:line="360" w:lineRule="auto"/>
        <w:rPr>
          <w:rFonts w:hint="eastAsia" w:ascii="宋体" w:hAnsi="宋体" w:eastAsia="宋体" w:cs="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44"/>
        <w:jc w:val="center"/>
        <w:rPr>
          <w:rFonts w:hint="eastAsia" w:ascii="宋体" w:hAnsi="宋体" w:eastAsia="宋体" w:cs="宋体"/>
          <w:color w:val="auto"/>
          <w:sz w:val="44"/>
          <w:szCs w:val="44"/>
          <w:highlight w:val="none"/>
        </w:rPr>
      </w:pPr>
      <w:bookmarkStart w:id="10" w:name="_Toc430530414"/>
      <w:r>
        <w:rPr>
          <w:rFonts w:hint="eastAsia" w:ascii="宋体" w:hAnsi="宋体" w:eastAsia="宋体" w:cs="宋体"/>
          <w:color w:val="auto"/>
          <w:sz w:val="44"/>
          <w:szCs w:val="44"/>
          <w:highlight w:val="none"/>
          <w:lang w:val="zh-CN"/>
        </w:rPr>
        <w:t>目</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zh-CN"/>
        </w:rPr>
        <w:t>录</w:t>
      </w:r>
    </w:p>
    <w:p>
      <w:pPr>
        <w:pStyle w:val="24"/>
        <w:tabs>
          <w:tab w:val="right" w:leader="dot" w:pos="946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_Toc5207 </w:instrText>
      </w:r>
      <w:r>
        <w:rPr>
          <w:rFonts w:hint="eastAsia" w:ascii="宋体" w:hAnsi="宋体" w:eastAsia="宋体" w:cs="宋体"/>
          <w:szCs w:val="21"/>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_Toc5207 \h </w:instrText>
      </w:r>
      <w:r>
        <w:fldChar w:fldCharType="separate"/>
      </w:r>
      <w:r>
        <w:t>4</w:t>
      </w:r>
      <w:r>
        <w:fldChar w:fldCharType="end"/>
      </w:r>
      <w:r>
        <w:rPr>
          <w:rFonts w:hint="eastAsia" w:ascii="宋体" w:hAnsi="宋体" w:eastAsia="宋体" w:cs="宋体"/>
          <w:color w:val="auto"/>
          <w:szCs w:val="21"/>
          <w:highlight w:val="none"/>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_Toc25106 </w:instrText>
      </w:r>
      <w:r>
        <w:rPr>
          <w:rFonts w:hint="eastAsia" w:ascii="宋体" w:hAnsi="宋体" w:eastAsia="宋体" w:cs="宋体"/>
          <w:bCs/>
          <w:szCs w:val="21"/>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_Toc25106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_Toc14110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1. 招标条件</w:t>
      </w:r>
      <w:r>
        <w:tab/>
      </w:r>
      <w:r>
        <w:fldChar w:fldCharType="begin"/>
      </w:r>
      <w:r>
        <w:instrText xml:space="preserve"> PAGEREF _Toc14110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_Toc14641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2. 项目概况与招标范围</w:t>
      </w:r>
      <w:r>
        <w:tab/>
      </w:r>
      <w:r>
        <w:fldChar w:fldCharType="begin"/>
      </w:r>
      <w:r>
        <w:instrText xml:space="preserve"> PAGEREF _Toc14641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_Toc15239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3. 投标人资格要求</w:t>
      </w:r>
      <w:r>
        <w:tab/>
      </w:r>
      <w:r>
        <w:fldChar w:fldCharType="begin"/>
      </w:r>
      <w:r>
        <w:instrText xml:space="preserve"> PAGEREF _Toc15239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_Toc13892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4.评标办法</w:t>
      </w:r>
      <w:r>
        <w:tab/>
      </w:r>
      <w:r>
        <w:fldChar w:fldCharType="begin"/>
      </w:r>
      <w:r>
        <w:instrText xml:space="preserve"> PAGEREF _Toc13892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_Toc11902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5.</w:t>
      </w:r>
      <w:r>
        <w:rPr>
          <w:rFonts w:hint="eastAsia" w:ascii="宋体" w:hAnsi="宋体" w:eastAsia="宋体" w:cs="宋体"/>
          <w:bCs w:val="0"/>
          <w:snapToGrid w:val="0"/>
          <w:szCs w:val="24"/>
          <w:highlight w:val="none"/>
        </w:rPr>
        <w:t>招标文件的获取</w:t>
      </w:r>
      <w:r>
        <w:tab/>
      </w:r>
      <w:r>
        <w:fldChar w:fldCharType="begin"/>
      </w:r>
      <w:r>
        <w:instrText xml:space="preserve"> PAGEREF _Toc11902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_Toc878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6</w:t>
      </w:r>
      <w:r>
        <w:rPr>
          <w:rFonts w:hint="eastAsia" w:ascii="宋体" w:hAnsi="宋体" w:eastAsia="宋体" w:cs="宋体"/>
          <w:bCs w:val="0"/>
          <w:snapToGrid w:val="0"/>
          <w:szCs w:val="24"/>
          <w:highlight w:val="none"/>
        </w:rPr>
        <w:t>. 投标文件的递交</w:t>
      </w:r>
      <w:r>
        <w:tab/>
      </w:r>
      <w:r>
        <w:fldChar w:fldCharType="begin"/>
      </w:r>
      <w:r>
        <w:instrText xml:space="preserve"> PAGEREF _Toc878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_Toc9976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7</w:t>
      </w:r>
      <w:r>
        <w:rPr>
          <w:rFonts w:hint="eastAsia" w:ascii="宋体" w:hAnsi="宋体" w:eastAsia="宋体" w:cs="宋体"/>
          <w:bCs w:val="0"/>
          <w:snapToGrid w:val="0"/>
          <w:szCs w:val="24"/>
          <w:highlight w:val="none"/>
        </w:rPr>
        <w:t>. 发布公告的媒介</w:t>
      </w:r>
      <w:r>
        <w:tab/>
      </w:r>
      <w:r>
        <w:fldChar w:fldCharType="begin"/>
      </w:r>
      <w:r>
        <w:instrText xml:space="preserve"> PAGEREF _Toc9976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_Toc959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8.联系方式</w:t>
      </w:r>
      <w:r>
        <w:tab/>
      </w:r>
      <w:r>
        <w:fldChar w:fldCharType="begin"/>
      </w:r>
      <w:r>
        <w:instrText xml:space="preserve"> PAGEREF _Toc959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_Toc19432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第二章  投标人须知</w:t>
      </w:r>
      <w:r>
        <w:tab/>
      </w:r>
      <w:r>
        <w:fldChar w:fldCharType="begin"/>
      </w:r>
      <w:r>
        <w:instrText xml:space="preserve"> PAGEREF _Toc19432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_Toc31199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投标人须知前附表</w:t>
      </w:r>
      <w:r>
        <w:tab/>
      </w:r>
      <w:r>
        <w:fldChar w:fldCharType="begin"/>
      </w:r>
      <w:r>
        <w:instrText xml:space="preserve"> PAGEREF _Toc31199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_Toc14038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总则</w:t>
      </w:r>
      <w:r>
        <w:tab/>
      </w:r>
      <w:r>
        <w:fldChar w:fldCharType="begin"/>
      </w:r>
      <w:r>
        <w:instrText xml:space="preserve"> PAGEREF _Toc14038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_Toc23752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 项目概况</w:t>
      </w:r>
      <w:r>
        <w:tab/>
      </w:r>
      <w:r>
        <w:fldChar w:fldCharType="begin"/>
      </w:r>
      <w:r>
        <w:instrText xml:space="preserve"> PAGEREF _Toc23752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1.2 招标项目的资金来源和落实情况</w:t>
      </w:r>
      <w:r>
        <w:tab/>
      </w:r>
      <w:r>
        <w:fldChar w:fldCharType="begin"/>
      </w:r>
      <w:r>
        <w:instrText xml:space="preserve"> PAGEREF _Toc29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_Toc5007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1.3 招标范围、计划工期、质量要求和安全目标</w:t>
      </w:r>
      <w:r>
        <w:tab/>
      </w:r>
      <w:r>
        <w:fldChar w:fldCharType="begin"/>
      </w:r>
      <w:r>
        <w:instrText xml:space="preserve"> PAGEREF _Toc5007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_Toc27158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投标人资格要求（适用于已进行资格预审的）</w:t>
      </w:r>
      <w:r>
        <w:tab/>
      </w:r>
      <w:r>
        <w:fldChar w:fldCharType="begin"/>
      </w:r>
      <w:r>
        <w:instrText xml:space="preserve"> PAGEREF _Toc27158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_Toc22615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投标人资格要求（适用于未进行资格预审的）</w:t>
      </w:r>
      <w:r>
        <w:tab/>
      </w:r>
      <w:r>
        <w:fldChar w:fldCharType="begin"/>
      </w:r>
      <w:r>
        <w:instrText xml:space="preserve"> PAGEREF _Toc22615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1.5 费用承担</w:t>
      </w:r>
      <w:r>
        <w:tab/>
      </w:r>
      <w:r>
        <w:fldChar w:fldCharType="begin"/>
      </w:r>
      <w:r>
        <w:instrText xml:space="preserve"> PAGEREF _Toc2758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_Toc17365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1.6 保密</w:t>
      </w:r>
      <w:r>
        <w:tab/>
      </w:r>
      <w:r>
        <w:fldChar w:fldCharType="begin"/>
      </w:r>
      <w:r>
        <w:instrText xml:space="preserve"> PAGEREF _Toc17365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_Toc4034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1.7 语言文字</w:t>
      </w:r>
      <w:r>
        <w:tab/>
      </w:r>
      <w:r>
        <w:fldChar w:fldCharType="begin"/>
      </w:r>
      <w:r>
        <w:instrText xml:space="preserve"> PAGEREF _Toc4034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_Toc19995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1.8 计量单位</w:t>
      </w:r>
      <w:r>
        <w:tab/>
      </w:r>
      <w:r>
        <w:fldChar w:fldCharType="begin"/>
      </w:r>
      <w:r>
        <w:instrText xml:space="preserve"> PAGEREF _Toc19995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_Toc22117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1.9 踏勘现场</w:t>
      </w:r>
      <w:r>
        <w:tab/>
      </w:r>
      <w:r>
        <w:fldChar w:fldCharType="begin"/>
      </w:r>
      <w:r>
        <w:instrText xml:space="preserve"> PAGEREF _Toc22117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_Toc13945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1.10 投标预备会</w:t>
      </w:r>
      <w:r>
        <w:tab/>
      </w:r>
      <w:r>
        <w:fldChar w:fldCharType="begin"/>
      </w:r>
      <w:r>
        <w:instrText xml:space="preserve"> PAGEREF _Toc13945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_Toc8849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1.11 分包</w:t>
      </w:r>
      <w:r>
        <w:tab/>
      </w:r>
      <w:r>
        <w:fldChar w:fldCharType="begin"/>
      </w:r>
      <w:r>
        <w:instrText xml:space="preserve"> PAGEREF _Toc8849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1.12 响应和偏差</w:t>
      </w:r>
      <w:r>
        <w:tab/>
      </w:r>
      <w:r>
        <w:fldChar w:fldCharType="begin"/>
      </w:r>
      <w:r>
        <w:instrText xml:space="preserve"> PAGEREF _Toc5053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_Toc20620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招标文件</w:t>
      </w:r>
      <w:r>
        <w:tab/>
      </w:r>
      <w:r>
        <w:fldChar w:fldCharType="begin"/>
      </w:r>
      <w:r>
        <w:instrText xml:space="preserve"> PAGEREF _Toc20620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_Toc5912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招标文件的组成</w:t>
      </w:r>
      <w:r>
        <w:tab/>
      </w:r>
      <w:r>
        <w:fldChar w:fldCharType="begin"/>
      </w:r>
      <w:r>
        <w:instrText xml:space="preserve"> PAGEREF _Toc5912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招标文件的澄清</w:t>
      </w:r>
      <w:r>
        <w:tab/>
      </w:r>
      <w:r>
        <w:fldChar w:fldCharType="begin"/>
      </w:r>
      <w:r>
        <w:instrText xml:space="preserve"> PAGEREF _Toc699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_Toc8041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2.3 招标文件的修改</w:t>
      </w:r>
      <w:r>
        <w:tab/>
      </w:r>
      <w:r>
        <w:fldChar w:fldCharType="begin"/>
      </w:r>
      <w:r>
        <w:instrText xml:space="preserve"> PAGEREF _Toc8041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_Toc4685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投标文件</w:t>
      </w:r>
      <w:r>
        <w:tab/>
      </w:r>
      <w:r>
        <w:fldChar w:fldCharType="begin"/>
      </w:r>
      <w:r>
        <w:instrText xml:space="preserve"> PAGEREF _Toc4685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_Toc26570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3.1投标文件的组成</w:t>
      </w:r>
      <w:r>
        <w:tab/>
      </w:r>
      <w:r>
        <w:fldChar w:fldCharType="begin"/>
      </w:r>
      <w:r>
        <w:instrText xml:space="preserve"> PAGEREF _Toc26570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_Toc523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投标报价</w:t>
      </w:r>
      <w:r>
        <w:tab/>
      </w:r>
      <w:r>
        <w:fldChar w:fldCharType="begin"/>
      </w:r>
      <w:r>
        <w:instrText xml:space="preserve"> PAGEREF _Toc523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_Toc13195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3.3投标有效期</w:t>
      </w:r>
      <w:r>
        <w:tab/>
      </w:r>
      <w:r>
        <w:fldChar w:fldCharType="begin"/>
      </w:r>
      <w:r>
        <w:instrText xml:space="preserve"> PAGEREF _Toc13195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_Toc27889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投标保证金</w:t>
      </w:r>
      <w:r>
        <w:tab/>
      </w:r>
      <w:r>
        <w:fldChar w:fldCharType="begin"/>
      </w:r>
      <w:r>
        <w:instrText xml:space="preserve"> PAGEREF _Toc27889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_Toc11009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 资格审查资料（适用于已进行资格预审的）</w:t>
      </w:r>
      <w:r>
        <w:tab/>
      </w:r>
      <w:r>
        <w:fldChar w:fldCharType="begin"/>
      </w:r>
      <w:r>
        <w:instrText xml:space="preserve"> PAGEREF _Toc11009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_Toc30678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3.5资格审查资料（适用于</w:t>
      </w:r>
      <w:r>
        <w:rPr>
          <w:rFonts w:hint="eastAsia" w:ascii="宋体" w:hAnsi="宋体" w:eastAsia="宋体" w:cs="宋体"/>
          <w:szCs w:val="21"/>
          <w:highlight w:val="none"/>
          <w:lang w:val="en-US" w:eastAsia="zh-CN"/>
        </w:rPr>
        <w:t>未</w:t>
      </w:r>
      <w:r>
        <w:rPr>
          <w:rFonts w:hint="eastAsia" w:ascii="宋体" w:hAnsi="宋体" w:eastAsia="宋体" w:cs="宋体"/>
          <w:szCs w:val="21"/>
          <w:highlight w:val="none"/>
        </w:rPr>
        <w:t>进行资格预审的）</w:t>
      </w:r>
      <w:r>
        <w:tab/>
      </w:r>
      <w:r>
        <w:fldChar w:fldCharType="begin"/>
      </w:r>
      <w:r>
        <w:instrText xml:space="preserve"> PAGEREF _Toc30678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_Toc12012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3.6 备选投标方案</w:t>
      </w:r>
      <w:r>
        <w:tab/>
      </w:r>
      <w:r>
        <w:fldChar w:fldCharType="begin"/>
      </w:r>
      <w:r>
        <w:instrText xml:space="preserve"> PAGEREF _Toc12012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_Toc25781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3.7 投标文件的编制</w:t>
      </w:r>
      <w:r>
        <w:tab/>
      </w:r>
      <w:r>
        <w:fldChar w:fldCharType="begin"/>
      </w:r>
      <w:r>
        <w:instrText xml:space="preserve"> PAGEREF _Toc25781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_Toc17771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4. 投标</w:t>
      </w:r>
      <w:r>
        <w:tab/>
      </w:r>
      <w:r>
        <w:fldChar w:fldCharType="begin"/>
      </w:r>
      <w:r>
        <w:instrText xml:space="preserve"> PAGEREF _Toc17771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_Toc9099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4.1 投标文件的密封和标识</w:t>
      </w:r>
      <w:r>
        <w:tab/>
      </w:r>
      <w:r>
        <w:fldChar w:fldCharType="begin"/>
      </w:r>
      <w:r>
        <w:instrText xml:space="preserve"> PAGEREF _Toc9099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4.2投标文件的递交</w:t>
      </w:r>
      <w:r>
        <w:tab/>
      </w:r>
      <w:r>
        <w:fldChar w:fldCharType="begin"/>
      </w:r>
      <w:r>
        <w:instrText xml:space="preserve"> PAGEREF _Toc13585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_Toc14014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4.3 投标文件的修改与撤回</w:t>
      </w:r>
      <w:r>
        <w:tab/>
      </w:r>
      <w:r>
        <w:fldChar w:fldCharType="begin"/>
      </w:r>
      <w:r>
        <w:instrText xml:space="preserve"> PAGEREF _Toc14014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_Toc8491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5. 开标</w:t>
      </w:r>
      <w:r>
        <w:tab/>
      </w:r>
      <w:r>
        <w:fldChar w:fldCharType="begin"/>
      </w:r>
      <w:r>
        <w:instrText xml:space="preserve"> PAGEREF _Toc8491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_Toc7416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5.1 开标时间和地点</w:t>
      </w:r>
      <w:r>
        <w:tab/>
      </w:r>
      <w:r>
        <w:fldChar w:fldCharType="begin"/>
      </w:r>
      <w:r>
        <w:instrText xml:space="preserve"> PAGEREF _Toc7416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_Toc7171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5.2开标程序</w:t>
      </w:r>
      <w:r>
        <w:tab/>
      </w:r>
      <w:r>
        <w:fldChar w:fldCharType="begin"/>
      </w:r>
      <w:r>
        <w:instrText xml:space="preserve"> PAGEREF _Toc7171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_Toc7297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5.3 开标异议</w:t>
      </w:r>
      <w:r>
        <w:tab/>
      </w:r>
      <w:r>
        <w:fldChar w:fldCharType="begin"/>
      </w:r>
      <w:r>
        <w:instrText xml:space="preserve"> PAGEREF _Toc7297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_Toc25435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6. 评标</w:t>
      </w:r>
      <w:r>
        <w:tab/>
      </w:r>
      <w:r>
        <w:fldChar w:fldCharType="begin"/>
      </w:r>
      <w:r>
        <w:instrText xml:space="preserve"> PAGEREF _Toc25435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_Toc12863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6.1 评标委员会</w:t>
      </w:r>
      <w:r>
        <w:tab/>
      </w:r>
      <w:r>
        <w:fldChar w:fldCharType="begin"/>
      </w:r>
      <w:r>
        <w:instrText xml:space="preserve"> PAGEREF _Toc12863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_Toc9708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6.2 评标原则</w:t>
      </w:r>
      <w:r>
        <w:tab/>
      </w:r>
      <w:r>
        <w:fldChar w:fldCharType="begin"/>
      </w:r>
      <w:r>
        <w:instrText xml:space="preserve"> PAGEREF _Toc9708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6.3 评标</w:t>
      </w:r>
      <w:r>
        <w:tab/>
      </w:r>
      <w:r>
        <w:fldChar w:fldCharType="begin"/>
      </w:r>
      <w:r>
        <w:instrText xml:space="preserve"> PAGEREF _Toc2510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_Toc16792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7. 合同授予</w:t>
      </w:r>
      <w:r>
        <w:tab/>
      </w:r>
      <w:r>
        <w:fldChar w:fldCharType="begin"/>
      </w:r>
      <w:r>
        <w:instrText xml:space="preserve"> PAGEREF _Toc16792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_Toc20312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7.1 中标候选人公示</w:t>
      </w:r>
      <w:r>
        <w:tab/>
      </w:r>
      <w:r>
        <w:fldChar w:fldCharType="begin"/>
      </w:r>
      <w:r>
        <w:instrText xml:space="preserve"> PAGEREF _Toc20312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_Toc10353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7.2 评标结果异议</w:t>
      </w:r>
      <w:r>
        <w:tab/>
      </w:r>
      <w:r>
        <w:fldChar w:fldCharType="begin"/>
      </w:r>
      <w:r>
        <w:instrText xml:space="preserve"> PAGEREF _Toc10353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7.3 中标候选人履约能力审查</w:t>
      </w:r>
      <w:r>
        <w:tab/>
      </w:r>
      <w:r>
        <w:fldChar w:fldCharType="begin"/>
      </w:r>
      <w:r>
        <w:instrText xml:space="preserve"> PAGEREF _Toc28937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_Toc19146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7.4 定标</w:t>
      </w:r>
      <w:r>
        <w:tab/>
      </w:r>
      <w:r>
        <w:fldChar w:fldCharType="begin"/>
      </w:r>
      <w:r>
        <w:instrText xml:space="preserve"> PAGEREF _Toc19146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_Toc21849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7.5 中标通知</w:t>
      </w:r>
      <w:r>
        <w:tab/>
      </w:r>
      <w:r>
        <w:fldChar w:fldCharType="begin"/>
      </w:r>
      <w:r>
        <w:instrText xml:space="preserve"> PAGEREF _Toc21849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_Toc5861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7.6 中标结果公告</w:t>
      </w:r>
      <w:r>
        <w:tab/>
      </w:r>
      <w:r>
        <w:fldChar w:fldCharType="begin"/>
      </w:r>
      <w:r>
        <w:instrText xml:space="preserve"> PAGEREF _Toc5861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_Toc29832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7.7 履约保证金</w:t>
      </w:r>
      <w:r>
        <w:tab/>
      </w:r>
      <w:r>
        <w:fldChar w:fldCharType="begin"/>
      </w:r>
      <w:r>
        <w:instrText xml:space="preserve"> PAGEREF _Toc29832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_Toc25340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7.8 签订合同</w:t>
      </w:r>
      <w:r>
        <w:tab/>
      </w:r>
      <w:r>
        <w:fldChar w:fldCharType="begin"/>
      </w:r>
      <w:r>
        <w:instrText xml:space="preserve"> PAGEREF _Toc25340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_Toc30453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8. 纪律和监督</w:t>
      </w:r>
      <w:r>
        <w:tab/>
      </w:r>
      <w:r>
        <w:fldChar w:fldCharType="begin"/>
      </w:r>
      <w:r>
        <w:instrText xml:space="preserve"> PAGEREF _Toc30453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8.1 对招标人的纪律要求</w:t>
      </w:r>
      <w:r>
        <w:tab/>
      </w:r>
      <w:r>
        <w:fldChar w:fldCharType="begin"/>
      </w:r>
      <w:r>
        <w:instrText xml:space="preserve"> PAGEREF _Toc31932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_Toc18237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8.2 对投标人的纪律要求</w:t>
      </w:r>
      <w:r>
        <w:tab/>
      </w:r>
      <w:r>
        <w:fldChar w:fldCharType="begin"/>
      </w:r>
      <w:r>
        <w:instrText xml:space="preserve"> PAGEREF _Toc18237 \h </w:instrText>
      </w:r>
      <w:r>
        <w:fldChar w:fldCharType="separate"/>
      </w:r>
      <w:r>
        <w:t>37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_Toc12651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8.3 对评标委员会成员的纪律要求</w:t>
      </w:r>
      <w:r>
        <w:tab/>
      </w:r>
      <w:r>
        <w:fldChar w:fldCharType="begin"/>
      </w:r>
      <w:r>
        <w:instrText xml:space="preserve"> PAGEREF _Toc12651 \h </w:instrText>
      </w:r>
      <w:r>
        <w:fldChar w:fldCharType="separate"/>
      </w:r>
      <w:r>
        <w:t>37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_Toc15939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8.4 对与评标活动有关的工作人员的纪律要求</w:t>
      </w:r>
      <w:r>
        <w:tab/>
      </w:r>
      <w:r>
        <w:fldChar w:fldCharType="begin"/>
      </w:r>
      <w:r>
        <w:instrText xml:space="preserve"> PAGEREF _Toc15939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_Toc31811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8.5 投诉</w:t>
      </w:r>
      <w:r>
        <w:tab/>
      </w:r>
      <w:r>
        <w:fldChar w:fldCharType="begin"/>
      </w:r>
      <w:r>
        <w:instrText xml:space="preserve"> PAGEREF _Toc31811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9. 是否采用电子招标投标</w:t>
      </w:r>
      <w:r>
        <w:tab/>
      </w:r>
      <w:r>
        <w:fldChar w:fldCharType="begin"/>
      </w:r>
      <w:r>
        <w:instrText xml:space="preserve"> PAGEREF _Toc149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10. 需要补充的其他内容</w:t>
      </w:r>
      <w:r>
        <w:tab/>
      </w:r>
      <w:r>
        <w:fldChar w:fldCharType="begin"/>
      </w:r>
      <w:r>
        <w:instrText xml:space="preserve"> PAGEREF _Toc13532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_Toc8129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第三章  评标办法（综合评估法）</w:t>
      </w:r>
      <w:r>
        <w:tab/>
      </w:r>
      <w:r>
        <w:fldChar w:fldCharType="begin"/>
      </w:r>
      <w:r>
        <w:instrText xml:space="preserve"> PAGEREF _Toc8129 \h </w:instrText>
      </w:r>
      <w:r>
        <w:fldChar w:fldCharType="separate"/>
      </w:r>
      <w:r>
        <w:t>44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_Toc9615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评标办法前附表</w:t>
      </w:r>
      <w:r>
        <w:tab/>
      </w:r>
      <w:r>
        <w:fldChar w:fldCharType="begin"/>
      </w:r>
      <w:r>
        <w:instrText xml:space="preserve"> PAGEREF _Toc9615 \h </w:instrText>
      </w:r>
      <w:r>
        <w:fldChar w:fldCharType="separate"/>
      </w:r>
      <w:r>
        <w:t>44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_Toc26527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评标方法</w:t>
      </w:r>
      <w:r>
        <w:tab/>
      </w:r>
      <w:r>
        <w:fldChar w:fldCharType="begin"/>
      </w:r>
      <w:r>
        <w:instrText xml:space="preserve"> PAGEREF _Toc26527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_Toc29235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评审标准</w:t>
      </w:r>
      <w:r>
        <w:tab/>
      </w:r>
      <w:r>
        <w:fldChar w:fldCharType="begin"/>
      </w:r>
      <w:r>
        <w:instrText xml:space="preserve"> PAGEREF _Toc29235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_Toc16025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初步评审标准</w:t>
      </w:r>
      <w:r>
        <w:tab/>
      </w:r>
      <w:r>
        <w:fldChar w:fldCharType="begin"/>
      </w:r>
      <w:r>
        <w:instrText xml:space="preserve"> PAGEREF _Toc16025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_Toc14771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分值构成与评分标准</w:t>
      </w:r>
      <w:r>
        <w:tab/>
      </w:r>
      <w:r>
        <w:fldChar w:fldCharType="begin"/>
      </w:r>
      <w:r>
        <w:instrText xml:space="preserve"> PAGEREF _Toc14771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_Toc31089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评标程序</w:t>
      </w:r>
      <w:r>
        <w:tab/>
      </w:r>
      <w:r>
        <w:fldChar w:fldCharType="begin"/>
      </w:r>
      <w:r>
        <w:instrText xml:space="preserve"> PAGEREF _Toc31089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_Toc28994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 初步评审</w:t>
      </w:r>
      <w:r>
        <w:tab/>
      </w:r>
      <w:r>
        <w:fldChar w:fldCharType="begin"/>
      </w:r>
      <w:r>
        <w:instrText xml:space="preserve"> PAGEREF _Toc28994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_Toc17955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详细评审</w:t>
      </w:r>
      <w:r>
        <w:tab/>
      </w:r>
      <w:r>
        <w:fldChar w:fldCharType="begin"/>
      </w:r>
      <w:r>
        <w:instrText xml:space="preserve"> PAGEREF _Toc17955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_Toc11831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 投标文件的澄清和补正</w:t>
      </w:r>
      <w:r>
        <w:tab/>
      </w:r>
      <w:r>
        <w:fldChar w:fldCharType="begin"/>
      </w:r>
      <w:r>
        <w:instrText xml:space="preserve"> PAGEREF _Toc11831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_Toc11976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评标结果</w:t>
      </w:r>
      <w:r>
        <w:tab/>
      </w:r>
      <w:r>
        <w:fldChar w:fldCharType="begin"/>
      </w:r>
      <w:r>
        <w:instrText xml:space="preserve"> PAGEREF _Toc11976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_Toc31711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第四章  合同条款及格式</w:t>
      </w:r>
      <w:r>
        <w:tab/>
      </w:r>
      <w:r>
        <w:fldChar w:fldCharType="begin"/>
      </w:r>
      <w:r>
        <w:instrText xml:space="preserve"> PAGEREF _Toc31711 \h </w:instrText>
      </w:r>
      <w:r>
        <w:fldChar w:fldCharType="separate"/>
      </w:r>
      <w:r>
        <w:t>54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第一部分 合同协议书</w:t>
      </w:r>
      <w:r>
        <w:tab/>
      </w:r>
      <w:r>
        <w:fldChar w:fldCharType="begin"/>
      </w:r>
      <w:r>
        <w:instrText xml:space="preserve"> PAGEREF _Toc31914 \h </w:instrText>
      </w:r>
      <w:r>
        <w:fldChar w:fldCharType="separate"/>
      </w:r>
      <w:r>
        <w:t>56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_Toc1221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rPr>
        <w:t xml:space="preserve">第二部分 </w:t>
      </w:r>
      <w:r>
        <w:rPr>
          <w:rFonts w:hint="eastAsia" w:ascii="宋体" w:hAnsi="宋体" w:eastAsia="宋体" w:cs="宋体"/>
          <w:szCs w:val="44"/>
          <w:highlight w:val="none"/>
        </w:rPr>
        <w:t>通用合同条款</w:t>
      </w:r>
      <w:r>
        <w:tab/>
      </w:r>
      <w:r>
        <w:fldChar w:fldCharType="begin"/>
      </w:r>
      <w:r>
        <w:instrText xml:space="preserve"> PAGEREF _Toc1221 \h </w:instrText>
      </w:r>
      <w:r>
        <w:fldChar w:fldCharType="separate"/>
      </w:r>
      <w:r>
        <w:t>59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_Toc17646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第三部分 专用合同条款</w:t>
      </w:r>
      <w:r>
        <w:tab/>
      </w:r>
      <w:r>
        <w:fldChar w:fldCharType="begin"/>
      </w:r>
      <w:r>
        <w:instrText xml:space="preserve"> PAGEREF _Toc17646 \h </w:instrText>
      </w:r>
      <w:r>
        <w:fldChar w:fldCharType="separate"/>
      </w:r>
      <w:r>
        <w:t>60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_Toc9230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第五章  工程量清单</w:t>
      </w:r>
      <w:r>
        <w:tab/>
      </w:r>
      <w:r>
        <w:fldChar w:fldCharType="begin"/>
      </w:r>
      <w:r>
        <w:instrText xml:space="preserve"> PAGEREF _Toc9230 \h </w:instrText>
      </w:r>
      <w:r>
        <w:fldChar w:fldCharType="separate"/>
      </w:r>
      <w:r>
        <w:t>98</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_Toc20558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_Toc20558 \h </w:instrText>
      </w:r>
      <w:r>
        <w:fldChar w:fldCharType="separate"/>
      </w:r>
      <w:r>
        <w:t>99</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_Toc29302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第六章  图纸</w:t>
      </w:r>
      <w:r>
        <w:tab/>
      </w:r>
      <w:r>
        <w:fldChar w:fldCharType="begin"/>
      </w:r>
      <w:r>
        <w:instrText xml:space="preserve"> PAGEREF _Toc29302 \h </w:instrText>
      </w:r>
      <w:r>
        <w:fldChar w:fldCharType="separate"/>
      </w:r>
      <w:r>
        <w:t>100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_Toc6776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_Toc11633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第七章  技术标准和要求</w:t>
      </w:r>
      <w:r>
        <w:tab/>
      </w:r>
      <w:r>
        <w:fldChar w:fldCharType="begin"/>
      </w:r>
      <w:r>
        <w:instrText xml:space="preserve"> PAGEREF _Toc11633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_Toc28727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第八章  工程量清单计量规则</w:t>
      </w:r>
      <w:r>
        <w:tab/>
      </w:r>
      <w:r>
        <w:fldChar w:fldCharType="begin"/>
      </w:r>
      <w:r>
        <w:instrText xml:space="preserve"> PAGEREF _Toc28727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_Toc7873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四 卷</w:t>
      </w:r>
      <w:r>
        <w:tab/>
      </w:r>
      <w:r>
        <w:fldChar w:fldCharType="begin"/>
      </w:r>
      <w:r>
        <w:instrText xml:space="preserve"> PAGEREF _Toc7873 \h </w:instrText>
      </w:r>
      <w:r>
        <w:fldChar w:fldCharType="separate"/>
      </w:r>
      <w:r>
        <w:t>104</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_Toc12482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第九章  投标文件格式</w:t>
      </w:r>
      <w:r>
        <w:tab/>
      </w:r>
      <w:r>
        <w:fldChar w:fldCharType="begin"/>
      </w:r>
      <w:r>
        <w:instrText xml:space="preserve"> PAGEREF _Toc12482 \h </w:instrText>
      </w:r>
      <w:r>
        <w:fldChar w:fldCharType="separate"/>
      </w:r>
      <w:r>
        <w:t>105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_Toc22269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_Toc22269 \h </w:instrText>
      </w:r>
      <w:r>
        <w:fldChar w:fldCharType="separate"/>
      </w:r>
      <w:r>
        <w:t>108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_Toc16206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_Toc16206 \h </w:instrText>
      </w:r>
      <w:r>
        <w:fldChar w:fldCharType="separate"/>
      </w:r>
      <w:r>
        <w:t>110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_Toc27251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（二）投标函附录</w:t>
      </w:r>
      <w:r>
        <w:tab/>
      </w:r>
      <w:r>
        <w:fldChar w:fldCharType="begin"/>
      </w:r>
      <w:r>
        <w:instrText xml:space="preserve"> PAGEREF _Toc27251 \h </w:instrText>
      </w:r>
      <w:r>
        <w:fldChar w:fldCharType="separate"/>
      </w:r>
      <w:r>
        <w:t>111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_Toc20072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（三）法定代表人身份证明或附有法定代表人身份证明的授权委托书</w:t>
      </w:r>
      <w:r>
        <w:tab/>
      </w:r>
      <w:r>
        <w:fldChar w:fldCharType="begin"/>
      </w:r>
      <w:r>
        <w:instrText xml:space="preserve"> PAGEREF _Toc20072 \h </w:instrText>
      </w:r>
      <w:r>
        <w:fldChar w:fldCharType="separate"/>
      </w:r>
      <w:r>
        <w:t>112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_Toc11820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二、经济部分</w:t>
      </w:r>
      <w:r>
        <w:tab/>
      </w:r>
      <w:r>
        <w:fldChar w:fldCharType="begin"/>
      </w:r>
      <w:r>
        <w:instrText xml:space="preserve"> PAGEREF _Toc11820 \h </w:instrText>
      </w:r>
      <w:r>
        <w:fldChar w:fldCharType="separate"/>
      </w:r>
      <w:r>
        <w:t>114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_Toc6790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（一）已标价工程量清单</w:t>
      </w:r>
      <w:r>
        <w:tab/>
      </w:r>
      <w:r>
        <w:fldChar w:fldCharType="begin"/>
      </w:r>
      <w:r>
        <w:instrText xml:space="preserve"> PAGEREF _Toc6790 \h </w:instrText>
      </w:r>
      <w:r>
        <w:fldChar w:fldCharType="separate"/>
      </w:r>
      <w:r>
        <w:t>116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_Toc15718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三、商务部分</w:t>
      </w:r>
      <w:r>
        <w:tab/>
      </w:r>
      <w:r>
        <w:fldChar w:fldCharType="begin"/>
      </w:r>
      <w:r>
        <w:instrText xml:space="preserve"> PAGEREF _Toc15718 \h </w:instrText>
      </w:r>
      <w:r>
        <w:fldChar w:fldCharType="separate"/>
      </w:r>
      <w:r>
        <w:t>117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_Toc14100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四、</w:t>
      </w:r>
      <w:r>
        <w:rPr>
          <w:rFonts w:hint="eastAsia" w:ascii="宋体" w:hAnsi="宋体" w:eastAsia="宋体" w:cs="宋体"/>
          <w:bCs w:val="0"/>
          <w:szCs w:val="44"/>
          <w:highlight w:val="none"/>
        </w:rPr>
        <w:t>技术部分</w:t>
      </w:r>
      <w:r>
        <w:tab/>
      </w:r>
      <w:r>
        <w:fldChar w:fldCharType="begin"/>
      </w:r>
      <w:r>
        <w:instrText xml:space="preserve"> PAGEREF _Toc14100 \h </w:instrText>
      </w:r>
      <w:r>
        <w:fldChar w:fldCharType="separate"/>
      </w:r>
      <w:r>
        <w:t>119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_Toc586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36"/>
          <w:highlight w:val="none"/>
        </w:rPr>
        <w:t>（一）</w:t>
      </w:r>
      <w:r>
        <w:rPr>
          <w:rFonts w:hint="eastAsia" w:ascii="宋体" w:hAnsi="宋体" w:eastAsia="宋体" w:cs="宋体"/>
          <w:bCs w:val="0"/>
          <w:highlight w:val="none"/>
        </w:rPr>
        <w:t>技术方案</w:t>
      </w:r>
      <w:r>
        <w:tab/>
      </w:r>
      <w:r>
        <w:fldChar w:fldCharType="begin"/>
      </w:r>
      <w:r>
        <w:instrText xml:space="preserve"> PAGEREF _Toc586 \h </w:instrText>
      </w:r>
      <w:r>
        <w:fldChar w:fldCharType="separate"/>
      </w:r>
      <w:r>
        <w:t>121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_Toc18649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五、资格审查资料</w:t>
      </w:r>
      <w:r>
        <w:tab/>
      </w:r>
      <w:r>
        <w:fldChar w:fldCharType="begin"/>
      </w:r>
      <w:r>
        <w:instrText xml:space="preserve"> PAGEREF _Toc18649 \h </w:instrText>
      </w:r>
      <w:r>
        <w:fldChar w:fldCharType="separate"/>
      </w:r>
      <w:r>
        <w:t>122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_Toc18889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（一）法定代表人身份证明或附有法定代表人身份证明的授权委托书</w:t>
      </w:r>
      <w:r>
        <w:tab/>
      </w:r>
      <w:r>
        <w:fldChar w:fldCharType="begin"/>
      </w:r>
      <w:r>
        <w:instrText xml:space="preserve"> PAGEREF _Toc18889 \h </w:instrText>
      </w:r>
      <w:r>
        <w:fldChar w:fldCharType="separate"/>
      </w:r>
      <w:r>
        <w:t>124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_Toc8598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lang w:eastAsia="zh-CN"/>
        </w:rPr>
        <w:t>（</w:t>
      </w:r>
      <w:r>
        <w:rPr>
          <w:rFonts w:hint="eastAsia" w:ascii="宋体" w:hAnsi="宋体" w:eastAsia="宋体" w:cs="宋体"/>
          <w:bCs w:val="0"/>
          <w:highlight w:val="none"/>
          <w:lang w:val="en-US" w:eastAsia="zh-CN"/>
        </w:rPr>
        <w:t>二</w:t>
      </w:r>
      <w:r>
        <w:rPr>
          <w:rFonts w:hint="eastAsia" w:ascii="宋体" w:hAnsi="宋体" w:eastAsia="宋体" w:cs="宋体"/>
          <w:bCs w:val="0"/>
          <w:highlight w:val="none"/>
          <w:lang w:eastAsia="zh-CN"/>
        </w:rPr>
        <w:t>）</w:t>
      </w:r>
      <w:r>
        <w:rPr>
          <w:rFonts w:hint="eastAsia" w:ascii="宋体" w:hAnsi="宋体" w:eastAsia="宋体" w:cs="宋体"/>
          <w:bCs w:val="0"/>
          <w:highlight w:val="none"/>
        </w:rPr>
        <w:t>制造商授权书</w:t>
      </w:r>
      <w:r>
        <w:tab/>
      </w:r>
      <w:r>
        <w:fldChar w:fldCharType="begin"/>
      </w:r>
      <w:r>
        <w:instrText xml:space="preserve"> PAGEREF _Toc8598 \h </w:instrText>
      </w:r>
      <w:r>
        <w:fldChar w:fldCharType="separate"/>
      </w:r>
      <w:r>
        <w:t>126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_Toc16645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（三）投标人基本情况表</w:t>
      </w:r>
      <w:r>
        <w:tab/>
      </w:r>
      <w:r>
        <w:fldChar w:fldCharType="begin"/>
      </w:r>
      <w:r>
        <w:instrText xml:space="preserve"> PAGEREF _Toc16645 \h </w:instrText>
      </w:r>
      <w:r>
        <w:fldChar w:fldCharType="separate"/>
      </w:r>
      <w:r>
        <w:t>127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_Toc2596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（四）项目管理机构</w:t>
      </w:r>
      <w:r>
        <w:tab/>
      </w:r>
      <w:r>
        <w:fldChar w:fldCharType="begin"/>
      </w:r>
      <w:r>
        <w:instrText xml:space="preserve"> PAGEREF _Toc2596 \h </w:instrText>
      </w:r>
      <w:r>
        <w:fldChar w:fldCharType="separate"/>
      </w:r>
      <w:r>
        <w:t>128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_Toc9392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五</w:t>
      </w:r>
      <w:r>
        <w:rPr>
          <w:rFonts w:hint="eastAsia" w:ascii="宋体" w:hAnsi="宋体" w:eastAsia="宋体" w:cs="宋体"/>
          <w:highlight w:val="none"/>
        </w:rPr>
        <w:t>）类似项目情况表</w:t>
      </w:r>
      <w:r>
        <w:tab/>
      </w:r>
      <w:r>
        <w:fldChar w:fldCharType="begin"/>
      </w:r>
      <w:r>
        <w:instrText xml:space="preserve"> PAGEREF _Toc9392 \h </w:instrText>
      </w:r>
      <w:r>
        <w:fldChar w:fldCharType="separate"/>
      </w:r>
      <w:r>
        <w:t>130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_Toc28356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）承诺</w:t>
      </w:r>
      <w:r>
        <w:tab/>
      </w:r>
      <w:r>
        <w:fldChar w:fldCharType="begin"/>
      </w:r>
      <w:r>
        <w:instrText xml:space="preserve"> PAGEREF _Toc28356 \h </w:instrText>
      </w:r>
      <w:r>
        <w:fldChar w:fldCharType="separate"/>
      </w:r>
      <w:r>
        <w:t>131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_Toc4368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七</w:t>
      </w:r>
      <w:r>
        <w:rPr>
          <w:rFonts w:hint="eastAsia" w:ascii="宋体" w:hAnsi="宋体" w:eastAsia="宋体" w:cs="宋体"/>
          <w:highlight w:val="none"/>
        </w:rPr>
        <w:t>）其他资料</w:t>
      </w:r>
      <w:r>
        <w:tab/>
      </w:r>
      <w:r>
        <w:fldChar w:fldCharType="begin"/>
      </w:r>
      <w:r>
        <w:instrText xml:space="preserve"> PAGEREF _Toc4368 \h </w:instrText>
      </w:r>
      <w:r>
        <w:fldChar w:fldCharType="separate"/>
      </w:r>
      <w:r>
        <w:t>134</w:t>
      </w:r>
      <w:r>
        <w:fldChar w:fldCharType="end"/>
      </w:r>
      <w:r>
        <w:rPr>
          <w:rFonts w:hint="eastAsia" w:ascii="宋体" w:hAnsi="宋体" w:eastAsia="宋体" w:cs="宋体"/>
          <w:bCs/>
          <w:color w:val="auto"/>
          <w:szCs w:val="21"/>
          <w:highlight w:val="none"/>
          <w:lang w:val="zh-CN"/>
        </w:rPr>
        <w:fldChar w:fldCharType="end"/>
      </w:r>
    </w:p>
    <w:p>
      <w:pPr>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fldChar w:fldCharType="end"/>
      </w:r>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0"/>
    <w:p>
      <w:pPr>
        <w:rPr>
          <w:rFonts w:hint="eastAsia" w:ascii="宋体" w:hAnsi="宋体" w:eastAsia="宋体" w:cs="宋体"/>
          <w:color w:val="auto"/>
          <w:highlight w:val="none"/>
        </w:rPr>
      </w:pPr>
      <w:bookmarkStart w:id="11" w:name="_Toc509218690"/>
    </w:p>
    <w:p>
      <w:pPr>
        <w:pStyle w:val="3"/>
        <w:spacing w:before="0" w:after="0" w:line="480" w:lineRule="auto"/>
        <w:jc w:val="center"/>
        <w:rPr>
          <w:rFonts w:hint="eastAsia" w:ascii="宋体" w:hAnsi="宋体" w:eastAsia="宋体" w:cs="宋体"/>
          <w:b w:val="0"/>
          <w:bCs w:val="0"/>
          <w:color w:val="auto"/>
          <w:sz w:val="56"/>
          <w:szCs w:val="56"/>
          <w:highlight w:val="none"/>
        </w:rPr>
      </w:pPr>
      <w:bookmarkStart w:id="12" w:name="_Toc5207"/>
      <w:r>
        <w:rPr>
          <w:rFonts w:hint="eastAsia" w:ascii="宋体" w:hAnsi="宋体" w:eastAsia="宋体" w:cs="宋体"/>
          <w:color w:val="auto"/>
          <w:sz w:val="52"/>
          <w:szCs w:val="52"/>
          <w:highlight w:val="none"/>
        </w:rPr>
        <w:t>第 一 卷</w:t>
      </w:r>
      <w:bookmarkEnd w:id="11"/>
      <w:bookmarkEnd w:id="12"/>
    </w:p>
    <w:p>
      <w:pPr>
        <w:pStyle w:val="3"/>
        <w:spacing w:line="360" w:lineRule="auto"/>
        <w:jc w:val="center"/>
        <w:rPr>
          <w:rFonts w:hint="eastAsia" w:ascii="宋体" w:hAnsi="宋体" w:eastAsia="宋体" w:cs="宋体"/>
          <w:b w:val="0"/>
          <w:bCs w:val="0"/>
          <w:snapToGrid w:val="0"/>
          <w:color w:val="auto"/>
          <w:kern w:val="0"/>
          <w:highlight w:val="none"/>
        </w:rPr>
      </w:pPr>
      <w:bookmarkStart w:id="13" w:name="_Toc430530415"/>
      <w:bookmarkStart w:id="14" w:name="_Toc224103298"/>
      <w:bookmarkStart w:id="15" w:name="_Toc287607727"/>
      <w:bookmarkStart w:id="16" w:name="_Toc277082535"/>
      <w:bookmarkStart w:id="17" w:name="_Toc287620666"/>
      <w:bookmarkStart w:id="18" w:name="_Toc509218691"/>
      <w:r>
        <w:rPr>
          <w:rFonts w:hint="eastAsia" w:ascii="宋体" w:hAnsi="宋体" w:eastAsia="宋体" w:cs="宋体"/>
          <w:snapToGrid w:val="0"/>
          <w:color w:val="auto"/>
          <w:kern w:val="0"/>
          <w:highlight w:val="none"/>
        </w:rPr>
        <w:br w:type="page"/>
      </w:r>
      <w:bookmarkStart w:id="19" w:name="_Toc25106"/>
      <w:r>
        <w:rPr>
          <w:rFonts w:hint="eastAsia" w:ascii="宋体" w:hAnsi="宋体" w:eastAsia="宋体" w:cs="宋体"/>
          <w:snapToGrid w:val="0"/>
          <w:color w:val="auto"/>
          <w:kern w:val="0"/>
          <w:highlight w:val="none"/>
        </w:rPr>
        <w:t>第一章  招标公告</w:t>
      </w:r>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hint="eastAsia" w:ascii="宋体" w:hAnsi="宋体" w:eastAsia="宋体" w:cs="宋体"/>
          <w:snapToGrid w:val="0"/>
          <w:color w:val="auto"/>
          <w:kern w:val="0"/>
          <w:sz w:val="10"/>
          <w:szCs w:val="10"/>
          <w:highlight w:val="none"/>
        </w:rPr>
      </w:pPr>
      <w:r>
        <w:rPr>
          <w:rFonts w:hint="eastAsia" w:ascii="宋体" w:hAnsi="宋体" w:cs="宋体"/>
          <w:snapToGrid w:val="0"/>
          <w:color w:val="auto"/>
          <w:kern w:val="0"/>
          <w:sz w:val="28"/>
          <w:szCs w:val="28"/>
          <w:highlight w:val="none"/>
          <w:u w:val="single"/>
          <w:lang w:eastAsia="zh-CN"/>
        </w:rPr>
        <w:t>巫溪至开州高速公路项目机电工程通风照明工程专项分包</w:t>
      </w:r>
      <w:r>
        <w:rPr>
          <w:rFonts w:hint="eastAsia" w:ascii="宋体" w:hAnsi="宋体" w:eastAsia="宋体" w:cs="宋体"/>
          <w:snapToGrid w:val="0"/>
          <w:color w:val="auto"/>
          <w:w w:val="99"/>
          <w:kern w:val="0"/>
          <w:sz w:val="28"/>
          <w:szCs w:val="28"/>
          <w:highlight w:val="none"/>
        </w:rPr>
        <w:t>招标公告</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20" w:name="_Toc200359238"/>
      <w:bookmarkStart w:id="21" w:name="_Toc509218692"/>
      <w:bookmarkStart w:id="22" w:name="_Toc430530416"/>
      <w:bookmarkStart w:id="23" w:name="_Toc14110"/>
      <w:bookmarkStart w:id="24" w:name="_Toc224103299"/>
      <w:bookmarkStart w:id="25" w:name="_Toc200359427"/>
      <w:bookmarkStart w:id="26" w:name="_Toc287620667"/>
      <w:bookmarkStart w:id="27" w:name="_Toc287607728"/>
      <w:bookmarkStart w:id="28" w:name="_Toc277082536"/>
      <w:r>
        <w:rPr>
          <w:rFonts w:hint="eastAsia" w:ascii="宋体" w:hAnsi="宋体" w:eastAsia="宋体" w:cs="宋体"/>
          <w:bCs w:val="0"/>
          <w:snapToGrid w:val="0"/>
          <w:color w:val="auto"/>
          <w:sz w:val="24"/>
          <w:szCs w:val="24"/>
          <w:highlight w:val="none"/>
        </w:rPr>
        <w:t>1. 招标条件</w:t>
      </w:r>
      <w:bookmarkEnd w:id="20"/>
      <w:bookmarkEnd w:id="21"/>
      <w:bookmarkEnd w:id="22"/>
      <w:bookmarkEnd w:id="23"/>
      <w:bookmarkEnd w:id="24"/>
      <w:bookmarkEnd w:id="25"/>
      <w:bookmarkEnd w:id="26"/>
      <w:bookmarkEnd w:id="27"/>
      <w:bookmarkEnd w:id="28"/>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szCs w:val="21"/>
          <w:highlight w:val="none"/>
        </w:rPr>
      </w:pPr>
      <w:bookmarkStart w:id="29" w:name="_Toc277082537"/>
      <w:bookmarkStart w:id="30" w:name="_Toc200359239"/>
      <w:bookmarkStart w:id="31" w:name="_Toc430530417"/>
      <w:bookmarkStart w:id="32" w:name="_Toc200359428"/>
      <w:bookmarkStart w:id="33" w:name="_Toc509218693"/>
      <w:bookmarkStart w:id="34" w:name="_Toc287620668"/>
      <w:bookmarkStart w:id="35" w:name="_Toc287607729"/>
      <w:bookmarkStart w:id="36" w:name="_Toc224103300"/>
      <w:r>
        <w:rPr>
          <w:rFonts w:hint="eastAsia" w:ascii="宋体" w:hAnsi="宋体" w:eastAsia="宋体" w:cs="宋体"/>
          <w:snapToGrid w:val="0"/>
          <w:color w:val="auto"/>
          <w:kern w:val="0"/>
          <w:szCs w:val="21"/>
          <w:highlight w:val="none"/>
        </w:rPr>
        <w:t>本招标项目</w:t>
      </w:r>
      <w:r>
        <w:rPr>
          <w:rFonts w:hint="eastAsia" w:ascii="宋体" w:hAnsi="宋体" w:cs="宋体"/>
          <w:snapToGrid w:val="0"/>
          <w:color w:val="auto"/>
          <w:kern w:val="0"/>
          <w:szCs w:val="21"/>
          <w:highlight w:val="none"/>
          <w:u w:val="single"/>
          <w:lang w:eastAsia="zh-CN"/>
        </w:rPr>
        <w:t>巫溪至开州高速公路项目机电工程项目</w:t>
      </w:r>
      <w:r>
        <w:rPr>
          <w:rFonts w:hint="eastAsia" w:ascii="宋体" w:hAnsi="宋体" w:eastAsia="宋体" w:cs="宋体"/>
          <w:snapToGrid w:val="0"/>
          <w:color w:val="auto"/>
          <w:kern w:val="0"/>
          <w:szCs w:val="21"/>
          <w:highlight w:val="none"/>
          <w:u w:val="non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，项目业主为</w:t>
      </w:r>
      <w:r>
        <w:rPr>
          <w:rFonts w:hint="eastAsia" w:ascii="宋体" w:hAnsi="宋体" w:cs="宋体"/>
          <w:snapToGrid w:val="0"/>
          <w:color w:val="auto"/>
          <w:kern w:val="0"/>
          <w:szCs w:val="21"/>
          <w:highlight w:val="none"/>
          <w:u w:val="single"/>
          <w:lang w:val="en-US" w:eastAsia="zh-CN"/>
        </w:rPr>
        <w:t>重庆高速巫云开建设有限公司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业主自筹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cs="宋体"/>
          <w:snapToGrid w:val="0"/>
          <w:color w:val="auto"/>
          <w:kern w:val="0"/>
          <w:position w:val="-2"/>
          <w:szCs w:val="21"/>
          <w:highlight w:val="none"/>
          <w:u w:val="single"/>
          <w:lang w:val="en-US" w:eastAsia="zh-CN"/>
        </w:rPr>
        <w:t>通风</w:t>
      </w:r>
      <w:r>
        <w:rPr>
          <w:rFonts w:hint="eastAsia" w:ascii="宋体" w:hAnsi="宋体" w:eastAsia="宋体" w:cs="宋体"/>
          <w:snapToGrid w:val="0"/>
          <w:color w:val="auto"/>
          <w:kern w:val="0"/>
          <w:position w:val="-2"/>
          <w:szCs w:val="21"/>
          <w:highlight w:val="none"/>
          <w:u w:val="single"/>
          <w:lang w:val="en-US" w:eastAsia="zh-CN"/>
        </w:rPr>
        <w:t>照明工程专项分包</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37" w:name="_Toc14641"/>
      <w:r>
        <w:rPr>
          <w:rFonts w:hint="eastAsia" w:ascii="宋体" w:hAnsi="宋体" w:eastAsia="宋体" w:cs="宋体"/>
          <w:bCs w:val="0"/>
          <w:snapToGrid w:val="0"/>
          <w:color w:val="auto"/>
          <w:sz w:val="24"/>
          <w:szCs w:val="24"/>
          <w:highlight w:val="none"/>
        </w:rPr>
        <w:t>2. 项目概况与招标范围</w:t>
      </w:r>
      <w:bookmarkEnd w:id="29"/>
      <w:bookmarkEnd w:id="30"/>
      <w:bookmarkEnd w:id="31"/>
      <w:bookmarkEnd w:id="32"/>
      <w:bookmarkEnd w:id="33"/>
      <w:bookmarkEnd w:id="34"/>
      <w:bookmarkEnd w:id="35"/>
      <w:bookmarkEnd w:id="36"/>
      <w:bookmarkEnd w:id="37"/>
      <w:bookmarkStart w:id="38" w:name="_Toc277082538"/>
      <w:bookmarkStart w:id="39" w:name="_Toc287607730"/>
      <w:bookmarkStart w:id="40" w:name="_Toc287620669"/>
      <w:bookmarkStart w:id="41" w:name="_Toc509218694"/>
      <w:bookmarkStart w:id="42" w:name="_Toc200359429"/>
      <w:bookmarkStart w:id="43" w:name="_Toc224103301"/>
      <w:bookmarkStart w:id="44" w:name="_Toc430530418"/>
      <w:bookmarkStart w:id="45" w:name="_Toc200359240"/>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本项目巫溪至开州高速公路位于渝东北区域中部，是同 G42 沪蓉高速公路相平行的一条地方公路，起点与 G6911 安康至来凤国家高速公路（奉节至巫溪段）相接，由巫溪县南部区域，途径凤凰、菱角、塘坊、文峰、朝阳至云阳界，再经沙市、鱼泉、江口、双龙至开州界，再经金峰至厚坝，即为本项目终点，与 G69 银川至百色国家高速公路（城口至开州段）设置枢纽互通式立交，实现路网功能转换。本项目巫溪至开州高速公路全线长约 118.608km，双向 4 车道，路基宽度 25.5m， 设计速度 80 公里/小时。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Cs w:val="21"/>
          <w:highlight w:val="none"/>
          <w:u w:val="single"/>
          <w:lang w:val="en-US" w:eastAsia="zh-CN"/>
        </w:rPr>
        <w:t>4332.11</w:t>
      </w:r>
      <w:r>
        <w:rPr>
          <w:rFonts w:hint="eastAsia" w:ascii="宋体" w:hAnsi="宋体" w:eastAsia="宋体" w:cs="宋体"/>
          <w:snapToGrid w:val="0"/>
          <w:color w:val="auto"/>
          <w:kern w:val="0"/>
          <w:szCs w:val="21"/>
          <w:highlight w:val="none"/>
          <w:u w:val="single"/>
        </w:rPr>
        <w:t>万元</w:t>
      </w:r>
      <w:r>
        <w:rPr>
          <w:rFonts w:hint="eastAsia" w:ascii="宋体" w:hAnsi="宋体" w:eastAsia="宋体" w:cs="宋体"/>
          <w:snapToGrid w:val="0"/>
          <w:color w:val="auto"/>
          <w:kern w:val="0"/>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cs="宋体"/>
          <w:snapToGrid w:val="0"/>
          <w:color w:val="auto"/>
          <w:kern w:val="0"/>
          <w:szCs w:val="21"/>
          <w:highlight w:val="none"/>
          <w:u w:val="single"/>
          <w:lang w:eastAsia="zh-CN"/>
        </w:rPr>
        <w:t>本次施工主要包括巫溪至开州高速公路项目机电工程通风照明工程涉及的照明灯具、风机及安装辅材供货，灯具、灯杆、照明配电箱的安装，相关电缆的敷设，以及照明系统的调试等工程量清单中明确的一切相关工作，详见工程量清单。</w:t>
      </w:r>
    </w:p>
    <w:p>
      <w:pPr>
        <w:adjustRightInd w:val="0"/>
        <w:snapToGrid w:val="0"/>
        <w:spacing w:beforeLines="0" w:afterLines="0" w:line="360" w:lineRule="auto"/>
        <w:ind w:firstLine="420" w:firstLineChars="200"/>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2.5 工期要求：</w:t>
      </w:r>
      <w:r>
        <w:rPr>
          <w:rFonts w:hint="eastAsia" w:ascii="宋体" w:hAnsi="宋体" w:cs="宋体"/>
          <w:snapToGrid w:val="0"/>
          <w:color w:val="auto"/>
          <w:kern w:val="0"/>
          <w:szCs w:val="21"/>
          <w:highlight w:val="none"/>
          <w:lang w:val="en-US" w:eastAsia="zh-CN"/>
        </w:rPr>
        <w:t>预计为</w:t>
      </w:r>
      <w:r>
        <w:rPr>
          <w:rFonts w:hint="eastAsia" w:ascii="宋体" w:hAnsi="宋体" w:cs="宋体"/>
          <w:snapToGrid w:val="0"/>
          <w:color w:val="auto"/>
          <w:kern w:val="0"/>
          <w:szCs w:val="21"/>
          <w:highlight w:val="none"/>
          <w:u w:val="single"/>
          <w:lang w:val="en-US" w:eastAsia="zh-CN"/>
        </w:rPr>
        <w:t>10</w:t>
      </w:r>
      <w:r>
        <w:rPr>
          <w:rFonts w:hint="eastAsia" w:ascii="宋体" w:hAnsi="宋体" w:eastAsia="宋体" w:cs="宋体"/>
          <w:snapToGrid w:val="0"/>
          <w:color w:val="auto"/>
          <w:kern w:val="0"/>
          <w:szCs w:val="21"/>
          <w:highlight w:val="none"/>
          <w:u w:val="single"/>
          <w:lang w:val="en-US" w:eastAsia="zh-CN"/>
        </w:rPr>
        <w:t>个月，</w:t>
      </w:r>
      <w:r>
        <w:rPr>
          <w:rFonts w:hint="eastAsia" w:ascii="宋体" w:hAnsi="宋体" w:eastAsia="宋体" w:cs="宋体"/>
          <w:snapToGrid w:val="0"/>
          <w:color w:val="auto"/>
          <w:kern w:val="0"/>
          <w:szCs w:val="21"/>
          <w:highlight w:val="none"/>
          <w:u w:val="single"/>
        </w:rPr>
        <w:t>开工日期：以甲方实际下达的开工通知为准；</w:t>
      </w:r>
      <w:r>
        <w:rPr>
          <w:rFonts w:hint="eastAsia" w:ascii="宋体" w:hAnsi="宋体" w:cs="宋体"/>
          <w:snapToGrid w:val="0"/>
          <w:color w:val="auto"/>
          <w:kern w:val="0"/>
          <w:szCs w:val="21"/>
          <w:highlight w:val="none"/>
          <w:u w:val="single"/>
          <w:lang w:val="en-US" w:eastAsia="zh-CN"/>
        </w:rPr>
        <w:t>预计</w:t>
      </w:r>
      <w:r>
        <w:rPr>
          <w:rFonts w:hint="eastAsia" w:ascii="宋体" w:hAnsi="宋体" w:eastAsia="宋体" w:cs="宋体"/>
          <w:snapToGrid w:val="0"/>
          <w:color w:val="auto"/>
          <w:kern w:val="0"/>
          <w:szCs w:val="21"/>
          <w:highlight w:val="none"/>
          <w:u w:val="single"/>
        </w:rPr>
        <w:t>完工日期：202</w:t>
      </w:r>
      <w:r>
        <w:rPr>
          <w:rFonts w:hint="eastAsia" w:ascii="宋体" w:hAnsi="宋体" w:eastAsia="宋体" w:cs="宋体"/>
          <w:snapToGrid w:val="0"/>
          <w:color w:val="auto"/>
          <w:kern w:val="0"/>
          <w:szCs w:val="21"/>
          <w:highlight w:val="none"/>
          <w:u w:val="single"/>
          <w:lang w:val="en-US" w:eastAsia="zh-CN"/>
        </w:rPr>
        <w:t>3</w:t>
      </w:r>
      <w:r>
        <w:rPr>
          <w:rFonts w:hint="eastAsia" w:ascii="宋体" w:hAnsi="宋体" w:eastAsia="宋体" w:cs="宋体"/>
          <w:snapToGrid w:val="0"/>
          <w:color w:val="auto"/>
          <w:kern w:val="0"/>
          <w:szCs w:val="21"/>
          <w:highlight w:val="none"/>
          <w:u w:val="single"/>
        </w:rPr>
        <w:t>年1</w:t>
      </w:r>
      <w:r>
        <w:rPr>
          <w:rFonts w:hint="eastAsia" w:ascii="宋体" w:hAnsi="宋体" w:eastAsia="宋体" w:cs="宋体"/>
          <w:snapToGrid w:val="0"/>
          <w:color w:val="auto"/>
          <w:kern w:val="0"/>
          <w:szCs w:val="21"/>
          <w:highlight w:val="none"/>
          <w:u w:val="single"/>
          <w:lang w:val="en-US" w:eastAsia="zh-CN"/>
        </w:rPr>
        <w:t>2</w:t>
      </w:r>
      <w:r>
        <w:rPr>
          <w:rFonts w:hint="eastAsia" w:ascii="宋体" w:hAnsi="宋体" w:eastAsia="宋体" w:cs="宋体"/>
          <w:snapToGrid w:val="0"/>
          <w:color w:val="auto"/>
          <w:kern w:val="0"/>
          <w:szCs w:val="21"/>
          <w:highlight w:val="none"/>
          <w:u w:val="single"/>
        </w:rPr>
        <w:t>月</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cs="宋体"/>
          <w:snapToGrid w:val="0"/>
          <w:color w:val="auto"/>
          <w:kern w:val="0"/>
          <w:szCs w:val="21"/>
          <w:highlight w:val="none"/>
          <w:u w:val="single"/>
          <w:lang w:val="en-US" w:eastAsia="zh-CN"/>
        </w:rPr>
        <w:t>其中，</w:t>
      </w:r>
      <w:r>
        <w:rPr>
          <w:rFonts w:hint="eastAsia" w:ascii="宋体" w:hAnsi="宋体" w:eastAsia="宋体" w:cs="宋体"/>
          <w:snapToGrid w:val="0"/>
          <w:color w:val="auto"/>
          <w:kern w:val="0"/>
          <w:szCs w:val="21"/>
          <w:highlight w:val="none"/>
          <w:u w:val="single"/>
        </w:rPr>
        <w:t>沙市至开州</w:t>
      </w:r>
      <w:r>
        <w:rPr>
          <w:rFonts w:hint="eastAsia" w:ascii="宋体" w:hAnsi="宋体" w:cs="宋体"/>
          <w:snapToGrid w:val="0"/>
          <w:color w:val="auto"/>
          <w:kern w:val="0"/>
          <w:szCs w:val="21"/>
          <w:highlight w:val="none"/>
          <w:u w:val="single"/>
          <w:lang w:val="en-US" w:eastAsia="zh-CN"/>
        </w:rPr>
        <w:t>段预计完工日期2023年9月。</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缺陷责任期要求：</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24</w:t>
      </w:r>
      <w:r>
        <w:rPr>
          <w:rFonts w:hint="eastAsia" w:ascii="宋体" w:hAnsi="宋体" w:eastAsia="宋体" w:cs="宋体"/>
          <w:snapToGrid w:val="0"/>
          <w:color w:val="auto"/>
          <w:kern w:val="0"/>
          <w:szCs w:val="21"/>
          <w:highlight w:val="none"/>
          <w:u w:val="single"/>
        </w:rPr>
        <w:t>个月</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6" w:name="_Toc15239"/>
      <w:r>
        <w:rPr>
          <w:rFonts w:hint="eastAsia" w:ascii="宋体" w:hAnsi="宋体" w:eastAsia="宋体" w:cs="宋体"/>
          <w:bCs w:val="0"/>
          <w:snapToGrid w:val="0"/>
          <w:color w:val="auto"/>
          <w:sz w:val="24"/>
          <w:szCs w:val="24"/>
          <w:highlight w:val="none"/>
        </w:rPr>
        <w:t>3. 投标人资格要求</w:t>
      </w:r>
      <w:bookmarkEnd w:id="38"/>
      <w:bookmarkEnd w:id="39"/>
      <w:bookmarkEnd w:id="40"/>
      <w:bookmarkEnd w:id="41"/>
      <w:bookmarkEnd w:id="42"/>
      <w:bookmarkEnd w:id="43"/>
      <w:bookmarkEnd w:id="44"/>
      <w:bookmarkEnd w:id="45"/>
      <w:bookmarkEnd w:id="46"/>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1）</w:t>
      </w:r>
      <w:r>
        <w:rPr>
          <w:rFonts w:hint="eastAsia" w:ascii="宋体" w:hAnsi="宋体" w:eastAsia="宋体" w:cs="宋体"/>
          <w:snapToGrid w:val="0"/>
          <w:color w:val="auto"/>
          <w:kern w:val="0"/>
          <w:szCs w:val="21"/>
          <w:highlight w:val="none"/>
          <w:u w:val="single"/>
        </w:rPr>
        <w:t>具有独立法人资格</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rPr>
        <w:t>具有有效的营业执照</w:t>
      </w:r>
      <w:r>
        <w:rPr>
          <w:rFonts w:hint="eastAsia" w:ascii="宋体" w:hAnsi="宋体" w:eastAsia="宋体" w:cs="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2）具备建设行政主管部门颁发的有效的城市及道路照明工程专业承包一级资质；</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lang w:val="en-US" w:eastAsia="zh-CN"/>
        </w:rPr>
        <w:t>（3）具备建设行政主管部门颁发的</w:t>
      </w:r>
      <w:r>
        <w:rPr>
          <w:rFonts w:hint="eastAsia" w:ascii="宋体" w:hAnsi="宋体" w:cs="宋体"/>
          <w:snapToGrid w:val="0"/>
          <w:color w:val="auto"/>
          <w:kern w:val="0"/>
          <w:szCs w:val="21"/>
          <w:highlight w:val="none"/>
          <w:u w:val="single"/>
          <w:lang w:val="en-US" w:eastAsia="zh-CN"/>
        </w:rPr>
        <w:t>有效的</w:t>
      </w:r>
      <w:r>
        <w:rPr>
          <w:rFonts w:hint="eastAsia" w:ascii="宋体" w:hAnsi="宋体" w:eastAsia="宋体" w:cs="宋体"/>
          <w:snapToGrid w:val="0"/>
          <w:color w:val="auto"/>
          <w:kern w:val="0"/>
          <w:szCs w:val="21"/>
          <w:highlight w:val="none"/>
          <w:u w:val="single"/>
          <w:lang w:val="en-US" w:eastAsia="zh-CN"/>
        </w:rPr>
        <w:t>安全生产许可证。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Cs w:val="21"/>
          <w:highlight w:val="none"/>
          <w:u w:val="single"/>
        </w:rPr>
        <w:t xml:space="preserve"> 2018年1月1日至投标截止日</w:t>
      </w:r>
      <w:r>
        <w:rPr>
          <w:rFonts w:hint="eastAsia" w:ascii="宋体" w:hAnsi="宋体" w:eastAsia="宋体" w:cs="宋体"/>
          <w:snapToGrid w:val="0"/>
          <w:color w:val="auto"/>
          <w:kern w:val="0"/>
          <w:szCs w:val="21"/>
          <w:highlight w:val="none"/>
          <w:u w:val="single"/>
          <w:lang w:eastAsia="zh-CN"/>
        </w:rPr>
        <w:t>，投标人</w:t>
      </w:r>
      <w:r>
        <w:rPr>
          <w:rFonts w:hint="eastAsia" w:ascii="宋体" w:hAnsi="宋体" w:eastAsia="宋体" w:cs="宋体"/>
          <w:snapToGrid w:val="0"/>
          <w:color w:val="auto"/>
          <w:kern w:val="0"/>
          <w:szCs w:val="21"/>
          <w:highlight w:val="none"/>
          <w:u w:val="single"/>
        </w:rPr>
        <w:t>至少完成一项合同额超过</w:t>
      </w:r>
      <w:r>
        <w:rPr>
          <w:rFonts w:hint="eastAsia" w:ascii="宋体" w:hAnsi="宋体" w:eastAsia="宋体" w:cs="宋体"/>
          <w:snapToGrid w:val="0"/>
          <w:color w:val="auto"/>
          <w:kern w:val="0"/>
          <w:szCs w:val="21"/>
          <w:highlight w:val="none"/>
          <w:u w:val="single"/>
          <w:lang w:val="en-US" w:eastAsia="zh-CN"/>
        </w:rPr>
        <w:t>2000</w:t>
      </w:r>
      <w:r>
        <w:rPr>
          <w:rFonts w:hint="eastAsia" w:ascii="宋体" w:hAnsi="宋体" w:eastAsia="宋体" w:cs="宋体"/>
          <w:snapToGrid w:val="0"/>
          <w:color w:val="auto"/>
          <w:kern w:val="0"/>
          <w:szCs w:val="21"/>
          <w:highlight w:val="none"/>
          <w:u w:val="single"/>
        </w:rPr>
        <w:t xml:space="preserve">万元以上的机电安装工程（含公路、市政、房建、铁路等领域的机电安装工程）业绩，业绩中工作内容需含照明工程或电气照明等照明相关内容。 </w:t>
      </w:r>
    </w:p>
    <w:p>
      <w:pPr>
        <w:pStyle w:val="2"/>
        <w:adjustRightInd w:val="0"/>
        <w:snapToGrid w:val="0"/>
        <w:spacing w:beforeLines="0"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投标人还应在人员、设备、资金等方面具有相应的施工能力，详见招标文件第二章投标人须知前附表第1.4.1项内容。</w:t>
      </w:r>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本次招标不接受联合体投标。</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7" w:name="_Toc13892"/>
      <w:bookmarkStart w:id="48" w:name="_Toc430530419"/>
      <w:bookmarkStart w:id="49" w:name="_Toc287607731"/>
      <w:bookmarkStart w:id="50" w:name="_Toc509218695"/>
      <w:bookmarkStart w:id="51" w:name="_Toc200359430"/>
      <w:bookmarkStart w:id="52" w:name="_Toc287620670"/>
      <w:bookmarkStart w:id="53" w:name="_Toc200359241"/>
      <w:bookmarkStart w:id="54" w:name="_Toc224103302"/>
      <w:bookmarkStart w:id="55" w:name="_Toc277082539"/>
      <w:r>
        <w:rPr>
          <w:rFonts w:hint="eastAsia" w:ascii="宋体" w:hAnsi="宋体" w:eastAsia="宋体" w:cs="宋体"/>
          <w:bCs w:val="0"/>
          <w:snapToGrid w:val="0"/>
          <w:color w:val="auto"/>
          <w:sz w:val="24"/>
          <w:szCs w:val="24"/>
          <w:highlight w:val="none"/>
        </w:rPr>
        <w:t>4.评标办法</w:t>
      </w:r>
      <w:bookmarkEnd w:id="47"/>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综合评估法。</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56" w:name="_Toc11902"/>
      <w:r>
        <w:rPr>
          <w:rFonts w:hint="eastAsia" w:ascii="宋体" w:hAnsi="宋体" w:eastAsia="宋体" w:cs="宋体"/>
          <w:bCs w:val="0"/>
          <w:snapToGrid w:val="0"/>
          <w:color w:val="auto"/>
          <w:sz w:val="24"/>
          <w:szCs w:val="24"/>
          <w:highlight w:val="none"/>
          <w:lang w:val="en-US" w:eastAsia="zh-CN"/>
        </w:rPr>
        <w:t>5.</w:t>
      </w:r>
      <w:r>
        <w:rPr>
          <w:rFonts w:hint="eastAsia" w:ascii="宋体" w:hAnsi="宋体" w:eastAsia="宋体" w:cs="宋体"/>
          <w:bCs w:val="0"/>
          <w:snapToGrid w:val="0"/>
          <w:color w:val="auto"/>
          <w:sz w:val="24"/>
          <w:szCs w:val="24"/>
          <w:highlight w:val="none"/>
        </w:rPr>
        <w:t>招标文件的获取</w:t>
      </w:r>
      <w:bookmarkEnd w:id="48"/>
      <w:bookmarkEnd w:id="49"/>
      <w:bookmarkEnd w:id="50"/>
      <w:bookmarkEnd w:id="51"/>
      <w:bookmarkEnd w:id="52"/>
      <w:bookmarkEnd w:id="53"/>
      <w:bookmarkEnd w:id="54"/>
      <w:bookmarkEnd w:id="55"/>
      <w:bookmarkEnd w:id="56"/>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bookmarkStart w:id="57" w:name="_Toc287607732"/>
      <w:bookmarkStart w:id="58" w:name="_Toc509218696"/>
      <w:bookmarkStart w:id="59" w:name="_Toc200359242"/>
      <w:bookmarkStart w:id="60" w:name="_Toc287620671"/>
      <w:bookmarkStart w:id="61" w:name="_Toc200359431"/>
      <w:bookmarkStart w:id="62" w:name="_Toc224103303"/>
      <w:bookmarkStart w:id="63" w:name="_Toc430530420"/>
      <w:bookmarkStart w:id="64" w:name="_Toc277082540"/>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.1  凡有意参加投标者，请于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3</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月</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15</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kern w:val="0"/>
          <w:sz w:val="21"/>
          <w:szCs w:val="21"/>
          <w:highlight w:val="none"/>
          <w:lang w:val="en-US" w:eastAsia="zh-CN" w:bidi="ar"/>
        </w:rPr>
        <w:t>（北京时间，下同）前起在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下载招标文件、清单、澄清、修改、补充通知、最高限价通知等全部内容。不管下载与否都视为潜在投标人全部知晓有关招投标过程和全部内容。</w:t>
      </w:r>
      <w:r>
        <w:rPr>
          <w:rFonts w:hint="eastAsia" w:ascii="宋体" w:hAnsi="宋体" w:eastAsia="宋体" w:cs="宋体"/>
          <w:kern w:val="2"/>
          <w:sz w:val="21"/>
          <w:szCs w:val="21"/>
          <w:highlight w:val="none"/>
          <w:lang w:val="en-US" w:eastAsia="zh-CN" w:bidi="ar"/>
        </w:rPr>
        <w:t>本项目不需要报名，直接投标。</w:t>
      </w:r>
      <w:bookmarkStart w:id="513" w:name="_GoBack"/>
      <w:bookmarkEnd w:id="513"/>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.2  投标人可以电子邮件形式对本项目提出疑问，提问方式为向招标人邮箱发送提问文件扫描件</w:t>
      </w:r>
      <w:r>
        <w:rPr>
          <w:rFonts w:hint="eastAsia" w:ascii="宋体" w:hAnsi="宋体" w:eastAsia="宋体" w:cs="宋体"/>
          <w:bCs w:val="0"/>
          <w:kern w:val="0"/>
          <w:sz w:val="21"/>
          <w:szCs w:val="21"/>
          <w:highlight w:val="none"/>
          <w:lang w:val="en-US" w:eastAsia="zh-CN" w:bidi="ar"/>
        </w:rPr>
        <w:t>（需盖单位法人章）和可编辑电子文档，</w:t>
      </w:r>
      <w:r>
        <w:rPr>
          <w:rFonts w:hint="eastAsia" w:ascii="宋体" w:hAnsi="宋体" w:eastAsia="宋体" w:cs="宋体"/>
          <w:kern w:val="0"/>
          <w:sz w:val="21"/>
          <w:szCs w:val="21"/>
          <w:highlight w:val="none"/>
          <w:lang w:val="en-US" w:eastAsia="zh-CN" w:bidi="ar"/>
        </w:rPr>
        <w:t>提问时间从本公告发布至</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3</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月</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13</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 xml:space="preserve"> 10 </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.3  招标人应于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3</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月</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13</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1</w:t>
      </w:r>
      <w:r>
        <w:rPr>
          <w:rFonts w:hint="eastAsia" w:ascii="宋体" w:hAnsi="宋体" w:cs="宋体"/>
          <w:b/>
          <w:bCs w:val="0"/>
          <w:kern w:val="0"/>
          <w:sz w:val="21"/>
          <w:szCs w:val="21"/>
          <w:highlight w:val="none"/>
          <w:u w:val="single"/>
          <w:lang w:val="en-US" w:eastAsia="zh-CN" w:bidi="ar"/>
        </w:rPr>
        <w:t>5</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发布澄清。</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65" w:name="_Toc878"/>
      <w:r>
        <w:rPr>
          <w:rFonts w:hint="eastAsia" w:ascii="宋体" w:hAnsi="宋体" w:eastAsia="宋体" w:cs="宋体"/>
          <w:bCs w:val="0"/>
          <w:snapToGrid w:val="0"/>
          <w:color w:val="auto"/>
          <w:sz w:val="24"/>
          <w:szCs w:val="24"/>
          <w:highlight w:val="none"/>
          <w:lang w:val="en-US" w:eastAsia="zh-CN"/>
        </w:rPr>
        <w:t>6</w:t>
      </w:r>
      <w:r>
        <w:rPr>
          <w:rFonts w:hint="eastAsia" w:ascii="宋体" w:hAnsi="宋体" w:eastAsia="宋体" w:cs="宋体"/>
          <w:bCs w:val="0"/>
          <w:snapToGrid w:val="0"/>
          <w:color w:val="auto"/>
          <w:sz w:val="24"/>
          <w:szCs w:val="24"/>
          <w:highlight w:val="none"/>
        </w:rPr>
        <w:t>. 投标文件的递交</w:t>
      </w:r>
      <w:bookmarkEnd w:id="57"/>
      <w:bookmarkEnd w:id="58"/>
      <w:bookmarkEnd w:id="59"/>
      <w:bookmarkEnd w:id="60"/>
      <w:bookmarkEnd w:id="61"/>
      <w:bookmarkEnd w:id="62"/>
      <w:bookmarkEnd w:id="63"/>
      <w:bookmarkEnd w:id="64"/>
      <w:bookmarkEnd w:id="65"/>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bookmarkStart w:id="66" w:name="_Toc224103304"/>
      <w:bookmarkStart w:id="67" w:name="_Toc200359432"/>
      <w:bookmarkStart w:id="68" w:name="_Toc287607733"/>
      <w:bookmarkStart w:id="69" w:name="_Toc509218697"/>
      <w:bookmarkStart w:id="70" w:name="_Toc200359243"/>
      <w:bookmarkStart w:id="71" w:name="_Toc277082541"/>
      <w:bookmarkStart w:id="72" w:name="_Toc430530421"/>
      <w:bookmarkStart w:id="73" w:name="_Toc287620672"/>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.1投标截止时间和开标时间：</w:t>
      </w:r>
      <w:r>
        <w:rPr>
          <w:rFonts w:hint="eastAsia" w:ascii="宋体" w:hAnsi="宋体" w:eastAsia="宋体" w:cs="宋体"/>
          <w:b/>
          <w:bCs/>
          <w:kern w:val="2"/>
          <w:sz w:val="21"/>
          <w:szCs w:val="21"/>
          <w:highlight w:val="none"/>
          <w:u w:val="single"/>
          <w:lang w:val="en-US" w:eastAsia="zh-CN" w:bidi="ar"/>
        </w:rPr>
        <w:t>2023</w:t>
      </w:r>
      <w:r>
        <w:rPr>
          <w:rFonts w:hint="eastAsia" w:ascii="宋体" w:hAnsi="宋体" w:eastAsia="宋体" w:cs="宋体"/>
          <w:b/>
          <w:bCs/>
          <w:kern w:val="2"/>
          <w:sz w:val="21"/>
          <w:szCs w:val="21"/>
          <w:highlight w:val="none"/>
          <w:lang w:val="en-US" w:eastAsia="zh-CN" w:bidi="ar"/>
        </w:rPr>
        <w:t>年</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3</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月</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15</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日</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15</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时</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00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分</w:t>
      </w:r>
      <w:r>
        <w:rPr>
          <w:rFonts w:hint="eastAsia" w:ascii="宋体" w:hAnsi="宋体" w:eastAsia="宋体" w:cs="宋体"/>
          <w:kern w:val="2"/>
          <w:sz w:val="21"/>
          <w:szCs w:val="21"/>
          <w:highlight w:val="none"/>
          <w:lang w:val="en-US" w:eastAsia="zh-CN" w:bidi="ar"/>
        </w:rPr>
        <w:t>（北京时间）。</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.2投标地点和开标地点：</w:t>
      </w:r>
      <w:r>
        <w:rPr>
          <w:rFonts w:hint="eastAsia" w:ascii="宋体" w:hAnsi="宋体" w:cs="宋体"/>
          <w:szCs w:val="21"/>
          <w:highlight w:val="none"/>
        </w:rPr>
        <w:t>重庆市渝北区龙溪街道新南路52号东界龙湖</w:t>
      </w:r>
      <w:r>
        <w:rPr>
          <w:rFonts w:hint="eastAsia" w:ascii="宋体" w:hAnsi="宋体" w:cs="宋体"/>
          <w:bCs/>
          <w:color w:val="auto"/>
          <w:szCs w:val="21"/>
          <w:highlight w:val="none"/>
          <w:lang w:val="en-US" w:eastAsia="zh-CN"/>
        </w:rPr>
        <w:t>一楼</w:t>
      </w:r>
      <w:r>
        <w:rPr>
          <w:rFonts w:hint="eastAsia" w:ascii="宋体" w:hAnsi="宋体" w:eastAsia="宋体" w:cs="宋体"/>
          <w:bCs/>
          <w:color w:val="auto"/>
          <w:szCs w:val="21"/>
          <w:highlight w:val="none"/>
        </w:rPr>
        <w:t>。</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.3逾期送达、或未送达指定地点、或未按招标文件要求密封的投标文件，招标人将予以拒收。</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74" w:name="_Toc9976"/>
      <w:r>
        <w:rPr>
          <w:rFonts w:hint="eastAsia" w:ascii="宋体" w:hAnsi="宋体" w:eastAsia="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rPr>
        <w:t>. 发布公告的媒介</w:t>
      </w:r>
      <w:bookmarkEnd w:id="66"/>
      <w:bookmarkEnd w:id="67"/>
      <w:bookmarkEnd w:id="68"/>
      <w:bookmarkEnd w:id="69"/>
      <w:bookmarkEnd w:id="70"/>
      <w:bookmarkEnd w:id="71"/>
      <w:bookmarkEnd w:id="72"/>
      <w:bookmarkEnd w:id="73"/>
      <w:bookmarkEnd w:id="74"/>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bookmarkStart w:id="75" w:name="_Toc23858"/>
      <w:bookmarkEnd w:id="75"/>
      <w:bookmarkStart w:id="76" w:name="_Toc31214"/>
      <w:bookmarkEnd w:id="76"/>
      <w:bookmarkStart w:id="77" w:name="_Toc224103306"/>
      <w:bookmarkStart w:id="78" w:name="_Toc287620674"/>
      <w:bookmarkStart w:id="79" w:name="_Toc287607735"/>
      <w:bookmarkStart w:id="80" w:name="_Toc430530423"/>
      <w:r>
        <w:rPr>
          <w:rFonts w:hint="eastAsia" w:ascii="宋体" w:hAnsi="宋体" w:eastAsia="宋体" w:cs="宋体"/>
          <w:color w:val="000000"/>
          <w:kern w:val="0"/>
          <w:sz w:val="21"/>
          <w:szCs w:val="21"/>
          <w:highlight w:val="none"/>
          <w:lang w:val="en-US" w:eastAsia="zh-CN" w:bidi="ar"/>
        </w:rPr>
        <w:t>本次招标公告在</w:t>
      </w:r>
      <w:r>
        <w:rPr>
          <w:rFonts w:hint="eastAsia" w:ascii="宋体" w:hAnsi="宋体" w:eastAsia="宋体" w:cs="宋体"/>
          <w:color w:val="000000"/>
          <w:kern w:val="2"/>
          <w:sz w:val="21"/>
          <w:szCs w:val="21"/>
          <w:highlight w:val="none"/>
          <w:u w:val="single"/>
          <w:lang w:val="en-US" w:eastAsia="zh-CN" w:bidi="ar"/>
        </w:rPr>
        <w:t>重庆高速集团官网（https://www.cegc.com.cn/html/col1810480.html）</w:t>
      </w:r>
      <w:r>
        <w:rPr>
          <w:rFonts w:hint="eastAsia" w:ascii="宋体" w:hAnsi="宋体" w:eastAsia="宋体" w:cs="宋体"/>
          <w:color w:val="000000"/>
          <w:kern w:val="0"/>
          <w:sz w:val="21"/>
          <w:szCs w:val="21"/>
          <w:highlight w:val="none"/>
          <w:lang w:val="en-US" w:eastAsia="zh-CN" w:bidi="ar"/>
        </w:rPr>
        <w:t>上发布。</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lang w:val="en-US" w:eastAsia="zh-CN"/>
        </w:rPr>
      </w:pPr>
      <w:bookmarkStart w:id="81" w:name="_Toc959"/>
      <w:r>
        <w:rPr>
          <w:rFonts w:hint="eastAsia" w:ascii="宋体" w:hAnsi="宋体" w:eastAsia="宋体" w:cs="宋体"/>
          <w:bCs w:val="0"/>
          <w:snapToGrid w:val="0"/>
          <w:color w:val="auto"/>
          <w:sz w:val="24"/>
          <w:szCs w:val="24"/>
          <w:highlight w:val="none"/>
          <w:lang w:val="en-US" w:eastAsia="zh-CN"/>
        </w:rPr>
        <w:t>8.联系方式</w:t>
      </w:r>
      <w:bookmarkEnd w:id="81"/>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招 标 人： 重庆首讯科技股份有限公司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position w:val="-3"/>
          <w:sz w:val="21"/>
          <w:szCs w:val="21"/>
          <w:highlight w:val="none"/>
        </w:rPr>
      </w:pPr>
      <w:r>
        <w:rPr>
          <w:rFonts w:hint="eastAsia" w:ascii="宋体" w:hAnsi="宋体" w:eastAsia="宋体" w:cs="宋体"/>
          <w:kern w:val="0"/>
          <w:sz w:val="21"/>
          <w:szCs w:val="21"/>
          <w:highlight w:val="none"/>
          <w:lang w:val="en-US" w:eastAsia="zh-CN" w:bidi="ar"/>
        </w:rPr>
        <w:t xml:space="preserve">地    址： 重庆市渝北区龙溪街道新南路52号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联 系 人： </w:t>
      </w:r>
      <w:r>
        <w:rPr>
          <w:rFonts w:hint="eastAsia" w:ascii="宋体" w:hAnsi="宋体" w:cs="宋体"/>
          <w:kern w:val="0"/>
          <w:sz w:val="21"/>
          <w:szCs w:val="21"/>
          <w:highlight w:val="none"/>
          <w:lang w:val="en-US" w:eastAsia="zh-CN" w:bidi="ar"/>
        </w:rPr>
        <w:t>蒋老师</w:t>
      </w:r>
      <w:r>
        <w:rPr>
          <w:rFonts w:hint="eastAsia" w:ascii="宋体" w:hAnsi="宋体" w:eastAsia="宋体" w:cs="宋体"/>
          <w:kern w:val="0"/>
          <w:sz w:val="21"/>
          <w:szCs w:val="21"/>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    话： 023-63131274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电子邮件： </w:t>
      </w:r>
      <w:r>
        <w:rPr>
          <w:rFonts w:hint="eastAsia" w:ascii="宋体" w:hAnsi="宋体" w:eastAsia="宋体" w:cs="宋体"/>
          <w:kern w:val="0"/>
          <w:sz w:val="21"/>
          <w:szCs w:val="21"/>
          <w:highlight w:val="none"/>
          <w:lang w:val="en-US" w:eastAsia="zh-CN" w:bidi="ar"/>
        </w:rPr>
        <w:fldChar w:fldCharType="begin"/>
      </w:r>
      <w:r>
        <w:rPr>
          <w:rFonts w:hint="eastAsia" w:ascii="宋体" w:hAnsi="宋体" w:eastAsia="宋体" w:cs="宋体"/>
          <w:kern w:val="0"/>
          <w:sz w:val="21"/>
          <w:szCs w:val="21"/>
          <w:highlight w:val="none"/>
          <w:lang w:val="en-US" w:eastAsia="zh-CN" w:bidi="ar"/>
        </w:rPr>
        <w:instrText xml:space="preserve"> HYPERLINK "mailto:sxjiangqi@cegc.com.cn" </w:instrText>
      </w:r>
      <w:r>
        <w:rPr>
          <w:rFonts w:hint="eastAsia" w:ascii="宋体" w:hAnsi="宋体" w:eastAsia="宋体" w:cs="宋体"/>
          <w:kern w:val="0"/>
          <w:sz w:val="21"/>
          <w:szCs w:val="21"/>
          <w:highlight w:val="none"/>
          <w:lang w:val="en-US" w:eastAsia="zh-CN" w:bidi="ar"/>
        </w:rPr>
        <w:fldChar w:fldCharType="separate"/>
      </w:r>
      <w:r>
        <w:rPr>
          <w:rFonts w:hint="eastAsia" w:ascii="宋体" w:hAnsi="宋体" w:cs="宋体"/>
          <w:i w:val="0"/>
          <w:iCs w:val="0"/>
          <w:caps w:val="0"/>
          <w:spacing w:val="0"/>
          <w:kern w:val="0"/>
          <w:sz w:val="21"/>
          <w:szCs w:val="21"/>
          <w:highlight w:val="none"/>
          <w:lang w:val="en-US" w:eastAsia="zh-CN" w:bidi="ar"/>
        </w:rPr>
        <w:t>jiangchengke</w:t>
      </w:r>
      <w:r>
        <w:rPr>
          <w:rFonts w:hint="eastAsia" w:ascii="宋体" w:hAnsi="宋体" w:eastAsia="宋体" w:cs="宋体"/>
          <w:i w:val="0"/>
          <w:iCs w:val="0"/>
          <w:caps w:val="0"/>
          <w:spacing w:val="0"/>
          <w:kern w:val="0"/>
          <w:sz w:val="21"/>
          <w:szCs w:val="21"/>
          <w:highlight w:val="none"/>
          <w:lang w:bidi="ar"/>
        </w:rPr>
        <w:t>@cegc.com.cn</w:t>
      </w:r>
      <w:r>
        <w:rPr>
          <w:rFonts w:hint="eastAsia" w:ascii="宋体" w:hAnsi="宋体" w:eastAsia="宋体" w:cs="宋体"/>
          <w:kern w:val="0"/>
          <w:sz w:val="21"/>
          <w:szCs w:val="21"/>
          <w:highlight w:val="none"/>
          <w:lang w:val="en-US" w:eastAsia="zh-CN" w:bidi="ar"/>
        </w:rPr>
        <w:fldChar w:fldCharType="end"/>
      </w:r>
      <w:r>
        <w:rPr>
          <w:rFonts w:hint="eastAsia" w:ascii="宋体" w:hAnsi="宋体" w:eastAsia="宋体" w:cs="宋体"/>
          <w:kern w:val="0"/>
          <w:sz w:val="21"/>
          <w:szCs w:val="21"/>
          <w:highlight w:val="none"/>
          <w:lang w:val="en-US" w:eastAsia="zh-CN" w:bidi="ar"/>
        </w:rPr>
        <w:t xml:space="preserve">           </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p>
    <w:p>
      <w:pPr>
        <w:autoSpaceDE w:val="0"/>
        <w:autoSpaceDN w:val="0"/>
        <w:adjustRightInd w:val="0"/>
        <w:snapToGrid w:val="0"/>
        <w:spacing w:line="440" w:lineRule="exact"/>
        <w:ind w:firstLine="3906" w:firstLineChars="1860"/>
        <w:jc w:val="right"/>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7"/>
    <w:bookmarkEnd w:id="78"/>
    <w:bookmarkEnd w:id="79"/>
    <w:bookmarkEnd w:id="80"/>
    <w:p>
      <w:pPr>
        <w:pStyle w:val="3"/>
        <w:spacing w:line="360" w:lineRule="auto"/>
        <w:ind w:firstLine="883"/>
        <w:jc w:val="center"/>
        <w:rPr>
          <w:rFonts w:hint="eastAsia" w:ascii="宋体" w:hAnsi="宋体" w:eastAsia="宋体" w:cs="宋体"/>
          <w:bCs w:val="0"/>
          <w:snapToGrid w:val="0"/>
          <w:color w:val="auto"/>
          <w:kern w:val="0"/>
          <w:highlight w:val="none"/>
        </w:rPr>
      </w:pPr>
      <w:bookmarkStart w:id="82" w:name="_Toc287607744"/>
      <w:bookmarkStart w:id="83" w:name="_Toc287620683"/>
      <w:bookmarkStart w:id="84" w:name="_Toc224103315"/>
      <w:bookmarkStart w:id="85" w:name="_Toc430530432"/>
      <w:bookmarkStart w:id="86" w:name="_Toc19432"/>
      <w:r>
        <w:rPr>
          <w:rFonts w:hint="eastAsia" w:ascii="宋体" w:hAnsi="宋体" w:eastAsia="宋体" w:cs="宋体"/>
          <w:bCs w:val="0"/>
          <w:snapToGrid w:val="0"/>
          <w:color w:val="auto"/>
          <w:highlight w:val="none"/>
        </w:rPr>
        <w:t>第二章  投标人须知</w:t>
      </w:r>
      <w:bookmarkEnd w:id="82"/>
      <w:bookmarkEnd w:id="83"/>
      <w:bookmarkEnd w:id="84"/>
      <w:bookmarkEnd w:id="85"/>
      <w:bookmarkEnd w:id="86"/>
      <w:bookmarkStart w:id="87" w:name="_Toc224103316"/>
      <w:bookmarkStart w:id="88" w:name="_Toc287620684"/>
      <w:bookmarkStart w:id="89" w:name="_Toc287607745"/>
      <w:bookmarkStart w:id="90" w:name="_Toc430530433"/>
      <w:bookmarkStart w:id="91" w:name="_Toc277082551"/>
    </w:p>
    <w:p>
      <w:pPr>
        <w:pStyle w:val="4"/>
        <w:spacing w:before="100" w:after="100" w:line="360" w:lineRule="auto"/>
        <w:rPr>
          <w:rFonts w:hint="eastAsia" w:ascii="宋体" w:hAnsi="宋体" w:eastAsia="宋体" w:cs="宋体"/>
          <w:bCs w:val="0"/>
          <w:color w:val="auto"/>
          <w:sz w:val="28"/>
          <w:szCs w:val="28"/>
          <w:highlight w:val="none"/>
        </w:rPr>
      </w:pPr>
      <w:bookmarkStart w:id="92" w:name="_Toc31199"/>
      <w:bookmarkStart w:id="93" w:name="_Toc509218708"/>
      <w:r>
        <w:rPr>
          <w:rFonts w:hint="eastAsia" w:ascii="宋体" w:hAnsi="宋体" w:eastAsia="宋体" w:cs="宋体"/>
          <w:bCs w:val="0"/>
          <w:color w:val="auto"/>
          <w:sz w:val="28"/>
          <w:szCs w:val="28"/>
          <w:highlight w:val="none"/>
        </w:rPr>
        <w:t>投标人须知前附表</w:t>
      </w:r>
      <w:bookmarkEnd w:id="87"/>
      <w:bookmarkEnd w:id="88"/>
      <w:bookmarkEnd w:id="89"/>
      <w:bookmarkEnd w:id="90"/>
      <w:bookmarkEnd w:id="91"/>
      <w:bookmarkEnd w:id="92"/>
      <w:bookmarkEnd w:id="9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招 标 人： 重庆首讯科技股份有限公司</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 重庆市渝北区龙溪街道新南路52号</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联 系 人： 蒋老师</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 023-63131274</w:t>
            </w:r>
          </w:p>
          <w:p>
            <w:pPr>
              <w:keepNext w:val="0"/>
              <w:keepLines w:val="0"/>
              <w:widowControl w:val="0"/>
              <w:suppressLineNumbers w:val="0"/>
              <w:adjustRightInd w:val="0"/>
              <w:snapToGrid w:val="0"/>
              <w:spacing w:before="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 xml:space="preserve">电子邮件： </w:t>
            </w:r>
            <w:r>
              <w:rPr>
                <w:rFonts w:hint="eastAsia" w:ascii="宋体" w:hAnsi="宋体" w:cs="宋体"/>
                <w:kern w:val="0"/>
                <w:sz w:val="21"/>
                <w:szCs w:val="21"/>
                <w:highlight w:val="none"/>
                <w:lang w:val="en-US" w:eastAsia="zh-CN" w:bidi="ar"/>
              </w:rPr>
              <w:t>jiangchengke@cegc.com.cn</w:t>
            </w:r>
            <w:r>
              <w:rPr>
                <w:rFonts w:hint="eastAsia" w:ascii="宋体" w:hAnsi="宋体" w:eastAsia="宋体" w:cs="宋体"/>
                <w:kern w:val="0"/>
                <w:sz w:val="21"/>
                <w:szCs w:val="21"/>
                <w:highlight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cs="宋体"/>
                <w:kern w:val="2"/>
                <w:sz w:val="21"/>
                <w:szCs w:val="21"/>
                <w:highlight w:val="none"/>
                <w:lang w:val="en-US" w:eastAsia="zh-CN" w:bidi="ar"/>
              </w:rPr>
              <w:t xml:space="preserve">无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招标项目名称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szCs w:val="21"/>
                <w:highlight w:val="none"/>
              </w:rPr>
            </w:pPr>
            <w:r>
              <w:rPr>
                <w:rFonts w:hint="eastAsia" w:ascii="宋体" w:hAnsi="宋体" w:cs="宋体"/>
                <w:kern w:val="2"/>
                <w:sz w:val="21"/>
                <w:szCs w:val="21"/>
                <w:highlight w:val="none"/>
                <w:lang w:val="en-US" w:eastAsia="zh-CN" w:bidi="ar"/>
              </w:rPr>
              <w:t>巫溪至开州高速公路项目机电工程通风照明工程专项分包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color w:val="auto"/>
                <w:szCs w:val="21"/>
                <w:highlight w:val="none"/>
              </w:rPr>
            </w:pPr>
            <w:r>
              <w:rPr>
                <w:rFonts w:hint="eastAsia" w:ascii="宋体" w:hAnsi="宋体" w:eastAsia="宋体" w:cs="宋体"/>
                <w:kern w:val="0"/>
                <w:sz w:val="21"/>
                <w:szCs w:val="21"/>
                <w:highlight w:val="none"/>
                <w:lang w:val="en-US" w:eastAsia="zh-CN"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4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40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cs="宋体"/>
                <w:snapToGrid w:val="0"/>
                <w:color w:val="auto"/>
                <w:kern w:val="0"/>
                <w:szCs w:val="21"/>
                <w:highlight w:val="none"/>
                <w:u w:val="single"/>
              </w:rPr>
              <w:t>巫溪至开州高速公路项目机电工程通风照明工程涉及的照明灯具、风机及安装辅材供货，灯具、灯杆、照明配电箱的安装，相关电缆的敷设，以及照明系统的调试等工程量清单中明确的一切相关工作。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工期：</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u w:val="single"/>
                <w:lang w:val="en-US" w:eastAsia="zh-CN"/>
              </w:rPr>
              <w:t>个月</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计划开工日期：</w:t>
            </w:r>
            <w:r>
              <w:rPr>
                <w:rFonts w:hint="eastAsia" w:ascii="宋体" w:hAnsi="宋体" w:eastAsia="宋体" w:cs="宋体"/>
                <w:color w:val="auto"/>
                <w:kern w:val="0"/>
                <w:szCs w:val="21"/>
                <w:highlight w:val="none"/>
                <w:u w:val="single"/>
                <w:lang w:val="en-US" w:eastAsia="zh-CN"/>
              </w:rPr>
              <w:t>具体</w:t>
            </w:r>
            <w:r>
              <w:rPr>
                <w:rFonts w:hint="eastAsia" w:ascii="宋体" w:hAnsi="宋体" w:eastAsia="宋体" w:cs="宋体"/>
                <w:snapToGrid w:val="0"/>
                <w:color w:val="auto"/>
                <w:kern w:val="0"/>
                <w:szCs w:val="21"/>
                <w:highlight w:val="none"/>
                <w:u w:val="single"/>
              </w:rPr>
              <w:t>以甲方实际下达的开工通知为准；</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rPr>
              <w:t>计划</w:t>
            </w:r>
            <w:r>
              <w:rPr>
                <w:rFonts w:hint="eastAsia" w:ascii="宋体" w:hAnsi="宋体" w:eastAsia="宋体" w:cs="宋体"/>
                <w:color w:val="auto"/>
                <w:kern w:val="0"/>
                <w:szCs w:val="21"/>
                <w:highlight w:val="none"/>
                <w:lang w:val="en-US" w:eastAsia="zh-CN"/>
              </w:rPr>
              <w:t>完工</w:t>
            </w:r>
            <w:r>
              <w:rPr>
                <w:rFonts w:hint="eastAsia" w:ascii="宋体" w:hAnsi="宋体" w:eastAsia="宋体" w:cs="宋体"/>
                <w:color w:val="auto"/>
                <w:kern w:val="0"/>
                <w:szCs w:val="21"/>
                <w:highlight w:val="none"/>
              </w:rPr>
              <w:t>日期：</w:t>
            </w:r>
            <w:r>
              <w:rPr>
                <w:rFonts w:hint="eastAsia" w:ascii="宋体" w:hAnsi="宋体" w:eastAsia="宋体" w:cs="宋体"/>
                <w:snapToGrid w:val="0"/>
                <w:color w:val="auto"/>
                <w:kern w:val="0"/>
                <w:szCs w:val="21"/>
                <w:highlight w:val="none"/>
                <w:u w:val="single"/>
              </w:rPr>
              <w:t>202</w:t>
            </w:r>
            <w:r>
              <w:rPr>
                <w:rFonts w:hint="eastAsia" w:ascii="宋体" w:hAnsi="宋体" w:eastAsia="宋体" w:cs="宋体"/>
                <w:snapToGrid w:val="0"/>
                <w:color w:val="auto"/>
                <w:kern w:val="0"/>
                <w:szCs w:val="21"/>
                <w:highlight w:val="none"/>
                <w:u w:val="single"/>
                <w:lang w:val="en-US" w:eastAsia="zh-CN"/>
              </w:rPr>
              <w:t>3</w:t>
            </w:r>
            <w:r>
              <w:rPr>
                <w:rFonts w:hint="eastAsia" w:ascii="宋体" w:hAnsi="宋体" w:eastAsia="宋体" w:cs="宋体"/>
                <w:snapToGrid w:val="0"/>
                <w:color w:val="auto"/>
                <w:kern w:val="0"/>
                <w:szCs w:val="21"/>
                <w:highlight w:val="none"/>
                <w:u w:val="single"/>
              </w:rPr>
              <w:t>年1</w:t>
            </w:r>
            <w:r>
              <w:rPr>
                <w:rFonts w:hint="eastAsia" w:ascii="宋体" w:hAnsi="宋体" w:eastAsia="宋体" w:cs="宋体"/>
                <w:snapToGrid w:val="0"/>
                <w:color w:val="auto"/>
                <w:kern w:val="0"/>
                <w:szCs w:val="21"/>
                <w:highlight w:val="none"/>
                <w:u w:val="single"/>
                <w:lang w:val="en-US" w:eastAsia="zh-CN"/>
              </w:rPr>
              <w:t>2</w:t>
            </w:r>
            <w:r>
              <w:rPr>
                <w:rFonts w:hint="eastAsia" w:ascii="宋体" w:hAnsi="宋体" w:eastAsia="宋体" w:cs="宋体"/>
                <w:snapToGrid w:val="0"/>
                <w:color w:val="auto"/>
                <w:kern w:val="0"/>
                <w:szCs w:val="21"/>
                <w:highlight w:val="none"/>
                <w:u w:val="single"/>
              </w:rPr>
              <w:t>月</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cs="宋体"/>
                <w:snapToGrid w:val="0"/>
                <w:color w:val="auto"/>
                <w:kern w:val="0"/>
                <w:szCs w:val="21"/>
                <w:highlight w:val="none"/>
                <w:u w:val="single"/>
                <w:lang w:val="en-US" w:eastAsia="zh-CN"/>
              </w:rPr>
              <w:t>其中，</w:t>
            </w:r>
            <w:r>
              <w:rPr>
                <w:rFonts w:hint="eastAsia" w:ascii="宋体" w:hAnsi="宋体" w:eastAsia="宋体" w:cs="宋体"/>
                <w:snapToGrid w:val="0"/>
                <w:color w:val="auto"/>
                <w:kern w:val="0"/>
                <w:szCs w:val="21"/>
                <w:highlight w:val="none"/>
                <w:u w:val="single"/>
              </w:rPr>
              <w:t>沙市至开州</w:t>
            </w:r>
            <w:r>
              <w:rPr>
                <w:rFonts w:hint="eastAsia" w:ascii="宋体" w:hAnsi="宋体" w:cs="宋体"/>
                <w:snapToGrid w:val="0"/>
                <w:color w:val="auto"/>
                <w:kern w:val="0"/>
                <w:szCs w:val="21"/>
                <w:highlight w:val="none"/>
                <w:u w:val="single"/>
                <w:lang w:val="en-US" w:eastAsia="zh-CN"/>
              </w:rPr>
              <w:t>段预计完工日期2023年9月。</w:t>
            </w:r>
            <w:r>
              <w:rPr>
                <w:rFonts w:hint="eastAsia" w:ascii="宋体" w:hAnsi="宋体" w:eastAsia="宋体" w:cs="宋体"/>
                <w:color w:val="auto"/>
                <w:kern w:val="0"/>
                <w:szCs w:val="21"/>
                <w:highlight w:val="none"/>
                <w:u w:val="none"/>
              </w:rPr>
              <w:t xml:space="preserve">       </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24</w:t>
            </w:r>
            <w:r>
              <w:rPr>
                <w:rFonts w:hint="eastAsia" w:ascii="宋体" w:hAnsi="宋体" w:eastAsia="宋体" w:cs="宋体"/>
                <w:color w:val="auto"/>
                <w:kern w:val="0"/>
                <w:szCs w:val="21"/>
                <w:highlight w:val="none"/>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工程交工验收的质量评定：</w:t>
            </w:r>
            <w:r>
              <w:rPr>
                <w:rFonts w:hint="eastAsia" w:ascii="宋体" w:hAnsi="宋体" w:eastAsia="宋体" w:cs="宋体"/>
                <w:color w:val="auto"/>
                <w:szCs w:val="21"/>
                <w:highlight w:val="none"/>
                <w:u w:val="single"/>
                <w:lang w:val="en-US" w:eastAsia="zh-CN"/>
              </w:rPr>
              <w:t>合格，年度一次性抽检合格率不低于97%。</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工程竣工验收的质量评定：</w:t>
            </w:r>
            <w:r>
              <w:rPr>
                <w:rFonts w:hint="eastAsia" w:ascii="宋体" w:hAnsi="宋体" w:eastAsia="宋体" w:cs="宋体"/>
                <w:color w:val="auto"/>
                <w:szCs w:val="21"/>
                <w:highlight w:val="none"/>
                <w:u w:val="single"/>
                <w:lang w:val="en-US" w:eastAsia="zh-CN"/>
              </w:rPr>
              <w:t>合格，年度一次性抽检合格率不低于97%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安全目标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1、资质条件、营业执照及安全生产条件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（1）具备建设行政主管部门颁发的有效的</w:t>
            </w:r>
            <w:r>
              <w:rPr>
                <w:rFonts w:hint="eastAsia" w:ascii="宋体" w:hAnsi="宋体" w:eastAsia="宋体" w:cs="宋体"/>
                <w:snapToGrid w:val="0"/>
                <w:color w:val="auto"/>
                <w:kern w:val="0"/>
                <w:szCs w:val="21"/>
                <w:highlight w:val="none"/>
                <w:u w:val="single"/>
                <w:lang w:val="en-US" w:eastAsia="zh-CN"/>
              </w:rPr>
              <w:t>城</w:t>
            </w:r>
            <w:r>
              <w:rPr>
                <w:rFonts w:hint="eastAsia" w:ascii="宋体" w:hAnsi="宋体" w:eastAsia="宋体" w:cs="宋体"/>
                <w:color w:val="auto"/>
                <w:szCs w:val="21"/>
                <w:highlight w:val="none"/>
                <w:u w:val="single"/>
              </w:rPr>
              <w:t>市及道路照明工程</w:t>
            </w:r>
            <w:r>
              <w:rPr>
                <w:rFonts w:hint="eastAsia" w:ascii="宋体" w:hAnsi="宋体" w:eastAsia="宋体" w:cs="宋体"/>
                <w:color w:val="auto"/>
                <w:szCs w:val="21"/>
                <w:highlight w:val="none"/>
                <w:u w:val="single"/>
                <w:lang w:eastAsia="zh-CN"/>
              </w:rPr>
              <w:t>专业承包</w:t>
            </w:r>
            <w:r>
              <w:rPr>
                <w:rFonts w:hint="eastAsia" w:ascii="宋体" w:hAnsi="宋体" w:eastAsia="宋体" w:cs="宋体"/>
                <w:color w:val="auto"/>
                <w:szCs w:val="21"/>
                <w:highlight w:val="none"/>
                <w:u w:val="single"/>
              </w:rPr>
              <w:t>一级资质</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具有独立法人资格，</w:t>
            </w:r>
            <w:r>
              <w:rPr>
                <w:rFonts w:hint="eastAsia" w:ascii="宋体" w:hAnsi="宋体" w:eastAsia="宋体" w:cs="宋体"/>
                <w:color w:val="auto"/>
                <w:szCs w:val="21"/>
                <w:highlight w:val="none"/>
              </w:rPr>
              <w:t>具备有效的营业执照。</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（3）具备建设行政主管部门颁发的</w:t>
            </w:r>
            <w:r>
              <w:rPr>
                <w:rFonts w:hint="eastAsia" w:ascii="宋体" w:hAnsi="宋体" w:cs="宋体"/>
                <w:color w:val="auto"/>
                <w:szCs w:val="21"/>
                <w:highlight w:val="none"/>
                <w:lang w:eastAsia="zh-CN"/>
              </w:rPr>
              <w:t>有效的</w:t>
            </w:r>
            <w:r>
              <w:rPr>
                <w:rFonts w:hint="eastAsia" w:ascii="宋体" w:hAnsi="宋体" w:eastAsia="宋体" w:cs="宋体"/>
                <w:color w:val="auto"/>
                <w:szCs w:val="21"/>
                <w:highlight w:val="none"/>
              </w:rPr>
              <w:t>安全生产许可证</w:t>
            </w:r>
            <w:r>
              <w:rPr>
                <w:rFonts w:hint="eastAsia" w:ascii="宋体" w:hAnsi="宋体" w:eastAsia="宋体" w:cs="宋体"/>
                <w:color w:val="auto"/>
                <w:spacing w:val="2"/>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
                <w:szCs w:val="21"/>
                <w:highlight w:val="none"/>
              </w:rPr>
              <w:t>企业主要负责人具备相应的由交通行政主管部门或建设行政主管部门颁发的有效的安全生产考核合格证书</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8" w:firstLineChars="2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投标人须在投标文件资格审查部分提供有效的安全生产许可证</w:t>
            </w:r>
            <w:r>
              <w:rPr>
                <w:rFonts w:hint="eastAsia" w:ascii="宋体" w:hAnsi="宋体" w:eastAsia="宋体" w:cs="宋体"/>
                <w:color w:val="auto"/>
                <w:szCs w:val="21"/>
                <w:highlight w:val="none"/>
              </w:rPr>
              <w:t>及安全生产考核合格证书</w:t>
            </w:r>
            <w:r>
              <w:rPr>
                <w:rFonts w:hint="eastAsia" w:ascii="宋体" w:hAnsi="宋体" w:eastAsia="宋体" w:cs="宋体"/>
                <w:color w:val="auto"/>
                <w:szCs w:val="21"/>
                <w:highlight w:val="none"/>
                <w:lang w:eastAsia="zh-CN"/>
              </w:rPr>
              <w:t>复印件</w:t>
            </w:r>
            <w:r>
              <w:rPr>
                <w:rFonts w:hint="eastAsia" w:ascii="宋体" w:hAnsi="宋体" w:eastAsia="宋体" w:cs="宋体"/>
                <w:color w:val="auto"/>
                <w:spacing w:val="2"/>
                <w:szCs w:val="21"/>
                <w:highlight w:val="none"/>
              </w:rPr>
              <w:t>。</w:t>
            </w:r>
          </w:p>
          <w:p>
            <w:pPr>
              <w:keepNext w:val="0"/>
              <w:keepLines w:val="0"/>
              <w:numPr>
                <w:ilvl w:val="0"/>
                <w:numId w:val="1"/>
              </w:numPr>
              <w:suppressLineNumbers w:val="0"/>
              <w:autoSpaceDE w:val="0"/>
              <w:autoSpaceDN w:val="0"/>
              <w:adjustRightInd w:val="0"/>
              <w:snapToGrid w:val="0"/>
              <w:spacing w:before="0" w:beforeAutospacing="0" w:after="0" w:afterLines="0" w:afterAutospacing="0" w:line="400" w:lineRule="exact"/>
              <w:ind w:left="0" w:leftChars="0" w:right="0" w:firstLine="422"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关键设备授权要求</w:t>
            </w:r>
          </w:p>
          <w:p>
            <w:pPr>
              <w:keepNext w:val="0"/>
              <w:keepLines w:val="0"/>
              <w:numPr>
                <w:ilvl w:val="-1"/>
                <w:numId w:val="0"/>
              </w:numPr>
              <w:suppressLineNumbers w:val="0"/>
              <w:autoSpaceDE w:val="0"/>
              <w:autoSpaceDN w:val="0"/>
              <w:adjustRightInd w:val="0"/>
              <w:snapToGrid w:val="0"/>
              <w:spacing w:before="0" w:beforeAutospacing="0" w:after="0" w:afterLines="0" w:afterAutospacing="0" w:line="400" w:lineRule="exact"/>
              <w:ind w:left="420" w:leftChars="200" w:right="0" w:firstLine="0" w:firstLineChars="0"/>
              <w:rPr>
                <w:rFonts w:hint="eastAsia" w:ascii="宋体" w:hAnsi="宋体" w:eastAsia="宋体" w:cs="宋体"/>
                <w:snapToGrid w:val="0"/>
                <w:color w:val="auto"/>
                <w:spacing w:val="0"/>
                <w:kern w:val="0"/>
                <w:szCs w:val="21"/>
                <w:highlight w:val="none"/>
                <w:u w:val="none"/>
                <w:lang w:eastAsia="zh-CN"/>
              </w:rPr>
            </w:pPr>
            <w:r>
              <w:rPr>
                <w:rFonts w:hint="eastAsia" w:ascii="宋体" w:hAnsi="宋体" w:eastAsia="宋体" w:cs="宋体"/>
                <w:snapToGrid w:val="0"/>
                <w:color w:val="auto"/>
                <w:spacing w:val="0"/>
                <w:kern w:val="0"/>
                <w:szCs w:val="21"/>
                <w:highlight w:val="none"/>
                <w:u w:val="none"/>
                <w:lang w:eastAsia="zh-CN"/>
              </w:rPr>
              <w:t>投标人须取得灯具</w:t>
            </w:r>
            <w:r>
              <w:rPr>
                <w:rFonts w:hint="eastAsia" w:ascii="宋体" w:hAnsi="宋体" w:cs="宋体"/>
                <w:snapToGrid w:val="0"/>
                <w:color w:val="auto"/>
                <w:spacing w:val="0"/>
                <w:kern w:val="0"/>
                <w:szCs w:val="21"/>
                <w:highlight w:val="none"/>
                <w:u w:val="none"/>
                <w:lang w:val="en-US" w:eastAsia="zh-CN"/>
              </w:rPr>
              <w:t>和风机</w:t>
            </w:r>
            <w:r>
              <w:rPr>
                <w:rFonts w:hint="eastAsia" w:ascii="宋体" w:hAnsi="宋体" w:eastAsia="宋体" w:cs="宋体"/>
                <w:snapToGrid w:val="0"/>
                <w:color w:val="auto"/>
                <w:spacing w:val="0"/>
                <w:kern w:val="0"/>
                <w:szCs w:val="21"/>
                <w:highlight w:val="none"/>
                <w:u w:val="none"/>
                <w:lang w:eastAsia="zh-CN"/>
              </w:rPr>
              <w:t>生产厂家项目授权书。</w:t>
            </w:r>
          </w:p>
          <w:p>
            <w:pPr>
              <w:keepNext w:val="0"/>
              <w:keepLines w:val="0"/>
              <w:numPr>
                <w:ilvl w:val="-1"/>
                <w:numId w:val="0"/>
              </w:numPr>
              <w:suppressLineNumbers w:val="0"/>
              <w:autoSpaceDE w:val="0"/>
              <w:autoSpaceDN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spacing w:val="0"/>
                <w:kern w:val="0"/>
                <w:szCs w:val="21"/>
                <w:highlight w:val="none"/>
                <w:u w:val="none"/>
              </w:rPr>
              <w:t>投标人须在投标文件资格审查部分提供</w:t>
            </w:r>
            <w:r>
              <w:rPr>
                <w:rFonts w:hint="eastAsia" w:ascii="宋体" w:hAnsi="宋体" w:eastAsia="宋体" w:cs="宋体"/>
                <w:snapToGrid w:val="0"/>
                <w:color w:val="auto"/>
                <w:spacing w:val="0"/>
                <w:kern w:val="0"/>
                <w:szCs w:val="21"/>
                <w:highlight w:val="none"/>
                <w:u w:val="none"/>
                <w:lang w:eastAsia="zh-CN"/>
              </w:rPr>
              <w:t>以下资料：（</w:t>
            </w:r>
            <w:r>
              <w:rPr>
                <w:rFonts w:hint="eastAsia" w:ascii="宋体" w:hAnsi="宋体" w:eastAsia="宋体" w:cs="宋体"/>
                <w:snapToGrid w:val="0"/>
                <w:color w:val="auto"/>
                <w:spacing w:val="0"/>
                <w:kern w:val="0"/>
                <w:szCs w:val="21"/>
                <w:highlight w:val="none"/>
                <w:u w:val="none"/>
                <w:lang w:val="en-US" w:eastAsia="zh-CN"/>
              </w:rPr>
              <w:t>1</w:t>
            </w:r>
            <w:r>
              <w:rPr>
                <w:rFonts w:hint="eastAsia" w:ascii="宋体" w:hAnsi="宋体" w:eastAsia="宋体" w:cs="宋体"/>
                <w:snapToGrid w:val="0"/>
                <w:color w:val="auto"/>
                <w:spacing w:val="0"/>
                <w:kern w:val="0"/>
                <w:szCs w:val="21"/>
                <w:highlight w:val="none"/>
                <w:u w:val="none"/>
                <w:lang w:eastAsia="zh-CN"/>
              </w:rPr>
              <w:t>）灯具</w:t>
            </w:r>
            <w:r>
              <w:rPr>
                <w:rFonts w:hint="eastAsia" w:ascii="宋体" w:hAnsi="宋体" w:cs="宋体"/>
                <w:snapToGrid w:val="0"/>
                <w:color w:val="auto"/>
                <w:spacing w:val="0"/>
                <w:kern w:val="0"/>
                <w:szCs w:val="21"/>
                <w:highlight w:val="none"/>
                <w:u w:val="none"/>
                <w:lang w:val="en-US" w:eastAsia="zh-CN"/>
              </w:rPr>
              <w:t>和风机</w:t>
            </w:r>
            <w:r>
              <w:rPr>
                <w:rFonts w:hint="eastAsia" w:ascii="宋体" w:hAnsi="宋体" w:eastAsia="宋体" w:cs="宋体"/>
                <w:snapToGrid w:val="0"/>
                <w:color w:val="auto"/>
                <w:spacing w:val="0"/>
                <w:kern w:val="0"/>
                <w:szCs w:val="21"/>
                <w:highlight w:val="none"/>
                <w:u w:val="none"/>
                <w:lang w:val="en-US" w:eastAsia="zh-CN"/>
              </w:rPr>
              <w:t>制造商的营业执照复印件并加盖制造商公章。</w:t>
            </w: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2</w:t>
            </w:r>
            <w:r>
              <w:rPr>
                <w:rFonts w:hint="eastAsia" w:ascii="宋体" w:hAnsi="宋体" w:eastAsia="宋体" w:cs="宋体"/>
                <w:snapToGrid w:val="0"/>
                <w:color w:val="auto"/>
                <w:kern w:val="0"/>
                <w:szCs w:val="21"/>
                <w:highlight w:val="none"/>
                <w:u w:val="none"/>
                <w:lang w:eastAsia="zh-CN"/>
              </w:rPr>
              <w:t>）制造商向投标人出具的授权书</w:t>
            </w:r>
            <w:r>
              <w:rPr>
                <w:rFonts w:hint="eastAsia" w:ascii="宋体" w:hAnsi="宋体" w:eastAsia="宋体" w:cs="宋体"/>
                <w:b w:val="0"/>
                <w:bCs w:val="0"/>
                <w:snapToGrid w:val="0"/>
                <w:color w:val="auto"/>
                <w:kern w:val="0"/>
                <w:szCs w:val="21"/>
                <w:highlight w:val="none"/>
                <w:u w:val="none"/>
                <w:lang w:eastAsia="zh-CN"/>
              </w:rPr>
              <w:t>原件</w:t>
            </w:r>
            <w:r>
              <w:rPr>
                <w:rFonts w:hint="eastAsia" w:ascii="宋体" w:hAnsi="宋体" w:eastAsia="宋体" w:cs="宋体"/>
                <w:snapToGrid w:val="0"/>
                <w:color w:val="auto"/>
                <w:kern w:val="0"/>
                <w:szCs w:val="21"/>
                <w:highlight w:val="none"/>
                <w:u w:val="none"/>
              </w:rPr>
              <w:t>（格式见第</w:t>
            </w:r>
            <w:r>
              <w:rPr>
                <w:rFonts w:hint="eastAsia" w:ascii="宋体" w:hAnsi="宋体" w:eastAsia="宋体" w:cs="宋体"/>
                <w:snapToGrid w:val="0"/>
                <w:color w:val="auto"/>
                <w:kern w:val="0"/>
                <w:szCs w:val="21"/>
                <w:highlight w:val="none"/>
                <w:u w:val="none"/>
                <w:lang w:eastAsia="zh-CN"/>
              </w:rPr>
              <w:t>九</w:t>
            </w:r>
            <w:r>
              <w:rPr>
                <w:rFonts w:hint="eastAsia" w:ascii="宋体" w:hAnsi="宋体" w:eastAsia="宋体" w:cs="宋体"/>
                <w:snapToGrid w:val="0"/>
                <w:color w:val="auto"/>
                <w:kern w:val="0"/>
                <w:szCs w:val="21"/>
                <w:highlight w:val="none"/>
                <w:u w:val="none"/>
              </w:rPr>
              <w:t>章投标文件格式）</w:t>
            </w:r>
            <w:r>
              <w:rPr>
                <w:rFonts w:hint="eastAsia" w:ascii="宋体" w:hAnsi="宋体" w:eastAsia="宋体" w:cs="宋体"/>
                <w:snapToGrid w:val="0"/>
                <w:color w:val="auto"/>
                <w:spacing w:val="0"/>
                <w:kern w:val="0"/>
                <w:szCs w:val="21"/>
                <w:highlight w:val="none"/>
                <w:u w:val="none"/>
                <w:lang w:val="en-US"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kern w:val="0"/>
                <w:szCs w:val="21"/>
                <w:highlight w:val="none"/>
                <w:lang w:bidi="ar"/>
              </w:rPr>
              <w:t>、业绩要求</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snapToGrid w:val="0"/>
                <w:color w:val="auto"/>
                <w:kern w:val="0"/>
                <w:szCs w:val="21"/>
                <w:highlight w:val="none"/>
                <w:u w:val="none"/>
              </w:rPr>
              <w:t>2018年1月1日至投标截止日，投标人至少完成一项合同额超过2000万元以上的机电安装工程（含公路、市政、房建、铁路等领域的机电安装工程）业绩，业绩中工作内容需含照明工程或电气照明等照明相关内容。</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注：</w:t>
            </w:r>
            <w:r>
              <w:rPr>
                <w:rFonts w:hint="eastAsia" w:ascii="宋体" w:hAnsi="宋体" w:eastAsia="宋体" w:cs="宋体"/>
                <w:color w:val="auto"/>
                <w:szCs w:val="21"/>
                <w:highlight w:val="none"/>
                <w:u w:val="none"/>
                <w:lang w:eastAsia="zh-CN"/>
              </w:rPr>
              <w:t>若为总承包工程项目，其机电安装工程部分业绩需达到</w:t>
            </w:r>
            <w:r>
              <w:rPr>
                <w:rFonts w:hint="eastAsia" w:ascii="宋体" w:hAnsi="宋体" w:eastAsia="宋体" w:cs="宋体"/>
                <w:color w:val="auto"/>
                <w:szCs w:val="21"/>
                <w:highlight w:val="none"/>
                <w:u w:val="none"/>
                <w:lang w:val="en-US" w:eastAsia="zh-CN"/>
              </w:rPr>
              <w:t>20</w:t>
            </w:r>
            <w:r>
              <w:rPr>
                <w:rFonts w:hint="eastAsia" w:ascii="宋体" w:hAnsi="宋体" w:eastAsia="宋体" w:cs="宋体"/>
                <w:color w:val="auto"/>
                <w:szCs w:val="21"/>
                <w:highlight w:val="none"/>
                <w:u w:val="none"/>
                <w:lang w:eastAsia="zh-CN"/>
              </w:rPr>
              <w:t>00万元。</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rPr>
              <w:t>业绩证明材料要求：</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业绩在交通运输部“全国公路建设市场信用信息管理系统”或“全国建筑市场监管公共服务平台”查询到的相关项目网页截图。提供的网页截图能够完全反映业绩要求对应的业绩信息的，无须再提供其他业绩证明材料；若网页截图不能完全反映业绩要求对应的业绩信息的，可以补充提供合同协议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工程交工（或竣工）验收合格的证明材料</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4、投标截止日投标资格情况要求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投标人自行承诺（格式见第九章投标文件格式）不得存在下列情形之一：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主管部门暂停在渝承揽新业务且在暂停期内；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w:t>
            </w:r>
            <w:r>
              <w:rPr>
                <w:rFonts w:hint="eastAsia" w:ascii="宋体" w:hAnsi="宋体" w:eastAsia="宋体" w:cs="宋体"/>
                <w:szCs w:val="21"/>
                <w:highlight w:val="none"/>
              </w:rPr>
              <w:t>（格式见第</w:t>
            </w:r>
            <w:r>
              <w:rPr>
                <w:rFonts w:hint="eastAsia" w:ascii="宋体" w:hAnsi="宋体" w:eastAsia="宋体" w:cs="宋体"/>
                <w:szCs w:val="21"/>
                <w:highlight w:val="none"/>
                <w:lang w:eastAsia="zh-CN"/>
              </w:rPr>
              <w:t>九</w:t>
            </w:r>
            <w:r>
              <w:rPr>
                <w:rFonts w:hint="eastAsia" w:ascii="宋体" w:hAnsi="宋体" w:eastAsia="宋体" w:cs="宋体"/>
                <w:szCs w:val="21"/>
                <w:highlight w:val="none"/>
              </w:rPr>
              <w:t>章投标文件格式）</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5、项目经理和项目总工资格</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bCs/>
                <w:snapToGrid w:val="0"/>
                <w:color w:val="auto"/>
                <w:szCs w:val="21"/>
                <w:highlight w:val="none"/>
              </w:rPr>
              <w:t>项目经理：1 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5.1.1投标人拟派的项目经理必须已在投标人本单位注册并应具有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single"/>
              </w:rPr>
              <w:t>机电工程专业一级注册建造师</w:t>
            </w:r>
            <w:r>
              <w:rPr>
                <w:rFonts w:hint="eastAsia" w:ascii="宋体" w:hAnsi="宋体" w:eastAsia="宋体" w:cs="宋体"/>
                <w:color w:val="auto"/>
                <w:szCs w:val="21"/>
                <w:highlight w:val="none"/>
              </w:rPr>
              <w:t>执业资格，并具有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省级及以上交通行政主管部门</w:t>
            </w:r>
            <w:r>
              <w:rPr>
                <w:rFonts w:hint="eastAsia" w:ascii="宋体" w:hAnsi="宋体" w:eastAsia="宋体" w:cs="宋体"/>
                <w:color w:val="auto"/>
                <w:szCs w:val="21"/>
                <w:highlight w:val="none"/>
                <w:lang w:val="en-US" w:eastAsia="zh-CN"/>
              </w:rPr>
              <w:t>或者建设主管部门</w:t>
            </w:r>
            <w:r>
              <w:rPr>
                <w:rFonts w:hint="eastAsia" w:ascii="宋体" w:hAnsi="宋体" w:eastAsia="宋体" w:cs="宋体"/>
                <w:color w:val="auto"/>
                <w:szCs w:val="21"/>
                <w:highlight w:val="none"/>
              </w:rPr>
              <w:t>颁发的</w:t>
            </w:r>
            <w:r>
              <w:rPr>
                <w:rFonts w:hint="eastAsia" w:ascii="宋体" w:hAnsi="宋体" w:eastAsia="宋体" w:cs="宋体"/>
                <w:color w:val="auto"/>
                <w:szCs w:val="21"/>
                <w:highlight w:val="none"/>
                <w:u w:val="single"/>
              </w:rPr>
              <w:t>安全生产考核合格证书（B类）</w:t>
            </w:r>
            <w:r>
              <w:rPr>
                <w:rFonts w:hint="eastAsia" w:ascii="宋体" w:hAnsi="宋体" w:eastAsia="宋体" w:cs="宋体"/>
                <w:color w:val="auto"/>
                <w:szCs w:val="21"/>
                <w:highlight w:val="none"/>
                <w:lang w:val="en-US"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5.1.2项目经理承诺要求：投标人须承诺拟派项目经理按注册建造师的相关规定到岗履职和未被禁止参与投标。</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5.1.2.2未被禁止参与投标承诺要求：承诺拟派项目经理未被重庆市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auto"/>
                <w:szCs w:val="21"/>
                <w:highlight w:val="none"/>
              </w:rPr>
              <w:t>5.1.2.3</w:t>
            </w:r>
            <w:r>
              <w:rPr>
                <w:rFonts w:hint="eastAsia" w:ascii="宋体" w:hAnsi="宋体" w:eastAsia="宋体" w:cs="宋体"/>
                <w:color w:val="000000"/>
                <w:szCs w:val="21"/>
                <w:highlight w:val="none"/>
              </w:rPr>
              <w:t>项目经理的其它承诺要求：为保证</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拟派的项目经理到本项目到岗履职，</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还需承诺：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若</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拟派本项目的项目经理有在其他项目任职的情形的（或有在其他项目中标或拟中标的情形的），应在收到中标通知书后</w:t>
            </w:r>
            <w:r>
              <w:rPr>
                <w:rFonts w:hint="eastAsia" w:ascii="宋体" w:hAnsi="宋体" w:eastAsia="宋体" w:cs="宋体"/>
                <w:color w:val="000000"/>
                <w:szCs w:val="21"/>
                <w:highlight w:val="none"/>
                <w:u w:val="single"/>
              </w:rPr>
              <w:t xml:space="preserve"> 14 </w:t>
            </w:r>
            <w:r>
              <w:rPr>
                <w:rFonts w:hint="eastAsia" w:ascii="宋体" w:hAnsi="宋体" w:eastAsia="宋体" w:cs="宋体"/>
                <w:color w:val="000000"/>
                <w:szCs w:val="21"/>
                <w:highlight w:val="none"/>
              </w:rPr>
              <w:t>日内，办理完成放弃在其他项目任职的手续（或办理完成放弃在其他项目中标或拟中标的手续），招标人在合同签订前有权对</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拟派项目经理在其他项目的任职情形（或在其他项目的中标或拟中标情形）进行核查，若与</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承诺内容不符或</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未在上述时间内按照招标文件规定递交放弃在其他项目任职、中标或拟中标的相关资料，视为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放弃中标资格，招标人不退还其投标保证金。在合同签订时，</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需确保拟派项目经理符合《建筑施工企业项目经理资质管理办法》规定的项目经理任职条件，否则视为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放弃在其他项目任职的需提供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w:t>
            </w:r>
            <w:r>
              <w:rPr>
                <w:rFonts w:hint="eastAsia" w:ascii="宋体" w:hAnsi="宋体" w:eastAsia="宋体" w:cs="宋体"/>
                <w:color w:val="000000"/>
                <w:szCs w:val="21"/>
                <w:highlight w:val="none"/>
                <w:lang w:val="en-US" w:eastAsia="zh-CN"/>
              </w:rPr>
              <w:t>经</w:t>
            </w:r>
            <w:r>
              <w:rPr>
                <w:rFonts w:hint="eastAsia" w:ascii="宋体" w:hAnsi="宋体" w:eastAsia="宋体" w:cs="宋体"/>
                <w:color w:val="000000"/>
                <w:szCs w:val="21"/>
                <w:highlight w:val="none"/>
              </w:rPr>
              <w:t>业主或建设单位同意任职变更的文件；②负责项目监管的行业行政主管部门出具同意任职变更的证明材料。</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放弃在其他项目中标或拟中标的需提供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①经中标或拟中标的其他项目建设单位同意的放弃中标函</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5.1.2.4未提供上述承诺或承诺内容不符合要求的，由评标委员会作否决投标处理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投标人须在投标文件资格审查部分提供有效的拟派项目经理身份证、建造师注册证、安全生产考核合格证书（B类）、投标人为其交纳的养老保险证明材料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，拟派项目经理到岗履职和未被禁止参与投标的承诺（承诺格式见第九章投标文件格式）</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注：</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提供拟派的项目经理为一级建造师注册人员的，必须提供建造师电子注册证书，且该建造师电子注册证书须由建造师本人在个人签名处手写本人签名。</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建造师电子注册证书本人手写签名与签名图像笔迹是否一致不作为否决投标的情形。</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5.1.3项目经理业绩</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投标人拟派的项目经理具有在1个机电工程施工项目中担任项目经理的业绩，且该施工项目工作内容含照明工程或电气照明等照明相关内容。</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提供该项目经理业绩在交通运输部“全国公路建设市场信用信息管理系统”或“全国建筑市场监管公共服务平台”查询到相关项目网页截图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提供的网页截图能够完全反映项目经理业绩信息的，无须再提供其他业绩证明材料</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lang w:eastAsia="zh-CN"/>
              </w:rPr>
              <w:t>提供网页截图</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可以提供合同协议书</w:t>
            </w:r>
            <w:r>
              <w:rPr>
                <w:rFonts w:hint="eastAsia" w:ascii="宋体" w:hAnsi="宋体" w:eastAsia="宋体" w:cs="宋体"/>
                <w:color w:val="auto"/>
                <w:szCs w:val="21"/>
                <w:highlight w:val="none"/>
                <w:lang w:val="en-US" w:eastAsia="zh-CN"/>
              </w:rPr>
              <w:t>及其他证明</w:t>
            </w:r>
            <w:r>
              <w:rPr>
                <w:rFonts w:hint="eastAsia" w:ascii="宋体" w:hAnsi="宋体" w:eastAsia="宋体" w:cs="宋体"/>
                <w:color w:val="auto"/>
                <w:szCs w:val="21"/>
                <w:highlight w:val="none"/>
              </w:rPr>
              <w:t>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w:t>
            </w:r>
            <w:r>
              <w:rPr>
                <w:rFonts w:hint="eastAsia" w:ascii="宋体" w:hAnsi="宋体" w:eastAsia="宋体" w:cs="宋体"/>
                <w:color w:val="auto"/>
                <w:szCs w:val="21"/>
                <w:highlight w:val="none"/>
                <w:lang w:eastAsia="zh-CN"/>
              </w:rPr>
              <w:t>优先</w:t>
            </w:r>
            <w:r>
              <w:rPr>
                <w:rFonts w:hint="eastAsia" w:ascii="宋体" w:hAnsi="宋体" w:eastAsia="宋体" w:cs="宋体"/>
                <w:color w:val="auto"/>
                <w:szCs w:val="21"/>
                <w:highlight w:val="none"/>
              </w:rPr>
              <w:t>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bCs/>
                <w:snapToGrid w:val="0"/>
                <w:color w:val="auto"/>
                <w:szCs w:val="21"/>
                <w:highlight w:val="none"/>
              </w:rPr>
              <w:t>5.2项目总工：1人。</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5.2.1投标人拟派的项目总工必须已在投标人本单位注册并应具有机电工程专业一级注册建造师执业资格，并具有省级及以上交通行政主管部门</w:t>
            </w:r>
            <w:r>
              <w:rPr>
                <w:rFonts w:hint="eastAsia" w:ascii="宋体" w:hAnsi="宋体" w:eastAsia="宋体" w:cs="宋体"/>
                <w:color w:val="auto"/>
                <w:szCs w:val="21"/>
                <w:highlight w:val="none"/>
                <w:lang w:val="en-US" w:eastAsia="zh-CN"/>
              </w:rPr>
              <w:t>或者建设主管部门</w:t>
            </w:r>
            <w:r>
              <w:rPr>
                <w:rFonts w:hint="eastAsia" w:ascii="宋体" w:hAnsi="宋体" w:eastAsia="宋体" w:cs="宋体"/>
                <w:color w:val="auto"/>
                <w:szCs w:val="21"/>
                <w:highlight w:val="none"/>
              </w:rPr>
              <w:t>颁发的安全生产考核合格证书（B类）。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5.2.2项目总工承诺要求：投标人须承诺拟派项目总工按相关规定到岗履职和未被禁止参与投标。</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5.2.2.1到岗履职承诺要求：承诺拟派项目总工中标后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注：（1）提供拟派的项目</w:t>
            </w:r>
            <w:r>
              <w:rPr>
                <w:rFonts w:hint="eastAsia" w:ascii="宋体" w:hAnsi="宋体" w:eastAsia="宋体" w:cs="宋体"/>
                <w:color w:val="auto"/>
                <w:szCs w:val="21"/>
                <w:highlight w:val="none"/>
                <w:lang w:eastAsia="zh-CN"/>
              </w:rPr>
              <w:t>总工</w:t>
            </w:r>
            <w:r>
              <w:rPr>
                <w:rFonts w:hint="eastAsia" w:ascii="宋体" w:hAnsi="宋体" w:eastAsia="宋体" w:cs="宋体"/>
                <w:color w:val="auto"/>
                <w:szCs w:val="21"/>
                <w:highlight w:val="none"/>
              </w:rPr>
              <w:t>为一级建造师注册人员的，必须提供建造师电子注册证书，且该建造师电子注册证书须由建造师本人在个人签名处手写本人签名。</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在投标文件资格审查部分提供有效的拟派项目总工身份证、建造师注册证、安全生产考核合格证书（B类）、投标人为其交纳的养老保险证明材料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，拟派项目总工到岗履职和未被禁止参与投标的承诺（承诺格式见第九章投标文件格式）。</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5.2.3项目总工业绩</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投标人拟派的项目总工</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rPr>
              <w:t>1个机电工程施工项目</w:t>
            </w:r>
            <w:r>
              <w:rPr>
                <w:rFonts w:hint="eastAsia" w:ascii="宋体" w:hAnsi="宋体" w:eastAsia="宋体" w:cs="宋体"/>
                <w:color w:val="auto"/>
                <w:kern w:val="0"/>
                <w:szCs w:val="21"/>
                <w:highlight w:val="none"/>
                <w:lang w:eastAsia="zh-CN"/>
              </w:rPr>
              <w:t>中担任</w:t>
            </w:r>
            <w:r>
              <w:rPr>
                <w:rFonts w:hint="eastAsia" w:ascii="宋体" w:hAnsi="宋体" w:eastAsia="宋体" w:cs="宋体"/>
                <w:color w:val="auto"/>
                <w:kern w:val="0"/>
                <w:szCs w:val="21"/>
                <w:highlight w:val="none"/>
              </w:rPr>
              <w:t>项目总工</w:t>
            </w:r>
            <w:r>
              <w:rPr>
                <w:rFonts w:hint="eastAsia" w:ascii="宋体" w:hAnsi="宋体" w:eastAsia="宋体" w:cs="宋体"/>
                <w:color w:val="auto"/>
                <w:kern w:val="0"/>
                <w:szCs w:val="21"/>
                <w:highlight w:val="none"/>
                <w:lang w:eastAsia="zh-CN"/>
              </w:rPr>
              <w:t>业绩</w:t>
            </w:r>
            <w:r>
              <w:rPr>
                <w:rFonts w:hint="eastAsia" w:ascii="宋体" w:hAnsi="宋体" w:eastAsia="宋体" w:cs="宋体"/>
                <w:color w:val="auto"/>
                <w:kern w:val="0"/>
                <w:szCs w:val="21"/>
                <w:highlight w:val="none"/>
              </w:rPr>
              <w:t>，且该施工项目工作内容含照明工程或电气照明等照明相关内容。</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提供该项目</w:t>
            </w:r>
            <w:r>
              <w:rPr>
                <w:rFonts w:hint="eastAsia" w:ascii="宋体" w:hAnsi="宋体" w:eastAsia="宋体" w:cs="宋体"/>
                <w:color w:val="auto"/>
                <w:szCs w:val="21"/>
                <w:highlight w:val="none"/>
                <w:lang w:eastAsia="zh-CN"/>
              </w:rPr>
              <w:t>总工</w:t>
            </w:r>
            <w:r>
              <w:rPr>
                <w:rFonts w:hint="eastAsia" w:ascii="宋体" w:hAnsi="宋体" w:eastAsia="宋体" w:cs="宋体"/>
                <w:color w:val="auto"/>
                <w:szCs w:val="21"/>
                <w:highlight w:val="none"/>
              </w:rPr>
              <w:t>业绩在交通运输部“全国公路建设市场信用信息管理系统”或“全国建筑市场监管公共服务平台”查询到相关项目网页截图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提供的网页截图能够完全反映</w:t>
            </w:r>
            <w:r>
              <w:rPr>
                <w:rFonts w:hint="eastAsia" w:ascii="宋体" w:hAnsi="宋体" w:eastAsia="宋体" w:cs="宋体"/>
                <w:color w:val="auto"/>
                <w:szCs w:val="21"/>
                <w:highlight w:val="none"/>
              </w:rPr>
              <w:t>项目</w:t>
            </w:r>
            <w:r>
              <w:rPr>
                <w:rFonts w:hint="eastAsia" w:ascii="宋体" w:hAnsi="宋体" w:cs="宋体"/>
                <w:color w:val="auto"/>
                <w:szCs w:val="21"/>
                <w:highlight w:val="none"/>
                <w:lang w:eastAsia="zh-CN"/>
              </w:rPr>
              <w:t>总工</w:t>
            </w:r>
            <w:r>
              <w:rPr>
                <w:rFonts w:hint="eastAsia" w:ascii="宋体" w:hAnsi="宋体" w:eastAsia="宋体" w:cs="宋体"/>
                <w:color w:val="auto"/>
                <w:szCs w:val="21"/>
                <w:highlight w:val="none"/>
              </w:rPr>
              <w:t>业绩信息的，无须再提供其他业绩证明材料</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lang w:eastAsia="zh-CN"/>
              </w:rPr>
              <w:t>提供网页截图</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可以提供合同协议书</w:t>
            </w:r>
            <w:r>
              <w:rPr>
                <w:rFonts w:hint="eastAsia" w:ascii="宋体" w:hAnsi="宋体" w:eastAsia="宋体" w:cs="宋体"/>
                <w:color w:val="auto"/>
                <w:szCs w:val="21"/>
                <w:highlight w:val="none"/>
                <w:lang w:val="en-US" w:eastAsia="zh-CN"/>
              </w:rPr>
              <w:t>及其他证明</w:t>
            </w:r>
            <w:r>
              <w:rPr>
                <w:rFonts w:hint="eastAsia" w:ascii="宋体" w:hAnsi="宋体" w:eastAsia="宋体" w:cs="宋体"/>
                <w:color w:val="auto"/>
                <w:szCs w:val="21"/>
                <w:highlight w:val="none"/>
              </w:rPr>
              <w:t>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w:t>
            </w:r>
            <w:r>
              <w:rPr>
                <w:rFonts w:hint="eastAsia" w:ascii="宋体" w:hAnsi="宋体" w:eastAsia="宋体" w:cs="宋体"/>
                <w:color w:val="auto"/>
                <w:szCs w:val="21"/>
                <w:highlight w:val="none"/>
                <w:lang w:eastAsia="zh-CN"/>
              </w:rPr>
              <w:t>优先</w:t>
            </w:r>
            <w:r>
              <w:rPr>
                <w:rFonts w:hint="eastAsia" w:ascii="宋体" w:hAnsi="宋体" w:eastAsia="宋体" w:cs="宋体"/>
                <w:color w:val="auto"/>
                <w:szCs w:val="21"/>
                <w:highlight w:val="none"/>
              </w:rPr>
              <w:t>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kern w:val="0"/>
                <w:szCs w:val="21"/>
                <w:highlight w:val="none"/>
                <w:lang w:bidi="ar"/>
              </w:rPr>
              <w:t>6、</w:t>
            </w:r>
            <w:r>
              <w:rPr>
                <w:rFonts w:hint="eastAsia" w:ascii="宋体" w:hAnsi="宋体" w:eastAsia="宋体" w:cs="宋体"/>
                <w:b/>
                <w:color w:val="auto"/>
                <w:kern w:val="0"/>
                <w:szCs w:val="21"/>
                <w:highlight w:val="none"/>
                <w:lang w:eastAsia="zh-CN" w:bidi="ar"/>
              </w:rPr>
              <w:t>专职安全员</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投标人拟派的专职安全员须</w:t>
            </w:r>
            <w:r>
              <w:rPr>
                <w:rFonts w:hint="eastAsia" w:ascii="宋体" w:hAnsi="宋体" w:eastAsia="宋体" w:cs="宋体"/>
                <w:color w:val="auto"/>
                <w:szCs w:val="21"/>
                <w:highlight w:val="none"/>
              </w:rPr>
              <w:t>持有有效的省级交通运输主管部门或建设主管部门颁发的安全生产考核合格证C证</w:t>
            </w:r>
            <w:r>
              <w:rPr>
                <w:rFonts w:hint="eastAsia" w:ascii="宋体" w:hAnsi="宋体" w:eastAsia="宋体" w:cs="宋体"/>
                <w:color w:val="auto"/>
                <w:szCs w:val="21"/>
                <w:highlight w:val="none"/>
                <w:lang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 w:val="0"/>
                <w:color w:val="auto"/>
                <w:kern w:val="2"/>
                <w:szCs w:val="21"/>
                <w:highlight w:val="none"/>
                <w:lang w:bidi="ar"/>
              </w:rPr>
            </w:pPr>
            <w:r>
              <w:rPr>
                <w:rFonts w:hint="eastAsia" w:ascii="宋体" w:hAnsi="宋体" w:eastAsia="宋体" w:cs="宋体"/>
                <w:b w:val="0"/>
                <w:color w:val="auto"/>
                <w:kern w:val="2"/>
                <w:szCs w:val="21"/>
                <w:highlight w:val="none"/>
                <w:lang w:bidi="ar"/>
              </w:rPr>
              <w:t>投标人须在投标文件资格审查部分提供有效的拟派专职安全员身份证、安全生产考核合格证书（</w:t>
            </w:r>
            <w:r>
              <w:rPr>
                <w:rFonts w:hint="eastAsia" w:ascii="宋体" w:hAnsi="宋体" w:eastAsia="宋体" w:cs="宋体"/>
                <w:b w:val="0"/>
                <w:color w:val="auto"/>
                <w:kern w:val="2"/>
                <w:szCs w:val="21"/>
                <w:highlight w:val="none"/>
                <w:lang w:eastAsia="zh-CN" w:bidi="ar"/>
              </w:rPr>
              <w:t>C</w:t>
            </w:r>
            <w:r>
              <w:rPr>
                <w:rFonts w:hint="eastAsia" w:ascii="宋体" w:hAnsi="宋体" w:eastAsia="宋体" w:cs="宋体"/>
                <w:b w:val="0"/>
                <w:color w:val="auto"/>
                <w:kern w:val="2"/>
                <w:szCs w:val="21"/>
                <w:highlight w:val="none"/>
                <w:lang w:bidi="ar"/>
              </w:rPr>
              <w:t>类）、投标人为其交纳的养老保险证明材料复印件。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val="en-US" w:eastAsia="zh-CN" w:bidi="ar"/>
              </w:rPr>
              <w:t>7</w:t>
            </w:r>
            <w:r>
              <w:rPr>
                <w:rFonts w:hint="eastAsia" w:ascii="宋体" w:hAnsi="宋体" w:eastAsia="宋体" w:cs="宋体"/>
                <w:b/>
                <w:color w:val="auto"/>
                <w:kern w:val="0"/>
                <w:szCs w:val="21"/>
                <w:highlight w:val="none"/>
                <w:lang w:bidi="ar"/>
              </w:rPr>
              <w:t>、其他管理和技术人员要求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投标时投标人只须在投标文件资格审查部分提供拟投入其他管理和技术人员承诺（承诺格式见第九章投标文件格式），无需提供人员的具体证明材料，具体人员由招标人和中标人在合同谈判阶段确定。</w:t>
            </w:r>
          </w:p>
          <w:p>
            <w:pPr>
              <w:keepNext w:val="0"/>
              <w:keepLines w:val="0"/>
              <w:suppressLineNumbers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val="en-US" w:eastAsia="zh-CN" w:bidi="ar"/>
              </w:rPr>
              <w:t>8</w:t>
            </w:r>
            <w:r>
              <w:rPr>
                <w:rFonts w:hint="eastAsia" w:ascii="宋体" w:hAnsi="宋体" w:eastAsia="宋体" w:cs="宋体"/>
                <w:b/>
                <w:color w:val="auto"/>
                <w:kern w:val="0"/>
                <w:szCs w:val="21"/>
                <w:highlight w:val="none"/>
                <w:lang w:bidi="ar"/>
              </w:rPr>
              <w:t>、主要机械设备和试验检测设备要求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i/>
                <w:color w:val="auto"/>
                <w:szCs w:val="21"/>
                <w:highlight w:val="none"/>
              </w:rPr>
            </w:pPr>
            <w:r>
              <w:rPr>
                <w:rFonts w:hint="eastAsia" w:ascii="宋体" w:hAnsi="宋体" w:eastAsia="宋体" w:cs="宋体"/>
                <w:b/>
                <w:color w:val="auto"/>
                <w:kern w:val="0"/>
                <w:szCs w:val="21"/>
                <w:highlight w:val="none"/>
                <w:lang w:val="en-US" w:eastAsia="zh-CN" w:bidi="ar"/>
              </w:rPr>
              <w:t>9</w:t>
            </w:r>
            <w:r>
              <w:rPr>
                <w:rFonts w:hint="eastAsia" w:ascii="宋体" w:hAnsi="宋体" w:eastAsia="宋体" w:cs="宋体"/>
                <w:b/>
                <w:color w:val="auto"/>
                <w:kern w:val="0"/>
                <w:szCs w:val="21"/>
                <w:highlight w:val="none"/>
                <w:lang w:bidi="ar"/>
              </w:rPr>
              <w:t>、委托代理人：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委托代理人必须为投标人本单位人员。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投标人须在投标文件资格审查部分提供投标人为该委托代理人缴纳的养老保险证明。否则，将由评标委员会作否决投标处理。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szCs w:val="21"/>
                <w:highlight w:val="none"/>
              </w:rPr>
              <w:t>上述要求须提交的相关证明材料复印件须清晰可辨</w:t>
            </w:r>
            <w:r>
              <w:rPr>
                <w:rFonts w:hint="eastAsia" w:ascii="宋体" w:hAnsi="宋体" w:eastAsia="宋体" w:cs="宋体"/>
                <w:szCs w:val="21"/>
                <w:highlight w:val="none"/>
                <w:lang w:eastAsia="zh-CN"/>
              </w:rPr>
              <w:t>，且</w:t>
            </w:r>
            <w:r>
              <w:rPr>
                <w:rFonts w:hint="eastAsia" w:ascii="宋体" w:hAnsi="宋体" w:eastAsia="宋体" w:cs="宋体"/>
                <w:szCs w:val="21"/>
                <w:highlight w:val="none"/>
              </w:rPr>
              <w:t>均应加盖投标单位法人章并装入投标文件资格审查部分。上述要求，有一条不满足则投标文件由评标委员会作否决投标处理</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（2）投标人须自行承诺其提供的上述相关证明材料真实有效，不存在弄虚作假情形（格式见第九章投标文件格式）。</w:t>
            </w:r>
            <w:r>
              <w:rPr>
                <w:rFonts w:hint="eastAsia" w:ascii="宋体" w:hAnsi="宋体" w:eastAsia="宋体" w:cs="宋体"/>
                <w:color w:val="auto"/>
                <w:szCs w:val="21"/>
                <w:highlight w:val="none"/>
                <w:u w:val="single"/>
              </w:rPr>
              <w:t>招标人在合同签订前均有权对投标人提供的资料进行核实，若发现弄虚作假，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项目经理、项目总工和委托代理人的</w:t>
            </w:r>
            <w:r>
              <w:rPr>
                <w:rFonts w:hint="eastAsia" w:ascii="宋体" w:hAnsi="宋体" w:eastAsia="宋体" w:cs="宋体"/>
                <w:bCs/>
                <w:snapToGrid w:val="0"/>
                <w:color w:val="auto"/>
                <w:kern w:val="0"/>
                <w:szCs w:val="21"/>
                <w:highlight w:val="none"/>
                <w:lang w:val="en-US" w:eastAsia="zh-CN"/>
              </w:rPr>
              <w:t>连续</w:t>
            </w:r>
            <w:r>
              <w:rPr>
                <w:rFonts w:hint="eastAsia" w:ascii="宋体" w:hAnsi="宋体" w:eastAsia="宋体" w:cs="宋体"/>
                <w:bCs/>
                <w:snapToGrid w:val="0"/>
                <w:color w:val="auto"/>
                <w:kern w:val="0"/>
                <w:szCs w:val="21"/>
                <w:highlight w:val="none"/>
              </w:rPr>
              <w:t>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9</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1</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投标人不得存在的其他关联情形</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eastAsia="zh-CN"/>
              </w:rPr>
            </w:pPr>
            <w:r>
              <w:rPr>
                <w:rFonts w:hint="eastAsia" w:ascii="宋体" w:hAnsi="宋体" w:eastAsia="宋体" w:cs="宋体"/>
                <w:kern w:val="2"/>
                <w:sz w:val="21"/>
                <w:szCs w:val="21"/>
                <w:highlight w:val="none"/>
                <w:lang w:val="en-US" w:eastAsia="zh-CN"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招标人对招标文件澄清的截止时间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Cs w:val="21"/>
                <w:highlight w:val="none"/>
              </w:rPr>
              <w:t>招标人应在招标公告规定的时间前，</w:t>
            </w:r>
            <w:r>
              <w:rPr>
                <w:rFonts w:hint="eastAsia" w:ascii="宋体" w:hAnsi="宋体" w:eastAsia="宋体" w:cs="宋体"/>
                <w:color w:val="auto"/>
                <w:kern w:val="0"/>
                <w:szCs w:val="21"/>
                <w:highlight w:val="none"/>
              </w:rPr>
              <w:t>在</w:t>
            </w:r>
            <w:r>
              <w:rPr>
                <w:rFonts w:hint="eastAsia" w:ascii="宋体" w:hAnsi="宋体" w:cs="宋体"/>
                <w:snapToGrid w:val="0"/>
                <w:color w:val="auto"/>
                <w:kern w:val="0"/>
                <w:szCs w:val="21"/>
                <w:highlight w:val="none"/>
                <w:u w:val="single"/>
                <w:lang w:val="en-US" w:eastAsia="zh-CN"/>
              </w:rPr>
              <w:t>重庆高速集团官网（https://www.cegc.com.cn/html/col1810480.html）</w:t>
            </w:r>
            <w:r>
              <w:rPr>
                <w:rFonts w:hint="eastAsia" w:ascii="宋体" w:hAnsi="宋体" w:eastAsia="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招标人对招标文件进行修改的时间</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cs="宋体"/>
                <w:snapToGrid w:val="0"/>
                <w:color w:val="auto"/>
                <w:kern w:val="0"/>
                <w:szCs w:val="21"/>
                <w:highlight w:val="none"/>
                <w:u w:val="single"/>
                <w:lang w:val="en-US" w:eastAsia="zh-CN"/>
              </w:rPr>
              <w:t>重庆高速集团官网（https://www.cegc.com.cn/html/col1810480.html）</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pacing w:val="-1"/>
                <w:szCs w:val="21"/>
                <w:highlight w:val="none"/>
              </w:rPr>
              <w:t>构成投标文件的其他资料</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增值税税金的计算方法</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一般计税法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3.2.3</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报价方式</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安全生产费</w:t>
            </w:r>
          </w:p>
        </w:tc>
        <w:tc>
          <w:tcPr>
            <w:tcW w:w="3445" w:type="pct"/>
            <w:vAlign w:val="top"/>
          </w:tcPr>
          <w:p>
            <w:pPr>
              <w:pStyle w:val="43"/>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1.按建筑安装工程费的2%计算</w:t>
            </w:r>
            <w:r>
              <w:rPr>
                <w:rFonts w:hint="eastAsia" w:ascii="宋体" w:hAnsi="宋体" w:eastAsia="宋体" w:cs="宋体"/>
                <w:color w:val="auto"/>
                <w:kern w:val="2"/>
                <w:sz w:val="21"/>
                <w:szCs w:val="21"/>
                <w:highlight w:val="none"/>
                <w:lang w:val="en-US" w:eastAsia="zh-CN" w:bidi="ar-SA"/>
              </w:rPr>
              <w:t>；</w:t>
            </w:r>
          </w:p>
          <w:p>
            <w:pPr>
              <w:pStyle w:val="43"/>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2.结算时据实结算</w:t>
            </w:r>
            <w:r>
              <w:rPr>
                <w:rFonts w:hint="eastAsia" w:ascii="宋体" w:hAnsi="宋体" w:eastAsia="宋体" w:cs="宋体"/>
                <w:color w:val="auto"/>
                <w:kern w:val="2"/>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3.2.6</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是否接受调价函</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3.2.8</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最高投标限价</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有，最高投标限价：</w:t>
            </w:r>
            <w:r>
              <w:rPr>
                <w:rFonts w:hint="eastAsia" w:ascii="宋体" w:hAnsi="宋体" w:cs="宋体"/>
                <w:color w:val="auto"/>
                <w:kern w:val="0"/>
                <w:szCs w:val="21"/>
                <w:highlight w:val="none"/>
                <w:u w:val="single"/>
                <w:lang w:bidi="ar"/>
              </w:rPr>
              <w:t>43321065.50</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3.2.9</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投标报价的其他要求</w:t>
            </w:r>
          </w:p>
        </w:tc>
        <w:tc>
          <w:tcPr>
            <w:tcW w:w="3445" w:type="pct"/>
            <w:vAlign w:val="center"/>
          </w:tcPr>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有，具体要求为：</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招标人将公布投标总报价最高限价及各清单子目单价最高限价。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投标人的投标总报价不应高于投标总报价最高限价，否则由评标委员会作否决投标处理；</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投标人投标报价中的各清单子目单价不应高于各清单子目单价最高限价。招标人在合同签订前将对中标人“已标价工程量清单”进行复核，若出现差错则按以下原则进行处理（或结算）：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（2）依据单价和数量计算结果与其合价不符的，按不利于投标人原则（就低不就高）对其单价和合价进行修正。</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投标人须在投标文件资格审查部分提供承诺（格式详见第九章投标文件格式），并包括以下内容：</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（1）按照第五章“工程量清单”、第八章“工程量清单计量规则”的规定进行报价。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（2）招标文件中规定工程量清单不允许修改的内容不得修改。</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（3）投标总报价不高于招标人公布的投标总报价最高限价。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（4）各清单子目单价不高于招标人公布的各清单子目单价最高限价的。</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）若出现差错，按招标文件第二章投标人须知前附表第3.2.9项规定的原则进行处理（或结算）。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投标人未按上述要求提供承诺函的，由评标委员会作否决投标处理。</w:t>
            </w:r>
          </w:p>
          <w:p>
            <w:pPr>
              <w:pStyle w:val="2"/>
              <w:adjustRightInd w:val="0"/>
              <w:snapToGrid w:val="0"/>
              <w:spacing w:before="0" w:beforeAutospacing="0" w:after="0" w:afterLines="0" w:line="400" w:lineRule="exact"/>
              <w:ind w:left="0" w:right="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投标人须在投标工程量清单中注明灯具和风机及其配套设备的品牌和规格型号。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kern w:val="2"/>
                <w:sz w:val="21"/>
                <w:szCs w:val="21"/>
                <w:highlight w:val="none"/>
                <w:u w:val="single"/>
                <w:lang w:val="en-US" w:eastAsia="zh-CN" w:bidi="ar"/>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以转账支票或电汇形式交纳投标保证金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u w:val="single"/>
                <w:lang w:val="en-US" w:eastAsia="zh-CN"/>
              </w:rPr>
              <w:t>贰拾</w:t>
            </w:r>
            <w:r>
              <w:rPr>
                <w:rFonts w:hint="eastAsia" w:ascii="宋体" w:hAnsi="宋体" w:eastAsia="宋体" w:cs="宋体"/>
                <w:color w:val="auto"/>
                <w:szCs w:val="21"/>
                <w:highlight w:val="none"/>
                <w:u w:val="single"/>
                <w:lang w:val="en-US" w:eastAsia="zh-CN"/>
              </w:rPr>
              <w:t>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w:t>
            </w:r>
            <w:r>
              <w:rPr>
                <w:rFonts w:hint="eastAsia" w:ascii="宋体" w:hAnsi="宋体" w:cs="宋体"/>
                <w:color w:val="auto"/>
                <w:szCs w:val="21"/>
                <w:highlight w:val="none"/>
                <w:lang w:val="en-US" w:eastAsia="zh-CN"/>
              </w:rPr>
              <w:t>招标人</w:t>
            </w:r>
            <w:r>
              <w:rPr>
                <w:rFonts w:hint="eastAsia" w:ascii="宋体" w:hAnsi="宋体" w:eastAsia="宋体" w:cs="宋体"/>
                <w:color w:val="auto"/>
                <w:szCs w:val="21"/>
                <w:highlight w:val="none"/>
                <w:lang w:eastAsia="zh-CN"/>
              </w:rPr>
              <w:t>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cs="宋体"/>
                <w:b/>
                <w:bCs/>
                <w:color w:val="auto"/>
                <w:szCs w:val="21"/>
                <w:highlight w:val="none"/>
              </w:rPr>
            </w:pPr>
            <w:r>
              <w:rPr>
                <w:rFonts w:hint="eastAsia" w:ascii="宋体" w:hAnsi="宋体" w:cs="宋体"/>
                <w:b/>
                <w:bCs/>
                <w:color w:val="auto"/>
                <w:szCs w:val="21"/>
                <w:highlight w:val="none"/>
              </w:rPr>
              <w:t>账户名称：重庆首讯科技股份有限公司</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cs="宋体"/>
                <w:b/>
                <w:bCs/>
                <w:color w:val="auto"/>
                <w:szCs w:val="21"/>
                <w:highlight w:val="none"/>
              </w:rPr>
            </w:pPr>
            <w:r>
              <w:rPr>
                <w:rFonts w:hint="eastAsia" w:ascii="宋体" w:hAnsi="宋体" w:cs="宋体"/>
                <w:b/>
                <w:bCs/>
                <w:color w:val="auto"/>
                <w:szCs w:val="21"/>
                <w:highlight w:val="none"/>
              </w:rPr>
              <w:t>开户银行：兴业银行重庆分行营业部</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帐    号：3460 1010 0100 4791 14</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非中标候选人的投标保证金的退还：招标人应当在规定时间内确定中标人，发出中标通知书，同时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5日内将中标候选人以外的投标人投标保证金退还至其银行基本账户。</w:t>
            </w:r>
          </w:p>
          <w:p>
            <w:pPr>
              <w:keepNext w:val="0"/>
              <w:keepLines w:val="0"/>
              <w:suppressLineNumbers w:val="0"/>
              <w:spacing w:before="0" w:beforeAutospacing="0" w:after="0" w:afterAutospacing="0"/>
              <w:ind w:left="0" w:right="0" w:firstLine="420" w:firstLineChars="200"/>
              <w:rPr>
                <w:rFonts w:hint="eastAsia" w:ascii="宋体" w:hAnsi="宋体" w:eastAsia="宋体" w:cs="宋体"/>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5日内，将投标保证金退还至其银行基本账户。</w:t>
            </w:r>
          </w:p>
          <w:p>
            <w:pPr>
              <w:keepNext w:val="0"/>
              <w:keepLines w:val="0"/>
              <w:suppressLineNumbers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3.4.4</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pacing w:val="-1"/>
                <w:szCs w:val="21"/>
                <w:highlight w:val="none"/>
              </w:rPr>
            </w:pPr>
            <w:r>
              <w:rPr>
                <w:rFonts w:hint="eastAsia" w:ascii="宋体" w:hAnsi="宋体" w:eastAsia="宋体" w:cs="宋体"/>
                <w:color w:val="auto"/>
                <w:kern w:val="0"/>
                <w:szCs w:val="21"/>
                <w:highlight w:val="none"/>
                <w:lang w:bidi="ar"/>
              </w:rPr>
              <w:t>其他可以不予退还投标保证金的情形</w:t>
            </w:r>
          </w:p>
        </w:tc>
        <w:tc>
          <w:tcPr>
            <w:tcW w:w="3445"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有下列情形之一的，投标保证金将不予退还：</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投标人</w:t>
            </w:r>
            <w:r>
              <w:rPr>
                <w:rFonts w:hint="eastAsia" w:ascii="宋体" w:hAnsi="宋体" w:cs="宋体"/>
                <w:color w:val="000000"/>
                <w:kern w:val="0"/>
                <w:szCs w:val="21"/>
                <w:lang w:bidi="ar"/>
              </w:rPr>
              <w:t>在投标有效期内撤销投标文件；</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w:t>
            </w:r>
            <w:r>
              <w:rPr>
                <w:rFonts w:hint="eastAsia" w:ascii="宋体" w:hAnsi="宋体" w:cs="宋体"/>
                <w:color w:val="000000"/>
                <w:kern w:val="0"/>
                <w:szCs w:val="21"/>
                <w:lang w:eastAsia="zh-CN" w:bidi="ar"/>
              </w:rPr>
              <w:t>招标人</w:t>
            </w:r>
            <w:r>
              <w:rPr>
                <w:rFonts w:hint="eastAsia" w:ascii="宋体" w:hAnsi="宋体" w:cs="宋体"/>
                <w:color w:val="000000"/>
                <w:kern w:val="0"/>
                <w:szCs w:val="21"/>
                <w:lang w:bidi="ar"/>
              </w:rPr>
              <w:t>订立合同，在签订合同时向</w:t>
            </w:r>
            <w:r>
              <w:rPr>
                <w:rFonts w:hint="eastAsia" w:ascii="宋体" w:hAnsi="宋体" w:cs="宋体"/>
                <w:color w:val="000000"/>
                <w:kern w:val="0"/>
                <w:szCs w:val="21"/>
                <w:lang w:eastAsia="zh-CN" w:bidi="ar"/>
              </w:rPr>
              <w:t>招标人</w:t>
            </w:r>
            <w:r>
              <w:rPr>
                <w:rFonts w:hint="eastAsia" w:ascii="宋体" w:hAnsi="宋体" w:cs="宋体"/>
                <w:color w:val="000000"/>
                <w:kern w:val="0"/>
                <w:szCs w:val="21"/>
                <w:lang w:bidi="ar"/>
              </w:rPr>
              <w:t>提出附加条件，或者不按照招标文件要求提交履约保证金；</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投标人</w:t>
            </w:r>
            <w:r>
              <w:rPr>
                <w:rFonts w:hint="eastAsia" w:ascii="宋体" w:hAnsi="宋体" w:cs="宋体"/>
                <w:color w:val="000000"/>
                <w:kern w:val="0"/>
                <w:szCs w:val="21"/>
                <w:lang w:bidi="ar"/>
              </w:rPr>
              <w:t>被发现本次投标存在串通投标、弄虚造假、行贿等违法行为的；</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000000"/>
                <w:kern w:val="0"/>
                <w:szCs w:val="21"/>
                <w:lang w:bidi="ar"/>
              </w:rPr>
              <w:t>（5）发生</w:t>
            </w:r>
            <w:r>
              <w:rPr>
                <w:rFonts w:hint="eastAsia" w:ascii="宋体" w:hAnsi="宋体" w:cs="宋体"/>
                <w:color w:val="000000"/>
                <w:kern w:val="0"/>
                <w:szCs w:val="21"/>
                <w:lang w:eastAsia="zh-CN" w:bidi="ar"/>
              </w:rPr>
              <w:t>投标人</w:t>
            </w:r>
            <w:r>
              <w:rPr>
                <w:rFonts w:hint="eastAsia" w:ascii="宋体" w:hAnsi="宋体" w:cs="宋体"/>
                <w:color w:val="000000"/>
                <w:kern w:val="0"/>
                <w:szCs w:val="21"/>
                <w:lang w:bidi="ar"/>
              </w:rPr>
              <w:t>须知前附表规定的其他可以不予退还投标保证金的情形。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资格审查资料的特殊要求</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盖章要求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U盘或</w:t>
            </w:r>
            <w:r>
              <w:rPr>
                <w:rFonts w:hint="eastAsia" w:ascii="宋体" w:hAnsi="宋体" w:eastAsia="宋体" w:cs="宋体"/>
                <w:color w:val="auto"/>
                <w:kern w:val="0"/>
                <w:szCs w:val="21"/>
                <w:highlight w:val="none"/>
              </w:rPr>
              <w:t>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投标函部分、经济部分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（2）经济部分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应按照第九章规定格式排版，原则上应编制目录，但不得将目录编制作为评审因素。</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）资格审查部分（含商务部分）的装订要求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应按照第九章规定格式装订成册，并原则上并应编制目录（但不得将目录编制作为评审因素），标注页码。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本项目技术部分采用明标，</w:t>
            </w:r>
            <w:r>
              <w:rPr>
                <w:rFonts w:hint="eastAsia" w:ascii="宋体" w:hAnsi="宋体" w:eastAsia="宋体" w:cs="宋体"/>
                <w:color w:val="auto"/>
                <w:szCs w:val="21"/>
                <w:highlight w:val="none"/>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投标文件的密封</w:t>
            </w:r>
          </w:p>
        </w:tc>
        <w:tc>
          <w:tcPr>
            <w:tcW w:w="3445" w:type="pct"/>
            <w:vAlign w:val="center"/>
          </w:tcPr>
          <w:p>
            <w:pPr>
              <w:pStyle w:val="43"/>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1、电子文档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U盘</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份，U盘上注明项目名称和投标单位名称并加盖投标人单位法人章，装入“电子</w:t>
            </w:r>
            <w:r>
              <w:rPr>
                <w:rFonts w:hint="eastAsia" w:ascii="宋体" w:hAnsi="宋体" w:eastAsia="宋体" w:cs="宋体"/>
                <w:color w:val="auto"/>
                <w:sz w:val="21"/>
                <w:szCs w:val="21"/>
                <w:highlight w:val="none"/>
                <w:u w:val="none"/>
                <w:lang w:eastAsia="zh-CN"/>
              </w:rPr>
              <w:t>文档袋</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“投标文件”袋封套上写明如下内容：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single"/>
                <w:lang w:eastAsia="zh-CN"/>
              </w:rPr>
              <w:t>巫溪至开州高速公路项目机电工程通风照明工程专项分包</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投标人递交投标文件的地点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cs="宋体"/>
                <w:szCs w:val="21"/>
                <w:highlight w:val="none"/>
              </w:rPr>
              <w:t>重庆市渝北区龙溪街道新南路52号东界龙湖</w:t>
            </w:r>
            <w:r>
              <w:rPr>
                <w:rFonts w:hint="eastAsia" w:ascii="宋体" w:hAnsi="宋体" w:cs="宋体"/>
                <w:bCs/>
                <w:color w:val="auto"/>
                <w:szCs w:val="21"/>
                <w:highlight w:val="none"/>
                <w:lang w:val="en-US" w:eastAsia="zh-CN"/>
              </w:rPr>
              <w:t>一楼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开标时间：同投标截止时间。 </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bCs/>
                <w:color w:val="auto"/>
                <w:sz w:val="21"/>
                <w:szCs w:val="21"/>
                <w:highlight w:val="none"/>
              </w:rPr>
              <w:t>开标地点：</w:t>
            </w:r>
            <w:r>
              <w:rPr>
                <w:rFonts w:hint="eastAsia" w:ascii="宋体" w:hAnsi="宋体" w:cs="宋体"/>
                <w:szCs w:val="21"/>
                <w:highlight w:val="none"/>
              </w:rPr>
              <w:t>重庆市渝北区龙溪街道新南路52号东界龙湖</w:t>
            </w:r>
            <w:r>
              <w:rPr>
                <w:rFonts w:hint="eastAsia" w:ascii="宋体" w:hAnsi="宋体" w:cs="宋体"/>
                <w:bCs/>
                <w:color w:val="auto"/>
                <w:szCs w:val="21"/>
                <w:highlight w:val="none"/>
                <w:lang w:val="en-US" w:eastAsia="zh-CN"/>
              </w:rPr>
              <w:t>一楼</w:t>
            </w:r>
            <w:r>
              <w:rPr>
                <w:rFonts w:hint="eastAsia" w:ascii="宋体" w:hAnsi="宋体" w:eastAsia="宋体" w:cs="宋体"/>
                <w:bCs/>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45" w:type="pct"/>
            <w:vAlign w:val="center"/>
          </w:tcPr>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（2）公布在投标截止时间前递交投标文件的投标人名称。</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）投标文件的密封检查：投标人可对自己的投标文件封装情况进行检查，以确认其投标文件密封完好。</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）逐单位随机开启投标文件。公布投标人名称、投标报价及其他内容并记录在案。</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）投标人对开标有异议的，应当场提出，由招标人当场答复，并记录到开标记录表中。异议处理完毕后，汇总开标情况，打印开标记录表。</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）投标人代表、招标人代表、监标人等有关人员在开标记录上签名确认。因其他原因未能签名的，视为默认开标结果。</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36"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评标委员会推荐中标候选人的</w:t>
            </w:r>
            <w:r>
              <w:rPr>
                <w:rFonts w:hint="eastAsia" w:ascii="宋体" w:hAnsi="宋体" w:eastAsia="宋体" w:cs="宋体"/>
                <w:color w:val="auto"/>
                <w:kern w:val="0"/>
                <w:szCs w:val="21"/>
                <w:highlight w:val="none"/>
              </w:rPr>
              <w:t>人数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val="en-US" w:eastAsia="zh-CN"/>
              </w:rPr>
              <w:t>2</w:t>
            </w:r>
            <w:r>
              <w:rPr>
                <w:rFonts w:hint="eastAsia" w:ascii="宋体" w:hAnsi="宋体" w:eastAsia="宋体" w:cs="宋体"/>
                <w:color w:val="auto"/>
                <w:spacing w:val="4"/>
                <w:kern w:val="0"/>
                <w:szCs w:val="21"/>
                <w:highlight w:val="none"/>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中标候选人公示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36" w:firstLineChars="200"/>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cs="宋体"/>
                <w:snapToGrid w:val="0"/>
                <w:color w:val="auto"/>
                <w:kern w:val="0"/>
                <w:szCs w:val="21"/>
                <w:highlight w:val="none"/>
                <w:u w:val="single"/>
                <w:lang w:val="en-US" w:eastAsia="zh-CN"/>
              </w:rPr>
              <w:t>重庆高速集团官网（https://www.cegc.com.cn/html/col1810480.html）</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推荐经评审合格的</w:t>
            </w:r>
            <w:r>
              <w:rPr>
                <w:rFonts w:hint="eastAsia" w:ascii="宋体" w:hAnsi="宋体" w:cs="宋体"/>
                <w:color w:val="auto"/>
                <w:kern w:val="0"/>
                <w:szCs w:val="21"/>
                <w:highlight w:val="none"/>
                <w:lang w:val="en-US" w:eastAsia="zh-CN"/>
              </w:rPr>
              <w:t>得分</w:t>
            </w:r>
            <w:r>
              <w:rPr>
                <w:rFonts w:hint="eastAsia" w:ascii="宋体" w:hAnsi="宋体" w:eastAsia="宋体" w:cs="宋体"/>
                <w:color w:val="auto"/>
                <w:kern w:val="0"/>
                <w:szCs w:val="21"/>
                <w:highlight w:val="none"/>
              </w:rPr>
              <w:t>由</w:t>
            </w:r>
            <w:r>
              <w:rPr>
                <w:rFonts w:hint="eastAsia" w:ascii="宋体" w:hAnsi="宋体" w:cs="宋体"/>
                <w:color w:val="auto"/>
                <w:kern w:val="0"/>
                <w:szCs w:val="21"/>
                <w:highlight w:val="none"/>
                <w:lang w:val="en-US" w:eastAsia="zh-CN"/>
              </w:rPr>
              <w:t>高</w:t>
            </w:r>
            <w:r>
              <w:rPr>
                <w:rFonts w:hint="eastAsia" w:ascii="宋体" w:hAnsi="宋体" w:eastAsia="宋体" w:cs="宋体"/>
                <w:color w:val="auto"/>
                <w:kern w:val="0"/>
                <w:szCs w:val="21"/>
                <w:highlight w:val="none"/>
              </w:rPr>
              <w:t>到</w:t>
            </w:r>
            <w:r>
              <w:rPr>
                <w:rFonts w:hint="eastAsia" w:ascii="宋体" w:hAnsi="宋体" w:cs="宋体"/>
                <w:color w:val="auto"/>
                <w:kern w:val="0"/>
                <w:szCs w:val="21"/>
                <w:highlight w:val="none"/>
                <w:lang w:val="en-US" w:eastAsia="zh-CN"/>
              </w:rPr>
              <w:t>低</w:t>
            </w:r>
            <w:r>
              <w:rPr>
                <w:rFonts w:hint="eastAsia" w:ascii="宋体" w:hAnsi="宋体" w:eastAsia="宋体" w:cs="宋体"/>
                <w:color w:val="auto"/>
                <w:kern w:val="0"/>
                <w:szCs w:val="21"/>
                <w:highlight w:val="none"/>
              </w:rPr>
              <w:t>排名前</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中标通知书和中标结果通知发出的形式</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2、中标人提供履约担保的形式、金额及期限：</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（1）履约担保的形式：</w:t>
            </w:r>
            <w:r>
              <w:rPr>
                <w:rFonts w:hint="eastAsia" w:ascii="宋体" w:hAnsi="宋体" w:eastAsia="宋体" w:cs="宋体"/>
                <w:color w:val="auto"/>
                <w:kern w:val="0"/>
                <w:szCs w:val="21"/>
                <w:highlight w:val="none"/>
                <w:u w:val="none"/>
              </w:rPr>
              <w:t>现金或银行保函或现金+银行保函的组合；采用银行保函形式的，保函必须为不可撤销且见索即付；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（2）履约担保的金额：</w:t>
            </w:r>
            <w:r>
              <w:rPr>
                <w:rFonts w:hint="eastAsia" w:ascii="宋体" w:hAnsi="宋体" w:eastAsia="宋体" w:cs="宋体"/>
                <w:color w:val="auto"/>
                <w:kern w:val="0"/>
                <w:szCs w:val="21"/>
                <w:highlight w:val="none"/>
                <w:u w:val="single"/>
              </w:rPr>
              <w:t xml:space="preserve">中标合同金额的10% </w:t>
            </w:r>
            <w:r>
              <w:rPr>
                <w:rFonts w:hint="eastAsia" w:ascii="宋体" w:hAnsi="宋体" w:eastAsia="宋体" w:cs="宋体"/>
                <w:color w:val="auto"/>
                <w:kern w:val="0"/>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（3）履约担保的提交时间：</w:t>
            </w:r>
            <w:r>
              <w:rPr>
                <w:rFonts w:hint="eastAsia" w:ascii="宋体" w:hAnsi="宋体" w:eastAsia="宋体" w:cs="宋体"/>
                <w:color w:val="auto"/>
                <w:kern w:val="0"/>
                <w:szCs w:val="21"/>
                <w:highlight w:val="none"/>
                <w:u w:val="single"/>
              </w:rPr>
              <w:t xml:space="preserve">中标人收到中标通知书后 </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 xml:space="preserve"> 日内提交。</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（4）履约担保的期限：</w:t>
            </w:r>
            <w:r>
              <w:rPr>
                <w:rFonts w:hint="eastAsia" w:ascii="宋体" w:hAnsi="宋体" w:eastAsia="宋体" w:cs="宋体"/>
                <w:color w:val="auto"/>
                <w:kern w:val="0"/>
                <w:szCs w:val="21"/>
                <w:highlight w:val="none"/>
                <w:u w:val="single"/>
              </w:rPr>
              <w:t>自提交履约担保之日起至</w:t>
            </w:r>
            <w:r>
              <w:rPr>
                <w:rFonts w:hint="eastAsia" w:ascii="宋体" w:hAnsi="宋体" w:eastAsia="宋体" w:cs="宋体"/>
                <w:color w:val="auto"/>
                <w:kern w:val="0"/>
                <w:szCs w:val="21"/>
                <w:highlight w:val="none"/>
                <w:u w:val="single"/>
                <w:lang w:val="en-US" w:eastAsia="zh-CN"/>
              </w:rPr>
              <w:t>项目完工</w:t>
            </w:r>
            <w:r>
              <w:rPr>
                <w:rFonts w:hint="eastAsia" w:ascii="宋体" w:hAnsi="宋体" w:eastAsia="宋体" w:cs="宋体"/>
                <w:color w:val="auto"/>
                <w:kern w:val="0"/>
                <w:szCs w:val="21"/>
                <w:highlight w:val="none"/>
                <w:u w:val="single"/>
              </w:rPr>
              <w:t>之日止。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（5）履约担保的退还时间：</w:t>
            </w:r>
            <w:r>
              <w:rPr>
                <w:rFonts w:hint="eastAsia" w:ascii="宋体" w:hAnsi="宋体" w:eastAsia="宋体" w:cs="宋体"/>
                <w:color w:val="auto"/>
                <w:kern w:val="0"/>
                <w:szCs w:val="21"/>
                <w:highlight w:val="none"/>
                <w:u w:val="single"/>
              </w:rPr>
              <w:t>采用现金担保的，合同工程完工证书颁发后28天内一次性退还；采用银行保函的，合同工程完工证书颁发后28天内内退还</w:t>
            </w:r>
            <w:r>
              <w:rPr>
                <w:rFonts w:hint="eastAsia" w:ascii="宋体" w:hAnsi="宋体" w:eastAsia="宋体" w:cs="宋体"/>
                <w:color w:val="auto"/>
                <w:kern w:val="0"/>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是否采用电子招标投标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296" w:type="pct"/>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提出异议或投诉时应当包括下列内容：</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（1）异议人或投诉人的姓名/名称、地址及有效联系方式；</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（2）被异议人或被投诉人的名称、地址及有效联系方式；</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（3）异议或投诉事项的基本事实；</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（4）请求及主张；</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（5）涉及事项的证据、证明材料。</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异议受理单位：重庆首讯科技股份有限公司供应链管理部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联系电话：023-63131274</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投诉受理部门：重庆首讯科技股份有限公司风险管理部</w:t>
            </w:r>
          </w:p>
          <w:p>
            <w:pPr>
              <w:keepNext w:val="0"/>
              <w:keepLines w:val="0"/>
              <w:widowControl w:val="0"/>
              <w:suppressLineNumbers w:val="0"/>
              <w:adjustRightInd w:val="0"/>
              <w:snapToGrid w:val="0"/>
              <w:spacing w:before="0" w:beforeAutospacing="0" w:after="0" w:afterLines="0" w:afterAutospacing="0" w:line="400" w:lineRule="exact"/>
              <w:ind w:left="0" w:leftChars="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w:t>
            </w:r>
          </w:p>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编制说明</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w:t>
            </w:r>
            <w:r>
              <w:rPr>
                <w:rFonts w:hint="eastAsia" w:ascii="宋体" w:hAnsi="宋体" w:eastAsia="宋体" w:cs="宋体"/>
                <w:color w:val="auto"/>
                <w:kern w:val="0"/>
                <w:szCs w:val="21"/>
                <w:highlight w:val="none"/>
                <w:lang w:val="en-US" w:eastAsia="zh-CN"/>
              </w:rPr>
              <w:t>的情形</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（3）经评标委员会评审后部分投标被否决，导致有效投标人不足</w:t>
            </w:r>
            <w:r>
              <w:rPr>
                <w:rFonts w:hint="eastAsia" w:ascii="宋体" w:hAnsi="宋体" w:cs="宋体"/>
                <w:snapToGrid w:val="0"/>
                <w:color w:val="auto"/>
                <w:kern w:val="0"/>
                <w:szCs w:val="21"/>
                <w:highlight w:val="none"/>
                <w:lang w:val="en-US" w:eastAsia="zh-CN"/>
              </w:rPr>
              <w:t>二</w:t>
            </w:r>
            <w:r>
              <w:rPr>
                <w:rFonts w:hint="eastAsia" w:ascii="宋体" w:hAnsi="宋体" w:eastAsia="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重新</w:t>
            </w:r>
            <w:r>
              <w:rPr>
                <w:rFonts w:hint="eastAsia" w:ascii="宋体" w:hAnsi="宋体" w:eastAsia="宋体" w:cs="宋体"/>
                <w:color w:val="auto"/>
                <w:kern w:val="0"/>
                <w:szCs w:val="21"/>
                <w:highlight w:val="none"/>
              </w:rPr>
              <w:t>招标和不再招标</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10.6</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Cs w:val="21"/>
                <w:highlight w:val="none"/>
                <w:lang w:val="en-US" w:eastAsia="zh-CN"/>
              </w:rPr>
              <w:t>不允许负数报价</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投标人的</w:t>
            </w:r>
            <w:r>
              <w:rPr>
                <w:rFonts w:hint="eastAsia" w:ascii="宋体" w:hAnsi="宋体" w:eastAsia="宋体" w:cs="宋体"/>
                <w:kern w:val="0"/>
                <w:szCs w:val="21"/>
                <w:highlight w:val="none"/>
                <w:u w:val="single"/>
                <w:lang w:val="en-US" w:eastAsia="zh-CN"/>
              </w:rPr>
              <w:t>各项</w:t>
            </w:r>
            <w:r>
              <w:rPr>
                <w:rFonts w:hint="eastAsia" w:ascii="宋体" w:hAnsi="宋体" w:eastAsia="宋体" w:cs="宋体"/>
                <w:kern w:val="0"/>
                <w:szCs w:val="21"/>
                <w:highlight w:val="none"/>
                <w:u w:val="single"/>
              </w:rPr>
              <w:t>报价不得</w:t>
            </w:r>
            <w:r>
              <w:rPr>
                <w:rFonts w:hint="eastAsia" w:ascii="宋体" w:hAnsi="宋体" w:eastAsia="宋体" w:cs="宋体"/>
                <w:kern w:val="0"/>
                <w:szCs w:val="21"/>
                <w:highlight w:val="none"/>
                <w:u w:val="single"/>
                <w:lang w:val="en-US" w:eastAsia="zh-CN"/>
              </w:rPr>
              <w:t>为负数</w:t>
            </w:r>
            <w:r>
              <w:rPr>
                <w:rFonts w:hint="eastAsia" w:ascii="宋体" w:hAnsi="宋体" w:eastAsia="宋体" w:cs="宋体"/>
                <w:kern w:val="0"/>
                <w:szCs w:val="21"/>
                <w:highlight w:val="none"/>
                <w:u w:val="single"/>
              </w:rPr>
              <w:t>。招标人在发出中标通知书前将对中标人</w:t>
            </w:r>
            <w:r>
              <w:rPr>
                <w:rFonts w:hint="eastAsia" w:ascii="宋体" w:hAnsi="宋体" w:eastAsia="宋体" w:cs="宋体"/>
                <w:kern w:val="0"/>
                <w:szCs w:val="21"/>
                <w:highlight w:val="none"/>
                <w:u w:val="single"/>
                <w:lang w:val="en-US" w:eastAsia="zh-CN"/>
              </w:rPr>
              <w:t>的各项报价</w:t>
            </w:r>
            <w:r>
              <w:rPr>
                <w:rFonts w:hint="eastAsia" w:ascii="宋体" w:hAnsi="宋体" w:eastAsia="宋体" w:cs="宋体"/>
                <w:kern w:val="0"/>
                <w:szCs w:val="21"/>
                <w:highlight w:val="none"/>
                <w:u w:val="single"/>
              </w:rPr>
              <w:t>进行复核，若发现中标人</w:t>
            </w:r>
            <w:r>
              <w:rPr>
                <w:rFonts w:hint="eastAsia" w:ascii="宋体" w:hAnsi="宋体" w:eastAsia="宋体" w:cs="宋体"/>
                <w:kern w:val="0"/>
                <w:szCs w:val="21"/>
                <w:highlight w:val="none"/>
                <w:u w:val="single"/>
                <w:lang w:val="en-US" w:eastAsia="zh-CN"/>
              </w:rPr>
              <w:t>各项报价</w:t>
            </w:r>
            <w:r>
              <w:rPr>
                <w:rFonts w:hint="eastAsia" w:ascii="宋体" w:hAnsi="宋体" w:eastAsia="宋体" w:cs="宋体"/>
                <w:kern w:val="0"/>
                <w:szCs w:val="21"/>
                <w:highlight w:val="none"/>
                <w:u w:val="single"/>
              </w:rPr>
              <w:t>中存在</w:t>
            </w:r>
            <w:r>
              <w:rPr>
                <w:rFonts w:hint="eastAsia" w:ascii="宋体" w:hAnsi="宋体" w:eastAsia="宋体" w:cs="宋体"/>
                <w:kern w:val="0"/>
                <w:szCs w:val="21"/>
                <w:highlight w:val="none"/>
                <w:u w:val="single"/>
                <w:lang w:val="en-US" w:eastAsia="zh-CN"/>
              </w:rPr>
              <w:t>负数报价</w:t>
            </w:r>
            <w:r>
              <w:rPr>
                <w:rFonts w:hint="eastAsia" w:ascii="宋体" w:hAnsi="宋体" w:eastAsia="宋体" w:cs="宋体"/>
                <w:kern w:val="0"/>
                <w:szCs w:val="21"/>
                <w:highlight w:val="none"/>
                <w:u w:val="single"/>
              </w:rPr>
              <w:t>的情形，招标人按相关规定取消其中标资格，其投标保证金不予退还，中标人承担因此造成的相关责任并赔偿相应损失。</w:t>
            </w:r>
          </w:p>
        </w:tc>
      </w:tr>
    </w:tbl>
    <w:p>
      <w:pPr>
        <w:spacing w:line="360" w:lineRule="auto"/>
        <w:jc w:val="left"/>
        <w:rPr>
          <w:rFonts w:hint="eastAsia" w:ascii="宋体" w:hAnsi="宋体" w:eastAsia="宋体" w:cs="宋体"/>
          <w:color w:val="auto"/>
          <w:szCs w:val="21"/>
          <w:highlight w:val="none"/>
        </w:rPr>
      </w:pPr>
      <w:bookmarkStart w:id="94" w:name="_Toc430530435"/>
      <w:bookmarkStart w:id="95" w:name="_Toc200513126"/>
      <w:bookmarkStart w:id="96" w:name="_Toc287607746"/>
      <w:bookmarkStart w:id="97" w:name="_Toc287620685"/>
      <w:bookmarkStart w:id="98" w:name="_Toc277082552"/>
      <w:bookmarkStart w:id="99" w:name="_Toc224103317"/>
      <w:r>
        <w:rPr>
          <w:rFonts w:hint="eastAsia" w:ascii="宋体" w:hAnsi="宋体" w:eastAsia="宋体" w:cs="宋体"/>
          <w:b/>
          <w:bCs/>
          <w:color w:val="auto"/>
          <w:sz w:val="28"/>
          <w:szCs w:val="28"/>
          <w:highlight w:val="none"/>
        </w:rPr>
        <w:t xml:space="preserve"> </w:t>
      </w:r>
      <w:bookmarkEnd w:id="94"/>
      <w:bookmarkEnd w:id="95"/>
      <w:bookmarkEnd w:id="96"/>
      <w:bookmarkEnd w:id="97"/>
      <w:bookmarkEnd w:id="98"/>
      <w:bookmarkEnd w:id="99"/>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以下部分为投标人须知正文。</w:t>
      </w:r>
    </w:p>
    <w:p>
      <w:pPr>
        <w:pStyle w:val="4"/>
        <w:spacing w:before="0" w:after="0" w:line="360" w:lineRule="auto"/>
        <w:rPr>
          <w:rFonts w:hint="eastAsia" w:ascii="宋体" w:hAnsi="宋体" w:eastAsia="宋体" w:cs="宋体"/>
          <w:color w:val="auto"/>
          <w:sz w:val="28"/>
          <w:szCs w:val="28"/>
          <w:highlight w:val="none"/>
        </w:rPr>
      </w:pPr>
      <w:bookmarkStart w:id="100" w:name="_Toc14038"/>
      <w:r>
        <w:rPr>
          <w:rFonts w:hint="eastAsia" w:ascii="宋体" w:hAnsi="宋体" w:eastAsia="宋体" w:cs="宋体"/>
          <w:color w:val="auto"/>
          <w:sz w:val="28"/>
          <w:szCs w:val="28"/>
          <w:highlight w:val="none"/>
        </w:rPr>
        <w:t>1. 总则</w:t>
      </w:r>
      <w:bookmarkEnd w:id="100"/>
    </w:p>
    <w:p>
      <w:pPr>
        <w:pStyle w:val="5"/>
        <w:spacing w:before="0" w:after="0" w:line="360" w:lineRule="auto"/>
        <w:rPr>
          <w:rFonts w:hint="eastAsia" w:ascii="宋体" w:hAnsi="宋体" w:eastAsia="宋体" w:cs="宋体"/>
          <w:color w:val="auto"/>
          <w:sz w:val="21"/>
          <w:szCs w:val="21"/>
          <w:highlight w:val="none"/>
        </w:rPr>
      </w:pPr>
      <w:bookmarkStart w:id="101" w:name="_Toc23752"/>
      <w:r>
        <w:rPr>
          <w:rFonts w:hint="eastAsia" w:ascii="宋体" w:hAnsi="宋体" w:eastAsia="宋体" w:cs="宋体"/>
          <w:color w:val="auto"/>
          <w:sz w:val="21"/>
          <w:szCs w:val="21"/>
          <w:highlight w:val="none"/>
        </w:rPr>
        <w:t>1.1 项目概况</w:t>
      </w:r>
      <w:bookmarkEnd w:id="10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本招标项目招标人：见投标人须知前附表。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招标代理机构：见投标人须知前附表。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本招标项目名称：见投标人须知前附表。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建设地点：见投标人须知前附表。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项目相关单位：见投标人须知前附表。</w:t>
      </w:r>
    </w:p>
    <w:p>
      <w:pPr>
        <w:pStyle w:val="5"/>
        <w:spacing w:before="0" w:after="0" w:line="360" w:lineRule="auto"/>
        <w:rPr>
          <w:rFonts w:hint="eastAsia" w:ascii="宋体" w:hAnsi="宋体" w:eastAsia="宋体" w:cs="宋体"/>
          <w:color w:val="auto"/>
          <w:sz w:val="21"/>
          <w:szCs w:val="21"/>
          <w:highlight w:val="none"/>
        </w:rPr>
      </w:pPr>
      <w:bookmarkStart w:id="102" w:name="_Toc29"/>
      <w:r>
        <w:rPr>
          <w:rFonts w:hint="eastAsia" w:ascii="宋体" w:hAnsi="宋体" w:eastAsia="宋体" w:cs="宋体"/>
          <w:color w:val="auto"/>
          <w:sz w:val="21"/>
          <w:szCs w:val="21"/>
          <w:highlight w:val="none"/>
        </w:rPr>
        <w:t>1.2 招标项目的资金来源和落实情况</w:t>
      </w:r>
      <w:bookmarkEnd w:id="10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spacing w:before="0" w:after="0" w:line="360" w:lineRule="auto"/>
        <w:rPr>
          <w:rFonts w:hint="eastAsia" w:ascii="宋体" w:hAnsi="宋体" w:eastAsia="宋体" w:cs="宋体"/>
          <w:color w:val="auto"/>
          <w:sz w:val="21"/>
          <w:szCs w:val="21"/>
          <w:highlight w:val="none"/>
        </w:rPr>
      </w:pPr>
      <w:bookmarkStart w:id="103" w:name="_Toc5007"/>
      <w:r>
        <w:rPr>
          <w:rFonts w:hint="eastAsia" w:ascii="宋体" w:hAnsi="宋体" w:eastAsia="宋体" w:cs="宋体"/>
          <w:color w:val="auto"/>
          <w:sz w:val="21"/>
          <w:szCs w:val="21"/>
          <w:highlight w:val="none"/>
        </w:rPr>
        <w:t>1.3 招标范围、计划工期、质量要求和安全目标</w:t>
      </w:r>
      <w:bookmarkEnd w:id="10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安全目标：</w:t>
      </w:r>
      <w:r>
        <w:rPr>
          <w:rFonts w:hint="eastAsia" w:ascii="宋体" w:hAnsi="宋体" w:eastAsia="宋体" w:cs="宋体"/>
          <w:color w:val="auto"/>
          <w:sz w:val="21"/>
          <w:szCs w:val="21"/>
          <w:highlight w:val="none"/>
          <w:lang w:eastAsia="zh-CN"/>
        </w:rPr>
        <w:t>见投标人须知前附表。</w:t>
      </w:r>
    </w:p>
    <w:p>
      <w:pPr>
        <w:pStyle w:val="5"/>
        <w:spacing w:before="0" w:after="0" w:line="360" w:lineRule="auto"/>
        <w:rPr>
          <w:rFonts w:hint="eastAsia" w:ascii="宋体" w:hAnsi="宋体" w:eastAsia="宋体" w:cs="宋体"/>
          <w:color w:val="auto"/>
          <w:sz w:val="21"/>
          <w:szCs w:val="21"/>
          <w:highlight w:val="none"/>
        </w:rPr>
      </w:pPr>
      <w:bookmarkStart w:id="104" w:name="_Toc27158"/>
      <w:r>
        <w:rPr>
          <w:rFonts w:hint="eastAsia" w:ascii="宋体" w:hAnsi="宋体" w:eastAsia="宋体" w:cs="宋体"/>
          <w:color w:val="auto"/>
          <w:sz w:val="21"/>
          <w:szCs w:val="21"/>
          <w:highlight w:val="none"/>
        </w:rPr>
        <w:t>1.4 投标人资格要求（适用于已进行资格预审的）</w:t>
      </w:r>
      <w:bookmarkEnd w:id="10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投标人应当是收到招标人发出投标邀请书的单位。</w:t>
      </w:r>
    </w:p>
    <w:p>
      <w:pPr>
        <w:pStyle w:val="5"/>
        <w:spacing w:before="0" w:after="0" w:line="360" w:lineRule="auto"/>
        <w:rPr>
          <w:rFonts w:hint="eastAsia" w:ascii="宋体" w:hAnsi="宋体" w:eastAsia="宋体" w:cs="宋体"/>
          <w:color w:val="auto"/>
          <w:sz w:val="21"/>
          <w:szCs w:val="21"/>
          <w:highlight w:val="none"/>
        </w:rPr>
      </w:pPr>
      <w:bookmarkStart w:id="105" w:name="_Toc22615"/>
      <w:r>
        <w:rPr>
          <w:rFonts w:hint="eastAsia" w:ascii="宋体" w:hAnsi="宋体" w:eastAsia="宋体" w:cs="宋体"/>
          <w:color w:val="auto"/>
          <w:sz w:val="21"/>
          <w:szCs w:val="21"/>
          <w:highlight w:val="none"/>
        </w:rPr>
        <w:t>1.4 投标人资格要求（适用于未进行资格预审的）</w:t>
      </w:r>
      <w:bookmarkEnd w:id="10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投标人应具备承担本项目施工的资质条件、能力和信誉。</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（1）资质条件、营业执照及安全生产条件：见投标人须知前附表；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bidi="ar"/>
        </w:rPr>
        <w:t>投标截止日投标资格情况要求</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（5）项目经理和项目总工资格：见投标人须知前附表；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（6）其他管理和技术人员要求：见投标人须知前附表；</w:t>
      </w:r>
    </w:p>
    <w:p>
      <w:pPr>
        <w:pStyle w:val="56"/>
        <w:tabs>
          <w:tab w:val="left" w:pos="1647"/>
        </w:tabs>
        <w:spacing w:line="360" w:lineRule="auto"/>
        <w:ind w:left="0" w:firstLineChars="200"/>
        <w:rPr>
          <w:rFonts w:hint="eastAsia" w:ascii="宋体" w:hAnsi="宋体" w:eastAsia="宋体" w:cs="宋体"/>
          <w:color w:val="auto"/>
          <w:sz w:val="21"/>
          <w:szCs w:val="21"/>
          <w:highlight w:val="none"/>
          <w:lang w:val="ru-RU" w:bidi="ar-SA"/>
        </w:rPr>
      </w:pPr>
      <w:r>
        <w:rPr>
          <w:rFonts w:hint="eastAsia" w:ascii="宋体" w:hAnsi="宋体" w:eastAsia="宋体" w:cs="宋体"/>
          <w:color w:val="auto"/>
          <w:sz w:val="21"/>
          <w:szCs w:val="21"/>
          <w:highlight w:val="none"/>
          <w:lang w:val="ru-RU" w:bidi="ar-SA"/>
        </w:rPr>
        <w:t>（7）主要机械设备和试验检测设备要求：见投标人须知前附表；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（8）其他要求：见投标人须知前附表。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 ，并承诺就中标项目向招标人承担连带责任；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（8）为本标段的招标代理机构；</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）与本标段的监理人或代建人或招标代理机构同为一个法定代表人；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（10）与本标段的监理人或代建人或招标代理机构存在控股或参股关系；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5"/>
        <w:spacing w:before="0" w:after="0" w:line="360" w:lineRule="auto"/>
        <w:rPr>
          <w:rFonts w:hint="eastAsia" w:ascii="宋体" w:hAnsi="宋体" w:eastAsia="宋体" w:cs="宋体"/>
          <w:color w:val="auto"/>
          <w:sz w:val="21"/>
          <w:szCs w:val="21"/>
          <w:highlight w:val="none"/>
        </w:rPr>
      </w:pPr>
      <w:bookmarkStart w:id="106" w:name="_Toc2758"/>
      <w:r>
        <w:rPr>
          <w:rFonts w:hint="eastAsia" w:ascii="宋体" w:hAnsi="宋体" w:eastAsia="宋体" w:cs="宋体"/>
          <w:color w:val="auto"/>
          <w:sz w:val="21"/>
          <w:szCs w:val="21"/>
          <w:highlight w:val="none"/>
        </w:rPr>
        <w:t>1.5 费用承担</w:t>
      </w:r>
      <w:bookmarkEnd w:id="10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spacing w:before="0" w:after="0" w:line="360" w:lineRule="auto"/>
        <w:rPr>
          <w:rFonts w:hint="eastAsia" w:ascii="宋体" w:hAnsi="宋体" w:eastAsia="宋体" w:cs="宋体"/>
          <w:color w:val="auto"/>
          <w:sz w:val="21"/>
          <w:szCs w:val="21"/>
          <w:highlight w:val="none"/>
        </w:rPr>
      </w:pPr>
      <w:bookmarkStart w:id="107" w:name="_Toc17365"/>
      <w:r>
        <w:rPr>
          <w:rFonts w:hint="eastAsia" w:ascii="宋体" w:hAnsi="宋体" w:eastAsia="宋体" w:cs="宋体"/>
          <w:color w:val="auto"/>
          <w:sz w:val="21"/>
          <w:szCs w:val="21"/>
          <w:highlight w:val="none"/>
        </w:rPr>
        <w:t>1.6 保密</w:t>
      </w:r>
      <w:bookmarkEnd w:id="10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spacing w:before="0" w:after="0" w:line="360" w:lineRule="auto"/>
        <w:rPr>
          <w:rFonts w:hint="eastAsia" w:ascii="宋体" w:hAnsi="宋体" w:eastAsia="宋体" w:cs="宋体"/>
          <w:color w:val="auto"/>
          <w:sz w:val="21"/>
          <w:szCs w:val="21"/>
          <w:highlight w:val="none"/>
        </w:rPr>
      </w:pPr>
      <w:bookmarkStart w:id="108" w:name="_Toc4034"/>
      <w:r>
        <w:rPr>
          <w:rFonts w:hint="eastAsia" w:ascii="宋体" w:hAnsi="宋体" w:eastAsia="宋体" w:cs="宋体"/>
          <w:color w:val="auto"/>
          <w:sz w:val="21"/>
          <w:szCs w:val="21"/>
          <w:highlight w:val="none"/>
        </w:rPr>
        <w:t>1.7 语言文字</w:t>
      </w:r>
      <w:bookmarkEnd w:id="10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spacing w:before="0" w:after="0" w:line="360" w:lineRule="auto"/>
        <w:rPr>
          <w:rFonts w:hint="eastAsia" w:ascii="宋体" w:hAnsi="宋体" w:eastAsia="宋体" w:cs="宋体"/>
          <w:color w:val="auto"/>
          <w:sz w:val="21"/>
          <w:szCs w:val="21"/>
          <w:highlight w:val="none"/>
        </w:rPr>
      </w:pPr>
      <w:bookmarkStart w:id="109" w:name="_Toc19995"/>
      <w:r>
        <w:rPr>
          <w:rFonts w:hint="eastAsia" w:ascii="宋体" w:hAnsi="宋体" w:eastAsia="宋体" w:cs="宋体"/>
          <w:color w:val="auto"/>
          <w:sz w:val="21"/>
          <w:szCs w:val="21"/>
          <w:highlight w:val="none"/>
        </w:rPr>
        <w:t>1.8 计量单位</w:t>
      </w:r>
      <w:bookmarkEnd w:id="10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spacing w:before="0" w:after="0" w:line="360" w:lineRule="auto"/>
        <w:rPr>
          <w:rFonts w:hint="eastAsia" w:ascii="宋体" w:hAnsi="宋体" w:eastAsia="宋体" w:cs="宋体"/>
          <w:color w:val="auto"/>
          <w:sz w:val="21"/>
          <w:szCs w:val="21"/>
          <w:highlight w:val="none"/>
        </w:rPr>
      </w:pPr>
      <w:bookmarkStart w:id="110" w:name="_Toc22117"/>
      <w:r>
        <w:rPr>
          <w:rFonts w:hint="eastAsia" w:ascii="宋体" w:hAnsi="宋体" w:eastAsia="宋体" w:cs="宋体"/>
          <w:color w:val="auto"/>
          <w:sz w:val="21"/>
          <w:szCs w:val="21"/>
          <w:highlight w:val="none"/>
        </w:rPr>
        <w:t>1.9 踏勘现场</w:t>
      </w:r>
      <w:bookmarkEnd w:id="11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1.9.1投标人须知前附表规定组织踏勘现场的，招标人按投标人须知前附表规定的时间、地点组织投标人踏勘项目现场。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1.9.3除招标人的原因外，投标人自行负责在踏勘现场中所发生的人员伤亡和财产损失。</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hint="eastAsia" w:ascii="宋体" w:hAnsi="宋体" w:eastAsia="宋体" w:cs="宋体"/>
          <w:color w:val="auto"/>
          <w:sz w:val="21"/>
          <w:szCs w:val="21"/>
          <w:highlight w:val="none"/>
        </w:rPr>
      </w:pPr>
      <w:bookmarkStart w:id="111" w:name="_Toc13945"/>
      <w:r>
        <w:rPr>
          <w:rFonts w:hint="eastAsia" w:ascii="宋体" w:hAnsi="宋体" w:eastAsia="宋体" w:cs="宋体"/>
          <w:color w:val="auto"/>
          <w:sz w:val="21"/>
          <w:szCs w:val="21"/>
          <w:highlight w:val="none"/>
        </w:rPr>
        <w:t>1.10 投标预备会</w:t>
      </w:r>
      <w:bookmarkEnd w:id="11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投标人应在投标人须知前附表规定的时间前，以书面形式将提出的问题送达招标人，以便招标人在会议期间澄清。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hint="eastAsia" w:ascii="宋体" w:hAnsi="宋体" w:eastAsia="宋体" w:cs="宋体"/>
          <w:color w:val="auto"/>
          <w:sz w:val="21"/>
          <w:szCs w:val="21"/>
          <w:highlight w:val="none"/>
        </w:rPr>
      </w:pPr>
      <w:bookmarkStart w:id="112" w:name="_Toc8849"/>
      <w:r>
        <w:rPr>
          <w:rFonts w:hint="eastAsia" w:ascii="宋体" w:hAnsi="宋体" w:eastAsia="宋体" w:cs="宋体"/>
          <w:color w:val="auto"/>
          <w:sz w:val="21"/>
          <w:szCs w:val="21"/>
          <w:highlight w:val="none"/>
        </w:rPr>
        <w:t>1.11 分包</w:t>
      </w:r>
      <w:bookmarkEnd w:id="11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投标人拟在中标后将中标项目的部分非主体、非关键性工作进行分包的，应符合以下规定：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（1）分包内容要求：允许分包的工程范围仅限于非关键性工程或适合专业化队伍施工的专项工程。招标人允许分包或不允许分包的专项工程（如有）应在投标人须知前附表中载明。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hint="eastAsia" w:ascii="宋体" w:hAnsi="宋体" w:eastAsia="宋体" w:cs="宋体"/>
          <w:color w:val="auto"/>
          <w:sz w:val="21"/>
          <w:szCs w:val="21"/>
          <w:highlight w:val="none"/>
        </w:rPr>
      </w:pPr>
      <w:bookmarkStart w:id="113" w:name="_Toc5053"/>
      <w:r>
        <w:rPr>
          <w:rFonts w:hint="eastAsia" w:ascii="宋体" w:hAnsi="宋体" w:eastAsia="宋体" w:cs="宋体"/>
          <w:color w:val="auto"/>
          <w:sz w:val="21"/>
          <w:szCs w:val="21"/>
          <w:highlight w:val="none"/>
        </w:rPr>
        <w:t>1.12 响应和偏差</w:t>
      </w:r>
      <w:bookmarkEnd w:id="11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投标文件偏离招标文件某些要求，视为投标文件存在偏差。偏差包括重大偏差和细微偏差。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评标委员会对投标文件中的细微偏差按如下规定处理：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投标人应根据招标文件的要求提供施工组织设计等内容以对招标文件作出响应。</w:t>
      </w:r>
    </w:p>
    <w:p>
      <w:pPr>
        <w:pStyle w:val="4"/>
        <w:spacing w:before="0" w:after="0" w:line="360" w:lineRule="auto"/>
        <w:rPr>
          <w:rFonts w:hint="eastAsia" w:ascii="宋体" w:hAnsi="宋体" w:eastAsia="宋体" w:cs="宋体"/>
          <w:color w:val="auto"/>
          <w:sz w:val="28"/>
          <w:szCs w:val="28"/>
          <w:highlight w:val="none"/>
        </w:rPr>
      </w:pPr>
      <w:bookmarkStart w:id="114" w:name="_Toc20620"/>
      <w:r>
        <w:rPr>
          <w:rFonts w:hint="eastAsia" w:ascii="宋体" w:hAnsi="宋体" w:eastAsia="宋体" w:cs="宋体"/>
          <w:color w:val="auto"/>
          <w:sz w:val="28"/>
          <w:szCs w:val="28"/>
          <w:highlight w:val="none"/>
        </w:rPr>
        <w:t>2. 招标文件</w:t>
      </w:r>
      <w:bookmarkEnd w:id="114"/>
    </w:p>
    <w:p>
      <w:pPr>
        <w:pStyle w:val="5"/>
        <w:spacing w:before="0" w:after="0" w:line="360" w:lineRule="auto"/>
        <w:rPr>
          <w:rFonts w:hint="eastAsia" w:ascii="宋体" w:hAnsi="宋体" w:eastAsia="宋体" w:cs="宋体"/>
          <w:color w:val="auto"/>
          <w:sz w:val="21"/>
          <w:szCs w:val="21"/>
          <w:highlight w:val="none"/>
        </w:rPr>
      </w:pPr>
      <w:bookmarkStart w:id="115" w:name="_Toc5912"/>
      <w:r>
        <w:rPr>
          <w:rFonts w:hint="eastAsia" w:ascii="宋体" w:hAnsi="宋体" w:eastAsia="宋体" w:cs="宋体"/>
          <w:color w:val="auto"/>
          <w:sz w:val="21"/>
          <w:szCs w:val="21"/>
          <w:highlight w:val="none"/>
        </w:rPr>
        <w:t>2.1 招标文件的组成</w:t>
      </w:r>
      <w:bookmarkEnd w:id="11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（1）招标公告（或投标邀请书）；</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款对招标文件所作的澄清、修改，构成招标文件的组成部分。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hint="eastAsia" w:ascii="宋体" w:hAnsi="宋体" w:eastAsia="宋体" w:cs="宋体"/>
          <w:color w:val="auto"/>
          <w:sz w:val="21"/>
          <w:szCs w:val="21"/>
          <w:highlight w:val="none"/>
        </w:rPr>
      </w:pPr>
      <w:bookmarkStart w:id="116" w:name="_Toc699"/>
      <w:r>
        <w:rPr>
          <w:rFonts w:hint="eastAsia" w:ascii="宋体" w:hAnsi="宋体" w:eastAsia="宋体" w:cs="宋体"/>
          <w:color w:val="auto"/>
          <w:sz w:val="21"/>
          <w:szCs w:val="21"/>
          <w:highlight w:val="none"/>
        </w:rPr>
        <w:t>2.2 招标文件的澄清</w:t>
      </w:r>
      <w:bookmarkEnd w:id="116"/>
    </w:p>
    <w:p>
      <w:pPr>
        <w:pStyle w:val="71"/>
        <w:spacing w:before="0" w:after="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，要求招标人对招标文件予以澄清。</w:t>
      </w:r>
    </w:p>
    <w:p>
      <w:pPr>
        <w:pStyle w:val="5"/>
        <w:spacing w:before="0" w:after="0" w:line="360" w:lineRule="auto"/>
        <w:rPr>
          <w:rFonts w:hint="eastAsia" w:ascii="宋体" w:hAnsi="宋体" w:eastAsia="宋体" w:cs="宋体"/>
          <w:color w:val="auto"/>
          <w:sz w:val="21"/>
          <w:szCs w:val="21"/>
          <w:highlight w:val="none"/>
        </w:rPr>
      </w:pPr>
      <w:bookmarkStart w:id="117" w:name="_Toc8041"/>
      <w:r>
        <w:rPr>
          <w:rFonts w:hint="eastAsia" w:ascii="宋体" w:hAnsi="宋体" w:eastAsia="宋体" w:cs="宋体"/>
          <w:color w:val="auto"/>
          <w:sz w:val="21"/>
          <w:szCs w:val="21"/>
          <w:highlight w:val="none"/>
        </w:rPr>
        <w:t>2.3 招标文件的修改</w:t>
      </w:r>
      <w:bookmarkEnd w:id="11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按照本章第2.2款招标文件的澄清相关内容及方式执行。</w:t>
      </w:r>
    </w:p>
    <w:p>
      <w:pPr>
        <w:pStyle w:val="4"/>
        <w:spacing w:before="0" w:after="0" w:line="360" w:lineRule="auto"/>
        <w:rPr>
          <w:rFonts w:hint="eastAsia" w:ascii="宋体" w:hAnsi="宋体" w:eastAsia="宋体" w:cs="宋体"/>
          <w:color w:val="auto"/>
          <w:sz w:val="28"/>
          <w:szCs w:val="28"/>
          <w:highlight w:val="none"/>
        </w:rPr>
      </w:pPr>
      <w:bookmarkStart w:id="118" w:name="_Toc4685"/>
      <w:r>
        <w:rPr>
          <w:rFonts w:hint="eastAsia" w:ascii="宋体" w:hAnsi="宋体" w:eastAsia="宋体" w:cs="宋体"/>
          <w:color w:val="auto"/>
          <w:sz w:val="28"/>
          <w:szCs w:val="28"/>
          <w:highlight w:val="none"/>
        </w:rPr>
        <w:t>3. 投标文件</w:t>
      </w:r>
      <w:bookmarkEnd w:id="118"/>
    </w:p>
    <w:p>
      <w:pPr>
        <w:pStyle w:val="5"/>
        <w:spacing w:before="0" w:after="0" w:line="360" w:lineRule="auto"/>
        <w:rPr>
          <w:rFonts w:hint="eastAsia" w:ascii="宋体" w:hAnsi="宋体" w:eastAsia="宋体" w:cs="宋体"/>
          <w:color w:val="auto"/>
          <w:sz w:val="21"/>
          <w:szCs w:val="21"/>
          <w:highlight w:val="none"/>
        </w:rPr>
      </w:pPr>
      <w:bookmarkStart w:id="119" w:name="_Toc26570"/>
      <w:r>
        <w:rPr>
          <w:rFonts w:hint="eastAsia" w:ascii="宋体" w:hAnsi="宋体" w:eastAsia="宋体" w:cs="宋体"/>
          <w:color w:val="auto"/>
          <w:sz w:val="21"/>
          <w:szCs w:val="21"/>
          <w:highlight w:val="none"/>
        </w:rPr>
        <w:t>3.1投标文件的组成</w:t>
      </w:r>
      <w:bookmarkEnd w:id="11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3.1.1.1投标函部分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（1）投标函</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（2）投标函附录</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（4）低价风险担保</w:t>
      </w:r>
      <w:r>
        <w:rPr>
          <w:rFonts w:hint="eastAsia" w:ascii="宋体" w:hAnsi="宋体" w:eastAsia="宋体" w:cs="宋体"/>
          <w:color w:val="auto"/>
          <w:kern w:val="0"/>
          <w:szCs w:val="21"/>
          <w:highlight w:val="none"/>
          <w:lang w:val="en-US" w:eastAsia="zh-CN"/>
        </w:rPr>
        <w:t>提交</w:t>
      </w:r>
      <w:r>
        <w:rPr>
          <w:rFonts w:hint="eastAsia" w:ascii="宋体" w:hAnsi="宋体" w:eastAsia="宋体" w:cs="宋体"/>
          <w:color w:val="auto"/>
          <w:kern w:val="0"/>
          <w:szCs w:val="21"/>
          <w:highlight w:val="none"/>
          <w:lang w:val="ru-RU"/>
        </w:rPr>
        <w:t>承诺书（如有）</w:t>
      </w:r>
    </w:p>
    <w:p>
      <w:pPr>
        <w:spacing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2经济</w:t>
      </w:r>
      <w:r>
        <w:rPr>
          <w:rFonts w:hint="eastAsia" w:ascii="宋体" w:hAnsi="宋体" w:eastAsia="宋体" w:cs="宋体"/>
          <w:color w:val="auto"/>
          <w:kern w:val="0"/>
          <w:szCs w:val="21"/>
          <w:highlight w:val="none"/>
          <w:lang w:val="ru-RU"/>
        </w:rPr>
        <w:t>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ru-RU"/>
        </w:rPr>
        <w:t>）已标价工程量清单</w:t>
      </w:r>
    </w:p>
    <w:p>
      <w:pPr>
        <w:spacing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3商务</w:t>
      </w:r>
      <w:r>
        <w:rPr>
          <w:rFonts w:hint="eastAsia" w:ascii="宋体" w:hAnsi="宋体" w:eastAsia="宋体" w:cs="宋体"/>
          <w:color w:val="auto"/>
          <w:kern w:val="0"/>
          <w:szCs w:val="21"/>
          <w:highlight w:val="none"/>
          <w:lang w:val="ru-RU"/>
        </w:rPr>
        <w:t>部分（不设置商务部分评审的不设此部分）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ru-RU"/>
        </w:rPr>
        <w:t>技术部分（不设置技术方案评审的不设此部分）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ru-RU"/>
        </w:rPr>
        <w:t>资格审查部分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（2）联合体协议书（如有）</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（3）投标人基本情况表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（4）项目管理机构</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（5）近年财务状况表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（6）类似项目情况表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（7）</w:t>
      </w:r>
      <w:r>
        <w:rPr>
          <w:rFonts w:hint="eastAsia" w:ascii="宋体" w:hAnsi="宋体" w:eastAsia="宋体" w:cs="宋体"/>
          <w:color w:val="auto"/>
          <w:kern w:val="0"/>
          <w:szCs w:val="21"/>
          <w:highlight w:val="none"/>
        </w:rPr>
        <w:t>承诺</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（8）其他资料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5"/>
        <w:spacing w:before="0" w:after="0" w:line="360" w:lineRule="auto"/>
        <w:rPr>
          <w:rFonts w:hint="eastAsia" w:ascii="宋体" w:hAnsi="宋体" w:eastAsia="宋体" w:cs="宋体"/>
          <w:color w:val="auto"/>
          <w:sz w:val="21"/>
          <w:szCs w:val="21"/>
          <w:highlight w:val="none"/>
        </w:rPr>
      </w:pPr>
      <w:bookmarkStart w:id="120" w:name="_Toc523"/>
      <w:r>
        <w:rPr>
          <w:rFonts w:hint="eastAsia" w:ascii="宋体" w:hAnsi="宋体" w:eastAsia="宋体" w:cs="宋体"/>
          <w:color w:val="auto"/>
          <w:sz w:val="21"/>
          <w:szCs w:val="21"/>
          <w:highlight w:val="none"/>
        </w:rPr>
        <w:t>3.2 投标报价</w:t>
      </w:r>
      <w:bookmarkEnd w:id="12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应按照</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eastAsia="zh-CN"/>
        </w:rPr>
        <w:t>《关于工程(维护)类安全生产费据实支付的业务指引》（详见附件）中安全生产法结算的要求，提供相应结算材料，确保安全生产投入。</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3.2.6 除投标人须知前附表另有规定外，招标人不接受调价函。</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3.2.8 招标人设有最高投标限价的，投标人的投标报价不得超过最高投标限价，最高投标限价在投标人须知前附表中载明。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3.2.9 投标报价的其他要求见投标人须知前附表。</w:t>
      </w:r>
    </w:p>
    <w:p>
      <w:pPr>
        <w:pStyle w:val="5"/>
        <w:spacing w:before="0" w:after="0" w:line="360" w:lineRule="auto"/>
        <w:rPr>
          <w:rFonts w:hint="eastAsia" w:ascii="宋体" w:hAnsi="宋体" w:eastAsia="宋体" w:cs="宋体"/>
          <w:color w:val="auto"/>
          <w:sz w:val="21"/>
          <w:szCs w:val="21"/>
          <w:highlight w:val="none"/>
        </w:rPr>
      </w:pPr>
      <w:bookmarkStart w:id="121" w:name="_Toc13195"/>
      <w:r>
        <w:rPr>
          <w:rFonts w:hint="eastAsia" w:ascii="宋体" w:hAnsi="宋体" w:eastAsia="宋体" w:cs="宋体"/>
          <w:color w:val="auto"/>
          <w:sz w:val="21"/>
          <w:szCs w:val="21"/>
          <w:highlight w:val="none"/>
        </w:rPr>
        <w:t>3.3投标有效期</w:t>
      </w:r>
      <w:bookmarkEnd w:id="12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hint="eastAsia" w:ascii="宋体" w:hAnsi="宋体" w:eastAsia="宋体" w:cs="宋体"/>
          <w:color w:val="auto"/>
          <w:sz w:val="21"/>
          <w:szCs w:val="21"/>
          <w:highlight w:val="none"/>
        </w:rPr>
      </w:pPr>
      <w:bookmarkStart w:id="122" w:name="_Toc27889"/>
      <w:r>
        <w:rPr>
          <w:rFonts w:hint="eastAsia" w:ascii="宋体" w:hAnsi="宋体" w:eastAsia="宋体" w:cs="宋体"/>
          <w:color w:val="auto"/>
          <w:sz w:val="21"/>
          <w:szCs w:val="21"/>
          <w:highlight w:val="none"/>
        </w:rPr>
        <w:t>3.4 投标保证金</w:t>
      </w:r>
      <w:bookmarkEnd w:id="12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投标保证金应采用现金、支票、银行保函或招标人在投标人须知前附表规定的其他形式。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项要求提交投标保证金的，评标委员会将否决其投标。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kern w:val="0"/>
          <w:sz w:val="21"/>
          <w:szCs w:val="21"/>
          <w:highlight w:val="none"/>
        </w:rPr>
        <w:t>中标人在收到中标通知书后，无正当理由不与招标人订立合同，在签订合同时向招标人提出附加条件，或者不按照招标文件要求提交履约保证金</w:t>
      </w:r>
      <w:r>
        <w:rPr>
          <w:rFonts w:hint="eastAsia" w:ascii="宋体" w:hAnsi="宋体" w:eastAsia="宋体" w:cs="宋体"/>
          <w:color w:val="auto"/>
          <w:sz w:val="21"/>
          <w:szCs w:val="21"/>
          <w:highlight w:val="none"/>
          <w:lang w:eastAsia="zh-CN"/>
        </w:rPr>
        <w:t>；</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highlight w:val="none"/>
        </w:rPr>
        <w:t>中标人</w:t>
      </w:r>
      <w:r>
        <w:rPr>
          <w:rFonts w:hint="eastAsia" w:ascii="宋体" w:hAnsi="宋体" w:eastAsia="宋体" w:cs="宋体"/>
          <w:kern w:val="0"/>
          <w:sz w:val="21"/>
          <w:szCs w:val="21"/>
          <w:highlight w:val="none"/>
          <w:lang w:eastAsia="zh-CN"/>
        </w:rPr>
        <w:t>（或拟中标人）</w:t>
      </w:r>
      <w:r>
        <w:rPr>
          <w:rFonts w:hint="eastAsia" w:ascii="宋体" w:hAnsi="宋体" w:eastAsia="宋体" w:cs="宋体"/>
          <w:kern w:val="0"/>
          <w:sz w:val="21"/>
          <w:szCs w:val="21"/>
          <w:highlight w:val="none"/>
        </w:rPr>
        <w:t>拒不提供或者不按时提供低价风险担保（适用于经评审的最低投标价法）</w:t>
      </w:r>
      <w:r>
        <w:rPr>
          <w:rFonts w:hint="eastAsia" w:ascii="宋体" w:hAnsi="宋体" w:eastAsia="宋体" w:cs="宋体"/>
          <w:kern w:val="0"/>
          <w:sz w:val="21"/>
          <w:szCs w:val="21"/>
          <w:highlight w:val="none"/>
          <w:lang w:eastAsia="zh-CN"/>
        </w:rPr>
        <w:t>；</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5"/>
        <w:spacing w:before="0" w:after="0" w:line="360" w:lineRule="auto"/>
        <w:rPr>
          <w:rFonts w:hint="eastAsia" w:ascii="宋体" w:hAnsi="宋体" w:eastAsia="宋体" w:cs="宋体"/>
          <w:color w:val="auto"/>
          <w:sz w:val="21"/>
          <w:szCs w:val="21"/>
          <w:highlight w:val="none"/>
        </w:rPr>
      </w:pPr>
      <w:bookmarkStart w:id="123" w:name="_Toc11009"/>
      <w:r>
        <w:rPr>
          <w:rFonts w:hint="eastAsia" w:ascii="宋体" w:hAnsi="宋体" w:eastAsia="宋体" w:cs="宋体"/>
          <w:color w:val="auto"/>
          <w:sz w:val="21"/>
          <w:szCs w:val="21"/>
          <w:highlight w:val="none"/>
        </w:rPr>
        <w:t>3.5 资格审查资料（适用于已进行资格预审的）</w:t>
      </w:r>
      <w:bookmarkEnd w:id="12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 投标人在递交投标文件前，发生可能影响其投标资格的新情况的，应在投标文件中更新或补充其在申请资格预审时提供的资料，以证实其各项资格条件仍能继续满足资格预审文件的要求。投标人至少应更新以下资料（如有）：</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（1）财务状况方面的变化，新近取得银行信贷额度（如有必要）的证明和（或）获得其他资金来源的证据，以及现已接受（中标或签约）的新合同工程对财务状况的影响；</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（2）投标人名称的变化及有关批件。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 如果投标人在投标阶段发生合并、分立、破产等重大变化，或发生重大安全或质量事故，或由于其他任何情况，导致投标人不再具备资格预审文件规定的各项资格条件或其投标影响招标公正性时，投标人必须在其投标文件中对上述情况进行如实说明，否则，招标人一经查实，将视为投标人弄虚作假，其投标将被否决。</w:t>
      </w:r>
    </w:p>
    <w:p>
      <w:pPr>
        <w:pStyle w:val="5"/>
        <w:spacing w:before="0" w:after="0" w:line="360" w:lineRule="auto"/>
        <w:ind w:firstLine="420" w:firstLineChars="200"/>
        <w:rPr>
          <w:rFonts w:hint="eastAsia" w:ascii="宋体" w:hAnsi="宋体" w:eastAsia="宋体" w:cs="宋体"/>
          <w:b w:val="0"/>
          <w:bCs w:val="0"/>
          <w:color w:val="auto"/>
          <w:sz w:val="21"/>
          <w:szCs w:val="21"/>
          <w:highlight w:val="none"/>
        </w:rPr>
      </w:pPr>
      <w:bookmarkStart w:id="124" w:name="_Toc489"/>
      <w:bookmarkStart w:id="125" w:name="_Toc30262"/>
      <w:r>
        <w:rPr>
          <w:rFonts w:hint="eastAsia" w:ascii="宋体" w:hAnsi="宋体" w:eastAsia="宋体" w:cs="宋体"/>
          <w:b w:val="0"/>
          <w:bCs w:val="0"/>
          <w:color w:val="auto"/>
          <w:sz w:val="21"/>
          <w:szCs w:val="21"/>
          <w:highlight w:val="none"/>
          <w:lang w:eastAsia="zh-CN"/>
        </w:rPr>
        <w:t>3.5.3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bookmarkEnd w:id="124"/>
      <w:bookmarkEnd w:id="125"/>
    </w:p>
    <w:p>
      <w:pPr>
        <w:pStyle w:val="5"/>
        <w:spacing w:before="0" w:after="0" w:line="360" w:lineRule="auto"/>
        <w:rPr>
          <w:rFonts w:hint="eastAsia" w:ascii="宋体" w:hAnsi="宋体" w:eastAsia="宋体" w:cs="宋体"/>
          <w:color w:val="auto"/>
          <w:sz w:val="21"/>
          <w:szCs w:val="21"/>
          <w:highlight w:val="none"/>
        </w:rPr>
      </w:pPr>
      <w:bookmarkStart w:id="126" w:name="_Toc30678"/>
      <w:r>
        <w:rPr>
          <w:rFonts w:hint="eastAsia" w:ascii="宋体" w:hAnsi="宋体" w:eastAsia="宋体" w:cs="宋体"/>
          <w:color w:val="auto"/>
          <w:sz w:val="21"/>
          <w:szCs w:val="21"/>
          <w:highlight w:val="none"/>
        </w:rPr>
        <w:t>3.5资格审查资料（适用于</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进行资格预审的）</w:t>
      </w:r>
      <w:bookmarkEnd w:id="12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 1.4 款规定的资质、财务、业绩、信誉等要求。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3.5.1“投标人基本情况表”应附企业法人营业执照副本、施工资质证书副本（带二维码）、安全生产许可证副本的扫描件。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法人营业执照副本、施工资质证书副本、安全生产许可证副本的扫描件应提供全本（证书封面、封底、空白页除外），应包括投标人名称、投标人其他相关信息、颁发机构名称、投标人信息变更情况等关键页在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3.5.2“财务状况表”应附经会计师事务所或审计机构</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合法有效的</w:t>
      </w:r>
      <w:r>
        <w:rPr>
          <w:rFonts w:hint="eastAsia" w:ascii="宋体" w:hAnsi="宋体" w:eastAsia="宋体" w:cs="宋体"/>
          <w:color w:val="auto"/>
          <w:sz w:val="21"/>
          <w:szCs w:val="21"/>
          <w:highlight w:val="none"/>
          <w:lang w:eastAsia="zh-CN"/>
        </w:rPr>
        <w:t>财务审计报表扫描件，包括资产负债表、现金流量表、利润表和财务情况说明书，具体年份要求见投标人须知前附表。投标人的成立时间少于投标人须知前附表规定年份的，应提供成立以来的财务状况表。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3.5.3 “类似项目”应是已列入交通运输主管部门“公路建设市场信用信息管理系统”并公开的主包已建业绩或分包已建业绩，具体时间要求见投标人须知前附表。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项目情况表”应附在交通运输部“全国公路建设市场信用信息管理系统”中查询到的企业“业绩信息”相关项目网页截图复印件，即包括“项目名称”“标段类型”“合同价”“主要工程量”“项目主要管理人员”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如投标人未提供相关项目网页截图或相关项目网页截图中的信息无法证实投标人满足招标文件规定的资格审查条件（业绩最低要求），则该项目业绩不予认定。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3.5.4“投标人的信誉情况表”应附投标人在国家企业信用信息公示系统中未被列入严重违法失信企业名单，在“信用中国”网站未被列入失信惩戒对象名单的网页截图。</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复印件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3.5.6“拟委任的其他管理和技术人员汇总表”（如有）应按前附表规定填报满足本章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1.4.1</w:t>
      </w:r>
      <w:r>
        <w:rPr>
          <w:rFonts w:hint="eastAsia" w:ascii="宋体" w:hAnsi="宋体" w:eastAsia="宋体" w:cs="宋体"/>
          <w:color w:val="auto"/>
          <w:sz w:val="21"/>
          <w:szCs w:val="21"/>
          <w:highlight w:val="none"/>
          <w:lang w:val="en-US" w:eastAsia="zh-CN"/>
        </w:rPr>
        <w:t xml:space="preserve"> 项</w:t>
      </w:r>
      <w:r>
        <w:rPr>
          <w:rFonts w:hint="eastAsia" w:ascii="宋体" w:hAnsi="宋体" w:eastAsia="宋体" w:cs="宋体"/>
          <w:color w:val="auto"/>
          <w:sz w:val="21"/>
          <w:szCs w:val="21"/>
          <w:highlight w:val="none"/>
          <w:lang w:eastAsia="zh-CN"/>
        </w:rPr>
        <w:t>规定的其他人员的相关信息。</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3.5.7“拟投入本标段的主要施工机械表”“拟配备本标段的主要材料试验、测量、质检仪器设备表”（如有））应按前附表规定填报满足本章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1.4.1 </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规定的机械设备和试验检测设备。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3.5.8 投标人须知前附表规定接受联合体投标的，本章第3.5.1 项至第3.5.7 项规定的表格和资料应包括联合体各方相关情况。</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3.5.9 除合同条款约定的特殊情形外，投标人在投标文件中填报的项目经理和项目总工不允许更换，否则将按合同条款的约定予以处罚。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3.5.10 投标人在投标文件中填报的资质、业绩、主要人员资历和目前在岗情况、信用等级等信息，应与其在交通运输部或</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交通行政主管部门“公路建设市场信用信息管理系统”上填报并发布的相关信息一致。投标人应根据本单位实际情况及时完成相关信息的申报、录入和动态更新，并对相关信息的真实性、完整性和准确性负责。</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3.5.11 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交通行政主管部门，作为不良记录纳入公路建设市场信用信息管理系统。</w:t>
      </w:r>
    </w:p>
    <w:p>
      <w:pPr>
        <w:pStyle w:val="5"/>
        <w:spacing w:before="0" w:after="0" w:line="360" w:lineRule="auto"/>
        <w:rPr>
          <w:rFonts w:hint="eastAsia" w:ascii="宋体" w:hAnsi="宋体" w:eastAsia="宋体" w:cs="宋体"/>
          <w:color w:val="auto"/>
          <w:sz w:val="21"/>
          <w:szCs w:val="21"/>
          <w:highlight w:val="none"/>
        </w:rPr>
      </w:pPr>
      <w:bookmarkStart w:id="127" w:name="_Toc12012"/>
      <w:r>
        <w:rPr>
          <w:rFonts w:hint="eastAsia" w:ascii="宋体" w:hAnsi="宋体" w:eastAsia="宋体" w:cs="宋体"/>
          <w:color w:val="auto"/>
          <w:sz w:val="21"/>
          <w:szCs w:val="21"/>
          <w:highlight w:val="none"/>
        </w:rPr>
        <w:t>3.6 备选投标方案</w:t>
      </w:r>
      <w:bookmarkEnd w:id="12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hint="eastAsia" w:ascii="宋体" w:hAnsi="宋体" w:eastAsia="宋体" w:cs="宋体"/>
          <w:color w:val="auto"/>
          <w:sz w:val="21"/>
          <w:szCs w:val="21"/>
          <w:highlight w:val="none"/>
        </w:rPr>
      </w:pPr>
      <w:bookmarkStart w:id="128" w:name="_Toc25781"/>
      <w:r>
        <w:rPr>
          <w:rFonts w:hint="eastAsia" w:ascii="宋体" w:hAnsi="宋体" w:eastAsia="宋体" w:cs="宋体"/>
          <w:color w:val="auto"/>
          <w:sz w:val="21"/>
          <w:szCs w:val="21"/>
          <w:highlight w:val="none"/>
        </w:rPr>
        <w:t>3.7 投标文件的编制</w:t>
      </w:r>
      <w:bookmarkEnd w:id="12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投标文件应对招标文件有关工期、投标有效期、质量要求、安全目标、技术标准和要求、招标范围等实质性内容作出响应。</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4"/>
        <w:spacing w:before="0" w:after="0" w:line="360" w:lineRule="auto"/>
        <w:rPr>
          <w:rFonts w:hint="eastAsia" w:ascii="宋体" w:hAnsi="宋体" w:eastAsia="宋体" w:cs="宋体"/>
          <w:color w:val="auto"/>
          <w:sz w:val="28"/>
          <w:szCs w:val="28"/>
          <w:highlight w:val="none"/>
        </w:rPr>
      </w:pPr>
      <w:bookmarkStart w:id="129" w:name="_Toc17771"/>
      <w:r>
        <w:rPr>
          <w:rFonts w:hint="eastAsia" w:ascii="宋体" w:hAnsi="宋体" w:eastAsia="宋体" w:cs="宋体"/>
          <w:color w:val="auto"/>
          <w:sz w:val="28"/>
          <w:szCs w:val="28"/>
          <w:highlight w:val="none"/>
        </w:rPr>
        <w:t>4. 投标</w:t>
      </w:r>
      <w:bookmarkEnd w:id="129"/>
    </w:p>
    <w:p>
      <w:pPr>
        <w:pStyle w:val="5"/>
        <w:spacing w:before="0" w:after="0" w:line="360" w:lineRule="auto"/>
        <w:rPr>
          <w:rFonts w:hint="eastAsia" w:ascii="宋体" w:hAnsi="宋体" w:eastAsia="宋体" w:cs="宋体"/>
          <w:color w:val="auto"/>
          <w:sz w:val="21"/>
          <w:szCs w:val="21"/>
          <w:highlight w:val="none"/>
        </w:rPr>
      </w:pPr>
      <w:bookmarkStart w:id="130" w:name="_Toc9099"/>
      <w:r>
        <w:rPr>
          <w:rFonts w:hint="eastAsia" w:ascii="宋体" w:hAnsi="宋体" w:eastAsia="宋体" w:cs="宋体"/>
          <w:color w:val="auto"/>
          <w:sz w:val="21"/>
          <w:szCs w:val="21"/>
          <w:highlight w:val="none"/>
        </w:rPr>
        <w:t>4.1 投标文件的密封和标识</w:t>
      </w:r>
      <w:bookmarkEnd w:id="13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5"/>
        <w:spacing w:before="0" w:after="0" w:line="360" w:lineRule="auto"/>
        <w:rPr>
          <w:rFonts w:hint="eastAsia" w:ascii="宋体" w:hAnsi="宋体" w:eastAsia="宋体" w:cs="宋体"/>
          <w:color w:val="auto"/>
          <w:sz w:val="21"/>
          <w:szCs w:val="21"/>
          <w:highlight w:val="none"/>
        </w:rPr>
      </w:pPr>
      <w:bookmarkStart w:id="131" w:name="_Toc13585"/>
      <w:r>
        <w:rPr>
          <w:rFonts w:hint="eastAsia" w:ascii="宋体" w:hAnsi="宋体" w:eastAsia="宋体" w:cs="宋体"/>
          <w:color w:val="auto"/>
          <w:sz w:val="21"/>
          <w:szCs w:val="21"/>
          <w:highlight w:val="none"/>
        </w:rPr>
        <w:t>4.2投标文件的递交</w:t>
      </w:r>
      <w:bookmarkEnd w:id="13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4.2.4逾期送达的或者未送达指定地点的投标文件，招标人不予受理。</w:t>
      </w:r>
    </w:p>
    <w:p>
      <w:pPr>
        <w:pStyle w:val="5"/>
        <w:spacing w:before="0" w:after="0" w:line="360" w:lineRule="auto"/>
        <w:rPr>
          <w:rFonts w:hint="eastAsia" w:ascii="宋体" w:hAnsi="宋体" w:eastAsia="宋体" w:cs="宋体"/>
          <w:color w:val="auto"/>
          <w:sz w:val="21"/>
          <w:szCs w:val="21"/>
          <w:highlight w:val="none"/>
        </w:rPr>
      </w:pPr>
      <w:bookmarkStart w:id="132" w:name="_Toc14014"/>
      <w:r>
        <w:rPr>
          <w:rFonts w:hint="eastAsia" w:ascii="宋体" w:hAnsi="宋体" w:eastAsia="宋体" w:cs="宋体"/>
          <w:color w:val="auto"/>
          <w:sz w:val="21"/>
          <w:szCs w:val="21"/>
          <w:highlight w:val="none"/>
        </w:rPr>
        <w:t>4.3 投标文件的修改与撤回</w:t>
      </w:r>
      <w:bookmarkEnd w:id="13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hint="eastAsia" w:ascii="宋体" w:hAnsi="宋体" w:eastAsia="宋体" w:cs="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p>
    <w:p>
      <w:pPr>
        <w:pStyle w:val="4"/>
        <w:spacing w:before="0" w:after="0" w:line="360" w:lineRule="auto"/>
        <w:rPr>
          <w:rFonts w:hint="eastAsia" w:ascii="宋体" w:hAnsi="宋体" w:eastAsia="宋体" w:cs="宋体"/>
          <w:color w:val="auto"/>
          <w:sz w:val="28"/>
          <w:szCs w:val="28"/>
          <w:highlight w:val="none"/>
        </w:rPr>
      </w:pPr>
      <w:bookmarkStart w:id="133" w:name="_Toc8491"/>
      <w:r>
        <w:rPr>
          <w:rFonts w:hint="eastAsia" w:ascii="宋体" w:hAnsi="宋体" w:eastAsia="宋体" w:cs="宋体"/>
          <w:color w:val="auto"/>
          <w:sz w:val="28"/>
          <w:szCs w:val="28"/>
          <w:highlight w:val="none"/>
        </w:rPr>
        <w:t>5. 开标</w:t>
      </w:r>
      <w:bookmarkEnd w:id="133"/>
    </w:p>
    <w:p>
      <w:pPr>
        <w:pStyle w:val="5"/>
        <w:spacing w:before="0" w:after="0" w:line="360" w:lineRule="auto"/>
        <w:rPr>
          <w:rFonts w:hint="eastAsia" w:ascii="宋体" w:hAnsi="宋体" w:eastAsia="宋体" w:cs="宋体"/>
          <w:color w:val="auto"/>
          <w:sz w:val="21"/>
          <w:szCs w:val="21"/>
          <w:highlight w:val="none"/>
        </w:rPr>
      </w:pPr>
      <w:bookmarkStart w:id="134" w:name="_Toc7416"/>
      <w:r>
        <w:rPr>
          <w:rFonts w:hint="eastAsia" w:ascii="宋体" w:hAnsi="宋体" w:eastAsia="宋体" w:cs="宋体"/>
          <w:color w:val="auto"/>
          <w:sz w:val="21"/>
          <w:szCs w:val="21"/>
          <w:highlight w:val="none"/>
        </w:rPr>
        <w:t>5.1 开标时间和地点</w:t>
      </w:r>
      <w:bookmarkEnd w:id="13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投标人若未派法定代表人或委托代理人出席开标活动，视为该投标人默认开标结果。</w:t>
      </w:r>
    </w:p>
    <w:p>
      <w:pPr>
        <w:pStyle w:val="5"/>
        <w:spacing w:before="0" w:after="0" w:line="360" w:lineRule="auto"/>
        <w:rPr>
          <w:rFonts w:hint="eastAsia" w:ascii="宋体" w:hAnsi="宋体" w:eastAsia="宋体" w:cs="宋体"/>
          <w:color w:val="auto"/>
          <w:sz w:val="21"/>
          <w:szCs w:val="21"/>
          <w:highlight w:val="none"/>
        </w:rPr>
      </w:pPr>
      <w:bookmarkStart w:id="135" w:name="_Toc7171"/>
      <w:r>
        <w:rPr>
          <w:rFonts w:hint="eastAsia" w:ascii="宋体" w:hAnsi="宋体" w:eastAsia="宋体" w:cs="宋体"/>
          <w:color w:val="auto"/>
          <w:sz w:val="21"/>
          <w:szCs w:val="21"/>
          <w:highlight w:val="none"/>
        </w:rPr>
        <w:t>5.2开标程序</w:t>
      </w:r>
      <w:bookmarkEnd w:id="13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详见投标人须知前附表第5.2款开标程序。</w:t>
      </w:r>
    </w:p>
    <w:p>
      <w:pPr>
        <w:pStyle w:val="5"/>
        <w:spacing w:before="0" w:after="0" w:line="360" w:lineRule="auto"/>
        <w:rPr>
          <w:rFonts w:hint="eastAsia" w:ascii="宋体" w:hAnsi="宋体" w:eastAsia="宋体" w:cs="宋体"/>
          <w:color w:val="auto"/>
          <w:sz w:val="21"/>
          <w:szCs w:val="21"/>
          <w:highlight w:val="none"/>
        </w:rPr>
      </w:pPr>
      <w:bookmarkStart w:id="136" w:name="_Toc7297"/>
      <w:r>
        <w:rPr>
          <w:rFonts w:hint="eastAsia" w:ascii="宋体" w:hAnsi="宋体" w:eastAsia="宋体" w:cs="宋体"/>
          <w:color w:val="auto"/>
          <w:sz w:val="21"/>
          <w:szCs w:val="21"/>
          <w:highlight w:val="none"/>
        </w:rPr>
        <w:t>5.3 开标异议</w:t>
      </w:r>
      <w:bookmarkEnd w:id="13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hint="eastAsia" w:ascii="宋体" w:hAnsi="宋体" w:eastAsia="宋体" w:cs="宋体"/>
          <w:color w:val="auto"/>
          <w:sz w:val="28"/>
          <w:szCs w:val="28"/>
          <w:highlight w:val="none"/>
        </w:rPr>
      </w:pPr>
      <w:bookmarkStart w:id="137" w:name="_Toc25435"/>
      <w:r>
        <w:rPr>
          <w:rFonts w:hint="eastAsia" w:ascii="宋体" w:hAnsi="宋体" w:eastAsia="宋体" w:cs="宋体"/>
          <w:color w:val="auto"/>
          <w:sz w:val="28"/>
          <w:szCs w:val="28"/>
          <w:highlight w:val="none"/>
        </w:rPr>
        <w:t>6. 评标</w:t>
      </w:r>
      <w:bookmarkEnd w:id="137"/>
    </w:p>
    <w:p>
      <w:pPr>
        <w:pStyle w:val="5"/>
        <w:spacing w:before="0" w:after="0" w:line="360" w:lineRule="auto"/>
        <w:rPr>
          <w:rFonts w:hint="eastAsia" w:ascii="宋体" w:hAnsi="宋体" w:eastAsia="宋体" w:cs="宋体"/>
          <w:color w:val="auto"/>
          <w:sz w:val="21"/>
          <w:szCs w:val="21"/>
          <w:highlight w:val="none"/>
        </w:rPr>
      </w:pPr>
      <w:bookmarkStart w:id="138" w:name="_Toc12863"/>
      <w:r>
        <w:rPr>
          <w:rFonts w:hint="eastAsia" w:ascii="宋体" w:hAnsi="宋体" w:eastAsia="宋体" w:cs="宋体"/>
          <w:color w:val="auto"/>
          <w:sz w:val="21"/>
          <w:szCs w:val="21"/>
          <w:highlight w:val="none"/>
        </w:rPr>
        <w:t>6.1 评标委员会</w:t>
      </w:r>
      <w:bookmarkEnd w:id="13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评标委员会的组建：</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评标委员会成员有下列情形之一的，应主动提出回避：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（2）招标人或招标代理机构主要负责人的近亲属，或与投标人法定代表人或其委托代理人有近亲属关系；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（3）为投标人的工作人员或退休人员；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（4）与投标人有其他利害关系，可能影响评标活动公正性；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（5）在与招标投标有关的活动中有过违法违规行为、曾受过行政处罚或刑事处罚；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（6）招标人及其子公司、招标人的上级主管部门或者控股公司、招标代理机构的工作人员或者退休人员；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（7）近3年在招标人、投标人或招标代理机构工作过的人员。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hint="eastAsia" w:ascii="宋体" w:hAnsi="宋体" w:eastAsia="宋体" w:cs="宋体"/>
          <w:color w:val="auto"/>
          <w:sz w:val="21"/>
          <w:szCs w:val="21"/>
          <w:highlight w:val="none"/>
        </w:rPr>
      </w:pPr>
      <w:bookmarkStart w:id="139" w:name="_Toc9708"/>
      <w:r>
        <w:rPr>
          <w:rFonts w:hint="eastAsia" w:ascii="宋体" w:hAnsi="宋体" w:eastAsia="宋体" w:cs="宋体"/>
          <w:color w:val="auto"/>
          <w:sz w:val="21"/>
          <w:szCs w:val="21"/>
          <w:highlight w:val="none"/>
        </w:rPr>
        <w:t>6.2 评标原则</w:t>
      </w:r>
      <w:bookmarkEnd w:id="13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spacing w:before="0" w:after="0" w:line="360" w:lineRule="auto"/>
        <w:rPr>
          <w:rFonts w:hint="eastAsia" w:ascii="宋体" w:hAnsi="宋体" w:eastAsia="宋体" w:cs="宋体"/>
          <w:color w:val="auto"/>
          <w:sz w:val="21"/>
          <w:szCs w:val="21"/>
          <w:highlight w:val="none"/>
        </w:rPr>
      </w:pPr>
      <w:bookmarkStart w:id="140" w:name="_Toc2510"/>
      <w:r>
        <w:rPr>
          <w:rFonts w:hint="eastAsia" w:ascii="宋体" w:hAnsi="宋体" w:eastAsia="宋体" w:cs="宋体"/>
          <w:color w:val="auto"/>
          <w:sz w:val="21"/>
          <w:szCs w:val="21"/>
          <w:highlight w:val="none"/>
        </w:rPr>
        <w:t>6.3 评标</w:t>
      </w:r>
      <w:bookmarkEnd w:id="14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hint="eastAsia" w:ascii="宋体" w:hAnsi="宋体" w:eastAsia="宋体" w:cs="宋体"/>
          <w:color w:val="auto"/>
          <w:sz w:val="28"/>
          <w:szCs w:val="28"/>
          <w:highlight w:val="none"/>
        </w:rPr>
      </w:pPr>
      <w:bookmarkStart w:id="141" w:name="_Toc16792"/>
      <w:r>
        <w:rPr>
          <w:rFonts w:hint="eastAsia" w:ascii="宋体" w:hAnsi="宋体" w:eastAsia="宋体" w:cs="宋体"/>
          <w:color w:val="auto"/>
          <w:sz w:val="28"/>
          <w:szCs w:val="28"/>
          <w:highlight w:val="none"/>
        </w:rPr>
        <w:t>7. 合同授予</w:t>
      </w:r>
      <w:bookmarkEnd w:id="141"/>
    </w:p>
    <w:p>
      <w:pPr>
        <w:pStyle w:val="5"/>
        <w:spacing w:before="0" w:after="0" w:line="360" w:lineRule="auto"/>
        <w:rPr>
          <w:rFonts w:hint="eastAsia" w:ascii="宋体" w:hAnsi="宋体" w:eastAsia="宋体" w:cs="宋体"/>
          <w:color w:val="auto"/>
          <w:sz w:val="21"/>
          <w:szCs w:val="21"/>
          <w:highlight w:val="none"/>
        </w:rPr>
      </w:pPr>
      <w:bookmarkStart w:id="142" w:name="_Toc20312"/>
      <w:r>
        <w:rPr>
          <w:rFonts w:hint="eastAsia" w:ascii="宋体" w:hAnsi="宋体" w:eastAsia="宋体" w:cs="宋体"/>
          <w:color w:val="auto"/>
          <w:sz w:val="21"/>
          <w:szCs w:val="21"/>
          <w:highlight w:val="none"/>
        </w:rPr>
        <w:t>7.1 中标候选人公示</w:t>
      </w:r>
      <w:bookmarkEnd w:id="14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 3 日。</w:t>
      </w:r>
    </w:p>
    <w:p>
      <w:pPr>
        <w:pStyle w:val="5"/>
        <w:spacing w:before="0" w:after="0" w:line="360" w:lineRule="auto"/>
        <w:rPr>
          <w:rFonts w:hint="eastAsia" w:ascii="宋体" w:hAnsi="宋体" w:eastAsia="宋体" w:cs="宋体"/>
          <w:color w:val="auto"/>
          <w:sz w:val="21"/>
          <w:szCs w:val="21"/>
          <w:highlight w:val="none"/>
        </w:rPr>
      </w:pPr>
      <w:bookmarkStart w:id="143" w:name="_Toc10353"/>
      <w:r>
        <w:rPr>
          <w:rFonts w:hint="eastAsia" w:ascii="宋体" w:hAnsi="宋体" w:eastAsia="宋体" w:cs="宋体"/>
          <w:color w:val="auto"/>
          <w:sz w:val="21"/>
          <w:szCs w:val="21"/>
          <w:highlight w:val="none"/>
        </w:rPr>
        <w:t>7.2 评标结果异议</w:t>
      </w:r>
      <w:bookmarkEnd w:id="14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hint="eastAsia" w:ascii="宋体" w:hAnsi="宋体" w:eastAsia="宋体" w:cs="宋体"/>
          <w:color w:val="auto"/>
          <w:sz w:val="21"/>
          <w:szCs w:val="21"/>
          <w:highlight w:val="none"/>
        </w:rPr>
      </w:pPr>
      <w:bookmarkStart w:id="144" w:name="_Toc28937"/>
      <w:r>
        <w:rPr>
          <w:rFonts w:hint="eastAsia" w:ascii="宋体" w:hAnsi="宋体" w:eastAsia="宋体" w:cs="宋体"/>
          <w:color w:val="auto"/>
          <w:sz w:val="21"/>
          <w:szCs w:val="21"/>
          <w:highlight w:val="none"/>
        </w:rPr>
        <w:t>7.3 中标候选人履约能力审查</w:t>
      </w:r>
      <w:bookmarkEnd w:id="14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hint="eastAsia" w:ascii="宋体" w:hAnsi="宋体" w:eastAsia="宋体" w:cs="宋体"/>
          <w:color w:val="auto"/>
          <w:sz w:val="21"/>
          <w:szCs w:val="21"/>
          <w:highlight w:val="none"/>
        </w:rPr>
      </w:pPr>
      <w:bookmarkStart w:id="145" w:name="_Toc19146"/>
      <w:r>
        <w:rPr>
          <w:rFonts w:hint="eastAsia" w:ascii="宋体" w:hAnsi="宋体" w:eastAsia="宋体" w:cs="宋体"/>
          <w:color w:val="auto"/>
          <w:sz w:val="21"/>
          <w:szCs w:val="21"/>
          <w:highlight w:val="none"/>
        </w:rPr>
        <w:t>7.4 定标</w:t>
      </w:r>
      <w:bookmarkEnd w:id="14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spacing w:before="0" w:after="0" w:line="360" w:lineRule="auto"/>
        <w:rPr>
          <w:rFonts w:hint="eastAsia" w:ascii="宋体" w:hAnsi="宋体" w:eastAsia="宋体" w:cs="宋体"/>
          <w:color w:val="auto"/>
          <w:sz w:val="21"/>
          <w:szCs w:val="21"/>
          <w:highlight w:val="none"/>
        </w:rPr>
      </w:pPr>
      <w:bookmarkStart w:id="146" w:name="_Toc21849"/>
      <w:r>
        <w:rPr>
          <w:rFonts w:hint="eastAsia" w:ascii="宋体" w:hAnsi="宋体" w:eastAsia="宋体" w:cs="宋体"/>
          <w:color w:val="auto"/>
          <w:sz w:val="21"/>
          <w:szCs w:val="21"/>
          <w:highlight w:val="none"/>
        </w:rPr>
        <w:t>7.5 中标通知</w:t>
      </w:r>
      <w:bookmarkEnd w:id="14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hint="eastAsia" w:ascii="宋体" w:hAnsi="宋体" w:eastAsia="宋体" w:cs="宋体"/>
          <w:color w:val="auto"/>
          <w:sz w:val="21"/>
          <w:szCs w:val="21"/>
          <w:highlight w:val="none"/>
        </w:rPr>
      </w:pPr>
      <w:bookmarkStart w:id="147" w:name="_Toc5861"/>
      <w:r>
        <w:rPr>
          <w:rFonts w:hint="eastAsia" w:ascii="宋体" w:hAnsi="宋体" w:eastAsia="宋体" w:cs="宋体"/>
          <w:color w:val="auto"/>
          <w:sz w:val="21"/>
          <w:szCs w:val="21"/>
          <w:highlight w:val="none"/>
        </w:rPr>
        <w:t>7.6 中标结果公告</w:t>
      </w:r>
      <w:bookmarkEnd w:id="14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hint="eastAsia" w:ascii="宋体" w:hAnsi="宋体" w:eastAsia="宋体" w:cs="宋体"/>
          <w:color w:val="auto"/>
          <w:sz w:val="21"/>
          <w:szCs w:val="21"/>
          <w:highlight w:val="none"/>
        </w:rPr>
      </w:pPr>
      <w:bookmarkStart w:id="148" w:name="_Toc29832"/>
      <w:r>
        <w:rPr>
          <w:rFonts w:hint="eastAsia" w:ascii="宋体" w:hAnsi="宋体" w:eastAsia="宋体" w:cs="宋体"/>
          <w:color w:val="auto"/>
          <w:sz w:val="21"/>
          <w:szCs w:val="21"/>
          <w:highlight w:val="none"/>
        </w:rPr>
        <w:t>7.7 履约保证金</w:t>
      </w:r>
      <w:bookmarkEnd w:id="14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采用银行保函时，应由符合投标人须知前附表规定级别的银行开具，所需的费用由中标人承担，中标人应保证银行保函有效。</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hint="eastAsia" w:ascii="宋体" w:hAnsi="宋体" w:eastAsia="宋体" w:cs="宋体"/>
          <w:color w:val="auto"/>
          <w:sz w:val="21"/>
          <w:szCs w:val="21"/>
          <w:highlight w:val="none"/>
        </w:rPr>
      </w:pPr>
      <w:bookmarkStart w:id="149" w:name="_Toc25340"/>
      <w:r>
        <w:rPr>
          <w:rFonts w:hint="eastAsia" w:ascii="宋体" w:hAnsi="宋体" w:eastAsia="宋体" w:cs="宋体"/>
          <w:color w:val="auto"/>
          <w:sz w:val="21"/>
          <w:szCs w:val="21"/>
          <w:highlight w:val="none"/>
        </w:rPr>
        <w:t>7.8 签订合同</w:t>
      </w:r>
      <w:bookmarkEnd w:id="14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联合体中标的，联合体各方应共同与招标人签订合同，就中标项目向招标人承担连带责任。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hint="eastAsia" w:ascii="宋体" w:hAnsi="宋体" w:eastAsia="宋体" w:cs="宋体"/>
          <w:color w:val="auto"/>
          <w:sz w:val="28"/>
          <w:szCs w:val="28"/>
          <w:highlight w:val="none"/>
        </w:rPr>
      </w:pPr>
      <w:bookmarkStart w:id="150" w:name="_Toc30453"/>
      <w:r>
        <w:rPr>
          <w:rFonts w:hint="eastAsia" w:ascii="宋体" w:hAnsi="宋体" w:eastAsia="宋体" w:cs="宋体"/>
          <w:color w:val="auto"/>
          <w:sz w:val="28"/>
          <w:szCs w:val="28"/>
          <w:highlight w:val="none"/>
        </w:rPr>
        <w:t>8. 纪律和监督</w:t>
      </w:r>
      <w:bookmarkEnd w:id="150"/>
    </w:p>
    <w:p>
      <w:pPr>
        <w:pStyle w:val="5"/>
        <w:spacing w:before="0" w:after="0" w:line="360" w:lineRule="auto"/>
        <w:rPr>
          <w:rFonts w:hint="eastAsia" w:ascii="宋体" w:hAnsi="宋体" w:eastAsia="宋体" w:cs="宋体"/>
          <w:color w:val="auto"/>
          <w:sz w:val="21"/>
          <w:szCs w:val="21"/>
          <w:highlight w:val="none"/>
        </w:rPr>
      </w:pPr>
      <w:bookmarkStart w:id="151" w:name="_Toc31932"/>
      <w:r>
        <w:rPr>
          <w:rFonts w:hint="eastAsia" w:ascii="宋体" w:hAnsi="宋体" w:eastAsia="宋体" w:cs="宋体"/>
          <w:color w:val="auto"/>
          <w:sz w:val="21"/>
          <w:szCs w:val="21"/>
          <w:highlight w:val="none"/>
        </w:rPr>
        <w:t>8.1 对招标人的纪律要求</w:t>
      </w:r>
      <w:bookmarkEnd w:id="15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招标人不得泄露招标投标活动中应保密的情况和资料，不得与投标人串通损害国家利益、社会公共利益或他人合法权益。</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有下列情形之一的，属于招标人与投标人串通投标：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（1）招标人在开标前开启投标文件并将有关信息泄露给其他投标人；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（2）招标人直接或者间接向投标人泄露标底、评标委员会成员等信息；</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（3）招标人明示或者暗示投标人压低或者抬高投标报价；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（4）招标人授意投标人撤换、修改投标文件；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（5）招标人明示或者暗示投标人为特定投标人中标提供方便；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（6）招标人与投标人为谋求特定投标人中标而采取的其他串通行为。</w:t>
      </w:r>
    </w:p>
    <w:p>
      <w:pPr>
        <w:pStyle w:val="5"/>
        <w:spacing w:before="0" w:after="0" w:line="360" w:lineRule="auto"/>
        <w:rPr>
          <w:rFonts w:hint="eastAsia" w:ascii="宋体" w:hAnsi="宋体" w:eastAsia="宋体" w:cs="宋体"/>
          <w:color w:val="auto"/>
          <w:sz w:val="21"/>
          <w:szCs w:val="21"/>
          <w:highlight w:val="none"/>
        </w:rPr>
      </w:pPr>
      <w:bookmarkStart w:id="152" w:name="_Toc18237"/>
      <w:r>
        <w:rPr>
          <w:rFonts w:hint="eastAsia" w:ascii="宋体" w:hAnsi="宋体" w:eastAsia="宋体" w:cs="宋体"/>
          <w:color w:val="auto"/>
          <w:sz w:val="21"/>
          <w:szCs w:val="21"/>
          <w:highlight w:val="none"/>
        </w:rPr>
        <w:t>8.2 对投标人的纪律要求</w:t>
      </w:r>
      <w:bookmarkEnd w:id="15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（7）不同投标人的电子投标文件MAC地址相同。</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5"/>
        <w:spacing w:before="0" w:after="0" w:line="360" w:lineRule="auto"/>
        <w:rPr>
          <w:rFonts w:hint="eastAsia" w:ascii="宋体" w:hAnsi="宋体" w:eastAsia="宋体" w:cs="宋体"/>
          <w:color w:val="auto"/>
          <w:sz w:val="21"/>
          <w:szCs w:val="21"/>
          <w:highlight w:val="none"/>
        </w:rPr>
      </w:pPr>
      <w:bookmarkStart w:id="153" w:name="_Toc12651"/>
      <w:r>
        <w:rPr>
          <w:rFonts w:hint="eastAsia" w:ascii="宋体" w:hAnsi="宋体" w:eastAsia="宋体" w:cs="宋体"/>
          <w:color w:val="auto"/>
          <w:sz w:val="21"/>
          <w:szCs w:val="21"/>
          <w:highlight w:val="none"/>
        </w:rPr>
        <w:t>8.3 对评标委员会成员的纪律要求</w:t>
      </w:r>
      <w:bookmarkEnd w:id="15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hint="eastAsia" w:ascii="宋体" w:hAnsi="宋体" w:eastAsia="宋体" w:cs="宋体"/>
          <w:color w:val="auto"/>
          <w:sz w:val="21"/>
          <w:szCs w:val="21"/>
          <w:highlight w:val="none"/>
        </w:rPr>
      </w:pPr>
      <w:bookmarkStart w:id="154" w:name="_Toc15939"/>
      <w:r>
        <w:rPr>
          <w:rFonts w:hint="eastAsia" w:ascii="宋体" w:hAnsi="宋体" w:eastAsia="宋体" w:cs="宋体"/>
          <w:color w:val="auto"/>
          <w:sz w:val="21"/>
          <w:szCs w:val="21"/>
          <w:highlight w:val="none"/>
        </w:rPr>
        <w:t>8.4 对与评标活动有关的工作人员的纪律要求</w:t>
      </w:r>
      <w:bookmarkEnd w:id="15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hint="eastAsia" w:ascii="宋体" w:hAnsi="宋体" w:eastAsia="宋体" w:cs="宋体"/>
          <w:color w:val="auto"/>
          <w:sz w:val="21"/>
          <w:szCs w:val="21"/>
          <w:highlight w:val="none"/>
        </w:rPr>
      </w:pPr>
      <w:bookmarkStart w:id="155" w:name="_Toc31811"/>
      <w:r>
        <w:rPr>
          <w:rFonts w:hint="eastAsia" w:ascii="宋体" w:hAnsi="宋体" w:eastAsia="宋体" w:cs="宋体"/>
          <w:color w:val="auto"/>
          <w:sz w:val="21"/>
          <w:szCs w:val="21"/>
          <w:highlight w:val="none"/>
        </w:rPr>
        <w:t>8.5 投诉</w:t>
      </w:r>
      <w:bookmarkEnd w:id="15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hint="eastAsia" w:ascii="宋体" w:hAnsi="宋体" w:eastAsia="宋体" w:cs="宋体"/>
          <w:color w:val="auto"/>
          <w:sz w:val="28"/>
          <w:szCs w:val="28"/>
          <w:highlight w:val="none"/>
        </w:rPr>
      </w:pPr>
      <w:bookmarkStart w:id="156" w:name="_Toc149"/>
      <w:r>
        <w:rPr>
          <w:rFonts w:hint="eastAsia" w:ascii="宋体" w:hAnsi="宋体" w:eastAsia="宋体" w:cs="宋体"/>
          <w:color w:val="auto"/>
          <w:sz w:val="28"/>
          <w:szCs w:val="28"/>
          <w:highlight w:val="none"/>
        </w:rPr>
        <w:t>9. 是否采用电子招标投标</w:t>
      </w:r>
      <w:bookmarkEnd w:id="15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spacing w:before="0" w:after="0" w:line="360" w:lineRule="auto"/>
        <w:rPr>
          <w:rFonts w:hint="eastAsia" w:ascii="宋体" w:hAnsi="宋体" w:eastAsia="宋体" w:cs="宋体"/>
          <w:color w:val="auto"/>
          <w:sz w:val="28"/>
          <w:szCs w:val="28"/>
          <w:highlight w:val="none"/>
        </w:rPr>
      </w:pPr>
      <w:bookmarkStart w:id="157" w:name="_Toc13532"/>
      <w:r>
        <w:rPr>
          <w:rFonts w:hint="eastAsia" w:ascii="宋体" w:hAnsi="宋体" w:eastAsia="宋体" w:cs="宋体"/>
          <w:color w:val="auto"/>
          <w:sz w:val="28"/>
          <w:szCs w:val="28"/>
          <w:highlight w:val="none"/>
        </w:rPr>
        <w:t>10. 需要补充的其他内容</w:t>
      </w:r>
      <w:bookmarkEnd w:id="15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jc w:val="left"/>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u w:val="single"/>
          <w:lang w:eastAsia="zh-CN"/>
        </w:rPr>
        <w:t>巫溪至开州高速公路项目机电工程通风照明工程专项分包</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0"/>
        <w:gridCol w:w="5814"/>
        <w:gridCol w:w="2805"/>
        <w:gridCol w:w="1820"/>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序号</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投标人</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投标总报价</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备注</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最高限价</w:t>
            </w:r>
          </w:p>
        </w:tc>
        <w:tc>
          <w:tcPr>
            <w:tcW w:w="6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异常情况</w:t>
            </w:r>
          </w:p>
        </w:tc>
        <w:tc>
          <w:tcPr>
            <w:tcW w:w="6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color w:val="auto"/>
          <w:szCs w:val="21"/>
          <w:highlight w:val="none"/>
          <w:lang w:val="en-US" w:eastAsia="zh-CN"/>
        </w:rPr>
      </w:pPr>
      <w:r>
        <w:rPr>
          <w:rFonts w:hint="eastAsia" w:ascii="宋体" w:hAnsi="宋体" w:cs="宋体"/>
          <w:b/>
          <w:snapToGrid w:val="0"/>
          <w:color w:val="auto"/>
          <w:w w:val="99"/>
          <w:kern w:val="0"/>
          <w:sz w:val="28"/>
          <w:szCs w:val="28"/>
          <w:highlight w:val="none"/>
          <w:u w:val="single"/>
          <w:lang w:eastAsia="zh-CN"/>
        </w:rPr>
        <w:t>巫溪至开州高速公路项目机电工程通风照明工程专项分包</w:t>
      </w:r>
      <w:r>
        <w:rPr>
          <w:rFonts w:hint="eastAsia" w:ascii="宋体" w:hAnsi="宋体" w:eastAsia="宋体" w:cs="宋体"/>
          <w:b/>
          <w:snapToGrid w:val="0"/>
          <w:color w:val="auto"/>
          <w:w w:val="99"/>
          <w:kern w:val="0"/>
          <w:sz w:val="28"/>
          <w:szCs w:val="28"/>
          <w:highlight w:val="none"/>
          <w:u w:val="single"/>
          <w:lang w:val="en-US" w:eastAsia="zh-CN"/>
        </w:rPr>
        <w:t>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tabs>
          <w:tab w:val="left" w:pos="2740"/>
          <w:tab w:val="left" w:pos="4940"/>
          <w:tab w:val="left" w:pos="6930"/>
        </w:tabs>
        <w:autoSpaceDE w:val="0"/>
        <w:autoSpaceDN w:val="0"/>
        <w:adjustRightInd w:val="0"/>
        <w:snapToGrid w:val="0"/>
        <w:spacing w:line="360" w:lineRule="auto"/>
        <w:jc w:val="left"/>
        <w:rPr>
          <w:rFonts w:hint="eastAsia" w:ascii="宋体" w:hAnsi="宋体" w:eastAsia="宋体" w:cs="宋体"/>
          <w:snapToGrid w:val="0"/>
          <w:color w:val="auto"/>
          <w:w w:val="200"/>
          <w:kern w:val="0"/>
          <w:szCs w:val="21"/>
          <w:highlight w:val="none"/>
          <w:u w:val="single"/>
        </w:rPr>
      </w:pP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 w:val="24"/>
          <w:highlight w:val="none"/>
          <w:u w:val="single"/>
        </w:rPr>
        <w:t xml:space="preserve">    </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三</w:t>
      </w:r>
      <w:r>
        <w:rPr>
          <w:rFonts w:hint="eastAsia" w:ascii="宋体" w:hAnsi="宋体" w:eastAsia="宋体" w:cs="宋体"/>
          <w:b/>
          <w:snapToGrid w:val="0"/>
          <w:color w:val="auto"/>
          <w:kern w:val="0"/>
          <w:highlight w:val="none"/>
        </w:rPr>
        <w:t>：问题澄清通知</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lang w:eastAsia="zh-CN"/>
        </w:rPr>
        <w:t>巫溪至开州高速公路项目机电工程通风照明工程专项分包</w:t>
      </w:r>
      <w:r>
        <w:rPr>
          <w:rFonts w:hint="eastAsia" w:ascii="宋体" w:hAnsi="宋体" w:eastAsia="宋体" w:cs="宋体"/>
          <w:snapToGrid w:val="0"/>
          <w:color w:val="auto"/>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pStyle w:val="2"/>
        <w:rPr>
          <w:rFonts w:hint="eastAsia" w:ascii="宋体" w:hAnsi="宋体" w:eastAsia="宋体" w:cs="宋体"/>
          <w:color w:val="auto"/>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rPr>
          <w:rFonts w:hint="eastAsia" w:ascii="宋体" w:hAnsi="宋体" w:eastAsia="宋体" w:cs="宋体"/>
          <w:b/>
          <w:snapToGrid w:val="0"/>
          <w:color w:val="auto"/>
          <w:w w:val="99"/>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巫溪至开州高速公路项目机电工程通风照明工程专项分包</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五</w:t>
      </w:r>
      <w:r>
        <w:rPr>
          <w:rFonts w:hint="eastAsia" w:ascii="宋体" w:hAnsi="宋体" w:eastAsia="宋体" w:cs="宋体"/>
          <w:b/>
          <w:snapToGrid w:val="0"/>
          <w:color w:val="auto"/>
          <w:kern w:val="0"/>
          <w:highlight w:val="none"/>
        </w:rPr>
        <w:t>：中标通知书</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widowControl/>
        <w:spacing w:before="100" w:beforeAutospacing="1" w:after="100" w:afterAutospacing="1"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2"/>
          <w:szCs w:val="32"/>
          <w:highlight w:val="none"/>
        </w:rPr>
        <w:t>重庆市公路工程中标通知书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我单位拟建的 </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eastAsia="zh-CN"/>
        </w:rPr>
        <w:t>巫溪至开州高速公路项目机电工程通风照明工程专项分包</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日开标，经评标委员会评定，确定你单位为中标人，中标额为（大写）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。中标工程范围：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，工程规模为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，中标工期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日历天</w:t>
      </w:r>
      <w:r>
        <w:rPr>
          <w:rFonts w:hint="eastAsia" w:ascii="宋体" w:hAnsi="宋体" w:eastAsia="宋体" w:cs="宋体"/>
          <w:color w:val="auto"/>
          <w:kern w:val="0"/>
          <w:szCs w:val="21"/>
          <w:highlight w:val="none"/>
        </w:rPr>
        <w:t>，工程质量要求：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，工程安全目标：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，项目经理由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担任，项目总工由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你单位收到中标通知书后，在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日内到我单位签订承发包合同。</w:t>
      </w:r>
      <w:r>
        <w:rPr>
          <w:rFonts w:hint="eastAsia" w:ascii="宋体" w:hAnsi="宋体" w:eastAsia="宋体" w:cs="宋体"/>
          <w:color w:val="auto"/>
          <w:szCs w:val="21"/>
          <w:highlight w:val="none"/>
        </w:rPr>
        <w:t>在此之前按招标文件第二章“投标人须知”第7.7款规定向我方提交履约担保。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Cs w:val="21"/>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158" w:name="_Toc224103370"/>
    </w:p>
    <w:bookmarkEnd w:id="158"/>
    <w:p>
      <w:pPr>
        <w:pStyle w:val="3"/>
        <w:spacing w:line="360" w:lineRule="auto"/>
        <w:jc w:val="center"/>
        <w:rPr>
          <w:rFonts w:hint="eastAsia" w:ascii="宋体" w:hAnsi="宋体" w:eastAsia="宋体" w:cs="宋体"/>
          <w:b w:val="0"/>
          <w:bCs w:val="0"/>
          <w:color w:val="auto"/>
          <w:highlight w:val="none"/>
        </w:rPr>
      </w:pPr>
      <w:bookmarkStart w:id="159" w:name="招标文件03章02评标办法综合评估法"/>
      <w:bookmarkEnd w:id="159"/>
      <w:bookmarkStart w:id="160" w:name="招标文件03章02评标办法综合评估法00"/>
      <w:bookmarkEnd w:id="160"/>
      <w:bookmarkStart w:id="161" w:name="_Toc8129"/>
      <w:bookmarkStart w:id="162" w:name="_Toc509218774"/>
      <w:bookmarkStart w:id="163" w:name="_Toc287620751"/>
      <w:bookmarkStart w:id="164" w:name="_Toc277082618"/>
      <w:bookmarkStart w:id="165" w:name="_Toc200513198"/>
      <w:bookmarkStart w:id="166" w:name="_Toc430530500"/>
      <w:bookmarkStart w:id="167" w:name="_Toc224103384"/>
      <w:bookmarkStart w:id="168" w:name="_Toc287607812"/>
      <w:r>
        <w:rPr>
          <w:rFonts w:hint="eastAsia" w:ascii="宋体" w:hAnsi="宋体" w:eastAsia="宋体" w:cs="宋体"/>
          <w:color w:val="auto"/>
          <w:highlight w:val="none"/>
        </w:rPr>
        <w:t>第三章  评标办法（综合评估法）</w:t>
      </w:r>
      <w:bookmarkEnd w:id="161"/>
      <w:bookmarkEnd w:id="162"/>
      <w:bookmarkStart w:id="169" w:name="_Toc287620750"/>
      <w:bookmarkStart w:id="170" w:name="_Toc277082617"/>
      <w:bookmarkStart w:id="171" w:name="_Toc430530499"/>
      <w:bookmarkStart w:id="172" w:name="_Toc287607811"/>
      <w:bookmarkStart w:id="173" w:name="_Toc224103383"/>
    </w:p>
    <w:bookmarkEnd w:id="163"/>
    <w:bookmarkEnd w:id="164"/>
    <w:bookmarkEnd w:id="165"/>
    <w:bookmarkEnd w:id="166"/>
    <w:bookmarkEnd w:id="167"/>
    <w:bookmarkEnd w:id="168"/>
    <w:bookmarkEnd w:id="169"/>
    <w:bookmarkEnd w:id="170"/>
    <w:bookmarkEnd w:id="171"/>
    <w:bookmarkEnd w:id="172"/>
    <w:bookmarkEnd w:id="173"/>
    <w:p>
      <w:pPr>
        <w:pStyle w:val="4"/>
        <w:spacing w:before="100" w:after="100" w:line="360" w:lineRule="auto"/>
        <w:rPr>
          <w:rFonts w:hint="eastAsia" w:ascii="宋体" w:hAnsi="宋体" w:eastAsia="宋体" w:cs="宋体"/>
          <w:bCs w:val="0"/>
          <w:color w:val="auto"/>
          <w:sz w:val="28"/>
          <w:szCs w:val="28"/>
          <w:highlight w:val="none"/>
        </w:rPr>
      </w:pPr>
      <w:bookmarkStart w:id="174" w:name="_Toc9615"/>
      <w:r>
        <w:rPr>
          <w:rFonts w:hint="eastAsia" w:ascii="宋体" w:hAnsi="宋体" w:eastAsia="宋体" w:cs="宋体"/>
          <w:bCs w:val="0"/>
          <w:color w:val="auto"/>
          <w:sz w:val="28"/>
          <w:szCs w:val="28"/>
          <w:highlight w:val="none"/>
        </w:rPr>
        <w:t>评标办法前附表</w:t>
      </w:r>
      <w:bookmarkEnd w:id="174"/>
    </w:p>
    <w:p>
      <w:pPr>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36" w:firstLineChars="200"/>
              <w:jc w:val="both"/>
              <w:rPr>
                <w:rFonts w:hint="eastAsia"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w:t>
            </w:r>
            <w:r>
              <w:rPr>
                <w:rFonts w:hint="eastAsia" w:ascii="宋体" w:hAnsi="宋体" w:cs="宋体"/>
                <w:color w:val="auto"/>
                <w:spacing w:val="4"/>
                <w:kern w:val="0"/>
                <w:szCs w:val="21"/>
                <w:highlight w:val="none"/>
                <w:lang w:eastAsia="zh-CN"/>
              </w:rPr>
              <w:t>综合评估</w:t>
            </w:r>
            <w:r>
              <w:rPr>
                <w:rFonts w:hint="eastAsia" w:ascii="宋体" w:hAnsi="宋体" w:eastAsia="宋体" w:cs="宋体"/>
                <w:color w:val="auto"/>
                <w:spacing w:val="4"/>
                <w:kern w:val="0"/>
                <w:szCs w:val="21"/>
                <w:highlight w:val="none"/>
              </w:rPr>
              <w:t>法，若出现投标人</w:t>
            </w:r>
            <w:r>
              <w:rPr>
                <w:rFonts w:hint="eastAsia" w:ascii="宋体" w:hAnsi="宋体" w:cs="宋体"/>
                <w:color w:val="auto"/>
                <w:spacing w:val="4"/>
                <w:kern w:val="0"/>
                <w:szCs w:val="21"/>
                <w:highlight w:val="none"/>
                <w:lang w:eastAsia="zh-CN"/>
              </w:rPr>
              <w:t>综合</w:t>
            </w:r>
            <w:r>
              <w:rPr>
                <w:rFonts w:hint="eastAsia" w:ascii="宋体" w:hAnsi="宋体" w:cs="宋体"/>
                <w:color w:val="auto"/>
                <w:spacing w:val="4"/>
                <w:kern w:val="0"/>
                <w:szCs w:val="21"/>
                <w:highlight w:val="none"/>
                <w:lang w:val="en-US" w:eastAsia="zh-CN"/>
              </w:rPr>
              <w:t>评分</w:t>
            </w:r>
            <w:r>
              <w:rPr>
                <w:rFonts w:hint="eastAsia" w:ascii="宋体" w:hAnsi="宋体" w:eastAsia="宋体" w:cs="宋体"/>
                <w:color w:val="auto"/>
                <w:spacing w:val="4"/>
                <w:kern w:val="0"/>
                <w:szCs w:val="21"/>
                <w:highlight w:val="none"/>
              </w:rPr>
              <w:t>相等时，评标委员会依次按照以下优先顺序推荐中标候选人：以评标价低的优先；若出现评标价相同的，</w:t>
            </w:r>
            <w:r>
              <w:rPr>
                <w:rFonts w:hint="eastAsia" w:ascii="宋体" w:hAnsi="宋体" w:eastAsia="宋体" w:cs="宋体"/>
                <w:spacing w:val="4"/>
                <w:kern w:val="0"/>
                <w:sz w:val="21"/>
                <w:szCs w:val="21"/>
                <w:highlight w:val="none"/>
                <w:lang w:val="en-US" w:eastAsia="zh-CN" w:bidi="ar"/>
              </w:rPr>
              <w:t>由评标委员会按照由评标委员会按照优先免缴投标担保和履约担保单位的原则排序，若均为免缴单位，则以递交投标文件先后顺序，若均不为免缴单位，则以缴纳投标保证金的先后顺序排列。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关键设备授权要求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其他管理和技术人员最低要求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主要机械设备和试验检测设备最低要求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leftChars="0" w:right="0" w:right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投标文件（不含投标函部分）格式要求法定代表人或其委托代理人签名（或盖章）的须齐全</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投标函附录的所有数据均符合招标文件规定</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符合第二章投标人须知前附表第3.4款</w:t>
            </w:r>
            <w:r>
              <w:rPr>
                <w:rFonts w:hint="eastAsia" w:ascii="宋体" w:hAnsi="宋体" w:eastAsia="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20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商务部分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3.投标总报价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70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术</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方</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案</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关键设备（</w:t>
            </w:r>
            <w:r>
              <w:rPr>
                <w:rFonts w:hint="eastAsia" w:ascii="宋体" w:hAnsi="宋体" w:eastAsia="宋体" w:cs="宋体"/>
                <w:color w:val="auto"/>
                <w:kern w:val="0"/>
                <w:highlight w:val="none"/>
                <w:lang w:eastAsia="zh-CN"/>
              </w:rPr>
              <w:t>10</w:t>
            </w:r>
            <w:r>
              <w:rPr>
                <w:rFonts w:hint="eastAsia" w:ascii="宋体" w:hAnsi="宋体" w:eastAsia="宋体" w:cs="宋体"/>
                <w:color w:val="auto"/>
                <w:kern w:val="0"/>
                <w:highlight w:val="none"/>
                <w:lang w:val="en-US" w:eastAsia="zh-CN"/>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人所投灯具品牌在重庆高速公路隧道中有较好的应用，若应用灯具数量超过15万盏（含）的得3分，应用灯具数量在15万盏至5万盏（含）之间的得2分，其余情况得1分；若其应用业绩每取得一个业主在质量及售后方面得认可的得1分，最多得2分，本项满分5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2.投标人所投灯具品牌原厂家承诺质保期为交工验收合格之日起2年的，得2分；质保期在2年的基础上每增加1年的，加1分，最多加3分，本项满分5分。  </w:t>
            </w:r>
          </w:p>
          <w:p>
            <w:pPr>
              <w:pStyle w:val="33"/>
              <w:keepNext w:val="0"/>
              <w:keepLines w:val="0"/>
              <w:suppressLineNumbers w:val="0"/>
              <w:adjustRightInd w:val="0"/>
              <w:snapToGrid w:val="0"/>
              <w:spacing w:before="0" w:beforeAutospacing="0" w:after="0" w:afterLines="0" w:afterAutospacing="0" w:line="400" w:lineRule="exact"/>
              <w:ind w:left="0" w:leftChars="0" w:right="0" w:firstLine="0" w:firstLineChars="0"/>
              <w:rPr>
                <w:rFonts w:hint="eastAsia" w:ascii="宋体" w:hAnsi="宋体" w:eastAsia="宋体" w:cs="宋体"/>
                <w:highlight w:val="none"/>
                <w:lang w:val="en-US"/>
              </w:rPr>
            </w:pPr>
            <w:r>
              <w:rPr>
                <w:rFonts w:hint="eastAsia" w:ascii="宋体" w:hAnsi="宋体" w:eastAsia="宋体" w:cs="宋体"/>
                <w:color w:val="auto"/>
                <w:kern w:val="0"/>
                <w:highlight w:val="none"/>
                <w:lang w:val="en-US" w:eastAsia="zh-CN"/>
              </w:rPr>
              <w:t xml:space="preserve">   注：提供相应证明材料及承诺函（格式自拟）并加盖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705" w:type="dxa"/>
            <w:vMerge w:val="continue"/>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施工组织设计（10分）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从</w:t>
            </w:r>
            <w:r>
              <w:rPr>
                <w:rFonts w:hint="eastAsia" w:ascii="宋体" w:hAnsi="宋体" w:eastAsia="宋体" w:cs="宋体"/>
                <w:color w:val="auto"/>
                <w:kern w:val="0"/>
                <w:highlight w:val="none"/>
                <w:lang w:eastAsia="zh-CN"/>
              </w:rPr>
              <w:t>总体施工组织布置及规划，主要工程项目的施工方案、方法与技术措施，工期和资金保证体系及保证措施，工程质量、安全、环保、水保管理体系及保证措施，项目风险预测与防范，事故应急预案，支付保障措施（有关民工工资、劳务专业分包等的按期支付保证措施），交通组织方案，缺陷责任期配合措施</w:t>
            </w:r>
            <w:r>
              <w:rPr>
                <w:rFonts w:hint="eastAsia" w:ascii="宋体" w:hAnsi="宋体" w:eastAsia="宋体" w:cs="宋体"/>
                <w:color w:val="auto"/>
                <w:kern w:val="0"/>
                <w:highlight w:val="none"/>
                <w:lang w:val="en-US" w:eastAsia="zh-CN"/>
              </w:rPr>
              <w:t>等各个方面进行施工组织设计编制</w:t>
            </w:r>
            <w:r>
              <w:rPr>
                <w:rFonts w:hint="eastAsia" w:ascii="宋体" w:hAnsi="宋体" w:eastAsia="宋体" w:cs="宋体"/>
                <w:color w:val="auto"/>
                <w:kern w:val="0"/>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施工组织设计编制合理、可实施性高得10~8分；施工组织设计编制较合理、可实施性较高得8~6分；施工组织设计编制不合理、可实施性不高得6~0分。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lang w:eastAsia="zh-CN" w:bidi="ar"/>
              </w:rPr>
              <w:t>投标人</w:t>
            </w:r>
            <w:r>
              <w:rPr>
                <w:rFonts w:hint="eastAsia" w:ascii="宋体" w:hAnsi="宋体" w:eastAsia="宋体" w:cs="宋体"/>
                <w:color w:val="auto"/>
                <w:kern w:val="0"/>
                <w:szCs w:val="21"/>
                <w:highlight w:val="none"/>
                <w:lang w:bidi="ar"/>
              </w:rPr>
              <w:t>业绩</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u w:val="single"/>
                <w:lang w:val="en-US" w:eastAsia="zh-CN" w:bidi="ar"/>
              </w:rPr>
              <w:t>5</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1.满足资格条件的业绩要求得3分；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w:t>
            </w:r>
            <w:r>
              <w:rPr>
                <w:rFonts w:hint="eastAsia" w:ascii="宋体" w:hAnsi="宋体" w:cs="宋体"/>
                <w:color w:val="auto"/>
                <w:kern w:val="0"/>
                <w:highlight w:val="none"/>
              </w:rPr>
              <w:t>在满足资格要求基础上2018年1月1日至投标截止日每额外完成一个合同额2000万元以上的机电安装工程（含公路、市政、房建、铁路、水利水电等领域的机电安装工程）业绩（业绩中工作内容需含供配电工程或电气照明等照明相关内容）的得1分，满分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注：（1）提供以上业绩在全国建筑市场监管公共服务平台的信息截图或全国公路建设市场信用信息管理系统的信息截图，截图内容需含项目名称、项目发包单位及施工单位名称。</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（2）提供以上业绩的合同复印件（合同需清晰反映上述业绩要求的主要内容，包括但不限于合同金额及工作内容）并加盖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，合同原件备查。</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（3）提供以上业绩的项目竣工验收资料复印件并加盖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，证明项目已完成。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财务能力</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投标人2020年、2021年以及2022年经营状况良好，3年均不亏损得3分，仅有2年不亏损得2分，有1年不亏损得1分，3年均存在亏损不得分，满分3分。</w:t>
            </w:r>
          </w:p>
          <w:p>
            <w:pPr>
              <w:pStyle w:val="33"/>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highlight w:val="none"/>
                <w:lang w:val="en-US"/>
              </w:rPr>
            </w:pPr>
            <w:r>
              <w:rPr>
                <w:rFonts w:hint="eastAsia" w:ascii="宋体" w:hAnsi="宋体" w:eastAsia="宋体" w:cs="宋体"/>
                <w:color w:val="auto"/>
                <w:kern w:val="0"/>
                <w:highlight w:val="none"/>
                <w:lang w:val="en-US" w:eastAsia="zh-CN"/>
              </w:rPr>
              <w:t>注：提供第三方审计机构出具的财务报告复印件并加盖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企业实力</w:t>
            </w:r>
            <w:r>
              <w:rPr>
                <w:rFonts w:hint="eastAsia" w:ascii="宋体" w:hAnsi="宋体" w:eastAsia="宋体" w:cs="宋体"/>
                <w:color w:val="auto"/>
                <w:kern w:val="0"/>
                <w:szCs w:val="21"/>
                <w:highlight w:val="none"/>
                <w:lang w:eastAsia="zh-CN" w:bidi="ar"/>
              </w:rPr>
              <w:t>（2分）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投标人每获得一个国家级优质工程奖或鲁班奖（颁奖单位为国家部委或国家级行业协会）的得1分，满分2分。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lang w:val="en-US" w:eastAsia="zh-CN"/>
              </w:rPr>
              <w:t>注：提供奖项复印件并加盖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投标函部分的</w:t>
            </w:r>
            <w:r>
              <w:rPr>
                <w:rFonts w:hint="eastAsia" w:ascii="宋体" w:hAnsi="宋体" w:eastAsia="宋体" w:cs="宋体"/>
                <w:color w:val="auto"/>
                <w:kern w:val="0"/>
                <w:highlight w:val="none"/>
                <w:lang w:eastAsia="zh-CN"/>
              </w:rPr>
              <w:t>签名</w:t>
            </w:r>
            <w:r>
              <w:rPr>
                <w:rFonts w:hint="eastAsia" w:ascii="宋体" w:hAnsi="宋体" w:eastAsia="宋体" w:cs="宋体"/>
                <w:color w:val="auto"/>
                <w:kern w:val="0"/>
                <w:highlight w:val="none"/>
              </w:rPr>
              <w:t>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工程质量</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投标有效期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投标人承诺满足以下内容：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1.按照第五章“工程量清单”、第八章“工程量清单计量规则”的规定进行报价。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2.招标文件中规定工程量清单不允许修改的内容不得修改。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3.投标总报价不高于招标人公布的投标总报价最高限价。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4.各清单子目单价不高于招标人公布的各清单子目单价最高限价的。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rPr>
              <w:t>5</w:t>
            </w:r>
            <w:r>
              <w:rPr>
                <w:rFonts w:hint="eastAsia" w:ascii="宋体" w:hAnsi="宋体" w:eastAsia="宋体" w:cs="宋体"/>
                <w:color w:val="auto"/>
                <w:highlight w:val="none"/>
              </w:rPr>
              <w:t>.若出现差错，按招标文件第二章投标人须知前附表第3.2.9项规定的原则进行处理（或结算）。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投标总报价</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kern w:val="0"/>
                <w:szCs w:val="21"/>
                <w:highlight w:val="none"/>
                <w:lang w:val="en-US" w:eastAsia="zh-CN"/>
              </w:rPr>
              <w:t>投标总价不高于最高限价和不低于最高限价85%的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即为本项目的投标总报价的评标基准价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评标基准价计算的最终结果取小数点后两位，第三位四舍五入。</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投标总报价的偏差率计算公式</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100％×（投标人报价一评标基准价</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／评标基准价</w:t>
            </w:r>
          </w:p>
          <w:p>
            <w:pPr>
              <w:keepNext w:val="0"/>
              <w:keepLines w:val="0"/>
              <w:suppressLineNumbers w:val="0"/>
              <w:adjustRightInd w:val="0"/>
              <w:snapToGrid w:val="0"/>
              <w:spacing w:before="0" w:beforeAutospacing="0" w:after="0" w:afterLines="0" w:afterAutospacing="0" w:line="400" w:lineRule="exact"/>
              <w:ind w:left="0" w:right="0" w:firstLine="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偏差率计算的最终结果取小数点后两位</w:t>
            </w:r>
            <w:r>
              <w:rPr>
                <w:rFonts w:hint="eastAsia" w:ascii="宋体" w:hAnsi="宋体" w:eastAsia="宋体" w:cs="宋体"/>
                <w:color w:val="auto"/>
                <w:kern w:val="0"/>
                <w:szCs w:val="21"/>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kern w:val="0"/>
                <w:highlight w:val="none"/>
              </w:rPr>
              <w:t>得分</w:t>
            </w:r>
            <w:r>
              <w:rPr>
                <w:rFonts w:hint="eastAsia" w:ascii="宋体" w:hAnsi="宋体" w:eastAsia="宋体" w:cs="宋体"/>
                <w:color w:val="auto"/>
                <w:spacing w:val="-4"/>
                <w:highlight w:val="none"/>
              </w:rPr>
              <w:t>（A）</w:t>
            </w:r>
          </w:p>
        </w:tc>
        <w:tc>
          <w:tcPr>
            <w:tcW w:w="2355" w:type="dxa"/>
            <w:gridSpan w:val="2"/>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kern w:val="0"/>
                <w:highlight w:val="none"/>
              </w:rPr>
              <w:t>技术方案部分形式要求</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kern w:val="0"/>
                <w:highlight w:val="none"/>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关键设备（</w:t>
            </w:r>
            <w:r>
              <w:rPr>
                <w:rFonts w:hint="eastAsia" w:ascii="宋体" w:hAnsi="宋体" w:eastAsia="宋体" w:cs="宋体"/>
                <w:color w:val="auto"/>
                <w:kern w:val="0"/>
                <w:highlight w:val="none"/>
                <w:lang w:eastAsia="zh-CN"/>
              </w:rPr>
              <w:t>10</w:t>
            </w:r>
            <w:r>
              <w:rPr>
                <w:rFonts w:hint="eastAsia" w:ascii="宋体" w:hAnsi="宋体" w:eastAsia="宋体" w:cs="宋体"/>
                <w:color w:val="auto"/>
                <w:kern w:val="0"/>
                <w:highlight w:val="none"/>
                <w:lang w:val="en-US" w:eastAsia="zh-CN"/>
              </w:rPr>
              <w:t>分）</w:t>
            </w:r>
          </w:p>
        </w:tc>
        <w:tc>
          <w:tcPr>
            <w:tcW w:w="5048" w:type="dxa"/>
            <w:vMerge w:val="restar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取算术平均值为该投标人技术方案得分。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施工组织设计（10分）</w:t>
            </w:r>
          </w:p>
        </w:tc>
        <w:tc>
          <w:tcPr>
            <w:tcW w:w="5048" w:type="dxa"/>
            <w:vMerge w:val="continue"/>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评标标准详见</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2.2.2（2）</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kern w:val="0"/>
                <w:highlight w:val="none"/>
              </w:rPr>
              <w:t>得分</w:t>
            </w:r>
            <w:r>
              <w:rPr>
                <w:rFonts w:hint="eastAsia" w:ascii="宋体" w:hAnsi="宋体" w:eastAsia="宋体" w:cs="宋体"/>
                <w:color w:val="auto"/>
                <w:spacing w:val="-8"/>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投标总报价</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8"/>
                <w:highlight w:val="none"/>
              </w:rPr>
              <w:t>本附表第2.2.1项规定分值的满分</w:t>
            </w:r>
            <w:r>
              <w:rPr>
                <w:rFonts w:hint="eastAsia" w:ascii="宋体" w:hAnsi="宋体" w:eastAsia="宋体" w:cs="宋体"/>
                <w:bCs/>
                <w:color w:val="auto"/>
                <w:szCs w:val="28"/>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lang w:val="en-US" w:eastAsia="zh-CN"/>
              </w:rPr>
              <w:t>0.3分</w:t>
            </w:r>
            <w:r>
              <w:rPr>
                <w:rFonts w:hint="eastAsia" w:ascii="宋体" w:hAnsi="宋体" w:eastAsia="宋体" w:cs="宋体"/>
                <w:color w:val="auto"/>
                <w:szCs w:val="21"/>
                <w:highlight w:val="none"/>
              </w:rPr>
              <w:t>，扣完为止。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投标总报价</w:t>
            </w:r>
            <w:r>
              <w:rPr>
                <w:rFonts w:hint="eastAsia" w:ascii="宋体" w:hAnsi="宋体" w:eastAsia="宋体" w:cs="宋体"/>
                <w:color w:val="auto"/>
                <w:kern w:val="0"/>
                <w:szCs w:val="21"/>
                <w:highlight w:val="none"/>
                <w:lang w:val="en-US" w:eastAsia="zh-CN"/>
              </w:rPr>
              <w:t>得分</w:t>
            </w:r>
            <w:r>
              <w:rPr>
                <w:rFonts w:hint="eastAsia" w:ascii="宋体" w:hAnsi="宋体" w:eastAsia="宋体" w:cs="宋体"/>
                <w:color w:val="auto"/>
                <w:kern w:val="0"/>
                <w:szCs w:val="21"/>
                <w:highlight w:val="none"/>
              </w:rPr>
              <w:t>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pStyle w:val="4"/>
        <w:spacing w:before="0" w:after="0" w:line="360" w:lineRule="auto"/>
        <w:rPr>
          <w:rFonts w:hint="eastAsia" w:ascii="宋体" w:hAnsi="宋体" w:eastAsia="宋体" w:cs="宋体"/>
          <w:b w:val="0"/>
          <w:snapToGrid w:val="0"/>
          <w:color w:val="auto"/>
          <w:highlight w:val="none"/>
        </w:rPr>
      </w:pPr>
      <w:bookmarkStart w:id="175" w:name="_Toc33106452"/>
      <w:r>
        <w:rPr>
          <w:rFonts w:hint="eastAsia" w:ascii="宋体" w:hAnsi="宋体" w:eastAsia="宋体" w:cs="宋体"/>
          <w:b w:val="0"/>
          <w:snapToGrid w:val="0"/>
          <w:color w:val="auto"/>
          <w:highlight w:val="none"/>
        </w:rPr>
        <w:br w:type="page"/>
      </w:r>
      <w:bookmarkStart w:id="176" w:name="_Toc26527"/>
      <w:r>
        <w:rPr>
          <w:rFonts w:hint="eastAsia" w:ascii="宋体" w:hAnsi="宋体" w:eastAsia="宋体" w:cs="宋体"/>
          <w:color w:val="auto"/>
          <w:sz w:val="28"/>
          <w:szCs w:val="28"/>
          <w:highlight w:val="none"/>
        </w:rPr>
        <w:t>1. 评标方法</w:t>
      </w:r>
      <w:bookmarkEnd w:id="175"/>
      <w:bookmarkEnd w:id="176"/>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w:t>
      </w:r>
      <w:r>
        <w:rPr>
          <w:rFonts w:hint="eastAsia" w:ascii="宋体" w:hAnsi="宋体" w:cs="宋体"/>
          <w:color w:val="auto"/>
          <w:kern w:val="0"/>
          <w:szCs w:val="21"/>
          <w:highlight w:val="none"/>
          <w:lang w:eastAsia="zh-CN"/>
        </w:rPr>
        <w:t>综合评估</w:t>
      </w:r>
      <w:r>
        <w:rPr>
          <w:rFonts w:hint="eastAsia" w:ascii="宋体" w:hAnsi="宋体" w:eastAsia="宋体" w:cs="宋体"/>
          <w:color w:val="auto"/>
          <w:kern w:val="0"/>
          <w:szCs w:val="21"/>
          <w:highlight w:val="none"/>
        </w:rPr>
        <w:t>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pStyle w:val="4"/>
        <w:spacing w:before="0" w:after="0" w:line="360" w:lineRule="auto"/>
        <w:rPr>
          <w:rFonts w:hint="eastAsia" w:ascii="宋体" w:hAnsi="宋体" w:eastAsia="宋体" w:cs="宋体"/>
          <w:color w:val="auto"/>
          <w:sz w:val="28"/>
          <w:szCs w:val="28"/>
          <w:highlight w:val="none"/>
        </w:rPr>
      </w:pPr>
      <w:bookmarkStart w:id="177" w:name="_Toc430530501"/>
      <w:bookmarkStart w:id="178" w:name="_Toc287620752"/>
      <w:bookmarkStart w:id="179" w:name="_Toc277082619"/>
      <w:bookmarkStart w:id="180" w:name="_Toc224103385"/>
      <w:bookmarkStart w:id="181" w:name="_Toc29235"/>
      <w:bookmarkStart w:id="182" w:name="_Toc287607813"/>
      <w:bookmarkStart w:id="183" w:name="_Toc509218777"/>
      <w:bookmarkStart w:id="184" w:name="_Toc200513199"/>
      <w:bookmarkStart w:id="185" w:name="_Toc33106453"/>
      <w:r>
        <w:rPr>
          <w:rFonts w:hint="eastAsia" w:ascii="宋体" w:hAnsi="宋体" w:eastAsia="宋体" w:cs="宋体"/>
          <w:color w:val="auto"/>
          <w:sz w:val="28"/>
          <w:szCs w:val="28"/>
          <w:highlight w:val="none"/>
        </w:rPr>
        <w:t>2. 评审标准</w:t>
      </w:r>
      <w:bookmarkEnd w:id="177"/>
      <w:bookmarkEnd w:id="178"/>
      <w:bookmarkEnd w:id="179"/>
      <w:bookmarkEnd w:id="180"/>
      <w:bookmarkEnd w:id="181"/>
      <w:bookmarkEnd w:id="182"/>
      <w:bookmarkEnd w:id="183"/>
      <w:bookmarkEnd w:id="184"/>
      <w:bookmarkEnd w:id="185"/>
    </w:p>
    <w:p>
      <w:pPr>
        <w:pStyle w:val="5"/>
        <w:spacing w:before="0" w:after="0" w:line="360" w:lineRule="auto"/>
        <w:rPr>
          <w:rFonts w:hint="eastAsia" w:ascii="宋体" w:hAnsi="宋体" w:eastAsia="宋体" w:cs="宋体"/>
          <w:color w:val="auto"/>
          <w:sz w:val="21"/>
          <w:szCs w:val="21"/>
          <w:highlight w:val="none"/>
        </w:rPr>
      </w:pPr>
      <w:bookmarkStart w:id="186" w:name="_Toc430530502"/>
      <w:bookmarkStart w:id="187" w:name="_Toc224103386"/>
      <w:bookmarkStart w:id="188" w:name="_Toc16025"/>
      <w:bookmarkStart w:id="189" w:name="_Toc33106454"/>
      <w:bookmarkStart w:id="190" w:name="_Toc287607814"/>
      <w:bookmarkStart w:id="191" w:name="_Toc277082620"/>
      <w:bookmarkStart w:id="192" w:name="_Toc200513200"/>
      <w:bookmarkStart w:id="193" w:name="_Toc509218778"/>
      <w:bookmarkStart w:id="194" w:name="_Toc287620753"/>
      <w:r>
        <w:rPr>
          <w:rFonts w:hint="eastAsia" w:ascii="宋体" w:hAnsi="宋体" w:eastAsia="宋体" w:cs="宋体"/>
          <w:color w:val="auto"/>
          <w:sz w:val="21"/>
          <w:szCs w:val="21"/>
          <w:highlight w:val="none"/>
        </w:rPr>
        <w:t>2.1 初步评审标准</w:t>
      </w:r>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pStyle w:val="5"/>
        <w:spacing w:before="0" w:after="0" w:line="360" w:lineRule="auto"/>
        <w:rPr>
          <w:rFonts w:hint="eastAsia" w:ascii="宋体" w:hAnsi="宋体" w:eastAsia="宋体" w:cs="宋体"/>
          <w:color w:val="auto"/>
          <w:sz w:val="21"/>
          <w:szCs w:val="21"/>
          <w:highlight w:val="none"/>
        </w:rPr>
      </w:pPr>
      <w:bookmarkStart w:id="195" w:name="_Toc224103387"/>
      <w:bookmarkStart w:id="196" w:name="_Toc14771"/>
      <w:bookmarkStart w:id="197" w:name="_Toc509218779"/>
      <w:bookmarkStart w:id="198" w:name="_Toc430530503"/>
      <w:bookmarkStart w:id="199" w:name="_Toc33106455"/>
      <w:bookmarkStart w:id="200" w:name="_Toc277082621"/>
      <w:bookmarkStart w:id="201" w:name="_Toc287607815"/>
      <w:bookmarkStart w:id="202" w:name="_Toc200513201"/>
      <w:bookmarkStart w:id="203" w:name="_Toc287620754"/>
      <w:r>
        <w:rPr>
          <w:rFonts w:hint="eastAsia" w:ascii="宋体" w:hAnsi="宋体" w:eastAsia="宋体" w:cs="宋体"/>
          <w:color w:val="auto"/>
          <w:sz w:val="21"/>
          <w:szCs w:val="21"/>
          <w:highlight w:val="none"/>
        </w:rPr>
        <w:t>2.2 分值构成与评分标准</w:t>
      </w:r>
      <w:bookmarkEnd w:id="195"/>
      <w:bookmarkEnd w:id="196"/>
      <w:bookmarkEnd w:id="197"/>
      <w:bookmarkEnd w:id="198"/>
      <w:bookmarkEnd w:id="199"/>
      <w:bookmarkEnd w:id="200"/>
      <w:bookmarkEnd w:id="201"/>
      <w:bookmarkEnd w:id="202"/>
      <w:bookmarkEnd w:id="203"/>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pStyle w:val="2"/>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pStyle w:val="4"/>
        <w:spacing w:before="0" w:after="0" w:line="360" w:lineRule="auto"/>
        <w:rPr>
          <w:rFonts w:hint="eastAsia" w:ascii="宋体" w:hAnsi="宋体" w:eastAsia="宋体" w:cs="宋体"/>
          <w:color w:val="auto"/>
          <w:sz w:val="28"/>
          <w:szCs w:val="28"/>
          <w:highlight w:val="none"/>
        </w:rPr>
      </w:pPr>
      <w:bookmarkStart w:id="204" w:name="_Toc33106456"/>
      <w:bookmarkStart w:id="205" w:name="_Toc224103388"/>
      <w:bookmarkStart w:id="206" w:name="_Toc200513202"/>
      <w:bookmarkStart w:id="207" w:name="_Toc509218780"/>
      <w:bookmarkStart w:id="208" w:name="_Toc277082622"/>
      <w:bookmarkStart w:id="209" w:name="_Toc287620755"/>
      <w:bookmarkStart w:id="210" w:name="_Toc287607816"/>
      <w:bookmarkStart w:id="211" w:name="_Toc430530504"/>
      <w:bookmarkStart w:id="212" w:name="_Toc31089"/>
      <w:r>
        <w:rPr>
          <w:rFonts w:hint="eastAsia" w:ascii="宋体" w:hAnsi="宋体" w:eastAsia="宋体" w:cs="宋体"/>
          <w:color w:val="auto"/>
          <w:sz w:val="28"/>
          <w:szCs w:val="28"/>
          <w:highlight w:val="none"/>
        </w:rPr>
        <w:t>3. 评标程序</w:t>
      </w:r>
      <w:bookmarkEnd w:id="204"/>
      <w:bookmarkEnd w:id="205"/>
      <w:bookmarkEnd w:id="206"/>
      <w:bookmarkEnd w:id="207"/>
      <w:bookmarkEnd w:id="208"/>
      <w:bookmarkEnd w:id="209"/>
      <w:bookmarkEnd w:id="210"/>
      <w:bookmarkEnd w:id="211"/>
      <w:bookmarkEnd w:id="212"/>
    </w:p>
    <w:p>
      <w:pPr>
        <w:pStyle w:val="5"/>
        <w:spacing w:before="0" w:after="0" w:line="360" w:lineRule="auto"/>
        <w:rPr>
          <w:rFonts w:hint="eastAsia" w:ascii="宋体" w:hAnsi="宋体" w:eastAsia="宋体" w:cs="宋体"/>
          <w:color w:val="auto"/>
          <w:sz w:val="21"/>
          <w:szCs w:val="21"/>
          <w:highlight w:val="none"/>
        </w:rPr>
      </w:pPr>
      <w:bookmarkStart w:id="213" w:name="_Toc224103389"/>
      <w:bookmarkStart w:id="214" w:name="_Toc28994"/>
      <w:bookmarkStart w:id="215" w:name="_Toc277082623"/>
      <w:bookmarkStart w:id="216" w:name="_Toc287607817"/>
      <w:bookmarkStart w:id="217" w:name="_Toc33106457"/>
      <w:bookmarkStart w:id="218" w:name="_Toc200513203"/>
      <w:bookmarkStart w:id="219" w:name="_Toc430530505"/>
      <w:bookmarkStart w:id="220" w:name="_Toc287620756"/>
      <w:bookmarkStart w:id="221" w:name="_Toc509218781"/>
      <w:r>
        <w:rPr>
          <w:rFonts w:hint="eastAsia" w:ascii="宋体" w:hAnsi="宋体" w:eastAsia="宋体" w:cs="宋体"/>
          <w:color w:val="auto"/>
          <w:sz w:val="21"/>
          <w:szCs w:val="21"/>
          <w:highlight w:val="none"/>
        </w:rPr>
        <w:t>3.1 初步评审</w:t>
      </w:r>
      <w:bookmarkEnd w:id="213"/>
      <w:bookmarkEnd w:id="214"/>
      <w:bookmarkEnd w:id="215"/>
      <w:bookmarkEnd w:id="216"/>
      <w:bookmarkEnd w:id="217"/>
      <w:bookmarkEnd w:id="218"/>
      <w:bookmarkEnd w:id="219"/>
      <w:bookmarkEnd w:id="220"/>
      <w:bookmarkEnd w:id="22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2.1.1项至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pStyle w:val="5"/>
        <w:spacing w:before="0" w:after="0" w:line="360" w:lineRule="auto"/>
        <w:rPr>
          <w:rFonts w:hint="eastAsia" w:ascii="宋体" w:hAnsi="宋体" w:eastAsia="宋体" w:cs="宋体"/>
          <w:color w:val="auto"/>
          <w:sz w:val="21"/>
          <w:szCs w:val="21"/>
          <w:highlight w:val="none"/>
        </w:rPr>
      </w:pPr>
      <w:bookmarkStart w:id="222" w:name="_Toc430530506"/>
      <w:bookmarkStart w:id="223" w:name="_Toc287607818"/>
      <w:bookmarkStart w:id="224" w:name="_Toc33106458"/>
      <w:bookmarkStart w:id="225" w:name="_Toc509218782"/>
      <w:bookmarkStart w:id="226" w:name="_Toc277082624"/>
      <w:bookmarkStart w:id="227" w:name="_Toc200513204"/>
      <w:bookmarkStart w:id="228" w:name="_Toc17955"/>
      <w:bookmarkStart w:id="229" w:name="_Toc224103390"/>
      <w:bookmarkStart w:id="230" w:name="_Toc287620757"/>
      <w:r>
        <w:rPr>
          <w:rFonts w:hint="eastAsia" w:ascii="宋体" w:hAnsi="宋体" w:eastAsia="宋体" w:cs="宋体"/>
          <w:color w:val="auto"/>
          <w:sz w:val="21"/>
          <w:szCs w:val="21"/>
          <w:highlight w:val="none"/>
        </w:rPr>
        <w:t>3.2 详细评审</w:t>
      </w:r>
      <w:bookmarkEnd w:id="222"/>
      <w:bookmarkEnd w:id="223"/>
      <w:bookmarkEnd w:id="224"/>
      <w:bookmarkEnd w:id="225"/>
      <w:bookmarkEnd w:id="226"/>
      <w:bookmarkEnd w:id="227"/>
      <w:bookmarkEnd w:id="228"/>
      <w:bookmarkEnd w:id="229"/>
      <w:bookmarkEnd w:id="23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取算术平均值为该投标人技术部分得分。</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pStyle w:val="5"/>
        <w:spacing w:before="0" w:after="0" w:line="360" w:lineRule="auto"/>
        <w:rPr>
          <w:rFonts w:hint="eastAsia" w:ascii="宋体" w:hAnsi="宋体" w:eastAsia="宋体" w:cs="宋体"/>
          <w:color w:val="auto"/>
          <w:sz w:val="21"/>
          <w:szCs w:val="21"/>
          <w:highlight w:val="none"/>
        </w:rPr>
      </w:pPr>
      <w:bookmarkStart w:id="231" w:name="_Toc430530507"/>
      <w:bookmarkStart w:id="232" w:name="_Toc200513205"/>
      <w:bookmarkStart w:id="233" w:name="_Toc224103391"/>
      <w:bookmarkStart w:id="234" w:name="_Toc287607819"/>
      <w:bookmarkStart w:id="235" w:name="_Toc277082625"/>
      <w:bookmarkStart w:id="236" w:name="_Toc509218783"/>
      <w:bookmarkStart w:id="237" w:name="_Toc33106459"/>
      <w:bookmarkStart w:id="238" w:name="_Toc287620758"/>
      <w:bookmarkStart w:id="239" w:name="_Toc11831"/>
      <w:r>
        <w:rPr>
          <w:rFonts w:hint="eastAsia" w:ascii="宋体" w:hAnsi="宋体" w:eastAsia="宋体" w:cs="宋体"/>
          <w:color w:val="auto"/>
          <w:sz w:val="21"/>
          <w:szCs w:val="21"/>
          <w:highlight w:val="none"/>
        </w:rPr>
        <w:t>3.3 投标文件的澄清和补正</w:t>
      </w:r>
      <w:bookmarkEnd w:id="231"/>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eastAsia="宋体" w:cs="宋体"/>
          <w:color w:val="auto"/>
          <w:sz w:val="21"/>
          <w:szCs w:val="21"/>
          <w:highlight w:val="none"/>
        </w:rPr>
      </w:pPr>
      <w:bookmarkStart w:id="240" w:name="_Toc509218784"/>
      <w:bookmarkStart w:id="241" w:name="_Toc287620759"/>
      <w:bookmarkStart w:id="242" w:name="_Toc33106460"/>
      <w:bookmarkStart w:id="243" w:name="_Toc11976"/>
      <w:bookmarkStart w:id="244" w:name="_Toc287607820"/>
      <w:bookmarkStart w:id="245" w:name="_Toc277082626"/>
      <w:bookmarkStart w:id="246" w:name="_Toc224103392"/>
      <w:bookmarkStart w:id="247" w:name="_Toc200513206"/>
      <w:bookmarkStart w:id="248" w:name="_Toc430530508"/>
      <w:r>
        <w:rPr>
          <w:rFonts w:hint="eastAsia" w:ascii="宋体" w:hAnsi="宋体" w:eastAsia="宋体" w:cs="宋体"/>
          <w:color w:val="auto"/>
          <w:sz w:val="21"/>
          <w:szCs w:val="21"/>
          <w:highlight w:val="none"/>
        </w:rPr>
        <w:t>3.4 评标结果</w:t>
      </w:r>
      <w:bookmarkEnd w:id="240"/>
      <w:bookmarkEnd w:id="241"/>
      <w:bookmarkEnd w:id="242"/>
      <w:bookmarkEnd w:id="243"/>
      <w:bookmarkEnd w:id="244"/>
      <w:bookmarkEnd w:id="245"/>
      <w:bookmarkEnd w:id="246"/>
      <w:bookmarkEnd w:id="247"/>
      <w:bookmarkEnd w:id="248"/>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pStyle w:val="26"/>
        <w:spacing w:line="360" w:lineRule="auto"/>
        <w:rPr>
          <w:rFonts w:hint="eastAsia" w:ascii="宋体" w:hAnsi="宋体" w:eastAsia="宋体" w:cs="宋体"/>
          <w:b/>
          <w:color w:val="auto"/>
          <w:sz w:val="28"/>
          <w:szCs w:val="28"/>
          <w:highlight w:val="none"/>
          <w:lang w:eastAsia="zh-CN"/>
        </w:rPr>
      </w:pPr>
      <w:bookmarkStart w:id="249" w:name="_Toc277082627"/>
      <w:bookmarkStart w:id="250" w:name="_Toc230410480"/>
      <w:r>
        <w:rPr>
          <w:rFonts w:hint="eastAsia" w:ascii="宋体" w:hAnsi="宋体" w:eastAsia="宋体" w:cs="宋体"/>
          <w:b/>
          <w:color w:val="auto"/>
          <w:sz w:val="28"/>
          <w:szCs w:val="28"/>
          <w:highlight w:val="none"/>
          <w:u w:val="none"/>
          <w:lang w:eastAsia="zh-CN"/>
        </w:rPr>
        <w:br w:type="page"/>
      </w:r>
    </w:p>
    <w:p>
      <w:pPr>
        <w:pStyle w:val="26"/>
        <w:spacing w:line="360" w:lineRule="auto"/>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t>附件A：综合评估法否决投标情况一览表</w:t>
      </w:r>
    </w:p>
    <w:p>
      <w:pPr>
        <w:pStyle w:val="26"/>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投标人的关键设备授权要求须满足投标人须知前附表1.4.1项的要求，否则由评标委员会作否决投标处理。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A-3投标人的业绩须满足投标人须知前附表1.4.1项的要求，否则由评标委员会作否决投标处理。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A-4投标人的投标截止日投标资格情况须满足投标人须知前附表1.4.1项的要求，否则由评标委员会作否决投标处理。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A-5投标人的项目经理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项目总工</w:t>
            </w:r>
            <w:r>
              <w:rPr>
                <w:rFonts w:hint="eastAsia" w:ascii="宋体" w:hAnsi="宋体" w:eastAsia="宋体" w:cs="宋体"/>
                <w:color w:val="auto"/>
                <w:szCs w:val="21"/>
                <w:highlight w:val="none"/>
                <w:lang w:eastAsia="zh-CN"/>
              </w:rPr>
              <w:t>和专职安全员</w:t>
            </w:r>
            <w:r>
              <w:rPr>
                <w:rFonts w:hint="eastAsia" w:ascii="宋体" w:hAnsi="宋体" w:eastAsia="宋体" w:cs="宋体"/>
                <w:color w:val="auto"/>
                <w:szCs w:val="21"/>
                <w:highlight w:val="none"/>
              </w:rPr>
              <w:t>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A-6投标人的</w:t>
            </w:r>
            <w:r>
              <w:rPr>
                <w:rFonts w:hint="eastAsia" w:ascii="宋体" w:hAnsi="宋体" w:eastAsia="宋体" w:cs="宋体"/>
                <w:color w:val="auto"/>
                <w:kern w:val="0"/>
                <w:highlight w:val="none"/>
              </w:rPr>
              <w:t>其他管理和技术人员要求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A-7投标人的</w:t>
            </w:r>
            <w:r>
              <w:rPr>
                <w:rFonts w:hint="eastAsia" w:ascii="宋体" w:hAnsi="宋体" w:eastAsia="宋体" w:cs="宋体"/>
                <w:color w:val="auto"/>
                <w:kern w:val="0"/>
                <w:highlight w:val="none"/>
              </w:rPr>
              <w:t>主要机械设备和试验检测设备要求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A-8投标人的委托代理人须满足投标人须知前附表1.4.1项的要求，否则由评标委员会作否决投标处理。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A-10投标人名称必须与营业执照、资质证书、安全生产许可证一致，依法变更名称的应提交相应证明材料，否则由评标委员会作否决投标处理。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A-11投标文件格式（不含投标函部分）符合第二章“投标人须知”第3.7款的要求，否则由评标委员会作否决投标处理。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A-15</w:t>
            </w:r>
            <w:r>
              <w:rPr>
                <w:rFonts w:hint="eastAsia" w:ascii="宋体" w:hAnsi="宋体" w:eastAsia="宋体" w:cs="宋体"/>
                <w:color w:val="auto"/>
                <w:szCs w:val="21"/>
                <w:highlight w:val="none"/>
              </w:rPr>
              <w:t>投标函附录的所有数据均符合招标文件规定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lang w:eastAsia="zh-CN"/>
              </w:rPr>
            </w:pPr>
            <w:r>
              <w:rPr>
                <w:rFonts w:hint="eastAsia" w:ascii="宋体" w:hAnsi="宋体" w:eastAsia="宋体" w:cs="宋体"/>
                <w:i/>
                <w:color w:val="auto"/>
                <w:szCs w:val="21"/>
                <w:highlight w:val="none"/>
                <w:lang w:eastAsia="zh-CN"/>
              </w:rPr>
              <w:t>无</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49"/>
      <w:bookmarkEnd w:id="250"/>
      <w:r>
        <w:rPr>
          <w:rFonts w:hint="eastAsia" w:ascii="宋体" w:hAnsi="宋体" w:eastAsia="宋体" w:cs="宋体"/>
          <w:color w:val="auto"/>
          <w:highlight w:val="none"/>
          <w:u w:val="none"/>
        </w:rPr>
        <w:t xml:space="preserve"> </w:t>
      </w:r>
    </w:p>
    <w:p>
      <w:pPr>
        <w:pStyle w:val="3"/>
        <w:spacing w:line="360" w:lineRule="auto"/>
        <w:ind w:firstLine="883"/>
        <w:jc w:val="center"/>
        <w:rPr>
          <w:rFonts w:hint="eastAsia" w:ascii="宋体" w:hAnsi="宋体" w:eastAsia="宋体" w:cs="宋体"/>
          <w:bCs w:val="0"/>
          <w:snapToGrid w:val="0"/>
          <w:color w:val="auto"/>
          <w:highlight w:val="none"/>
          <w:lang w:val="zh-CN"/>
        </w:rPr>
      </w:pPr>
      <w:bookmarkStart w:id="251" w:name="_Toc430530509"/>
      <w:bookmarkStart w:id="252" w:name="_Toc31711"/>
      <w:bookmarkStart w:id="253" w:name="_Toc27983309"/>
      <w:bookmarkStart w:id="254" w:name="_Toc509218785"/>
      <w:r>
        <w:rPr>
          <w:rFonts w:hint="eastAsia" w:ascii="宋体" w:hAnsi="宋体" w:eastAsia="宋体" w:cs="宋体"/>
          <w:bCs w:val="0"/>
          <w:snapToGrid w:val="0"/>
          <w:color w:val="auto"/>
          <w:highlight w:val="none"/>
        </w:rPr>
        <w:t>第四章  合同条款及格式</w:t>
      </w:r>
      <w:bookmarkEnd w:id="251"/>
      <w:bookmarkEnd w:id="252"/>
      <w:bookmarkEnd w:id="253"/>
      <w:bookmarkEnd w:id="254"/>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 xml:space="preserve">   </w:t>
      </w:r>
    </w:p>
    <w:p>
      <w:pPr>
        <w:jc w:val="left"/>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br w:type="page"/>
      </w:r>
    </w:p>
    <w:p>
      <w:pPr>
        <w:jc w:val="left"/>
        <w:rPr>
          <w:rFonts w:hint="eastAsia" w:ascii="宋体" w:hAnsi="宋体" w:eastAsia="宋体" w:cs="宋体"/>
          <w:sz w:val="30"/>
          <w:szCs w:val="30"/>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r>
        <w:rPr>
          <w:rFonts w:hint="eastAsia" w:ascii="宋体" w:hAnsi="宋体" w:eastAsia="宋体" w:cs="宋体"/>
          <w:b/>
          <w:color w:val="000000"/>
          <w:sz w:val="72"/>
          <w:szCs w:val="52"/>
          <w:highlight w:val="none"/>
        </w:rPr>
        <w:t>XX工程施工合同</w:t>
      </w: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（示范文本）</w:t>
      </w:r>
    </w:p>
    <w:p>
      <w:pPr>
        <w:pStyle w:val="24"/>
        <w:tabs>
          <w:tab w:val="right" w:leader="dot" w:pos="8296"/>
        </w:tabs>
        <w:rPr>
          <w:rFonts w:hint="eastAsia" w:ascii="宋体" w:hAnsi="宋体" w:eastAsia="宋体" w:cs="宋体"/>
          <w:b w:val="0"/>
          <w:color w:val="000000"/>
          <w:sz w:val="52"/>
          <w:szCs w:val="52"/>
          <w:highlight w:val="none"/>
          <w:lang w:val="en-US" w:eastAsia="zh-CN"/>
        </w:rPr>
      </w:pPr>
      <w:r>
        <w:rPr>
          <w:rFonts w:hint="eastAsia" w:ascii="宋体" w:hAnsi="宋体" w:eastAsia="宋体" w:cs="宋体"/>
          <w:b w:val="0"/>
          <w:color w:val="000000"/>
          <w:sz w:val="52"/>
          <w:szCs w:val="52"/>
          <w:highlight w:val="none"/>
          <w:lang w:val="en-US" w:eastAsia="zh-CN"/>
        </w:rPr>
        <w:t xml:space="preserve">   </w:t>
      </w:r>
    </w:p>
    <w:p>
      <w:pPr>
        <w:rPr>
          <w:rFonts w:hint="eastAsia" w:ascii="宋体" w:hAnsi="宋体" w:eastAsia="宋体" w:cs="宋体"/>
          <w:b w:val="0"/>
          <w:color w:val="000000"/>
          <w:sz w:val="52"/>
          <w:szCs w:val="52"/>
          <w:highlight w:val="none"/>
          <w:lang w:val="en-US" w:eastAsia="zh-CN"/>
        </w:rPr>
      </w:pPr>
    </w:p>
    <w:p>
      <w:pPr>
        <w:spacing w:line="360" w:lineRule="auto"/>
        <w:ind w:firstLine="561"/>
        <w:jc w:val="center"/>
        <w:rPr>
          <w:rFonts w:hint="eastAsia" w:ascii="宋体" w:hAnsi="宋体" w:eastAsia="宋体" w:cs="宋体"/>
          <w:b/>
          <w:sz w:val="28"/>
          <w:highlight w:val="none"/>
          <w:lang w:val="en-US" w:eastAsia="zh-CN"/>
        </w:rPr>
      </w:pPr>
      <w:r>
        <w:rPr>
          <w:rFonts w:hint="eastAsia" w:ascii="宋体" w:hAnsi="宋体" w:eastAsia="宋体" w:cs="宋体"/>
          <w:b/>
          <w:sz w:val="28"/>
          <w:highlight w:val="none"/>
        </w:rPr>
        <w:t>合同</w:t>
      </w:r>
      <w:r>
        <w:rPr>
          <w:rFonts w:hint="eastAsia" w:ascii="宋体" w:hAnsi="宋体" w:eastAsia="宋体" w:cs="宋体"/>
          <w:b/>
          <w:sz w:val="28"/>
          <w:highlight w:val="none"/>
          <w:lang w:val="en-US" w:eastAsia="zh-CN"/>
        </w:rPr>
        <w:t>编</w:t>
      </w:r>
      <w:r>
        <w:rPr>
          <w:rFonts w:hint="eastAsia" w:ascii="宋体" w:hAnsi="宋体" w:eastAsia="宋体" w:cs="宋体"/>
          <w:b/>
          <w:sz w:val="28"/>
          <w:highlight w:val="none"/>
        </w:rPr>
        <w:t>号：</w:t>
      </w:r>
      <w:r>
        <w:rPr>
          <w:rFonts w:hint="eastAsia" w:ascii="宋体" w:hAnsi="宋体" w:eastAsia="宋体" w:cs="宋体"/>
          <w:b/>
          <w:color w:val="FF0000"/>
          <w:sz w:val="28"/>
          <w:highlight w:val="none"/>
          <w:lang w:val="en-US" w:eastAsia="zh-CN"/>
        </w:rPr>
        <w:t xml:space="preserve">xxxx （x） s/x  x  xx  xxxx </w:t>
      </w:r>
    </w:p>
    <w:p>
      <w:pPr>
        <w:pStyle w:val="24"/>
        <w:tabs>
          <w:tab w:val="right" w:leader="dot" w:pos="8296"/>
        </w:tabs>
        <w:rPr>
          <w:rFonts w:hint="eastAsia" w:ascii="宋体" w:hAnsi="宋体" w:eastAsia="宋体" w:cs="宋体"/>
          <w:highlight w:val="none"/>
          <w:lang w:val="en-US" w:eastAsia="zh-CN"/>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52"/>
          <w:szCs w:val="52"/>
          <w:highlight w:val="none"/>
        </w:rPr>
      </w:pPr>
    </w:p>
    <w:p>
      <w:pPr>
        <w:pStyle w:val="5"/>
        <w:jc w:val="center"/>
        <w:rPr>
          <w:rFonts w:hint="eastAsia" w:ascii="宋体" w:hAnsi="宋体" w:eastAsia="宋体" w:cs="宋体"/>
          <w:b w:val="0"/>
          <w:color w:val="000000"/>
          <w:sz w:val="44"/>
          <w:szCs w:val="44"/>
          <w:highlight w:val="none"/>
        </w:rPr>
      </w:pPr>
      <w:bookmarkStart w:id="255" w:name="_Toc31914"/>
      <w:r>
        <w:rPr>
          <w:rFonts w:hint="eastAsia" w:ascii="宋体" w:hAnsi="宋体" w:eastAsia="宋体" w:cs="宋体"/>
          <w:sz w:val="44"/>
          <w:szCs w:val="44"/>
          <w:highlight w:val="none"/>
        </w:rPr>
        <w:t>第一部分 合同协议书</w:t>
      </w:r>
      <w:bookmarkEnd w:id="255"/>
    </w:p>
    <w:p>
      <w:pPr>
        <w:adjustRightInd w:val="0"/>
        <w:snapToGrid w:val="0"/>
        <w:spacing w:beforeLines="0" w:afterLines="0"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        </w:t>
      </w:r>
    </w:p>
    <w:p>
      <w:pPr>
        <w:adjustRightInd w:val="0"/>
        <w:snapToGrid w:val="0"/>
        <w:spacing w:beforeLines="0" w:afterLines="0"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工程施工及有关事项协商一致，共同达成如下协议：</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56" w:name="_Toc351203481"/>
      <w:r>
        <w:rPr>
          <w:rFonts w:hint="eastAsia" w:ascii="宋体" w:hAnsi="宋体" w:eastAsia="宋体" w:cs="宋体"/>
          <w:b w:val="0"/>
          <w:color w:val="000000"/>
          <w:sz w:val="21"/>
          <w:szCs w:val="21"/>
          <w:highlight w:val="none"/>
        </w:rPr>
        <w:t>一、工程概况</w:t>
      </w:r>
      <w:bookmarkEnd w:id="256"/>
    </w:p>
    <w:p>
      <w:pPr>
        <w:adjustRightInd w:val="0"/>
        <w:snapToGrid w:val="0"/>
        <w:spacing w:beforeLines="0" w:afterLines="0" w:line="360" w:lineRule="auto"/>
        <w:ind w:firstLine="411" w:firstLineChars="196"/>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3.工程承包范围：</w:t>
      </w:r>
    </w:p>
    <w:p>
      <w:pPr>
        <w:adjustRightInd w:val="0"/>
        <w:snapToGrid w:val="0"/>
        <w:spacing w:beforeLines="0" w:afterLines="0" w:line="360" w:lineRule="auto"/>
        <w:ind w:firstLine="405" w:firstLineChars="19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257" w:name="_Toc351203482"/>
      <w:r>
        <w:rPr>
          <w:rFonts w:hint="eastAsia" w:ascii="宋体" w:hAnsi="宋体" w:eastAsia="宋体" w:cs="宋体"/>
          <w:b w:val="0"/>
          <w:color w:val="000000"/>
          <w:sz w:val="21"/>
          <w:szCs w:val="21"/>
          <w:highlight w:val="none"/>
        </w:rPr>
        <w:t>二、合同工期</w:t>
      </w:r>
      <w:bookmarkEnd w:id="257"/>
    </w:p>
    <w:p>
      <w:pPr>
        <w:adjustRightInd w:val="0"/>
        <w:snapToGrid w:val="0"/>
        <w:spacing w:beforeLines="0" w:afterLines="0"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天。工期总日历天数与根据前述计划开竣工日期计算的工期天数不一致的，以工期总日历天数为准。</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58" w:name="_Toc351203483"/>
      <w:r>
        <w:rPr>
          <w:rFonts w:hint="eastAsia" w:ascii="宋体" w:hAnsi="宋体" w:eastAsia="宋体" w:cs="宋体"/>
          <w:b w:val="0"/>
          <w:color w:val="000000"/>
          <w:sz w:val="21"/>
          <w:szCs w:val="21"/>
          <w:highlight w:val="none"/>
        </w:rPr>
        <w:t>三、质量标准</w:t>
      </w:r>
      <w:bookmarkEnd w:id="258"/>
    </w:p>
    <w:p>
      <w:pPr>
        <w:adjustRightInd w:val="0"/>
        <w:snapToGrid w:val="0"/>
        <w:spacing w:beforeLines="0" w:afterLines="0"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标准。</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59" w:name="_Toc351203484"/>
      <w:r>
        <w:rPr>
          <w:rFonts w:hint="eastAsia" w:ascii="宋体" w:hAnsi="宋体" w:eastAsia="宋体" w:cs="宋体"/>
          <w:b w:val="0"/>
          <w:color w:val="000000"/>
          <w:sz w:val="21"/>
          <w:szCs w:val="21"/>
          <w:highlight w:val="none"/>
        </w:rPr>
        <w:t>四、签约合同价与合同价格形式</w:t>
      </w:r>
      <w:bookmarkEnd w:id="259"/>
      <w:r>
        <w:rPr>
          <w:rFonts w:hint="eastAsia" w:ascii="宋体" w:hAnsi="宋体" w:eastAsia="宋体" w:cs="宋体"/>
          <w:b w:val="0"/>
          <w:color w:val="000000"/>
          <w:sz w:val="21"/>
          <w:szCs w:val="21"/>
          <w:highlight w:val="none"/>
        </w:rPr>
        <w:tab/>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w:t>
      </w:r>
      <w:r>
        <w:rPr>
          <w:rFonts w:hint="eastAsia" w:ascii="宋体" w:hAnsi="宋体" w:eastAsia="宋体" w:cs="宋体"/>
          <w:color w:val="FF0000"/>
          <w:sz w:val="21"/>
          <w:szCs w:val="21"/>
          <w:highlight w:val="none"/>
        </w:rPr>
        <w:t>（含税）</w:t>
      </w:r>
      <w:r>
        <w:rPr>
          <w:rFonts w:hint="eastAsia" w:ascii="宋体" w:hAnsi="宋体" w:eastAsia="宋体" w:cs="宋体"/>
          <w:color w:val="000000"/>
          <w:sz w:val="21"/>
          <w:szCs w:val="21"/>
          <w:highlight w:val="none"/>
        </w:rPr>
        <w:t>为：</w:t>
      </w:r>
    </w:p>
    <w:p>
      <w:pPr>
        <w:adjustRightInd w:val="0"/>
        <w:snapToGrid w:val="0"/>
        <w:spacing w:beforeLines="0" w:afterLines="0"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安全生产费/</w:t>
      </w:r>
      <w:r>
        <w:rPr>
          <w:rFonts w:hint="eastAsia" w:ascii="宋体" w:hAnsi="宋体" w:eastAsia="宋体" w:cs="宋体"/>
          <w:color w:val="000000"/>
          <w:sz w:val="21"/>
          <w:szCs w:val="21"/>
          <w:highlight w:val="none"/>
        </w:rPr>
        <w:t>安全文明施工费</w:t>
      </w:r>
      <w:r>
        <w:rPr>
          <w:rFonts w:hint="eastAsia" w:ascii="宋体" w:hAnsi="宋体" w:eastAsia="宋体" w:cs="宋体"/>
          <w:color w:val="FF0000"/>
          <w:sz w:val="21"/>
          <w:szCs w:val="21"/>
          <w:highlight w:val="none"/>
        </w:rPr>
        <w:t>（含税）</w:t>
      </w:r>
      <w:r>
        <w:rPr>
          <w:rFonts w:hint="eastAsia" w:ascii="宋体" w:hAnsi="宋体" w:eastAsia="宋体" w:cs="宋体"/>
          <w:color w:val="000000"/>
          <w:sz w:val="21"/>
          <w:szCs w:val="21"/>
          <w:highlight w:val="none"/>
        </w:rPr>
        <w:t>：</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p>
    <w:p>
      <w:pPr>
        <w:pStyle w:val="6"/>
        <w:adjustRightInd w:val="0"/>
        <w:snapToGrid w:val="0"/>
        <w:spacing w:before="0" w:beforeAutospacing="0" w:after="0" w:afterAutospacing="0" w:line="360" w:lineRule="auto"/>
        <w:rPr>
          <w:rFonts w:hint="eastAsia" w:ascii="宋体" w:hAnsi="宋体" w:eastAsia="宋体" w:cs="宋体"/>
          <w:bCs w:val="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60" w:name="_Toc351203486"/>
      <w:r>
        <w:rPr>
          <w:rFonts w:hint="eastAsia" w:ascii="宋体" w:hAnsi="宋体" w:eastAsia="宋体" w:cs="宋体"/>
          <w:b w:val="0"/>
          <w:sz w:val="21"/>
          <w:szCs w:val="21"/>
          <w:highlight w:val="none"/>
        </w:rPr>
        <w:t>五、合同文件构成</w:t>
      </w:r>
      <w:bookmarkEnd w:id="260"/>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（6）图纸；</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（7）已标价工程量清单或预算书；</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（8）其他合同文件。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
        <w:adjustRightInd w:val="0"/>
        <w:snapToGrid w:val="0"/>
        <w:spacing w:before="0" w:beforeAutospacing="0" w:after="0" w:afterAutospacing="0" w:line="360"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61" w:name="_Toc351203487"/>
      <w:r>
        <w:rPr>
          <w:rFonts w:hint="eastAsia" w:ascii="宋体" w:hAnsi="宋体" w:eastAsia="宋体" w:cs="宋体"/>
          <w:b w:val="0"/>
          <w:color w:val="000000"/>
          <w:sz w:val="21"/>
          <w:szCs w:val="21"/>
          <w:highlight w:val="none"/>
        </w:rPr>
        <w:t>六、承诺</w:t>
      </w:r>
      <w:bookmarkEnd w:id="261"/>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1.发包人承诺按照合同约定的期限和方式支付合同价款。</w:t>
      </w:r>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3.发包人和承包人通过招投标形式签订合同的，双方理解并承诺不再就同一工程另行签订与合同实质性内容相背离的协议。</w:t>
      </w:r>
    </w:p>
    <w:p>
      <w:pPr>
        <w:adjustRightInd w:val="0"/>
        <w:snapToGrid w:val="0"/>
        <w:spacing w:beforeLines="0" w:afterLines="0" w:line="360" w:lineRule="auto"/>
        <w:rPr>
          <w:rFonts w:hint="eastAsia" w:ascii="宋体" w:hAnsi="宋体" w:eastAsia="宋体" w:cs="宋体"/>
          <w:bCs/>
          <w:color w:val="000000"/>
          <w:sz w:val="21"/>
          <w:szCs w:val="21"/>
          <w:highlight w:val="none"/>
        </w:rPr>
      </w:pPr>
      <w:bookmarkStart w:id="262" w:name="_Toc351203488"/>
      <w:r>
        <w:rPr>
          <w:rFonts w:hint="eastAsia" w:ascii="宋体" w:hAnsi="宋体" w:eastAsia="宋体" w:cs="宋体"/>
          <w:b/>
          <w:color w:val="000000"/>
          <w:sz w:val="21"/>
          <w:szCs w:val="21"/>
          <w:highlight w:val="none"/>
        </w:rPr>
        <w:t xml:space="preserve">    七、词语含义</w:t>
      </w:r>
      <w:bookmarkEnd w:id="262"/>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63" w:name="_Toc351203489"/>
      <w:r>
        <w:rPr>
          <w:rFonts w:hint="eastAsia" w:ascii="宋体" w:hAnsi="宋体" w:eastAsia="宋体" w:cs="宋体"/>
          <w:b w:val="0"/>
          <w:color w:val="000000"/>
          <w:sz w:val="21"/>
          <w:szCs w:val="21"/>
          <w:highlight w:val="none"/>
        </w:rPr>
        <w:t>八、签订时间</w:t>
      </w:r>
      <w:bookmarkEnd w:id="263"/>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64" w:name="_Toc351203490"/>
      <w:r>
        <w:rPr>
          <w:rFonts w:hint="eastAsia" w:ascii="宋体" w:hAnsi="宋体" w:eastAsia="宋体" w:cs="宋体"/>
          <w:b w:val="0"/>
          <w:color w:val="000000"/>
          <w:sz w:val="21"/>
          <w:szCs w:val="21"/>
          <w:highlight w:val="none"/>
        </w:rPr>
        <w:t>九、签订地点</w:t>
      </w:r>
      <w:bookmarkEnd w:id="264"/>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FF0000"/>
          <w:sz w:val="21"/>
          <w:szCs w:val="21"/>
          <w:highlight w:val="none"/>
          <w:u w:val="single"/>
        </w:rPr>
        <w:t>重庆</w:t>
      </w:r>
      <w:r>
        <w:rPr>
          <w:rFonts w:hint="eastAsia" w:ascii="宋体" w:hAnsi="宋体" w:eastAsia="宋体" w:cs="宋体"/>
          <w:bCs/>
          <w:color w:val="000000"/>
          <w:sz w:val="21"/>
          <w:szCs w:val="21"/>
          <w:highlight w:val="none"/>
        </w:rPr>
        <w:t>签订。</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65" w:name="_Toc351203491"/>
      <w:r>
        <w:rPr>
          <w:rFonts w:hint="eastAsia" w:ascii="宋体" w:hAnsi="宋体" w:eastAsia="宋体" w:cs="宋体"/>
          <w:b w:val="0"/>
          <w:color w:val="000000"/>
          <w:sz w:val="21"/>
          <w:szCs w:val="21"/>
          <w:highlight w:val="none"/>
        </w:rPr>
        <w:t>十、补充协议</w:t>
      </w:r>
      <w:bookmarkEnd w:id="265"/>
    </w:p>
    <w:p>
      <w:pPr>
        <w:adjustRightInd w:val="0"/>
        <w:snapToGrid w:val="0"/>
        <w:spacing w:beforeLines="0" w:afterLines="0" w:line="360" w:lineRule="auto"/>
        <w:ind w:firstLine="420" w:firstLineChars="200"/>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66" w:name="_Toc351203492"/>
      <w:r>
        <w:rPr>
          <w:rFonts w:hint="eastAsia" w:ascii="宋体" w:hAnsi="宋体" w:eastAsia="宋体" w:cs="宋体"/>
          <w:b w:val="0"/>
          <w:color w:val="000000"/>
          <w:sz w:val="21"/>
          <w:szCs w:val="21"/>
          <w:highlight w:val="none"/>
        </w:rPr>
        <w:t>十一、合同生效</w:t>
      </w:r>
      <w:bookmarkEnd w:id="266"/>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FF0000"/>
          <w:sz w:val="21"/>
          <w:szCs w:val="21"/>
          <w:highlight w:val="none"/>
          <w:u w:val="single"/>
        </w:rPr>
        <w:t>双方盖章后</w:t>
      </w:r>
      <w:r>
        <w:rPr>
          <w:rFonts w:hint="eastAsia" w:ascii="宋体" w:hAnsi="宋体" w:eastAsia="宋体" w:cs="宋体"/>
          <w:bCs/>
          <w:color w:val="000000"/>
          <w:sz w:val="21"/>
          <w:szCs w:val="21"/>
          <w:highlight w:val="none"/>
        </w:rPr>
        <w:t>生效。</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67" w:name="_Toc351203493"/>
      <w:r>
        <w:rPr>
          <w:rFonts w:hint="eastAsia" w:ascii="宋体" w:hAnsi="宋体" w:eastAsia="宋体" w:cs="宋体"/>
          <w:b w:val="0"/>
          <w:color w:val="000000"/>
          <w:sz w:val="21"/>
          <w:szCs w:val="21"/>
          <w:highlight w:val="none"/>
        </w:rPr>
        <w:t>十二、合同份数</w:t>
      </w:r>
      <w:bookmarkEnd w:id="267"/>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FF0000"/>
          <w:sz w:val="21"/>
          <w:szCs w:val="21"/>
          <w:highlight w:val="none"/>
          <w:u w:val="single"/>
          <w:lang w:val="en-US" w:eastAsia="zh-CN"/>
        </w:rPr>
        <w:t>X</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Cs/>
          <w:color w:val="000000"/>
          <w:sz w:val="21"/>
          <w:szCs w:val="21"/>
          <w:highlight w:val="none"/>
          <w:u w:val="single"/>
          <w:lang w:val="en-US" w:eastAsia="zh-CN"/>
        </w:rPr>
        <w:t>肆</w:t>
      </w:r>
      <w:r>
        <w:rPr>
          <w:rFonts w:hint="eastAsia" w:ascii="宋体" w:hAnsi="宋体" w:eastAsia="宋体" w:cs="宋体"/>
          <w:bCs/>
          <w:color w:val="000000"/>
          <w:sz w:val="21"/>
          <w:szCs w:val="21"/>
          <w:highlight w:val="none"/>
        </w:rPr>
        <w:t>份，承包人执</w:t>
      </w:r>
      <w:r>
        <w:rPr>
          <w:rFonts w:hint="eastAsia" w:ascii="宋体" w:hAnsi="宋体" w:eastAsia="宋体" w:cs="宋体"/>
          <w:bCs/>
          <w:color w:val="FF0000"/>
          <w:sz w:val="21"/>
          <w:szCs w:val="21"/>
          <w:highlight w:val="none"/>
          <w:u w:val="single"/>
          <w:lang w:val="en-US" w:eastAsia="zh-CN"/>
        </w:rPr>
        <w:t>X</w:t>
      </w:r>
      <w:r>
        <w:rPr>
          <w:rFonts w:hint="eastAsia" w:ascii="宋体" w:hAnsi="宋体" w:eastAsia="宋体" w:cs="宋体"/>
          <w:bCs/>
          <w:color w:val="000000"/>
          <w:sz w:val="21"/>
          <w:szCs w:val="21"/>
          <w:highlight w:val="none"/>
        </w:rPr>
        <w:t>份。</w:t>
      </w:r>
    </w:p>
    <w:p>
      <w:pPr>
        <w:adjustRightInd w:val="0"/>
        <w:snapToGrid w:val="0"/>
        <w:spacing w:beforeLines="0" w:afterLines="0" w:line="360" w:lineRule="auto"/>
        <w:rPr>
          <w:rFonts w:hint="eastAsia" w:ascii="宋体" w:hAnsi="宋体" w:eastAsia="宋体" w:cs="宋体"/>
          <w:color w:val="000000"/>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发包人：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承包人：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法定代表人或其委托代理人：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法定代表人或其委托代理人：</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（签字）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（签字）</w:t>
      </w:r>
    </w:p>
    <w:p>
      <w:pPr>
        <w:tabs>
          <w:tab w:val="left" w:pos="4410"/>
        </w:tabs>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lang w:val="en-US" w:eastAsia="zh-CN"/>
        </w:rPr>
        <w:t xml:space="preserve">91500000586880999E    </w:t>
      </w: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重庆市渝北区龙溪街道</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新南路52号</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p>
    <w:p>
      <w:pPr>
        <w:pStyle w:val="6"/>
        <w:adjustRightInd w:val="0"/>
        <w:snapToGrid w:val="0"/>
        <w:spacing w:before="0" w:beforeAutospacing="0" w:after="0" w:afterAutospacing="0" w:line="360" w:lineRule="auto"/>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u w:val="none"/>
          <w:lang w:val="en-US" w:eastAsia="zh-CN"/>
        </w:rPr>
        <w:t>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023-86917860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中国光大银</w:t>
      </w:r>
      <w:r>
        <w:rPr>
          <w:rFonts w:hint="eastAsia" w:ascii="宋体" w:hAnsi="宋体" w:eastAsia="宋体" w:cs="宋体"/>
          <w:color w:val="000000"/>
          <w:sz w:val="21"/>
          <w:szCs w:val="21"/>
          <w:highlight w:val="none"/>
          <w:u w:val="single"/>
          <w:lang w:val="en-US" w:eastAsia="zh-CN"/>
        </w:rPr>
        <w:t xml:space="preserve">行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rPr>
        <w:t>股份有限公司重庆冉家坝支行</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39530188000016968</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p>
    <w:p>
      <w:pPr>
        <w:pStyle w:val="5"/>
        <w:numPr>
          <w:ilvl w:val="0"/>
          <w:numId w:val="2"/>
        </w:numPr>
        <w:jc w:val="center"/>
        <w:rPr>
          <w:rFonts w:hint="eastAsia" w:ascii="宋体" w:hAnsi="宋体" w:eastAsia="宋体" w:cs="宋体"/>
          <w:sz w:val="44"/>
          <w:szCs w:val="44"/>
          <w:highlight w:val="none"/>
        </w:rPr>
      </w:pPr>
      <w:r>
        <w:rPr>
          <w:rFonts w:hint="eastAsia" w:ascii="宋体" w:hAnsi="宋体" w:eastAsia="宋体" w:cs="宋体"/>
          <w:highlight w:val="none"/>
        </w:rPr>
        <w:br w:type="page"/>
      </w:r>
      <w:bookmarkStart w:id="268" w:name="_Toc351203494"/>
      <w:bookmarkStart w:id="269" w:name="_Toc1221"/>
      <w:r>
        <w:rPr>
          <w:rFonts w:hint="eastAsia" w:ascii="宋体" w:hAnsi="宋体" w:eastAsia="宋体" w:cs="宋体"/>
          <w:sz w:val="44"/>
          <w:szCs w:val="44"/>
          <w:highlight w:val="none"/>
        </w:rPr>
        <w:t>通用合同条款</w:t>
      </w:r>
      <w:bookmarkEnd w:id="268"/>
      <w:bookmarkEnd w:id="269"/>
      <w:bookmarkStart w:id="270" w:name="_Toc337558727"/>
    </w:p>
    <w:p>
      <w:pPr>
        <w:tabs>
          <w:tab w:val="left" w:pos="4410"/>
        </w:tabs>
        <w:spacing w:line="360" w:lineRule="auto"/>
        <w:ind w:firstLine="480" w:firstLineChars="200"/>
        <w:rPr>
          <w:rFonts w:hint="eastAsia" w:ascii="宋体" w:hAnsi="宋体" w:eastAsia="宋体" w:cs="宋体"/>
          <w:color w:val="000000"/>
          <w:sz w:val="30"/>
          <w:szCs w:val="30"/>
          <w:highlight w:val="none"/>
        </w:rPr>
      </w:pPr>
      <w:r>
        <w:rPr>
          <w:rFonts w:hint="eastAsia" w:ascii="宋体" w:hAnsi="宋体" w:eastAsia="宋体" w:cs="宋体"/>
          <w:color w:val="000000"/>
          <w:sz w:val="24"/>
          <w:szCs w:val="24"/>
          <w:highlight w:val="none"/>
        </w:rPr>
        <w:t>（本部分内容同住房城乡建设部、工商总局印发的《建设工程施工合同示范文本（GF-2017-0201）》中通用合同条款一致，在此略，如与本合同协议书及专用条款矛盾，则以协议书及专用条款为准）</w:t>
      </w:r>
    </w:p>
    <w:bookmarkEnd w:id="270"/>
    <w:p>
      <w:pPr>
        <w:pStyle w:val="5"/>
        <w:jc w:val="center"/>
        <w:rPr>
          <w:rFonts w:hint="eastAsia" w:ascii="宋体" w:hAnsi="宋体" w:eastAsia="宋体" w:cs="宋体"/>
          <w:sz w:val="44"/>
          <w:szCs w:val="44"/>
          <w:highlight w:val="none"/>
        </w:rPr>
      </w:pPr>
      <w:bookmarkStart w:id="271" w:name="_Toc351203632"/>
      <w:r>
        <w:rPr>
          <w:rFonts w:hint="eastAsia" w:ascii="宋体" w:hAnsi="宋体" w:eastAsia="宋体" w:cs="宋体"/>
          <w:sz w:val="44"/>
          <w:szCs w:val="44"/>
          <w:highlight w:val="none"/>
        </w:rPr>
        <w:br w:type="page"/>
      </w:r>
      <w:bookmarkStart w:id="272" w:name="_Toc17646"/>
      <w:r>
        <w:rPr>
          <w:rFonts w:hint="eastAsia" w:ascii="宋体" w:hAnsi="宋体" w:eastAsia="宋体" w:cs="宋体"/>
          <w:sz w:val="44"/>
          <w:szCs w:val="44"/>
          <w:highlight w:val="none"/>
        </w:rPr>
        <w:t>第三部分 专用合同条款</w:t>
      </w:r>
      <w:bookmarkEnd w:id="271"/>
      <w:bookmarkEnd w:id="272"/>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bookmarkStart w:id="273" w:name="_Toc351203633"/>
      <w:r>
        <w:rPr>
          <w:rFonts w:hint="eastAsia" w:ascii="宋体" w:hAnsi="宋体" w:eastAsia="宋体" w:cs="宋体"/>
          <w:b w:val="0"/>
          <w:color w:val="000000"/>
          <w:sz w:val="24"/>
          <w:szCs w:val="24"/>
        </w:rPr>
        <w:t>1. 一般约定</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74" w:name="_Toc7664"/>
      <w:bookmarkStart w:id="275" w:name="_Toc21305"/>
      <w:bookmarkStart w:id="276" w:name="_Toc30784"/>
      <w:r>
        <w:rPr>
          <w:rFonts w:hint="eastAsia" w:ascii="宋体" w:hAnsi="宋体" w:eastAsia="宋体" w:cs="宋体"/>
          <w:color w:val="000000"/>
          <w:sz w:val="24"/>
          <w:szCs w:val="24"/>
        </w:rPr>
        <w:t>1.1 词语定义</w:t>
      </w:r>
      <w:bookmarkEnd w:id="274"/>
      <w:bookmarkEnd w:id="275"/>
      <w:bookmarkEnd w:id="276"/>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rPr>
        <w:t xml:space="preserve">住房城乡建设部、工商总局印发的《建设工程施工合同示范文本（GF-2017-0201）》。    </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adjustRightInd w:val="0"/>
        <w:snapToGrid w:val="0"/>
        <w:spacing w:beforeLines="0"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业    主（如有）：</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adjustRightInd w:val="0"/>
        <w:snapToGrid w:val="0"/>
        <w:spacing w:beforeLines="0"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监理人（如有）：</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adjustRightInd w:val="0"/>
        <w:snapToGrid w:val="0"/>
        <w:spacing w:beforeLines="0"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发包人：</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承包人：</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77" w:name="_Toc29767"/>
      <w:bookmarkStart w:id="278" w:name="_Toc29555"/>
      <w:bookmarkStart w:id="279" w:name="_Toc20099"/>
      <w:r>
        <w:rPr>
          <w:rFonts w:hint="eastAsia" w:ascii="宋体" w:hAnsi="宋体" w:eastAsia="宋体" w:cs="宋体"/>
          <w:color w:val="000000"/>
          <w:sz w:val="24"/>
          <w:szCs w:val="24"/>
        </w:rPr>
        <w:t>1.2 联络</w:t>
      </w:r>
      <w:bookmarkEnd w:id="277"/>
      <w:bookmarkEnd w:id="278"/>
      <w:bookmarkEnd w:id="279"/>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1.2.1承包人应当在</w:t>
      </w:r>
      <w:r>
        <w:rPr>
          <w:rFonts w:hint="eastAsia" w:ascii="宋体" w:hAnsi="宋体" w:eastAsia="宋体" w:cs="宋体"/>
          <w:color w:val="000000"/>
          <w:sz w:val="24"/>
          <w:szCs w:val="24"/>
          <w:u w:val="single"/>
        </w:rPr>
        <w:t></w:t>
      </w:r>
      <w:r>
        <w:rPr>
          <w:rFonts w:hint="eastAsia" w:ascii="宋体" w:hAnsi="宋体" w:eastAsia="宋体" w:cs="宋体"/>
          <w:color w:val="FF0000"/>
          <w:sz w:val="24"/>
          <w:szCs w:val="24"/>
          <w:u w:val="single"/>
        </w:rPr>
        <w:t>7</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1.2.1.1双方确认以1.2.2条作为送达地址与受送达人，送达适用范围包括但不限于各类告知书、通知书、工作联系单、协议文件、诉讼或仲裁文书，送达主体可以是合同各方、人民法院、仲裁委员会及各行政机关。                      </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1.2.1.2送达主体按照以下送达地址进行送达，视为有效送达；采用邮寄送达的，以文书签收之日或退回之日视为送达之日；直接送达的，送达人当场在送达回证上记明情况之日视为送达之日。</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1.2.1.3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 发包人接收文件的地点：</w:t>
      </w:r>
      <w:r>
        <w:rPr>
          <w:rFonts w:hint="eastAsia" w:ascii="宋体" w:hAnsi="宋体" w:eastAsia="宋体" w:cs="宋体"/>
          <w:color w:val="000000"/>
          <w:sz w:val="24"/>
          <w:szCs w:val="24"/>
          <w:u w:val="single"/>
        </w:rPr>
        <w:t>      </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               </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             </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             </w:t>
      </w:r>
      <w:r>
        <w:rPr>
          <w:rFonts w:hint="eastAsia" w:ascii="宋体" w:hAnsi="宋体" w:eastAsia="宋体" w:cs="宋体"/>
          <w:color w:val="000000"/>
          <w:kern w:val="0"/>
          <w:sz w:val="24"/>
          <w:szCs w:val="24"/>
        </w:rPr>
        <w:t>。</w:t>
      </w:r>
    </w:p>
    <w:p>
      <w:pPr>
        <w:adjustRightInd w:val="0"/>
        <w:snapToGrid w:val="0"/>
        <w:spacing w:beforeLines="0" w:after="0" w:afterLines="0" w:line="360" w:lineRule="auto"/>
        <w:ind w:firstLine="480" w:firstLineChars="200"/>
        <w:outlineLvl w:val="0"/>
        <w:rPr>
          <w:rFonts w:hint="eastAsia" w:ascii="宋体" w:hAnsi="宋体" w:eastAsia="宋体" w:cs="宋体"/>
          <w:sz w:val="24"/>
          <w:szCs w:val="24"/>
        </w:rPr>
      </w:pPr>
      <w:bookmarkStart w:id="280" w:name="_Toc31794"/>
      <w:bookmarkStart w:id="281" w:name="_Toc19236"/>
      <w:bookmarkStart w:id="282" w:name="_Toc17944"/>
      <w:r>
        <w:rPr>
          <w:rFonts w:hint="eastAsia" w:ascii="宋体" w:hAnsi="宋体" w:eastAsia="宋体" w:cs="宋体"/>
          <w:color w:val="000000"/>
          <w:sz w:val="24"/>
          <w:szCs w:val="24"/>
        </w:rPr>
        <w:t>1.3 交通运输</w:t>
      </w:r>
      <w:bookmarkEnd w:id="280"/>
      <w:bookmarkEnd w:id="281"/>
      <w:bookmarkEnd w:id="282"/>
      <w:r>
        <w:rPr>
          <w:rFonts w:hint="eastAsia" w:ascii="宋体" w:hAnsi="宋体" w:eastAsia="宋体" w:cs="宋体"/>
          <w:sz w:val="24"/>
          <w:szCs w:val="24"/>
        </w:rPr>
        <w:t xml:space="preserve"> </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1.3.1超大件和超重件的运输</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color w:val="FF0000"/>
          <w:sz w:val="24"/>
          <w:szCs w:val="24"/>
          <w:u w:val="single"/>
        </w:rPr>
        <w:t>承包人</w:t>
      </w:r>
      <w:r>
        <w:rPr>
          <w:rFonts w:hint="eastAsia" w:ascii="宋体" w:hAnsi="宋体" w:eastAsia="宋体" w:cs="宋体"/>
          <w:sz w:val="24"/>
          <w:szCs w:val="24"/>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83" w:name="_Toc16223"/>
      <w:bookmarkStart w:id="284" w:name="_Toc3553"/>
      <w:bookmarkStart w:id="285" w:name="_Toc22110"/>
      <w:r>
        <w:rPr>
          <w:rFonts w:hint="eastAsia" w:ascii="宋体" w:hAnsi="宋体" w:eastAsia="宋体" w:cs="宋体"/>
          <w:color w:val="000000"/>
          <w:sz w:val="24"/>
          <w:szCs w:val="24"/>
        </w:rPr>
        <w:t>1.4 知识产权</w:t>
      </w:r>
      <w:bookmarkEnd w:id="283"/>
      <w:bookmarkEnd w:id="284"/>
      <w:bookmarkEnd w:id="285"/>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FF0000"/>
          <w:sz w:val="24"/>
          <w:szCs w:val="24"/>
          <w:u w:val="single"/>
        </w:rPr>
        <w:t>发包人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outlineLvl w:val="0"/>
        <w:rPr>
          <w:rFonts w:hint="eastAsia" w:ascii="宋体" w:hAnsi="宋体" w:eastAsia="宋体" w:cs="宋体"/>
          <w:color w:val="000000"/>
          <w:kern w:val="0"/>
          <w:sz w:val="24"/>
          <w:szCs w:val="24"/>
        </w:rPr>
      </w:pPr>
      <w:bookmarkStart w:id="286" w:name="_Toc32682"/>
      <w:bookmarkStart w:id="287" w:name="_Toc20332"/>
      <w:bookmarkStart w:id="288" w:name="_Toc64"/>
      <w:r>
        <w:rPr>
          <w:rFonts w:hint="eastAsia" w:ascii="宋体" w:hAnsi="宋体" w:eastAsia="宋体" w:cs="宋体"/>
          <w:color w:val="000000"/>
          <w:sz w:val="24"/>
          <w:szCs w:val="24"/>
        </w:rPr>
        <w:t>1.4.2 承包人在施工过程中所采用的专利、专有技术、技术秘密的使用费的承担方式：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bookmarkEnd w:id="286"/>
      <w:bookmarkEnd w:id="287"/>
      <w:bookmarkEnd w:id="288"/>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1.5工程量清单错误的修正</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出现工程量清单错误时，经双方协商一致可以调整合同价格，协商不一致，合同价格不变更。</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 发包人</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89" w:name="_Toc5592"/>
      <w:bookmarkStart w:id="290" w:name="_Toc28375"/>
      <w:bookmarkStart w:id="291" w:name="_Toc30715"/>
      <w:r>
        <w:rPr>
          <w:rFonts w:hint="eastAsia" w:ascii="宋体" w:hAnsi="宋体" w:eastAsia="宋体" w:cs="宋体"/>
          <w:color w:val="000000"/>
          <w:sz w:val="24"/>
          <w:szCs w:val="24"/>
        </w:rPr>
        <w:t>2.1 发包人现场代表</w:t>
      </w:r>
      <w:bookmarkEnd w:id="289"/>
      <w:bookmarkEnd w:id="290"/>
      <w:bookmarkEnd w:id="291"/>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 承包人</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beforeLines="0" w:afterLines="0" w:line="360" w:lineRule="auto"/>
        <w:ind w:left="638" w:leftChars="304"/>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（2）承包人应履行的其他义务：</w:t>
      </w:r>
      <w:r>
        <w:rPr>
          <w:rFonts w:hint="eastAsia" w:ascii="宋体" w:hAnsi="宋体" w:eastAsia="宋体" w:cs="宋体"/>
          <w:color w:val="FF0000"/>
          <w:sz w:val="24"/>
          <w:szCs w:val="24"/>
          <w:u w:val="single"/>
        </w:rPr>
        <w:t>服从业主、监理人（如有）、发包人的管理要求及整改要求，及时报告施工进展及情况</w:t>
      </w:r>
      <w:r>
        <w:rPr>
          <w:rFonts w:hint="eastAsia" w:ascii="宋体" w:hAnsi="宋体" w:eastAsia="宋体" w:cs="宋体"/>
          <w:color w:val="00000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项目经理及技术负责人</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3.2.1 </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FF0000"/>
          <w:sz w:val="24"/>
          <w:szCs w:val="24"/>
          <w:u w:val="single"/>
        </w:rPr>
        <w:t>（由承包人填写，应当要求其全面填写）或详见附件项目经理任命书</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关于项目经理、技术负责人每月在施工现场的时间要求：</w:t>
      </w:r>
      <w:r>
        <w:rPr>
          <w:rFonts w:hint="eastAsia" w:ascii="宋体" w:hAnsi="宋体" w:eastAsia="宋体" w:cs="宋体"/>
          <w:color w:val="FF0000"/>
          <w:sz w:val="24"/>
          <w:szCs w:val="24"/>
          <w:u w:val="single"/>
        </w:rPr>
        <w:t>项目经理、技术负责人要求每月全勤/每月至少应当在施工现场考勤（28）天</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承包人未提交项目经理或技术负责人劳动合同，以及没有为项目经理或技术负责人缴纳社会保险证明的违约责任：</w:t>
      </w:r>
      <w:r>
        <w:rPr>
          <w:rFonts w:hint="eastAsia" w:ascii="宋体" w:hAnsi="宋体" w:eastAsia="宋体" w:cs="宋体"/>
          <w:color w:val="FF0000"/>
          <w:sz w:val="24"/>
          <w:szCs w:val="24"/>
          <w:u w:val="single"/>
        </w:rPr>
        <w:t>应在发包人要求时间内补足相关证明，若经提醒仍未整改，承包人应赔偿发包人20000元/人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项目经理或技术负责人未经批准，擅自离开施工现场的违约责任：</w:t>
      </w:r>
      <w:r>
        <w:rPr>
          <w:rFonts w:hint="eastAsia" w:ascii="宋体" w:hAnsi="宋体" w:eastAsia="宋体" w:cs="宋体"/>
          <w:color w:val="FF0000"/>
          <w:sz w:val="24"/>
          <w:szCs w:val="24"/>
          <w:u w:val="single"/>
        </w:rPr>
        <w:t>若经提醒仍未整改，承包人应赔偿发包人20000元/人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承包人擅自更换项目经理或技术负责人的违约责任：</w:t>
      </w:r>
      <w:r>
        <w:rPr>
          <w:rFonts w:hint="eastAsia" w:ascii="宋体" w:hAnsi="宋体" w:eastAsia="宋体" w:cs="宋体"/>
          <w:color w:val="FF0000"/>
          <w:sz w:val="24"/>
          <w:szCs w:val="24"/>
          <w:u w:val="single"/>
        </w:rPr>
        <w:t>若经提醒仍未整改，承包人应赔偿发包人50000元/人</w:t>
      </w:r>
      <w:r>
        <w:rPr>
          <w:rFonts w:hint="eastAsia" w:ascii="宋体" w:hAnsi="宋体" w:eastAsia="宋体" w:cs="宋体"/>
          <w:color w:val="000000"/>
          <w:sz w:val="24"/>
          <w:szCs w:val="24"/>
        </w:rPr>
        <w:t>。</w:t>
      </w:r>
    </w:p>
    <w:p>
      <w:pPr>
        <w:adjustRightInd w:val="0"/>
        <w:snapToGrid w:val="0"/>
        <w:spacing w:beforeLines="0" w:afterLines="0"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292" w:name="_Toc24077"/>
      <w:bookmarkStart w:id="293" w:name="_Toc22379"/>
      <w:bookmarkStart w:id="294" w:name="_Toc31695"/>
      <w:r>
        <w:rPr>
          <w:rFonts w:hint="eastAsia" w:ascii="宋体" w:hAnsi="宋体" w:eastAsia="宋体" w:cs="宋体"/>
          <w:color w:val="000000"/>
          <w:sz w:val="24"/>
          <w:szCs w:val="24"/>
        </w:rPr>
        <w:t>3.2.4 承包人无正当理由拒绝更换项目经理或技术负责人的违约责任：</w:t>
      </w:r>
      <w:r>
        <w:rPr>
          <w:rFonts w:hint="eastAsia" w:ascii="宋体" w:hAnsi="宋体" w:eastAsia="宋体" w:cs="宋体"/>
          <w:color w:val="FF0000"/>
          <w:sz w:val="24"/>
          <w:szCs w:val="24"/>
          <w:u w:val="single"/>
        </w:rPr>
        <w:t>若经提醒仍未整改，承包人应赔偿发包人50000元/人</w:t>
      </w:r>
      <w:r>
        <w:rPr>
          <w:rFonts w:hint="eastAsia" w:ascii="宋体" w:hAnsi="宋体" w:eastAsia="宋体" w:cs="宋体"/>
          <w:color w:val="000000"/>
          <w:sz w:val="24"/>
          <w:szCs w:val="24"/>
        </w:rPr>
        <w:t>。</w:t>
      </w:r>
      <w:bookmarkEnd w:id="292"/>
      <w:bookmarkEnd w:id="293"/>
      <w:bookmarkEnd w:id="294"/>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FF0000"/>
          <w:sz w:val="24"/>
          <w:szCs w:val="24"/>
          <w:u w:val="single"/>
        </w:rPr>
        <w:t>发包人提出要求后10天内提交相应报告。</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3.3.2 承包人无正当理由拒绝撤换主要施工管理人员的违约责任：</w:t>
      </w:r>
      <w:r>
        <w:rPr>
          <w:rFonts w:hint="eastAsia" w:ascii="宋体" w:hAnsi="宋体" w:eastAsia="宋体" w:cs="宋体"/>
          <w:color w:val="FF0000"/>
          <w:sz w:val="24"/>
          <w:szCs w:val="24"/>
          <w:u w:val="single"/>
        </w:rPr>
        <w:t>若经提醒仍未整改，承包人应赔偿发包人30000元/人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3.3.3 承包人主要施工管理人员离开施工现场的批准要求：   </w:t>
      </w:r>
      <w:r>
        <w:rPr>
          <w:rFonts w:hint="eastAsia" w:ascii="宋体" w:hAnsi="宋体" w:eastAsia="宋体" w:cs="宋体"/>
          <w:color w:val="FF0000"/>
          <w:sz w:val="24"/>
          <w:szCs w:val="24"/>
          <w:u w:val="single"/>
        </w:rPr>
        <w:t>向发包人书面提交申请并经批准</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3.3.4承包人擅自更换主要施工管理人员的违约责任：</w:t>
      </w:r>
      <w:r>
        <w:rPr>
          <w:rFonts w:hint="eastAsia" w:ascii="宋体" w:hAnsi="宋体" w:eastAsia="宋体" w:cs="宋体"/>
          <w:color w:val="FF0000"/>
          <w:sz w:val="24"/>
          <w:szCs w:val="24"/>
          <w:u w:val="single"/>
        </w:rPr>
        <w:t>若经提醒仍未整改，承包人应赔偿发包人30000元/人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3.3.5承包人主要施工管理人员擅自离开施工现场的违约责任：</w:t>
      </w:r>
      <w:r>
        <w:rPr>
          <w:rFonts w:hint="eastAsia" w:ascii="宋体" w:hAnsi="宋体" w:eastAsia="宋体" w:cs="宋体"/>
          <w:color w:val="FF0000"/>
          <w:sz w:val="24"/>
          <w:szCs w:val="24"/>
          <w:u w:val="single"/>
        </w:rPr>
        <w:t>若经提醒仍未整改，承包人应赔偿发包人30000元/人</w:t>
      </w:r>
      <w:r>
        <w:rPr>
          <w:rFonts w:hint="eastAsia" w:ascii="宋体" w:hAnsi="宋体" w:eastAsia="宋体" w:cs="宋体"/>
          <w:color w:val="00000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3.3.5承包人未按照投标文件写明的要求提供劳务班组及劳务人员、施工机具的违约责任：给予5天整改期，整改期过拒不整改的，罚款5000元每人每天，10000元每一个机械每天。</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工程照管与成品、半成品保护</w:t>
      </w:r>
    </w:p>
    <w:p>
      <w:pPr>
        <w:adjustRightInd w:val="0"/>
        <w:snapToGrid w:val="0"/>
        <w:spacing w:before="0" w:beforeLines="0" w:after="0" w:afterLines="0" w:line="360" w:lineRule="auto"/>
        <w:ind w:firstLine="480" w:firstLineChars="2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FF0000"/>
          <w:kern w:val="0"/>
          <w:sz w:val="24"/>
          <w:szCs w:val="24"/>
          <w:u w:val="single"/>
        </w:rPr>
        <w:t>入场后至竣工验收完毕退场</w:t>
      </w:r>
      <w:r>
        <w:rPr>
          <w:rFonts w:hint="eastAsia" w:ascii="宋体" w:hAnsi="宋体" w:eastAsia="宋体" w:cs="宋体"/>
          <w:color w:val="000000"/>
          <w:kern w:val="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履约担保</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履约担保的方式：现金或银行保函或现金+银行保函的组合；采用银行保函形式的，保函必须为不可撤销且见索即付       </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履约担保的金额：中标合同金额的10% </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履约担保的期限：(起止时间)，若期限不满足甲方需求，承包人应于履约担保到期前续期</w:t>
      </w:r>
      <w:r>
        <w:rPr>
          <w:rFonts w:hint="eastAsia" w:ascii="宋体" w:hAnsi="宋体" w:eastAsia="宋体" w:cs="宋体"/>
          <w:color w:val="000000"/>
          <w:sz w:val="24"/>
          <w:szCs w:val="24"/>
          <w:lang w:val="en-US" w:eastAsia="zh-CN"/>
        </w:rPr>
        <w:t>.</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履约担保的退还时间：履约保证金在期限届满后30日内无息退还，保函在期限届满后方可解除。</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 工程质量</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95" w:name="_Toc2993"/>
      <w:bookmarkStart w:id="296" w:name="_Toc8297"/>
      <w:bookmarkStart w:id="297" w:name="_Toc1878"/>
      <w:r>
        <w:rPr>
          <w:rFonts w:hint="eastAsia" w:ascii="宋体" w:hAnsi="宋体" w:eastAsia="宋体" w:cs="宋体"/>
          <w:color w:val="000000"/>
          <w:sz w:val="24"/>
          <w:szCs w:val="24"/>
        </w:rPr>
        <w:t>4.1 质量要求</w:t>
      </w:r>
      <w:bookmarkEnd w:id="295"/>
      <w:bookmarkEnd w:id="296"/>
      <w:bookmarkEnd w:id="297"/>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4.1.1 特殊质量标准和要求：</w:t>
      </w:r>
      <w:r>
        <w:rPr>
          <w:rFonts w:hint="eastAsia" w:ascii="宋体" w:hAnsi="宋体" w:eastAsia="宋体" w:cs="宋体"/>
          <w:color w:val="FF0000"/>
          <w:sz w:val="24"/>
          <w:szCs w:val="24"/>
          <w:u w:val="single"/>
        </w:rPr>
        <w:t>有，合格，年度一次性抽检合格率不低于97%</w:t>
      </w:r>
      <w:r>
        <w:rPr>
          <w:rFonts w:hint="eastAsia" w:ascii="宋体" w:hAnsi="宋体" w:cs="宋体"/>
          <w:color w:val="FF0000"/>
          <w:sz w:val="24"/>
          <w:szCs w:val="24"/>
          <w:u w:val="single"/>
          <w:lang w:eastAsia="zh-CN"/>
        </w:rPr>
        <w:t>。</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98" w:name="_Toc7506"/>
      <w:bookmarkStart w:id="299" w:name="_Toc9869"/>
      <w:bookmarkStart w:id="300" w:name="_Toc18347"/>
      <w:r>
        <w:rPr>
          <w:rFonts w:hint="eastAsia" w:ascii="宋体" w:hAnsi="宋体" w:eastAsia="宋体" w:cs="宋体"/>
          <w:color w:val="000000"/>
          <w:sz w:val="24"/>
          <w:szCs w:val="24"/>
        </w:rPr>
        <w:t>4.2 隐蔽工程检查</w:t>
      </w:r>
      <w:bookmarkEnd w:id="298"/>
      <w:bookmarkEnd w:id="299"/>
      <w:bookmarkEnd w:id="300"/>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承包人应提前</w:t>
      </w:r>
      <w:r>
        <w:rPr>
          <w:rFonts w:hint="eastAsia" w:ascii="宋体" w:hAnsi="宋体" w:eastAsia="宋体" w:cs="宋体"/>
          <w:color w:val="FF0000"/>
          <w:sz w:val="24"/>
          <w:szCs w:val="24"/>
          <w:u w:val="single"/>
        </w:rPr>
        <w:t xml:space="preserve">  7  </w:t>
      </w:r>
      <w:r>
        <w:rPr>
          <w:rFonts w:hint="eastAsia" w:ascii="宋体" w:hAnsi="宋体" w:eastAsia="宋体" w:cs="宋体"/>
          <w:sz w:val="24"/>
          <w:szCs w:val="24"/>
        </w:rPr>
        <w:t>天通知发包人现场代表或监理人进行隐蔽工程检查。</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5. 安全文明施工与环境保护</w:t>
      </w:r>
    </w:p>
    <w:p>
      <w:pPr>
        <w:pStyle w:val="7"/>
        <w:adjustRightInd w:val="0"/>
        <w:snapToGrid w:val="0"/>
        <w:spacing w:before="0" w:beforeAutospacing="0" w:after="0" w:afterAutospacing="0" w:line="360" w:lineRule="auto"/>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5.1安全文明施工</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color w:val="FF0000"/>
          <w:sz w:val="24"/>
          <w:szCs w:val="24"/>
          <w:u w:val="single"/>
        </w:rPr>
        <w:t>不发生较大及以上安全生产责任事故，项目责任事故死亡指标为0。</w:t>
      </w:r>
      <w:r>
        <w:rPr>
          <w:rFonts w:hint="eastAsia" w:ascii="宋体" w:hAnsi="宋体" w:eastAsia="宋体" w:cs="宋体"/>
          <w:sz w:val="24"/>
          <w:szCs w:val="24"/>
        </w:rPr>
        <w:t>。</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5.1.2 关于安全文明施工费支付比例和支付期限的约定：（2）甲方收到业主的预付款后，工程开工一个月内向乙方支付至少50%安全生产费用。安全生产费按实结算，工程竣工结算后结余的安全生产费用，应当退回甲方。</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5.1.3安全文明施工费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5.1.4 事故处理</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施工过程中发生事故的，承包人应立即通知发包人和监理人（如有）。承包人应立即组织人员和设备进行紧急抢救和抢修，减少人员伤亡和财产损失，防止事故扩大，并保护事故现场。需要移动现场物品时，应作出标记和书面记录，妥善保管有关证据。承包人应及时如实地向发包人报告事故发生的情况，以及正在采取的紧急措施等。</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6. 工期和进度</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 施工组织设计</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color w:val="FF0000"/>
          <w:sz w:val="24"/>
          <w:szCs w:val="24"/>
          <w:u w:val="single"/>
        </w:rPr>
        <w:t>发包人提出要求后的15日内完成</w:t>
      </w:r>
      <w:r>
        <w:rPr>
          <w:rFonts w:hint="eastAsia" w:ascii="宋体" w:hAnsi="宋体" w:eastAsia="宋体" w:cs="宋体"/>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业主、发包人、监理人在收到详细的施工组织设计后提出修改意见的，承包人应当在</w:t>
      </w:r>
      <w:r>
        <w:rPr>
          <w:rFonts w:hint="eastAsia" w:ascii="宋体" w:hAnsi="宋体" w:eastAsia="宋体" w:cs="宋体"/>
          <w:color w:val="FF0000"/>
          <w:sz w:val="24"/>
          <w:szCs w:val="24"/>
          <w:u w:val="single"/>
        </w:rPr>
        <w:t>7</w:t>
      </w:r>
      <w:r>
        <w:rPr>
          <w:rFonts w:hint="eastAsia" w:ascii="宋体" w:hAnsi="宋体" w:eastAsia="宋体" w:cs="宋体"/>
          <w:color w:val="000000"/>
          <w:sz w:val="24"/>
          <w:szCs w:val="24"/>
        </w:rPr>
        <w:t>日内修改。</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 开工</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6.2.1 开工准备</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color w:val="FF0000"/>
          <w:sz w:val="24"/>
          <w:szCs w:val="24"/>
          <w:u w:val="single"/>
        </w:rPr>
        <w:t>发包人提出要求后的7日内完成</w:t>
      </w:r>
      <w:r>
        <w:rPr>
          <w:rFonts w:hint="eastAsia" w:ascii="宋体" w:hAnsi="宋体" w:eastAsia="宋体" w:cs="宋体"/>
          <w:sz w:val="24"/>
          <w:szCs w:val="24"/>
        </w:rPr>
        <w:t>。</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color w:val="FF0000"/>
          <w:sz w:val="24"/>
          <w:szCs w:val="24"/>
          <w:u w:val="single"/>
        </w:rPr>
        <w:t>有，根据施工现场要求确定（填写具体工作），期限：发包人提出相关要求后的7日内完成</w:t>
      </w:r>
      <w:r>
        <w:rPr>
          <w:rFonts w:hint="eastAsia" w:ascii="宋体" w:hAnsi="宋体" w:eastAsia="宋体" w:cs="宋体"/>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6.3 工期延误</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6.3.1 因承包人原因导致工期延误</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color w:val="FF0000"/>
          <w:sz w:val="24"/>
          <w:szCs w:val="24"/>
          <w:u w:val="single"/>
        </w:rPr>
        <w:t>逾期总天数*合同总金额/约定工期</w:t>
      </w:r>
      <w:r>
        <w:rPr>
          <w:rFonts w:hint="eastAsia" w:ascii="宋体" w:hAnsi="宋体" w:eastAsia="宋体" w:cs="宋体"/>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7. 材料与设备</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7.1材料与工程设备的保管与使用</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7.1.1发包人供应的材料设备的保管费用由承包人承担。</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01" w:name="_Toc29931"/>
      <w:bookmarkStart w:id="302" w:name="_Toc19553"/>
      <w:bookmarkStart w:id="303" w:name="_Toc10881"/>
      <w:r>
        <w:rPr>
          <w:rFonts w:hint="eastAsia" w:ascii="宋体" w:hAnsi="宋体" w:eastAsia="宋体" w:cs="宋体"/>
          <w:color w:val="000000"/>
          <w:sz w:val="24"/>
          <w:szCs w:val="24"/>
        </w:rPr>
        <w:t>7.2 施工设备和临时设施</w:t>
      </w:r>
      <w:bookmarkEnd w:id="301"/>
      <w:bookmarkEnd w:id="302"/>
      <w:bookmarkEnd w:id="303"/>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修建临时设施费用由承包人承担。</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8. 试验与检验（如需）</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8.1试验设备与试验人员</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8.1.1 试验设备</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施工现场需要配置的试验场所及试验设备由承包人负责，试验人员安全由承包人负责。</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9. 变更</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04" w:name="_Toc5230"/>
      <w:bookmarkStart w:id="305" w:name="_Toc20003"/>
      <w:bookmarkStart w:id="306" w:name="_Toc25039"/>
      <w:r>
        <w:rPr>
          <w:rFonts w:hint="eastAsia" w:ascii="宋体" w:hAnsi="宋体" w:eastAsia="宋体" w:cs="宋体"/>
          <w:color w:val="000000"/>
          <w:sz w:val="24"/>
          <w:szCs w:val="24"/>
        </w:rPr>
        <w:t>9.1 暂估价</w:t>
      </w:r>
      <w:bookmarkEnd w:id="304"/>
      <w:bookmarkEnd w:id="305"/>
      <w:bookmarkEnd w:id="306"/>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暂估价材料和工程设备的明细详见附件12：《</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10. 价格调整</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 市场价格波动引起的调整</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color w:val="FF0000"/>
          <w:sz w:val="24"/>
          <w:szCs w:val="24"/>
          <w:u w:val="single"/>
        </w:rPr>
        <w:t>无（包干）</w:t>
      </w:r>
      <w:r>
        <w:rPr>
          <w:rFonts w:hint="eastAsia" w:ascii="宋体" w:hAnsi="宋体" w:eastAsia="宋体" w:cs="宋体"/>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合同价格、计量与支付</w:t>
      </w:r>
    </w:p>
    <w:p>
      <w:pPr>
        <w:adjustRightInd w:val="0"/>
        <w:snapToGrid w:val="0"/>
        <w:spacing w:beforeLines="0" w:after="0" w:afterLines="0" w:line="360" w:lineRule="auto"/>
        <w:ind w:firstLine="480" w:firstLineChars="200"/>
        <w:rPr>
          <w:rStyle w:val="39"/>
          <w:rFonts w:hint="eastAsia" w:ascii="宋体" w:hAnsi="宋体" w:eastAsia="宋体" w:cs="宋体"/>
          <w:color w:val="auto"/>
          <w:sz w:val="24"/>
          <w:szCs w:val="24"/>
        </w:rPr>
      </w:pPr>
      <w:r>
        <w:rPr>
          <w:rFonts w:hint="eastAsia" w:ascii="宋体" w:hAnsi="宋体" w:eastAsia="宋体" w:cs="宋体"/>
          <w:color w:val="auto"/>
          <w:sz w:val="24"/>
          <w:szCs w:val="24"/>
        </w:rPr>
        <w:t>11.1 本合同价款采用</w:t>
      </w:r>
      <w:r>
        <w:rPr>
          <w:rFonts w:hint="eastAsia" w:ascii="宋体" w:hAnsi="宋体" w:eastAsia="宋体" w:cs="宋体"/>
          <w:color w:val="FF0000"/>
          <w:sz w:val="24"/>
          <w:szCs w:val="24"/>
          <w:u w:val="single"/>
        </w:rPr>
        <w:t xml:space="preserve"> (1)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方式确定。</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风险费用的计算方法：以上风险费用已在投标报价时考虑，除合同中另有约定外不再另行计取。</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风险范围以外合同价款调整方法：</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color w:val="auto"/>
          <w:sz w:val="24"/>
          <w:szCs w:val="24"/>
        </w:rPr>
        <w:t>①</w:t>
      </w:r>
      <w:r>
        <w:rPr>
          <w:rFonts w:hint="eastAsia" w:ascii="宋体" w:hAnsi="宋体" w:eastAsia="宋体" w:cs="宋体"/>
          <w:sz w:val="24"/>
          <w:szCs w:val="24"/>
        </w:rPr>
        <w:t>工程量确定原则：分部分项工程量</w:t>
      </w:r>
      <w:r>
        <w:rPr>
          <w:rFonts w:hint="eastAsia" w:ascii="宋体" w:hAnsi="宋体" w:eastAsia="宋体" w:cs="宋体"/>
          <w:color w:val="auto"/>
          <w:sz w:val="24"/>
          <w:szCs w:val="24"/>
        </w:rPr>
        <w:t>由项目经理与承包人进行现场计量确认，并如实填报计量资料。</w:t>
      </w:r>
    </w:p>
    <w:p>
      <w:pPr>
        <w:numPr>
          <w:ilvl w:val="0"/>
          <w:numId w:val="0"/>
        </w:num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auto"/>
          <w:sz w:val="24"/>
          <w:szCs w:val="24"/>
        </w:rPr>
        <w:t>②</w:t>
      </w:r>
      <w:r>
        <w:rPr>
          <w:rFonts w:hint="eastAsia" w:ascii="宋体" w:hAnsi="宋体" w:eastAsia="宋体" w:cs="宋体"/>
          <w:sz w:val="24"/>
          <w:szCs w:val="24"/>
        </w:rPr>
        <w:t>单价的确定原则</w:t>
      </w:r>
      <w:r>
        <w:rPr>
          <w:rFonts w:hint="eastAsia" w:ascii="宋体" w:hAnsi="宋体" w:eastAsia="宋体" w:cs="宋体"/>
          <w:color w:val="auto"/>
          <w:sz w:val="24"/>
          <w:szCs w:val="24"/>
        </w:rPr>
        <w:t>：</w:t>
      </w:r>
      <w:r>
        <w:rPr>
          <w:rFonts w:hint="eastAsia" w:ascii="宋体" w:hAnsi="宋体" w:eastAsia="宋体" w:cs="宋体"/>
          <w:sz w:val="24"/>
          <w:szCs w:val="24"/>
        </w:rPr>
        <w:t>投标书中有相同子目的，按相同子目的价格调整；有相似子目的，按相似子目换算后的价格调整</w:t>
      </w:r>
      <w:r>
        <w:rPr>
          <w:rFonts w:hint="eastAsia" w:ascii="宋体" w:hAnsi="宋体" w:eastAsia="宋体" w:cs="宋体"/>
          <w:color w:val="auto"/>
          <w:sz w:val="24"/>
          <w:szCs w:val="24"/>
        </w:rPr>
        <w:t>（相似子目由甲方认定）</w:t>
      </w:r>
      <w:r>
        <w:rPr>
          <w:rFonts w:hint="eastAsia" w:ascii="宋体" w:hAnsi="宋体" w:eastAsia="宋体" w:cs="宋体"/>
          <w:sz w:val="24"/>
          <w:szCs w:val="24"/>
        </w:rPr>
        <w:t>；原投标书无相同或相似子目时</w:t>
      </w:r>
      <w:r>
        <w:rPr>
          <w:rFonts w:hint="eastAsia" w:ascii="宋体" w:hAnsi="宋体" w:eastAsia="宋体" w:cs="宋体"/>
          <w:color w:val="FF0000"/>
          <w:sz w:val="24"/>
          <w:szCs w:val="24"/>
        </w:rPr>
        <w:t>，根据项目性质</w:t>
      </w:r>
      <w:r>
        <w:rPr>
          <w:rFonts w:hint="eastAsia" w:ascii="宋体" w:hAnsi="宋体" w:eastAsia="宋体" w:cs="宋体"/>
          <w:color w:val="auto"/>
          <w:sz w:val="24"/>
          <w:szCs w:val="24"/>
        </w:rPr>
        <w:t>，本项目</w:t>
      </w:r>
      <w:r>
        <w:rPr>
          <w:rFonts w:hint="eastAsia" w:ascii="宋体" w:hAnsi="宋体" w:eastAsia="宋体" w:cs="宋体"/>
          <w:color w:val="FF0000"/>
          <w:sz w:val="24"/>
          <w:szCs w:val="24"/>
        </w:rPr>
        <w:t>选择以下</w:t>
      </w:r>
      <w:r>
        <w:rPr>
          <w:rFonts w:hint="eastAsia" w:ascii="宋体" w:hAnsi="宋体" w:eastAsia="宋体" w:cs="宋体"/>
          <w:color w:val="auto"/>
          <w:sz w:val="24"/>
          <w:szCs w:val="24"/>
        </w:rPr>
        <w:t>（A/</w:t>
      </w:r>
      <w:r>
        <w:rPr>
          <w:rFonts w:hint="eastAsia" w:ascii="宋体" w:hAnsi="宋体" w:eastAsia="宋体" w:cs="宋体"/>
          <w:color w:val="FF0000"/>
          <w:sz w:val="24"/>
          <w:szCs w:val="24"/>
        </w:rPr>
        <w:t>B</w:t>
      </w:r>
      <w:r>
        <w:rPr>
          <w:rFonts w:hint="eastAsia" w:ascii="宋体" w:hAnsi="宋体" w:eastAsia="宋体" w:cs="宋体"/>
          <w:color w:val="auto"/>
          <w:sz w:val="24"/>
          <w:szCs w:val="24"/>
        </w:rPr>
        <w:t>）计价原则并结合市场行情</w:t>
      </w:r>
      <w:r>
        <w:rPr>
          <w:rFonts w:hint="eastAsia" w:ascii="宋体" w:hAnsi="宋体" w:eastAsia="宋体" w:cs="宋体"/>
          <w:sz w:val="24"/>
          <w:szCs w:val="24"/>
        </w:rPr>
        <w:t>计算</w:t>
      </w:r>
      <w:r>
        <w:rPr>
          <w:rFonts w:hint="eastAsia" w:ascii="宋体" w:hAnsi="宋体" w:eastAsia="宋体" w:cs="宋体"/>
          <w:color w:val="FF0000"/>
          <w:sz w:val="24"/>
          <w:szCs w:val="24"/>
        </w:rPr>
        <w:t>。（A/B计价原则二选一）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A计价原则：</w:t>
      </w:r>
      <w:r>
        <w:rPr>
          <w:rFonts w:hint="eastAsia" w:ascii="宋体" w:hAnsi="宋体" w:eastAsia="宋体" w:cs="宋体"/>
          <w:color w:val="FF0000"/>
          <w:sz w:val="24"/>
          <w:szCs w:val="24"/>
        </w:rPr>
        <w:t>35kv以下的架空线路、高压变配电工程、房屋装饰工程以及钢结构工程等执行《重庆市建设工程清单计价规则》（GQJJGZ-2013）、</w:t>
      </w:r>
      <w:r>
        <w:rPr>
          <w:rFonts w:hint="eastAsia" w:ascii="宋体" w:hAnsi="宋体" w:eastAsia="宋体" w:cs="宋体"/>
          <w:sz w:val="24"/>
          <w:szCs w:val="24"/>
        </w:rPr>
        <w:t>《重庆市房屋建筑与装饰工程计价定额》</w:t>
      </w:r>
      <w:r>
        <w:rPr>
          <w:rFonts w:hint="eastAsia" w:ascii="宋体" w:hAnsi="宋体" w:eastAsia="宋体" w:cs="宋体"/>
          <w:color w:val="FF0000"/>
          <w:sz w:val="24"/>
          <w:szCs w:val="24"/>
        </w:rPr>
        <w:t>（2018）、</w:t>
      </w:r>
      <w:r>
        <w:rPr>
          <w:rFonts w:hint="eastAsia" w:ascii="宋体" w:hAnsi="宋体" w:eastAsia="宋体" w:cs="宋体"/>
          <w:sz w:val="24"/>
          <w:szCs w:val="24"/>
        </w:rPr>
        <w:t>《重庆市市政工程计价定额》</w:t>
      </w:r>
      <w:r>
        <w:rPr>
          <w:rFonts w:hint="eastAsia" w:ascii="宋体" w:hAnsi="宋体" w:eastAsia="宋体" w:cs="宋体"/>
          <w:color w:val="FF0000"/>
          <w:sz w:val="24"/>
          <w:szCs w:val="24"/>
        </w:rPr>
        <w:t>（2018）</w:t>
      </w:r>
      <w:r>
        <w:rPr>
          <w:rFonts w:hint="eastAsia" w:ascii="宋体" w:hAnsi="宋体" w:eastAsia="宋体" w:cs="宋体"/>
          <w:sz w:val="24"/>
          <w:szCs w:val="24"/>
        </w:rPr>
        <w:t>、《重庆市</w:t>
      </w:r>
      <w:r>
        <w:rPr>
          <w:rFonts w:hint="eastAsia" w:ascii="宋体" w:hAnsi="宋体" w:eastAsia="宋体" w:cs="宋体"/>
          <w:color w:val="FF0000"/>
          <w:sz w:val="24"/>
          <w:szCs w:val="24"/>
        </w:rPr>
        <w:t>通用安装</w:t>
      </w:r>
      <w:r>
        <w:rPr>
          <w:rFonts w:hint="eastAsia" w:ascii="宋体" w:hAnsi="宋体" w:eastAsia="宋体" w:cs="宋体"/>
          <w:sz w:val="24"/>
          <w:szCs w:val="24"/>
        </w:rPr>
        <w:t>工程计价定额》</w:t>
      </w:r>
      <w:r>
        <w:rPr>
          <w:rFonts w:hint="eastAsia" w:ascii="宋体" w:hAnsi="宋体" w:eastAsia="宋体" w:cs="宋体"/>
          <w:color w:val="FF0000"/>
          <w:sz w:val="24"/>
          <w:szCs w:val="24"/>
        </w:rPr>
        <w:t>（2018）</w:t>
      </w:r>
      <w:r>
        <w:rPr>
          <w:rFonts w:hint="eastAsia" w:ascii="宋体" w:hAnsi="宋体" w:eastAsia="宋体" w:cs="宋体"/>
          <w:sz w:val="24"/>
          <w:szCs w:val="24"/>
        </w:rPr>
        <w:t>、《重庆市</w:t>
      </w:r>
      <w:r>
        <w:rPr>
          <w:rFonts w:hint="eastAsia" w:ascii="宋体" w:hAnsi="宋体" w:eastAsia="宋体" w:cs="宋体"/>
          <w:color w:val="FF0000"/>
          <w:sz w:val="24"/>
          <w:szCs w:val="24"/>
        </w:rPr>
        <w:t>建设</w:t>
      </w:r>
      <w:r>
        <w:rPr>
          <w:rFonts w:hint="eastAsia" w:ascii="宋体" w:hAnsi="宋体" w:eastAsia="宋体" w:cs="宋体"/>
          <w:sz w:val="24"/>
          <w:szCs w:val="24"/>
        </w:rPr>
        <w:t>工程</w:t>
      </w:r>
      <w:r>
        <w:rPr>
          <w:rFonts w:hint="eastAsia" w:ascii="宋体" w:hAnsi="宋体" w:eastAsia="宋体" w:cs="宋体"/>
          <w:color w:val="FF0000"/>
          <w:sz w:val="24"/>
          <w:szCs w:val="24"/>
        </w:rPr>
        <w:t>费用</w:t>
      </w:r>
      <w:r>
        <w:rPr>
          <w:rFonts w:hint="eastAsia" w:ascii="宋体" w:hAnsi="宋体" w:eastAsia="宋体" w:cs="宋体"/>
          <w:sz w:val="24"/>
          <w:szCs w:val="24"/>
        </w:rPr>
        <w:t>定额》</w:t>
      </w:r>
      <w:r>
        <w:rPr>
          <w:rFonts w:hint="eastAsia" w:ascii="宋体" w:hAnsi="宋体" w:eastAsia="宋体" w:cs="宋体"/>
          <w:color w:val="FF0000"/>
          <w:sz w:val="24"/>
          <w:szCs w:val="24"/>
        </w:rPr>
        <w:t>（2018）</w:t>
      </w:r>
      <w:r>
        <w:rPr>
          <w:rFonts w:hint="eastAsia" w:ascii="宋体" w:hAnsi="宋体" w:eastAsia="宋体" w:cs="宋体"/>
          <w:sz w:val="24"/>
          <w:szCs w:val="24"/>
        </w:rPr>
        <w:t>、《重庆市房屋修缮工程计价定额》</w:t>
      </w:r>
      <w:r>
        <w:rPr>
          <w:rFonts w:hint="eastAsia" w:ascii="宋体" w:hAnsi="宋体" w:eastAsia="宋体" w:cs="宋体"/>
          <w:color w:val="FF0000"/>
          <w:sz w:val="24"/>
          <w:szCs w:val="24"/>
        </w:rPr>
        <w:t>2018年</w:t>
      </w:r>
      <w:r>
        <w:rPr>
          <w:rFonts w:hint="eastAsia" w:ascii="宋体" w:hAnsi="宋体" w:eastAsia="宋体" w:cs="宋体"/>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人工单价：按合同签订当月重庆市建设工程造价管理总站发布《重庆工程造价信息》的人工信息价计算。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材料价：按合同签订当月《重庆工程造价信息》中的材料价格进行计算，如遇信息价中没有的价格，由发包人核定。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安全文明施工费：按计价原则据实结算。</w:t>
      </w:r>
    </w:p>
    <w:p>
      <w:pPr>
        <w:adjustRightInd w:val="0"/>
        <w:snapToGrid w:val="0"/>
        <w:spacing w:beforeLines="0" w:afterLines="0" w:line="360" w:lineRule="auto"/>
        <w:ind w:firstLine="480" w:firstLineChars="200"/>
        <w:jc w:val="left"/>
        <w:rPr>
          <w:rFonts w:hint="eastAsia" w:ascii="宋体" w:hAnsi="宋体" w:eastAsia="宋体" w:cs="宋体"/>
          <w:b/>
          <w:color w:val="FF0000"/>
          <w:kern w:val="0"/>
          <w:sz w:val="24"/>
          <w:szCs w:val="24"/>
        </w:rPr>
      </w:pPr>
      <w:r>
        <w:rPr>
          <w:rFonts w:hint="eastAsia" w:ascii="宋体" w:hAnsi="宋体" w:eastAsia="宋体" w:cs="宋体"/>
          <w:color w:val="auto"/>
          <w:sz w:val="24"/>
          <w:szCs w:val="24"/>
        </w:rPr>
        <w:t xml:space="preserve">措施费：包干计取（按实结算）。   </w:t>
      </w:r>
      <w:r>
        <w:rPr>
          <w:rFonts w:hint="eastAsia" w:ascii="宋体" w:hAnsi="宋体" w:eastAsia="宋体" w:cs="宋体"/>
          <w:color w:val="FF0000"/>
          <w:sz w:val="24"/>
          <w:szCs w:val="24"/>
        </w:rPr>
        <w:t>（根据项目情况二选一）</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color w:val="auto"/>
          <w:sz w:val="24"/>
          <w:szCs w:val="24"/>
        </w:rPr>
        <w:t>B计价原则：</w:t>
      </w:r>
      <w:r>
        <w:rPr>
          <w:rFonts w:hint="eastAsia" w:ascii="宋体" w:hAnsi="宋体" w:eastAsia="宋体" w:cs="宋体"/>
          <w:sz w:val="24"/>
          <w:szCs w:val="24"/>
        </w:rPr>
        <w:t>高速公路机电工程执行《重庆市公路工程量清单及计量规范》（2016）、交通部2019年5月1日实施的《公路工程基本建项目概算预算编制方法》（JTG3830-2018）、《公路工程预算定额》（JTG/</w:t>
      </w:r>
      <w:r>
        <w:rPr>
          <w:rFonts w:hint="eastAsia" w:ascii="宋体" w:hAnsi="宋体" w:eastAsia="宋体" w:cs="宋体"/>
          <w:color w:val="FF0000"/>
          <w:sz w:val="24"/>
          <w:szCs w:val="24"/>
        </w:rPr>
        <w:t>T</w:t>
      </w:r>
      <w:r>
        <w:rPr>
          <w:rFonts w:hint="eastAsia" w:ascii="宋体" w:hAnsi="宋体" w:eastAsia="宋体" w:cs="宋体"/>
          <w:sz w:val="24"/>
          <w:szCs w:val="24"/>
        </w:rPr>
        <w:t>3831-2018）</w:t>
      </w:r>
      <w:r>
        <w:rPr>
          <w:rFonts w:hint="eastAsia" w:ascii="宋体" w:hAnsi="宋体" w:eastAsia="宋体" w:cs="宋体"/>
          <w:color w:val="FF0000"/>
          <w:sz w:val="24"/>
          <w:szCs w:val="24"/>
        </w:rPr>
        <w:t>、《公路工程机械台班费用定额》（JTG/T3833-2018）、重庆市交通委员会关于执行交通部《公路工程基本建设项目概算预算编制方法》（JTG3830-2018）的通知（渝交委路[2019]29号文）及相关配套文件。</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sz w:val="24"/>
          <w:szCs w:val="24"/>
        </w:rPr>
        <w:t>人工单价</w:t>
      </w:r>
      <w:r>
        <w:rPr>
          <w:rFonts w:hint="eastAsia" w:ascii="宋体" w:hAnsi="宋体" w:eastAsia="宋体" w:cs="宋体"/>
          <w:color w:val="auto"/>
          <w:sz w:val="24"/>
          <w:szCs w:val="24"/>
        </w:rPr>
        <w:t>：按</w:t>
      </w:r>
      <w:r>
        <w:rPr>
          <w:rFonts w:hint="eastAsia" w:ascii="宋体" w:hAnsi="宋体" w:eastAsia="宋体" w:cs="宋体"/>
          <w:color w:val="000000"/>
          <w:sz w:val="24"/>
          <w:szCs w:val="24"/>
        </w:rPr>
        <w:t>《重庆市交通局关于发布重庆市公路工程补充性造价依据（2019-1）的通知》（渝交路</w:t>
      </w:r>
      <w:r>
        <w:rPr>
          <w:rFonts w:hint="eastAsia" w:ascii="宋体" w:hAnsi="宋体" w:eastAsia="宋体" w:cs="宋体"/>
          <w:color w:val="auto"/>
          <w:sz w:val="24"/>
          <w:szCs w:val="24"/>
        </w:rPr>
        <w:t>[</w:t>
      </w:r>
      <w:r>
        <w:rPr>
          <w:rFonts w:hint="eastAsia" w:ascii="宋体" w:hAnsi="宋体" w:eastAsia="宋体" w:cs="宋体"/>
          <w:color w:val="000000"/>
          <w:sz w:val="24"/>
          <w:szCs w:val="24"/>
        </w:rPr>
        <w:t>2019</w:t>
      </w:r>
      <w:r>
        <w:rPr>
          <w:rFonts w:hint="eastAsia" w:ascii="宋体" w:hAnsi="宋体" w:eastAsia="宋体" w:cs="宋体"/>
          <w:color w:val="auto"/>
          <w:sz w:val="24"/>
          <w:szCs w:val="24"/>
        </w:rPr>
        <w:t>]</w:t>
      </w:r>
      <w:r>
        <w:rPr>
          <w:rFonts w:hint="eastAsia" w:ascii="宋体" w:hAnsi="宋体" w:eastAsia="宋体" w:cs="宋体"/>
          <w:color w:val="000000"/>
          <w:sz w:val="24"/>
          <w:szCs w:val="24"/>
        </w:rPr>
        <w:t>29号）文件规定，人工费按101元/工日计算</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sz w:val="24"/>
          <w:szCs w:val="24"/>
        </w:rPr>
        <w:t>材料价</w:t>
      </w:r>
      <w:r>
        <w:rPr>
          <w:rFonts w:hint="eastAsia" w:ascii="宋体" w:hAnsi="宋体" w:eastAsia="宋体" w:cs="宋体"/>
          <w:color w:val="auto"/>
          <w:sz w:val="24"/>
          <w:szCs w:val="24"/>
        </w:rPr>
        <w:t>：</w:t>
      </w:r>
      <w:r>
        <w:rPr>
          <w:rFonts w:hint="eastAsia" w:ascii="宋体" w:hAnsi="宋体" w:eastAsia="宋体" w:cs="宋体"/>
          <w:sz w:val="24"/>
          <w:szCs w:val="24"/>
        </w:rPr>
        <w:t>按</w:t>
      </w:r>
      <w:r>
        <w:rPr>
          <w:rFonts w:hint="eastAsia" w:ascii="宋体" w:hAnsi="宋体" w:eastAsia="宋体" w:cs="宋体"/>
          <w:color w:val="auto"/>
          <w:sz w:val="24"/>
          <w:szCs w:val="24"/>
        </w:rPr>
        <w:t>合</w:t>
      </w:r>
      <w:r>
        <w:rPr>
          <w:rFonts w:hint="eastAsia" w:ascii="宋体" w:hAnsi="宋体" w:eastAsia="宋体" w:cs="宋体"/>
          <w:color w:val="FF0000"/>
          <w:sz w:val="24"/>
          <w:szCs w:val="24"/>
        </w:rPr>
        <w:t>同签订当月</w:t>
      </w:r>
      <w:r>
        <w:rPr>
          <w:rFonts w:hint="eastAsia" w:ascii="宋体" w:hAnsi="宋体" w:eastAsia="宋体" w:cs="宋体"/>
          <w:sz w:val="24"/>
          <w:szCs w:val="24"/>
        </w:rPr>
        <w:t>《重庆交通工程材料造价信息》</w:t>
      </w:r>
      <w:r>
        <w:rPr>
          <w:rFonts w:hint="eastAsia" w:ascii="宋体" w:hAnsi="宋体" w:eastAsia="宋体" w:cs="宋体"/>
          <w:color w:val="auto"/>
          <w:sz w:val="24"/>
          <w:szCs w:val="24"/>
        </w:rPr>
        <w:t>中</w:t>
      </w:r>
      <w:r>
        <w:rPr>
          <w:rFonts w:hint="eastAsia" w:ascii="宋体" w:hAnsi="宋体" w:eastAsia="宋体" w:cs="宋体"/>
          <w:sz w:val="24"/>
          <w:szCs w:val="24"/>
        </w:rPr>
        <w:t>的材料价格进行</w:t>
      </w:r>
      <w:r>
        <w:rPr>
          <w:rFonts w:hint="eastAsia" w:ascii="宋体" w:hAnsi="宋体" w:eastAsia="宋体" w:cs="宋体"/>
          <w:color w:val="FF0000"/>
          <w:sz w:val="24"/>
          <w:szCs w:val="24"/>
        </w:rPr>
        <w:t>计算</w:t>
      </w:r>
      <w:r>
        <w:rPr>
          <w:rFonts w:hint="eastAsia" w:ascii="宋体" w:hAnsi="宋体" w:eastAsia="宋体" w:cs="宋体"/>
          <w:color w:val="auto"/>
          <w:sz w:val="24"/>
          <w:szCs w:val="24"/>
        </w:rPr>
        <w:t>，没有的参照当月《重庆工程造价信息》计算</w:t>
      </w:r>
      <w:r>
        <w:rPr>
          <w:rFonts w:hint="eastAsia" w:ascii="宋体" w:hAnsi="宋体" w:eastAsia="宋体" w:cs="宋体"/>
          <w:sz w:val="24"/>
          <w:szCs w:val="24"/>
        </w:rPr>
        <w:t>，</w:t>
      </w:r>
      <w:r>
        <w:rPr>
          <w:rFonts w:hint="eastAsia" w:ascii="宋体" w:hAnsi="宋体" w:eastAsia="宋体" w:cs="宋体"/>
          <w:color w:val="auto"/>
          <w:sz w:val="24"/>
          <w:szCs w:val="24"/>
        </w:rPr>
        <w:t>如遇</w:t>
      </w:r>
      <w:r>
        <w:rPr>
          <w:rFonts w:hint="eastAsia" w:ascii="宋体" w:hAnsi="宋体" w:eastAsia="宋体" w:cs="宋体"/>
          <w:sz w:val="24"/>
          <w:szCs w:val="24"/>
        </w:rPr>
        <w:t>信息价</w:t>
      </w:r>
      <w:r>
        <w:rPr>
          <w:rFonts w:hint="eastAsia" w:ascii="宋体" w:hAnsi="宋体" w:eastAsia="宋体" w:cs="宋体"/>
          <w:color w:val="auto"/>
          <w:sz w:val="24"/>
          <w:szCs w:val="24"/>
        </w:rPr>
        <w:t>中没有的价格，由发包人核定</w:t>
      </w:r>
      <w:r>
        <w:rPr>
          <w:rFonts w:hint="eastAsia" w:ascii="宋体" w:hAnsi="宋体" w:eastAsia="宋体" w:cs="宋体"/>
          <w:sz w:val="24"/>
          <w:szCs w:val="24"/>
        </w:rPr>
        <w:t>；</w:t>
      </w:r>
    </w:p>
    <w:p>
      <w:pPr>
        <w:adjustRightInd w:val="0"/>
        <w:snapToGrid w:val="0"/>
        <w:spacing w:beforeLines="0" w:afterLines="0" w:line="360" w:lineRule="auto"/>
        <w:jc w:val="left"/>
        <w:rPr>
          <w:rFonts w:hint="eastAsia" w:ascii="宋体" w:hAnsi="宋体" w:eastAsia="宋体" w:cs="宋体"/>
          <w:sz w:val="24"/>
          <w:szCs w:val="24"/>
        </w:rPr>
      </w:pPr>
      <w:r>
        <w:rPr>
          <w:rFonts w:hint="eastAsia" w:ascii="宋体" w:hAnsi="宋体" w:eastAsia="宋体" w:cs="宋体"/>
          <w:color w:val="auto"/>
          <w:sz w:val="24"/>
          <w:szCs w:val="24"/>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安全生产费按实结算。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措施费：包干计取（按实结算）。</w:t>
      </w:r>
      <w:r>
        <w:rPr>
          <w:rFonts w:hint="eastAsia" w:ascii="宋体" w:hAnsi="宋体" w:eastAsia="宋体" w:cs="宋体"/>
          <w:color w:val="FF0000"/>
          <w:sz w:val="24"/>
          <w:szCs w:val="24"/>
        </w:rPr>
        <w:t>（根据项目情况二选一）</w:t>
      </w:r>
      <w:r>
        <w:rPr>
          <w:rFonts w:hint="eastAsia" w:ascii="宋体" w:hAnsi="宋体" w:eastAsia="宋体" w:cs="宋体"/>
          <w:color w:val="auto"/>
          <w:sz w:val="24"/>
          <w:szCs w:val="24"/>
        </w:rPr>
        <w:t>如有交通组织措施费发生，实施单位需提供交通组织措施相关资料，如锥标摆放长度、次数、交通管制方式（占道/封道），现场负责人签字确认、交通组织现场照片等。</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③在合同实施工程中，当单项工程量变化时，应先按《首讯公司工程变更及计量支付管理细则》规定进行合同变更流程或签订补充合同后据实结算。</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color w:val="auto"/>
          <w:sz w:val="24"/>
          <w:szCs w:val="24"/>
        </w:rPr>
        <w:t>在借用相似清单（主要为材料的规格、型号等发生变化），发包人认为相似清单综合单价存在明显不合理报价时，发包人有权对新增清单项综合单价进行重新审核，审核办法按照第2）条执行。</w:t>
      </w:r>
    </w:p>
    <w:p>
      <w:pPr>
        <w:pStyle w:val="6"/>
        <w:numPr>
          <w:ilvl w:val="0"/>
          <w:numId w:val="0"/>
        </w:numPr>
        <w:adjustRightInd w:val="0"/>
        <w:snapToGrid w:val="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备注：外省项目根据当地相关文件进行调整。</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预付款</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无</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工程进度款支付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承包人提交专项安全防护措施及施工方案后，经业主、监理人（如有）、发包人批准通过，按以下方式支付乙方的对应款项：</w:t>
      </w:r>
    </w:p>
    <w:p>
      <w:pPr>
        <w:adjustRightInd w:val="0"/>
        <w:snapToGrid w:val="0"/>
        <w:spacing w:beforeLines="0" w:afterLines="0" w:line="360" w:lineRule="auto"/>
        <w:ind w:firstLine="580" w:firstLineChars="24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（1）工程费用：</w:t>
      </w:r>
    </w:p>
    <w:p>
      <w:pPr>
        <w:adjustRightInd w:val="0"/>
        <w:snapToGrid w:val="0"/>
        <w:spacing w:beforeLines="0" w:afterLines="0" w:line="360" w:lineRule="auto"/>
        <w:ind w:firstLine="580" w:firstLineChars="242"/>
        <w:jc w:val="left"/>
        <w:rPr>
          <w:rFonts w:hint="eastAsia" w:ascii="宋体" w:hAnsi="宋体" w:eastAsia="宋体" w:cs="宋体"/>
          <w:color w:val="000000"/>
          <w:sz w:val="24"/>
          <w:szCs w:val="24"/>
        </w:rPr>
      </w:pPr>
      <w:r>
        <w:rPr>
          <w:rFonts w:hint="eastAsia" w:ascii="宋体" w:hAnsi="宋体" w:eastAsia="宋体" w:cs="宋体"/>
          <w:color w:val="auto"/>
          <w:sz w:val="24"/>
          <w:szCs w:val="24"/>
          <w:lang w:eastAsia="zh-CN"/>
        </w:rPr>
        <w:t>①</w:t>
      </w:r>
      <w:r>
        <w:rPr>
          <w:rFonts w:hint="eastAsia" w:ascii="宋体" w:hAnsi="宋体" w:eastAsia="宋体" w:cs="宋体"/>
          <w:color w:val="000000"/>
          <w:sz w:val="24"/>
          <w:szCs w:val="24"/>
        </w:rPr>
        <w:t>承包人按规定时间（明确具体周期或最低计量金额）报送进度报表至发包人审批，</w:t>
      </w:r>
      <w:r>
        <w:rPr>
          <w:rFonts w:hint="eastAsia" w:ascii="宋体" w:hAnsi="宋体" w:eastAsia="宋体" w:cs="宋体"/>
          <w:color w:val="FF0000"/>
          <w:sz w:val="24"/>
          <w:szCs w:val="24"/>
        </w:rPr>
        <w:t>发包人收到业主对应款项后</w:t>
      </w:r>
      <w:r>
        <w:rPr>
          <w:rFonts w:hint="eastAsia" w:ascii="宋体" w:hAnsi="宋体" w:eastAsia="宋体" w:cs="宋体"/>
          <w:color w:val="000000"/>
          <w:sz w:val="24"/>
          <w:szCs w:val="24"/>
        </w:rPr>
        <w:t>，经承包人应提交书面支付申请并提交相关证明资料后支付当期完工进度的70%，于次月25日前支付。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项目通车，经承包人应提交书面支付申请并经过机械完工验收合格且提供相应资料后30日内支付至已完工程量的8</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工程整体交工验收合格，</w:t>
      </w:r>
      <w:r>
        <w:rPr>
          <w:rFonts w:hint="eastAsia" w:ascii="宋体" w:hAnsi="宋体" w:eastAsia="宋体" w:cs="宋体"/>
          <w:color w:val="FF0000"/>
          <w:sz w:val="24"/>
          <w:szCs w:val="24"/>
        </w:rPr>
        <w:t>发包人收到业主对应款项后</w:t>
      </w:r>
      <w:r>
        <w:rPr>
          <w:rFonts w:hint="eastAsia" w:ascii="宋体" w:hAnsi="宋体" w:eastAsia="宋体" w:cs="宋体"/>
          <w:color w:val="000000"/>
          <w:sz w:val="24"/>
          <w:szCs w:val="24"/>
        </w:rPr>
        <w:t>，经承包人应提交书面支付申请并提交相关证明资料后60日内支付支付至合同金额的</w:t>
      </w:r>
      <w:r>
        <w:rPr>
          <w:rFonts w:hint="eastAsia" w:ascii="宋体" w:hAnsi="宋体" w:eastAsia="宋体" w:cs="宋体"/>
          <w:color w:val="FF0000"/>
          <w:sz w:val="24"/>
          <w:szCs w:val="24"/>
        </w:rPr>
        <w:t xml:space="preserve"> 97 %。</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④</w:t>
      </w:r>
      <w:r>
        <w:rPr>
          <w:rFonts w:hint="eastAsia" w:ascii="宋体" w:hAnsi="宋体" w:eastAsia="宋体" w:cs="宋体"/>
          <w:color w:val="000000"/>
          <w:sz w:val="24"/>
          <w:szCs w:val="24"/>
        </w:rPr>
        <w:t>剩余结算总额的</w:t>
      </w:r>
      <w:r>
        <w:rPr>
          <w:rFonts w:hint="eastAsia" w:ascii="宋体" w:hAnsi="宋体" w:eastAsia="宋体" w:cs="宋体"/>
          <w:color w:val="FF0000"/>
          <w:sz w:val="24"/>
          <w:szCs w:val="24"/>
        </w:rPr>
        <w:t>3%</w:t>
      </w:r>
      <w:r>
        <w:rPr>
          <w:rFonts w:hint="eastAsia" w:ascii="宋体" w:hAnsi="宋体" w:eastAsia="宋体" w:cs="宋体"/>
          <w:color w:val="000000"/>
          <w:sz w:val="24"/>
          <w:szCs w:val="24"/>
        </w:rPr>
        <w:t>为质量保证金，在缺陷责任期满并履行缺陷责任义务，</w:t>
      </w:r>
      <w:r>
        <w:rPr>
          <w:rFonts w:hint="eastAsia" w:ascii="宋体" w:hAnsi="宋体" w:eastAsia="宋体" w:cs="宋体"/>
          <w:color w:val="FF0000"/>
          <w:sz w:val="24"/>
          <w:szCs w:val="24"/>
        </w:rPr>
        <w:t>发包人收到业主对应款项后</w:t>
      </w:r>
      <w:r>
        <w:rPr>
          <w:rFonts w:hint="eastAsia" w:ascii="宋体" w:hAnsi="宋体" w:eastAsia="宋体" w:cs="宋体"/>
          <w:color w:val="000000"/>
          <w:sz w:val="24"/>
          <w:szCs w:val="24"/>
        </w:rPr>
        <w:t>，经承包人提出书面申请及相关证明资料后30日内支付。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（2）安全生产费：合同签订完成一个月内向乙方支付至少50%安全生产费用。安全生产费按实结算，工程竣工结算后结余的安全生产费用，应当退回甲方。</w:t>
      </w:r>
    </w:p>
    <w:p>
      <w:pPr>
        <w:adjustRightInd w:val="0"/>
        <w:snapToGrid w:val="0"/>
        <w:spacing w:beforeLines="0" w:afterLines="0"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设备费用：①货到工地验收合格后3个月内支付到货金额的60%；②项目交工验收合格并收到业主签发的交工证书后甲方支付至到货货物总价的95%；③余下的5%待交工证书签发后根据承诺的质保期限，每满一年按质保年限对应比例支付一年。</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 农民工工资的支付</w:t>
      </w:r>
    </w:p>
    <w:p>
      <w:pPr>
        <w:pStyle w:val="2"/>
        <w:adjustRightInd w:val="0"/>
        <w:snapToGrid w:val="0"/>
        <w:spacing w:beforeLines="0" w:after="0" w:afterLines="0" w:line="360" w:lineRule="auto"/>
        <w:ind w:firstLine="480" w:firstLineChars="200"/>
        <w:rPr>
          <w:rFonts w:hint="eastAsia" w:ascii="宋体" w:hAnsi="宋体" w:eastAsia="宋体" w:cs="宋体"/>
          <w:color w:val="000000"/>
          <w:sz w:val="24"/>
          <w:szCs w:val="24"/>
          <w:lang w:bidi="ar-SA"/>
        </w:rPr>
      </w:pPr>
      <w:r>
        <w:rPr>
          <w:rFonts w:hint="eastAsia" w:ascii="宋体" w:hAnsi="宋体" w:eastAsia="宋体" w:cs="宋体"/>
          <w:color w:val="000000"/>
          <w:sz w:val="24"/>
          <w:szCs w:val="24"/>
          <w:lang w:bidi="ar-SA"/>
        </w:rPr>
        <w:t>农民工工资由发包人代为支付，发包人支付的农民工工资从承包人的进度款中扣除。</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12. 验收和工程调试</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 交（竣）工验收</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12.1.1移交、接收全部与部分工程</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FF0000"/>
          <w:sz w:val="24"/>
          <w:szCs w:val="24"/>
          <w:u w:val="single"/>
        </w:rPr>
        <w:t>交（竣）工验收后14日内</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FF0000"/>
          <w:sz w:val="24"/>
          <w:szCs w:val="24"/>
          <w:u w:val="single"/>
        </w:rPr>
        <w:t>每逾期一日，支付合同总价款1%的违约金，逾期交工违约金限额：合同金额的30%。</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 工程调试</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12.2.1 调试程序</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工程调试内容：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调试费用由</w:t>
      </w:r>
      <w:r>
        <w:rPr>
          <w:rFonts w:hint="eastAsia" w:ascii="宋体" w:hAnsi="宋体" w:eastAsia="宋体" w:cs="宋体"/>
          <w:color w:val="FF0000"/>
          <w:sz w:val="24"/>
          <w:szCs w:val="24"/>
          <w:u w:val="single"/>
        </w:rPr>
        <w:t>承包人</w:t>
      </w:r>
      <w:r>
        <w:rPr>
          <w:rFonts w:hint="eastAsia" w:ascii="宋体" w:hAnsi="宋体" w:eastAsia="宋体" w:cs="宋体"/>
          <w:color w:val="000000"/>
          <w:kern w:val="0"/>
          <w:sz w:val="24"/>
          <w:szCs w:val="24"/>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07" w:name="_Toc6341"/>
      <w:bookmarkStart w:id="308" w:name="_Toc372"/>
      <w:bookmarkStart w:id="309" w:name="_Toc23338"/>
      <w:r>
        <w:rPr>
          <w:rFonts w:hint="eastAsia" w:ascii="宋体" w:hAnsi="宋体" w:eastAsia="宋体" w:cs="宋体"/>
          <w:color w:val="000000"/>
          <w:sz w:val="24"/>
          <w:szCs w:val="24"/>
        </w:rPr>
        <w:t>12.4 竣工退场</w:t>
      </w:r>
      <w:bookmarkEnd w:id="307"/>
      <w:bookmarkEnd w:id="308"/>
      <w:bookmarkEnd w:id="309"/>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12.4.1 竣工退场</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13. 竣工结算</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竣工结算申请</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FF0000"/>
          <w:sz w:val="24"/>
          <w:szCs w:val="24"/>
          <w:u w:val="single"/>
        </w:rPr>
        <w:t>竣工验收后14日内</w:t>
      </w:r>
      <w:r>
        <w:rPr>
          <w:rFonts w:hint="eastAsia" w:ascii="宋体" w:hAnsi="宋体" w:eastAsia="宋体" w:cs="宋体"/>
          <w:color w:val="00000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13.2缺陷责任期</w:t>
      </w:r>
    </w:p>
    <w:p>
      <w:pPr>
        <w:adjustRightInd w:val="0"/>
        <w:snapToGrid w:val="0"/>
        <w:spacing w:beforeLines="0" w:afterLines="0"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13.2.1 缺陷责任</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工程缺陷责任期为2年</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13.3.2 修复通知</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承包人收到通知应在10日内到达工程现场进行修复。</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13.3质量保修期</w:t>
      </w:r>
    </w:p>
    <w:p>
      <w:pPr>
        <w:adjustRightInd w:val="0"/>
        <w:snapToGrid w:val="0"/>
        <w:spacing w:beforeLines="0" w:afterLines="0"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13.3.1 保修责任</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质量保修期为5年</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13.3.2 保修通知</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承包人收到通知应在10日内到达工程现场进行维修。</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14. 违约</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10" w:name="_Toc18116"/>
      <w:bookmarkStart w:id="311" w:name="_Toc10321"/>
      <w:bookmarkStart w:id="312" w:name="_Toc3740"/>
      <w:r>
        <w:rPr>
          <w:rFonts w:hint="eastAsia" w:ascii="宋体" w:hAnsi="宋体" w:eastAsia="宋体" w:cs="宋体"/>
          <w:color w:val="000000"/>
          <w:sz w:val="24"/>
          <w:szCs w:val="24"/>
        </w:rPr>
        <w:t>14.1 发包人违约</w:t>
      </w:r>
      <w:bookmarkEnd w:id="310"/>
      <w:bookmarkEnd w:id="311"/>
      <w:bookmarkEnd w:id="312"/>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14.1.1发包人违约的情形</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13" w:name="_Toc17528"/>
      <w:bookmarkStart w:id="314" w:name="_Toc24004"/>
      <w:bookmarkStart w:id="315" w:name="_Toc19923"/>
      <w:r>
        <w:rPr>
          <w:rFonts w:hint="eastAsia" w:ascii="宋体" w:hAnsi="宋体" w:eastAsia="宋体" w:cs="宋体"/>
          <w:color w:val="000000"/>
          <w:kern w:val="0"/>
          <w:sz w:val="24"/>
          <w:szCs w:val="24"/>
        </w:rPr>
        <w:t>在承包人按约定履行所有相应义务后仍不支付合同款项。</w:t>
      </w:r>
      <w:bookmarkEnd w:id="313"/>
      <w:bookmarkEnd w:id="314"/>
      <w:bookmarkEnd w:id="315"/>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16" w:name="_Toc29309"/>
      <w:bookmarkStart w:id="317" w:name="_Toc24609"/>
      <w:bookmarkStart w:id="318" w:name="_Toc19594"/>
      <w:r>
        <w:rPr>
          <w:rFonts w:hint="eastAsia" w:ascii="宋体" w:hAnsi="宋体" w:eastAsia="宋体" w:cs="宋体"/>
          <w:color w:val="000000"/>
          <w:sz w:val="24"/>
          <w:szCs w:val="24"/>
        </w:rPr>
        <w:t>14.2 承包人违约</w:t>
      </w:r>
      <w:bookmarkEnd w:id="316"/>
      <w:bookmarkEnd w:id="317"/>
      <w:bookmarkEnd w:id="318"/>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14.2.1 承包人违约的情形</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不服从业主、监理人（如有）、发包人的管理，不履行合同约定的义务。</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14.2.2承包人违约的责任</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w:t>
      </w:r>
      <w:r>
        <w:rPr>
          <w:rFonts w:hint="eastAsia" w:ascii="宋体" w:hAnsi="宋体" w:eastAsia="宋体" w:cs="宋体"/>
          <w:color w:val="FF0000"/>
          <w:kern w:val="0"/>
          <w:sz w:val="24"/>
          <w:szCs w:val="24"/>
          <w:u w:val="single"/>
        </w:rPr>
        <w:t>承包人应在收到发包人提出的支付违约金通知后14日内将相应违约金付至发包人指定账户</w:t>
      </w:r>
      <w:r>
        <w:rPr>
          <w:rFonts w:hint="eastAsia" w:ascii="宋体" w:hAnsi="宋体" w:eastAsia="宋体" w:cs="宋体"/>
          <w:color w:val="000000"/>
          <w:kern w:val="0"/>
          <w:sz w:val="24"/>
          <w:szCs w:val="24"/>
          <w:u w:val="single"/>
        </w:rPr>
        <w:t>。</w:t>
      </w:r>
    </w:p>
    <w:p>
      <w:pPr>
        <w:keepNext/>
        <w:keepLines/>
        <w:wordWrap w:val="0"/>
        <w:spacing w:beforeLines="0" w:afterLines="0" w:line="360" w:lineRule="auto"/>
        <w:ind w:firstLine="480" w:firstLineChars="2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15. 争议解决</w:t>
      </w:r>
    </w:p>
    <w:p>
      <w:pPr>
        <w:keepNext/>
        <w:keepLines/>
        <w:wordWrap w:val="0"/>
        <w:adjustRightInd w:val="0"/>
        <w:snapToGrid w:val="0"/>
        <w:spacing w:beforeLines="0" w:after="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因合同及合同有关事项发生的争议，双方应当先进行协商，协商不成按下列第</w:t>
      </w:r>
      <w:r>
        <w:rPr>
          <w:rFonts w:hint="eastAsia" w:ascii="宋体" w:hAnsi="宋体" w:eastAsia="宋体" w:cs="宋体"/>
          <w:color w:val="000000"/>
          <w:kern w:val="0"/>
          <w:sz w:val="24"/>
          <w:szCs w:val="24"/>
          <w:u w:val="none"/>
        </w:rPr>
        <w:t xml:space="preserve">   (1)  </w:t>
      </w:r>
      <w:r>
        <w:rPr>
          <w:rFonts w:hint="eastAsia" w:ascii="宋体" w:hAnsi="宋体" w:eastAsia="宋体" w:cs="宋体"/>
          <w:color w:val="000000"/>
          <w:sz w:val="24"/>
          <w:szCs w:val="24"/>
        </w:rPr>
        <w:t>种方式解决：</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FF0000"/>
          <w:sz w:val="24"/>
          <w:szCs w:val="24"/>
          <w:u w:val="single"/>
        </w:rPr>
        <w:t>重庆</w:t>
      </w:r>
      <w:r>
        <w:rPr>
          <w:rFonts w:hint="eastAsia" w:ascii="宋体" w:hAnsi="宋体" w:eastAsia="宋体" w:cs="宋体"/>
          <w:color w:val="000000"/>
          <w:sz w:val="24"/>
          <w:szCs w:val="24"/>
        </w:rPr>
        <w:t>仲裁委员会申请仲裁；</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（2）向</w:t>
      </w:r>
      <w:r>
        <w:rPr>
          <w:rFonts w:hint="eastAsia" w:ascii="宋体" w:hAnsi="宋体" w:eastAsia="宋体" w:cs="宋体"/>
          <w:color w:val="FF0000"/>
          <w:sz w:val="24"/>
          <w:szCs w:val="24"/>
          <w:u w:val="single"/>
        </w:rPr>
        <w:t>工程所在地</w:t>
      </w:r>
      <w:r>
        <w:rPr>
          <w:rFonts w:hint="eastAsia" w:ascii="宋体" w:hAnsi="宋体" w:eastAsia="宋体" w:cs="宋体"/>
          <w:color w:val="000000"/>
          <w:sz w:val="24"/>
          <w:szCs w:val="24"/>
        </w:rPr>
        <w:t>人民法院起诉。</w:t>
      </w:r>
      <w:bookmarkEnd w:id="273"/>
    </w:p>
    <w:p>
      <w:pPr>
        <w:adjustRightInd w:val="0"/>
        <w:snapToGrid w:val="0"/>
        <w:spacing w:beforeLines="0" w:afterLines="0" w:line="360" w:lineRule="auto"/>
        <w:jc w:val="left"/>
        <w:rPr>
          <w:rFonts w:hint="eastAsia" w:ascii="宋体" w:hAnsi="宋体" w:eastAsia="宋体" w:cs="宋体"/>
          <w:b/>
          <w:color w:val="000000"/>
          <w:sz w:val="32"/>
          <w:szCs w:val="32"/>
          <w:highlight w:val="none"/>
        </w:rPr>
      </w:pPr>
      <w:r>
        <w:rPr>
          <w:rFonts w:hint="eastAsia" w:ascii="宋体" w:hAnsi="宋体" w:eastAsia="宋体" w:cs="宋体"/>
          <w:color w:val="000000"/>
          <w:sz w:val="30"/>
          <w:szCs w:val="32"/>
          <w:highlight w:val="none"/>
        </w:rPr>
        <w:br w:type="page"/>
      </w:r>
      <w:bookmarkStart w:id="319" w:name="_Toc351203652"/>
      <w:r>
        <w:rPr>
          <w:rFonts w:hint="eastAsia" w:ascii="宋体" w:hAnsi="宋体" w:eastAsia="宋体" w:cs="宋体"/>
          <w:b/>
          <w:color w:val="000000"/>
          <w:sz w:val="32"/>
          <w:szCs w:val="32"/>
          <w:highlight w:val="none"/>
        </w:rPr>
        <w:t>附件</w:t>
      </w:r>
      <w:bookmarkEnd w:id="319"/>
    </w:p>
    <w:p>
      <w:pPr>
        <w:adjustRightInd w:val="0"/>
        <w:snapToGrid w:val="0"/>
        <w:spacing w:beforeLines="0" w:afterLines="0" w:line="360" w:lineRule="auto"/>
        <w:jc w:val="left"/>
        <w:rPr>
          <w:rFonts w:hint="eastAsia" w:ascii="宋体" w:hAnsi="宋体" w:eastAsia="宋体" w:cs="宋体"/>
          <w:color w:val="000000"/>
          <w:sz w:val="30"/>
          <w:szCs w:val="32"/>
          <w:highlight w:val="none"/>
        </w:rPr>
      </w:pPr>
      <w:r>
        <w:rPr>
          <w:rFonts w:hint="eastAsia" w:ascii="宋体" w:hAnsi="宋体" w:eastAsia="宋体" w:cs="宋体"/>
          <w:color w:val="000000"/>
          <w:sz w:val="30"/>
          <w:szCs w:val="32"/>
          <w:highlight w:val="none"/>
        </w:rPr>
        <w:t>协议书附件：</w:t>
      </w:r>
    </w:p>
    <w:p>
      <w:pPr>
        <w:adjustRightInd w:val="0"/>
        <w:snapToGrid w:val="0"/>
        <w:spacing w:beforeLines="0" w:afterLines="0" w:line="360" w:lineRule="auto"/>
        <w:jc w:val="left"/>
        <w:rPr>
          <w:rFonts w:hint="eastAsia" w:ascii="宋体" w:hAnsi="宋体" w:eastAsia="宋体" w:cs="宋体"/>
          <w:color w:val="000000"/>
          <w:sz w:val="30"/>
          <w:szCs w:val="32"/>
          <w:highlight w:val="none"/>
        </w:rPr>
      </w:pPr>
      <w:r>
        <w:rPr>
          <w:rFonts w:hint="eastAsia" w:ascii="宋体" w:hAnsi="宋体" w:eastAsia="宋体" w:cs="宋体"/>
          <w:color w:val="000000"/>
          <w:sz w:val="30"/>
          <w:szCs w:val="32"/>
          <w:highlight w:val="none"/>
        </w:rPr>
        <w:t>附件1：工程量清单</w:t>
      </w:r>
    </w:p>
    <w:p>
      <w:pPr>
        <w:adjustRightInd w:val="0"/>
        <w:snapToGrid w:val="0"/>
        <w:spacing w:beforeLines="0" w:afterLines="0" w:line="360" w:lineRule="auto"/>
        <w:jc w:val="left"/>
        <w:rPr>
          <w:rFonts w:hint="eastAsia" w:ascii="宋体" w:hAnsi="宋体" w:eastAsia="宋体" w:cs="宋体"/>
          <w:color w:val="000000"/>
          <w:sz w:val="30"/>
          <w:szCs w:val="32"/>
          <w:highlight w:val="none"/>
        </w:rPr>
      </w:pPr>
      <w:r>
        <w:rPr>
          <w:rFonts w:hint="eastAsia" w:ascii="宋体" w:hAnsi="宋体" w:eastAsia="宋体" w:cs="宋体"/>
          <w:color w:val="000000"/>
          <w:sz w:val="30"/>
          <w:szCs w:val="32"/>
          <w:highlight w:val="none"/>
        </w:rPr>
        <w:t>附件2：</w:t>
      </w:r>
      <w:r>
        <w:rPr>
          <w:rFonts w:hint="eastAsia" w:ascii="宋体" w:hAnsi="宋体" w:eastAsia="宋体" w:cs="宋体"/>
          <w:color w:val="000000"/>
          <w:sz w:val="30"/>
          <w:szCs w:val="30"/>
          <w:highlight w:val="none"/>
        </w:rPr>
        <w:t>安全生产合同</w:t>
      </w:r>
      <w:r>
        <w:rPr>
          <w:rFonts w:hint="eastAsia" w:ascii="宋体" w:hAnsi="宋体" w:eastAsia="宋体" w:cs="宋体"/>
          <w:color w:val="000000"/>
          <w:sz w:val="30"/>
          <w:szCs w:val="32"/>
          <w:highlight w:val="none"/>
        </w:rPr>
        <w:tab/>
      </w:r>
    </w:p>
    <w:p>
      <w:pPr>
        <w:pStyle w:val="10"/>
        <w:adjustRightInd w:val="0"/>
        <w:snapToGrid w:val="0"/>
        <w:spacing w:beforeLines="0" w:afterLines="0" w:line="360" w:lineRule="auto"/>
        <w:ind w:left="0" w:leftChars="0"/>
        <w:rPr>
          <w:rFonts w:hint="eastAsia" w:ascii="宋体" w:hAnsi="宋体" w:eastAsia="宋体" w:cs="宋体"/>
          <w:color w:val="000000"/>
          <w:sz w:val="30"/>
          <w:szCs w:val="30"/>
          <w:highlight w:val="none"/>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3</w:t>
      </w:r>
      <w:r>
        <w:rPr>
          <w:rFonts w:hint="eastAsia" w:ascii="宋体" w:hAnsi="宋体" w:eastAsia="宋体" w:cs="宋体"/>
          <w:color w:val="000000"/>
          <w:sz w:val="30"/>
          <w:szCs w:val="32"/>
          <w:highlight w:val="none"/>
        </w:rPr>
        <w:t>：</w:t>
      </w:r>
      <w:r>
        <w:rPr>
          <w:rFonts w:hint="eastAsia" w:ascii="宋体" w:hAnsi="宋体" w:eastAsia="宋体" w:cs="宋体"/>
          <w:color w:val="000000"/>
          <w:sz w:val="30"/>
          <w:szCs w:val="30"/>
          <w:highlight w:val="none"/>
        </w:rPr>
        <w:t>廉政合同</w:t>
      </w:r>
    </w:p>
    <w:p>
      <w:pPr>
        <w:adjustRightInd w:val="0"/>
        <w:snapToGrid w:val="0"/>
        <w:spacing w:beforeLines="0" w:afterLines="0" w:line="360" w:lineRule="auto"/>
        <w:jc w:val="left"/>
        <w:rPr>
          <w:rFonts w:hint="eastAsia" w:ascii="宋体" w:hAnsi="宋体" w:eastAsia="宋体" w:cs="宋体"/>
          <w:highlight w:val="none"/>
        </w:rPr>
      </w:pPr>
      <w:r>
        <w:rPr>
          <w:rFonts w:hint="eastAsia" w:ascii="宋体" w:hAnsi="宋体" w:eastAsia="宋体" w:cs="宋体"/>
          <w:b w:val="0"/>
          <w:color w:val="000000"/>
          <w:kern w:val="2"/>
          <w:sz w:val="30"/>
          <w:szCs w:val="30"/>
          <w:highlight w:val="none"/>
          <w:lang w:bidi="ar-SA"/>
        </w:rPr>
        <w:t>附件</w:t>
      </w:r>
      <w:r>
        <w:rPr>
          <w:rFonts w:hint="eastAsia" w:ascii="宋体" w:hAnsi="宋体" w:eastAsia="宋体" w:cs="宋体"/>
          <w:b w:val="0"/>
          <w:bCs w:val="0"/>
          <w:color w:val="000000"/>
          <w:kern w:val="2"/>
          <w:sz w:val="30"/>
          <w:szCs w:val="30"/>
          <w:highlight w:val="none"/>
          <w:lang w:val="en-US" w:eastAsia="zh-CN" w:bidi="ar-SA"/>
        </w:rPr>
        <w:t>4</w:t>
      </w:r>
      <w:r>
        <w:rPr>
          <w:rFonts w:hint="eastAsia" w:ascii="宋体" w:hAnsi="宋体" w:eastAsia="宋体" w:cs="宋体"/>
          <w:b w:val="0"/>
          <w:color w:val="000000"/>
          <w:kern w:val="2"/>
          <w:sz w:val="30"/>
          <w:szCs w:val="30"/>
          <w:highlight w:val="none"/>
          <w:lang w:bidi="ar-SA"/>
        </w:rPr>
        <w:t>：环境保护</w:t>
      </w:r>
      <w:r>
        <w:rPr>
          <w:rFonts w:hint="eastAsia" w:ascii="宋体" w:hAnsi="宋体" w:eastAsia="宋体" w:cs="宋体"/>
          <w:b w:val="0"/>
          <w:color w:val="000000"/>
          <w:kern w:val="2"/>
          <w:sz w:val="30"/>
          <w:szCs w:val="30"/>
          <w:highlight w:val="none"/>
          <w:lang w:val="en-US" w:eastAsia="zh-CN" w:bidi="ar-SA"/>
        </w:rPr>
        <w:t>协议</w:t>
      </w:r>
    </w:p>
    <w:p>
      <w:pPr>
        <w:adjustRightInd w:val="0"/>
        <w:snapToGrid w:val="0"/>
        <w:spacing w:beforeLines="0" w:afterLines="0" w:line="360" w:lineRule="auto"/>
        <w:rPr>
          <w:rFonts w:hint="eastAsia" w:ascii="宋体" w:hAnsi="宋体" w:eastAsia="宋体" w:cs="宋体"/>
          <w:color w:val="000000"/>
          <w:kern w:val="2"/>
          <w:sz w:val="30"/>
          <w:szCs w:val="30"/>
          <w:highlight w:val="none"/>
          <w:lang w:val="en-US" w:eastAsia="zh-CN" w:bidi="ar-SA"/>
        </w:rPr>
      </w:pPr>
      <w:r>
        <w:rPr>
          <w:rFonts w:hint="eastAsia" w:ascii="宋体" w:hAnsi="宋体" w:eastAsia="宋体" w:cs="宋体"/>
          <w:color w:val="000000"/>
          <w:kern w:val="2"/>
          <w:sz w:val="30"/>
          <w:szCs w:val="30"/>
          <w:highlight w:val="none"/>
          <w:lang w:val="en-US" w:eastAsia="zh-CN" w:bidi="ar-SA"/>
        </w:rPr>
        <w:t>附件5：诚信合规协议(如有）</w:t>
      </w:r>
    </w:p>
    <w:p>
      <w:pPr>
        <w:adjustRightInd w:val="0"/>
        <w:snapToGrid w:val="0"/>
        <w:spacing w:beforeLines="0" w:afterLines="0" w:line="360" w:lineRule="auto"/>
        <w:jc w:val="left"/>
        <w:rPr>
          <w:rFonts w:hint="eastAsia" w:ascii="宋体" w:hAnsi="宋体" w:eastAsia="宋体" w:cs="宋体"/>
          <w:highlight w:val="none"/>
          <w:lang w:val="en-US" w:eastAsia="zh-CN"/>
        </w:rPr>
      </w:pPr>
      <w:r>
        <w:rPr>
          <w:rFonts w:hint="eastAsia" w:ascii="宋体" w:hAnsi="宋体" w:eastAsia="宋体" w:cs="宋体"/>
          <w:b w:val="0"/>
          <w:color w:val="000000"/>
          <w:kern w:val="2"/>
          <w:sz w:val="30"/>
          <w:szCs w:val="30"/>
          <w:highlight w:val="none"/>
          <w:lang w:bidi="ar-SA"/>
        </w:rPr>
        <w:t>附件</w:t>
      </w:r>
      <w:r>
        <w:rPr>
          <w:rFonts w:hint="eastAsia" w:ascii="宋体" w:hAnsi="宋体" w:eastAsia="宋体" w:cs="宋体"/>
          <w:b w:val="0"/>
          <w:bCs w:val="0"/>
          <w:color w:val="000000"/>
          <w:kern w:val="2"/>
          <w:sz w:val="30"/>
          <w:szCs w:val="30"/>
          <w:highlight w:val="none"/>
          <w:lang w:val="en-US" w:eastAsia="zh-CN" w:bidi="ar-SA"/>
        </w:rPr>
        <w:t>6</w:t>
      </w:r>
      <w:r>
        <w:rPr>
          <w:rFonts w:hint="eastAsia" w:ascii="宋体" w:hAnsi="宋体" w:eastAsia="宋体" w:cs="宋体"/>
          <w:b w:val="0"/>
          <w:color w:val="000000"/>
          <w:kern w:val="2"/>
          <w:sz w:val="30"/>
          <w:szCs w:val="30"/>
          <w:highlight w:val="none"/>
          <w:lang w:bidi="ar-SA"/>
        </w:rPr>
        <w:t>：授权委托书</w:t>
      </w:r>
      <w:r>
        <w:rPr>
          <w:rFonts w:hint="eastAsia" w:ascii="宋体" w:hAnsi="宋体" w:eastAsia="宋体" w:cs="宋体"/>
          <w:b w:val="0"/>
          <w:color w:val="000000"/>
          <w:kern w:val="2"/>
          <w:sz w:val="30"/>
          <w:szCs w:val="30"/>
          <w:highlight w:val="none"/>
          <w:lang w:eastAsia="zh-CN" w:bidi="ar-SA"/>
        </w:rPr>
        <w:t>（</w:t>
      </w:r>
      <w:r>
        <w:rPr>
          <w:rFonts w:hint="eastAsia" w:ascii="宋体" w:hAnsi="宋体" w:eastAsia="宋体" w:cs="宋体"/>
          <w:b w:val="0"/>
          <w:color w:val="000000"/>
          <w:kern w:val="2"/>
          <w:sz w:val="30"/>
          <w:szCs w:val="30"/>
          <w:highlight w:val="none"/>
          <w:lang w:val="en-US" w:eastAsia="zh-CN" w:bidi="ar-SA"/>
        </w:rPr>
        <w:t>如有</w:t>
      </w:r>
      <w:r>
        <w:rPr>
          <w:rFonts w:hint="eastAsia" w:ascii="宋体" w:hAnsi="宋体" w:eastAsia="宋体" w:cs="宋体"/>
          <w:b w:val="0"/>
          <w:color w:val="000000"/>
          <w:kern w:val="2"/>
          <w:sz w:val="30"/>
          <w:szCs w:val="30"/>
          <w:highlight w:val="none"/>
          <w:lang w:eastAsia="zh-CN" w:bidi="ar-SA"/>
        </w:rPr>
        <w:t>）</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7</w:t>
      </w:r>
      <w:r>
        <w:rPr>
          <w:rFonts w:hint="eastAsia" w:ascii="宋体" w:hAnsi="宋体" w:eastAsia="宋体" w:cs="宋体"/>
          <w:color w:val="000000"/>
          <w:sz w:val="30"/>
          <w:szCs w:val="32"/>
          <w:highlight w:val="none"/>
        </w:rPr>
        <w:t>：</w:t>
      </w:r>
      <w:r>
        <w:rPr>
          <w:rFonts w:hint="eastAsia" w:ascii="宋体" w:hAnsi="宋体" w:eastAsia="宋体" w:cs="宋体"/>
          <w:color w:val="000000"/>
          <w:sz w:val="30"/>
          <w:szCs w:val="32"/>
          <w:highlight w:val="none"/>
          <w:lang w:val="en-US" w:eastAsia="zh-CN"/>
        </w:rPr>
        <w:t>承包人</w:t>
      </w:r>
      <w:r>
        <w:rPr>
          <w:rFonts w:hint="eastAsia" w:ascii="宋体" w:hAnsi="宋体" w:eastAsia="宋体" w:cs="宋体"/>
          <w:color w:val="000000"/>
          <w:sz w:val="30"/>
          <w:szCs w:val="32"/>
          <w:highlight w:val="none"/>
        </w:rPr>
        <w:t>项目经理任命书</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8</w:t>
      </w:r>
      <w:r>
        <w:rPr>
          <w:rFonts w:hint="eastAsia" w:ascii="宋体" w:hAnsi="宋体" w:eastAsia="宋体" w:cs="宋体"/>
          <w:color w:val="000000"/>
          <w:sz w:val="30"/>
          <w:szCs w:val="32"/>
          <w:highlight w:val="none"/>
        </w:rPr>
        <w:t>：承包人主要施工管理人员表</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30"/>
          <w:szCs w:val="32"/>
          <w:highlight w:val="none"/>
          <w:lang w:val="en-US"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9</w:t>
      </w:r>
      <w:r>
        <w:rPr>
          <w:rFonts w:hint="eastAsia" w:ascii="宋体" w:hAnsi="宋体" w:eastAsia="宋体" w:cs="宋体"/>
          <w:color w:val="000000"/>
          <w:sz w:val="30"/>
          <w:szCs w:val="32"/>
          <w:highlight w:val="none"/>
        </w:rPr>
        <w:t>：承包人用于本工程施工的机械设备表</w:t>
      </w:r>
      <w:r>
        <w:rPr>
          <w:rFonts w:hint="eastAsia" w:ascii="宋体" w:hAnsi="宋体" w:eastAsia="宋体" w:cs="宋体"/>
          <w:color w:val="000000"/>
          <w:sz w:val="30"/>
          <w:szCs w:val="32"/>
          <w:highlight w:val="none"/>
          <w:lang w:val="en-US" w:eastAsia="zh-CN"/>
        </w:rPr>
        <w:t>(如有）</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10</w:t>
      </w:r>
      <w:r>
        <w:rPr>
          <w:rFonts w:hint="eastAsia" w:ascii="宋体" w:hAnsi="宋体" w:eastAsia="宋体" w:cs="宋体"/>
          <w:color w:val="000000"/>
          <w:sz w:val="30"/>
          <w:szCs w:val="32"/>
          <w:highlight w:val="none"/>
        </w:rPr>
        <w:t>：履约担保格式</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11</w:t>
      </w:r>
      <w:r>
        <w:rPr>
          <w:rFonts w:hint="eastAsia" w:ascii="宋体" w:hAnsi="宋体" w:eastAsia="宋体" w:cs="宋体"/>
          <w:color w:val="000000"/>
          <w:sz w:val="30"/>
          <w:szCs w:val="32"/>
          <w:highlight w:val="none"/>
        </w:rPr>
        <w:t>：预付款担保格式</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pStyle w:val="2"/>
        <w:adjustRightInd w:val="0"/>
        <w:snapToGrid w:val="0"/>
        <w:spacing w:beforeLines="0" w:after="0" w:afterLines="0" w:line="360" w:lineRule="auto"/>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12</w:t>
      </w:r>
      <w:r>
        <w:rPr>
          <w:rFonts w:hint="eastAsia" w:ascii="宋体" w:hAnsi="宋体" w:eastAsia="宋体" w:cs="宋体"/>
          <w:color w:val="000000"/>
          <w:sz w:val="30"/>
          <w:szCs w:val="32"/>
          <w:highlight w:val="none"/>
        </w:rPr>
        <w:t>：履约保证金格式</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adjustRightInd w:val="0"/>
        <w:snapToGrid w:val="0"/>
        <w:spacing w:beforeLines="0" w:afterLines="0" w:line="360" w:lineRule="auto"/>
        <w:rPr>
          <w:rFonts w:hint="eastAsia" w:ascii="宋体" w:hAnsi="宋体" w:eastAsia="宋体" w:cs="宋体"/>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w:t>
      </w:r>
      <w:r>
        <w:rPr>
          <w:rFonts w:hint="eastAsia" w:ascii="宋体" w:hAnsi="宋体" w:cs="宋体"/>
          <w:color w:val="000000"/>
          <w:sz w:val="30"/>
          <w:szCs w:val="32"/>
          <w:highlight w:val="none"/>
          <w:lang w:val="en-US" w:eastAsia="zh-CN"/>
        </w:rPr>
        <w:t>3</w:t>
      </w:r>
      <w:r>
        <w:rPr>
          <w:rFonts w:hint="eastAsia" w:ascii="宋体" w:hAnsi="宋体" w:eastAsia="宋体" w:cs="宋体"/>
          <w:color w:val="000000"/>
          <w:sz w:val="30"/>
          <w:szCs w:val="32"/>
          <w:highlight w:val="none"/>
        </w:rPr>
        <w:t>：低价风险担保保函示范文本（独立保函）（如有）</w:t>
      </w:r>
    </w:p>
    <w:p>
      <w:pPr>
        <w:pStyle w:val="2"/>
        <w:rPr>
          <w:rFonts w:hint="eastAsia" w:ascii="宋体" w:hAnsi="宋体" w:eastAsia="宋体" w:cs="宋体"/>
          <w:highlight w:val="none"/>
          <w:lang w:eastAsia="zh-CN"/>
        </w:rPr>
      </w:pPr>
    </w:p>
    <w:p>
      <w:pPr>
        <w:widowControl/>
        <w:spacing w:line="240" w:lineRule="auto"/>
        <w:jc w:val="left"/>
        <w:rPr>
          <w:rFonts w:hint="eastAsia" w:ascii="宋体" w:hAnsi="宋体" w:eastAsia="宋体" w:cs="宋体"/>
          <w:b/>
          <w:kern w:val="0"/>
          <w:sz w:val="32"/>
          <w:szCs w:val="32"/>
          <w:highlight w:val="none"/>
          <w:lang w:bidi="ar-SA"/>
        </w:rPr>
      </w:pPr>
      <w:bookmarkStart w:id="320" w:name="_Toc10272"/>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1</w:t>
      </w:r>
      <w:r>
        <w:rPr>
          <w:rFonts w:hint="eastAsia" w:ascii="宋体" w:hAnsi="宋体" w:eastAsia="宋体" w:cs="宋体"/>
          <w:b/>
          <w:kern w:val="0"/>
          <w:sz w:val="32"/>
          <w:szCs w:val="32"/>
          <w:highlight w:val="none"/>
          <w:lang w:bidi="ar-SA"/>
        </w:rPr>
        <w:t>：</w:t>
      </w:r>
      <w:bookmarkEnd w:id="320"/>
      <w:r>
        <w:rPr>
          <w:rFonts w:hint="eastAsia" w:ascii="宋体" w:hAnsi="宋体" w:eastAsia="宋体" w:cs="宋体"/>
          <w:b/>
          <w:kern w:val="0"/>
          <w:sz w:val="32"/>
          <w:szCs w:val="32"/>
          <w:highlight w:val="none"/>
        </w:rPr>
        <w:t>工程量清单</w:t>
      </w:r>
    </w:p>
    <w:p>
      <w:pPr>
        <w:pStyle w:val="10"/>
        <w:rPr>
          <w:rFonts w:hint="eastAsia" w:ascii="宋体" w:hAnsi="宋体" w:eastAsia="宋体" w:cs="宋体"/>
          <w:highlight w:val="none"/>
        </w:rPr>
      </w:pPr>
    </w:p>
    <w:p>
      <w:pPr>
        <w:pStyle w:val="10"/>
        <w:ind w:left="0" w:leftChars="0"/>
        <w:rPr>
          <w:rFonts w:hint="eastAsia" w:ascii="宋体" w:hAnsi="宋体" w:eastAsia="宋体" w:cs="宋体"/>
          <w:highlight w:val="none"/>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单位及专业工程名称：安装工程- 第X册 XXXX</w:t>
            </w:r>
          </w:p>
        </w:tc>
        <w:tc>
          <w:tcPr>
            <w:tcW w:w="99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c>
          <w:tcPr>
            <w:tcW w:w="98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2091" w:type="dxa"/>
            <w:tcBorders>
              <w:top w:val="nil"/>
              <w:left w:val="nil"/>
              <w:bottom w:val="nil"/>
              <w:right w:val="nil"/>
            </w:tcBorders>
            <w:noWrap w:val="0"/>
            <w:vAlign w:val="bottom"/>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计量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综合单价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合价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bl>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val="en-US" w:eastAsia="zh-CN"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2</w:t>
      </w:r>
      <w:r>
        <w:rPr>
          <w:rFonts w:hint="eastAsia" w:ascii="宋体" w:hAnsi="宋体" w:eastAsia="宋体" w:cs="宋体"/>
          <w:b/>
          <w:kern w:val="0"/>
          <w:sz w:val="32"/>
          <w:szCs w:val="32"/>
          <w:highlight w:val="none"/>
          <w:lang w:bidi="ar-SA"/>
        </w:rPr>
        <w:t>：</w:t>
      </w:r>
      <w:r>
        <w:rPr>
          <w:rFonts w:hint="eastAsia" w:ascii="宋体" w:hAnsi="宋体" w:eastAsia="宋体" w:cs="宋体"/>
          <w:b/>
          <w:kern w:val="0"/>
          <w:sz w:val="32"/>
          <w:szCs w:val="32"/>
          <w:highlight w:val="none"/>
          <w:lang w:val="en-US" w:eastAsia="zh-CN" w:bidi="ar-SA"/>
        </w:rPr>
        <w:t>安全生产协议</w:t>
      </w:r>
    </w:p>
    <w:p>
      <w:pPr>
        <w:widowControl/>
        <w:spacing w:line="360" w:lineRule="auto"/>
        <w:ind w:firstLine="2400" w:firstLineChars="1000"/>
        <w:jc w:val="left"/>
        <w:textAlignment w:val="auto"/>
        <w:rPr>
          <w:rFonts w:hint="eastAsia" w:ascii="宋体" w:hAnsi="宋体" w:eastAsia="宋体" w:cs="宋体"/>
          <w:b/>
          <w:bCs/>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spacing w:line="360" w:lineRule="auto"/>
        <w:ind w:firstLine="3213" w:firstLineChars="1000"/>
        <w:textAlignment w:val="baseline"/>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之</w:t>
      </w:r>
      <w:r>
        <w:rPr>
          <w:rFonts w:hint="eastAsia" w:ascii="宋体" w:hAnsi="宋体" w:eastAsia="宋体" w:cs="宋体"/>
          <w:b/>
          <w:bCs/>
          <w:sz w:val="32"/>
          <w:szCs w:val="32"/>
          <w:highlight w:val="none"/>
        </w:rPr>
        <w:t>安全生产协议</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为在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rPr>
        <w:t>实施过程中创造安全、高效的施工环境，切实做好本项目的安全管理工作，本项目发包人</w:t>
      </w:r>
      <w:r>
        <w:rPr>
          <w:rFonts w:hint="eastAsia" w:ascii="宋体" w:hAnsi="宋体" w:eastAsia="宋体" w:cs="宋体"/>
          <w:sz w:val="24"/>
          <w:highlight w:val="none"/>
          <w:u w:val="single"/>
        </w:rPr>
        <w:t>重庆首讯科技股份公司</w:t>
      </w:r>
      <w:r>
        <w:rPr>
          <w:rFonts w:hint="eastAsia" w:ascii="宋体" w:hAnsi="宋体" w:eastAsia="宋体" w:cs="宋体"/>
          <w:sz w:val="24"/>
          <w:highlight w:val="none"/>
        </w:rPr>
        <w:t xml:space="preserve">（以下简称“甲方”）与乙方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（以下简称“乙方”）特此签订安全生产协议：</w:t>
      </w:r>
    </w:p>
    <w:p>
      <w:pPr>
        <w:pStyle w:val="48"/>
        <w:adjustRightInd w:val="0"/>
        <w:snapToGrid w:val="0"/>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一、此项工程甲乙双方安全责任人</w:t>
      </w:r>
    </w:p>
    <w:p>
      <w:pPr>
        <w:pStyle w:val="48"/>
        <w:adjustRightInd w:val="0"/>
        <w:snapToGrid w:val="0"/>
        <w:spacing w:line="360" w:lineRule="auto"/>
        <w:ind w:firstLine="0" w:firstLineChars="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rPr>
        <w:t>甲方（</w:t>
      </w:r>
      <w:r>
        <w:rPr>
          <w:rFonts w:hint="eastAsia" w:ascii="宋体" w:hAnsi="宋体" w:eastAsia="宋体" w:cs="宋体"/>
          <w:color w:val="auto"/>
          <w:sz w:val="24"/>
          <w:highlight w:val="none"/>
        </w:rPr>
        <w:t>此工程项目负责人</w:t>
      </w:r>
      <w:r>
        <w:rPr>
          <w:rFonts w:hint="eastAsia" w:ascii="宋体" w:hAnsi="宋体" w:eastAsia="宋体" w:cs="宋体"/>
          <w:sz w:val="24"/>
          <w:highlight w:val="none"/>
        </w:rPr>
        <w:t>）：</w:t>
      </w:r>
      <w:r>
        <w:rPr>
          <w:rFonts w:hint="eastAsia" w:ascii="宋体" w:hAnsi="宋体" w:eastAsia="宋体" w:cs="宋体"/>
          <w:color w:val="auto"/>
          <w:sz w:val="24"/>
          <w:highlight w:val="none"/>
          <w:u w:val="single"/>
          <w:lang w:val="en-US" w:eastAsia="zh-CN"/>
        </w:rPr>
        <w:t xml:space="preserve">                   </w:t>
      </w:r>
    </w:p>
    <w:p>
      <w:pPr>
        <w:pStyle w:val="48"/>
        <w:adjustRightInd w:val="0"/>
        <w:snapToGrid w:val="0"/>
        <w:spacing w:line="360" w:lineRule="auto"/>
        <w:ind w:firstLine="0" w:firstLineChars="0"/>
        <w:rPr>
          <w:rFonts w:hint="eastAsia" w:ascii="宋体" w:hAnsi="宋体" w:eastAsia="宋体" w:cs="宋体"/>
          <w:sz w:val="24"/>
          <w:highlight w:val="none"/>
          <w:u w:val="single"/>
          <w:lang w:val="en-US" w:eastAsia="zh-CN"/>
        </w:rPr>
      </w:pPr>
      <w:r>
        <w:rPr>
          <w:rFonts w:hint="eastAsia" w:ascii="宋体" w:hAnsi="宋体" w:eastAsia="宋体" w:cs="宋体"/>
          <w:color w:val="auto"/>
          <w:sz w:val="24"/>
          <w:highlight w:val="none"/>
        </w:rPr>
        <w:t>乙方（此工程项目负责人）：</w:t>
      </w:r>
      <w:r>
        <w:rPr>
          <w:rFonts w:hint="eastAsia" w:ascii="宋体" w:hAnsi="宋体" w:eastAsia="宋体" w:cs="宋体"/>
          <w:color w:val="auto"/>
          <w:sz w:val="24"/>
          <w:highlight w:val="none"/>
          <w:u w:val="single"/>
          <w:lang w:val="en-US" w:eastAsia="zh-CN"/>
        </w:rPr>
        <w:t xml:space="preserve">                   </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1、严格遵守国家有关安全生产的法律法规，认真执行工程施工合同中的有关安全要求。</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2、按照“安全第一、预防为主”和坚持“管生产必须管安全”的原则进行安全生产管理，做到生产与安全工作同时计划、布置、检查、总结和评比。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3、重要的安全设施必须坚持与主体工程“三同时”的原则，即：同时设计、审批，同时施工，同时验收，投入使用。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、组织对乙方施工现场安全生产检查，监督乙方及时处理发现的各种安全隐患。</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6、施工前，应认真勘察现场，按甲方要求制订有针对性的安全技术措施，对管理人员和施工人员进行安全生产进场教育。</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7、在施工期间必须严格执行和遵守甲方的安全生产、防火管理的各项规定，接受甲方的督促、检查和指导，对于查出的隐患，乙方必须限期整改。</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8、乙方必须按照安全作业规程进行现场施工。对施工现场的各类安全防护设施、安全标志和警告牌，不得擅自拆除、更动。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9、乙方在施工中，应注意地下管线及高压架空线路的保护。如遇有情况，应及时向甲方和有关部门联系，采取保护措施。</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10、乙方在任何时候都应采取各种合理的预防措施，防止其员工发生任何违法、违禁、暴力或妨碍治安的行为。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14、所有施工机具设备和高空作业的设备均应定期检查，保证其经常处于完好状态；不合格的机具、设备和劳动保护用品严禁使用。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adjustRightInd w:val="0"/>
        <w:snapToGrid w:val="0"/>
        <w:spacing w:before="0" w:after="0" w:line="360" w:lineRule="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adjustRightInd w:val="0"/>
        <w:snapToGrid w:val="0"/>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3、乙方在施工期间违反安全生产相关要求及乙方职责，造成安全事故或人身损害、财产损失的，乙方承担全部责任。</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1、本协议作为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的附件，与</w:t>
      </w:r>
      <w:r>
        <w:rPr>
          <w:rFonts w:hint="eastAsia" w:ascii="宋体" w:hAnsi="宋体" w:eastAsia="宋体" w:cs="宋体"/>
          <w:sz w:val="24"/>
          <w:highlight w:val="none"/>
          <w:lang w:val="en-US" w:eastAsia="zh-CN"/>
        </w:rPr>
        <w:t>主</w:t>
      </w:r>
      <w:r>
        <w:rPr>
          <w:rFonts w:hint="eastAsia" w:ascii="宋体" w:hAnsi="宋体" w:eastAsia="宋体" w:cs="宋体"/>
          <w:sz w:val="24"/>
          <w:highlight w:val="none"/>
        </w:rPr>
        <w:t>合同具有同等的法律效力。</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2、本协议一式贰份，甲方执壹份，乙方执壹份。由双方法定代表人或其授权的代理人签署盖章后生效，全部工程完工验收后终止。</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3、因协议在履行过程中所产生的争议，双方协商解决，协商不成的，提交甲方所在地有管辖权的人民法院管辖。</w:t>
      </w:r>
    </w:p>
    <w:p>
      <w:pPr>
        <w:pStyle w:val="24"/>
        <w:tabs>
          <w:tab w:val="left" w:pos="1200"/>
          <w:tab w:val="right" w:leader="dot" w:pos="9730"/>
        </w:tabs>
        <w:adjustRightInd w:val="0"/>
        <w:snapToGrid w:val="0"/>
        <w:spacing w:before="0" w:after="0" w:line="360" w:lineRule="auto"/>
        <w:rPr>
          <w:rFonts w:hint="eastAsia" w:ascii="宋体" w:hAnsi="宋体" w:eastAsia="宋体" w:cs="宋体"/>
          <w:b w:val="0"/>
          <w:bCs w:val="0"/>
          <w:sz w:val="24"/>
          <w:highlight w:val="none"/>
        </w:rPr>
      </w:pPr>
      <w:r>
        <w:rPr>
          <w:rFonts w:hint="eastAsia" w:ascii="宋体" w:hAnsi="宋体" w:eastAsia="宋体" w:cs="宋体"/>
          <w:b w:val="0"/>
          <w:bCs w:val="0"/>
          <w:color w:val="auto"/>
          <w:sz w:val="24"/>
          <w:szCs w:val="24"/>
          <w:highlight w:val="none"/>
          <w:lang w:val="en-US" w:eastAsia="zh-CN"/>
        </w:rPr>
        <w:t>附件：</w:t>
      </w:r>
      <w:r>
        <w:rPr>
          <w:rFonts w:hint="eastAsia" w:ascii="宋体" w:hAnsi="宋体" w:eastAsia="宋体" w:cs="宋体"/>
          <w:b w:val="0"/>
          <w:bCs w:val="0"/>
          <w:color w:val="auto"/>
          <w:sz w:val="24"/>
          <w:szCs w:val="24"/>
          <w:highlight w:val="none"/>
        </w:rPr>
        <w:t>《首讯公司工程安全生产的违约处理细则》</w:t>
      </w: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rPr>
        <w:t>甲方：重庆首讯科技股份有限公司            乙方：</w:t>
      </w:r>
      <w:r>
        <w:rPr>
          <w:rFonts w:hint="eastAsia" w:ascii="宋体" w:hAnsi="宋体" w:eastAsia="宋体" w:cs="宋体"/>
          <w:color w:val="FF0000"/>
          <w:sz w:val="24"/>
          <w:highlight w:val="none"/>
          <w:lang w:val="en-US" w:eastAsia="zh-CN"/>
        </w:rPr>
        <w:t>XXXXXX</w:t>
      </w:r>
    </w:p>
    <w:p>
      <w:pPr>
        <w:widowControl/>
        <w:adjustRightInd w:val="0"/>
        <w:snapToGrid w:val="0"/>
        <w:spacing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line="360" w:lineRule="auto"/>
        <w:jc w:val="left"/>
        <w:rPr>
          <w:rFonts w:hint="eastAsia" w:ascii="宋体" w:hAnsi="宋体" w:eastAsia="宋体" w:cs="宋体"/>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line="360" w:lineRule="auto"/>
        <w:jc w:val="left"/>
        <w:rPr>
          <w:rFonts w:hint="eastAsia" w:ascii="宋体" w:hAnsi="宋体" w:eastAsia="宋体" w:cs="宋体"/>
          <w:b w:val="0"/>
          <w:bCs w:val="0"/>
          <w:sz w:val="24"/>
          <w:highlight w:val="none"/>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line="360" w:lineRule="auto"/>
        <w:jc w:val="left"/>
        <w:rPr>
          <w:rFonts w:hint="eastAsia" w:ascii="宋体" w:hAnsi="宋体" w:eastAsia="宋体" w:cs="宋体"/>
          <w:b w:val="0"/>
          <w:bCs w:val="0"/>
          <w:sz w:val="24"/>
          <w:highlight w:val="none"/>
        </w:rPr>
      </w:pPr>
    </w:p>
    <w:p>
      <w:pPr>
        <w:adjustRightInd w:val="0"/>
        <w:snapToGrid w:val="0"/>
        <w:spacing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widowControl/>
        <w:spacing w:line="360" w:lineRule="auto"/>
        <w:jc w:val="left"/>
        <w:rPr>
          <w:rFonts w:hint="eastAsia" w:ascii="宋体" w:hAnsi="宋体" w:eastAsia="宋体" w:cs="宋体"/>
          <w:b/>
          <w:kern w:val="0"/>
          <w:sz w:val="32"/>
          <w:szCs w:val="32"/>
          <w:highlight w:val="none"/>
          <w:lang w:bidi="ar-SA"/>
        </w:rPr>
      </w:pPr>
    </w:p>
    <w:p>
      <w:pPr>
        <w:spacing w:line="240" w:lineRule="auto"/>
        <w:ind w:firstLine="0"/>
        <w:jc w:val="left"/>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pPr>
        <w:spacing w:line="240" w:lineRule="auto"/>
        <w:ind w:firstLine="0"/>
        <w:jc w:val="center"/>
        <w:rPr>
          <w:rFonts w:hint="eastAsia" w:ascii="宋体" w:hAnsi="宋体" w:eastAsia="宋体" w:cs="宋体"/>
          <w:b/>
          <w:bCs/>
          <w:sz w:val="32"/>
          <w:szCs w:val="32"/>
          <w:highlight w:val="none"/>
          <w:u w:val="none"/>
          <w:lang w:eastAsia="zh-CN"/>
        </w:rPr>
      </w:pPr>
      <w:r>
        <w:rPr>
          <w:rFonts w:hint="eastAsia" w:ascii="宋体" w:hAnsi="宋体" w:eastAsia="宋体" w:cs="宋体"/>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宋体" w:hAnsi="宋体" w:eastAsia="宋体" w:cs="宋体"/>
          <w:b/>
          <w:bCs/>
          <w:sz w:val="32"/>
          <w:szCs w:val="32"/>
          <w:highlight w:val="none"/>
          <w:u w:val="none"/>
        </w:rPr>
      </w:pPr>
      <w:r>
        <w:rPr>
          <w:rFonts w:hint="eastAsia" w:ascii="宋体" w:hAnsi="宋体" w:eastAsia="宋体" w:cs="宋体"/>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bookmarkStart w:id="321" w:name="OLE_LINK1"/>
      <w:r>
        <w:rPr>
          <w:rFonts w:hint="eastAsia" w:ascii="宋体" w:hAnsi="宋体" w:eastAsia="宋体" w:cs="宋体"/>
          <w:color w:val="auto"/>
          <w:kern w:val="0"/>
          <w:sz w:val="24"/>
          <w:szCs w:val="24"/>
          <w:highlight w:val="none"/>
        </w:rPr>
        <w:t>为确保工程安全得以有效控制，纠正和处理工程</w:t>
      </w:r>
      <w:r>
        <w:rPr>
          <w:rFonts w:hint="eastAsia" w:ascii="宋体" w:hAnsi="宋体" w:eastAsia="宋体" w:cs="宋体"/>
          <w:color w:val="auto"/>
          <w:kern w:val="0"/>
          <w:sz w:val="24"/>
          <w:szCs w:val="24"/>
          <w:highlight w:val="none"/>
          <w:lang w:eastAsia="zh-CN"/>
        </w:rPr>
        <w:t>过程</w:t>
      </w:r>
      <w:r>
        <w:rPr>
          <w:rFonts w:hint="eastAsia" w:ascii="宋体" w:hAnsi="宋体" w:eastAsia="宋体" w:cs="宋体"/>
          <w:color w:val="auto"/>
          <w:kern w:val="0"/>
          <w:sz w:val="24"/>
          <w:szCs w:val="24"/>
          <w:highlight w:val="none"/>
        </w:rPr>
        <w:t>中不规范的行为，</w:t>
      </w:r>
      <w:bookmarkEnd w:id="321"/>
      <w:r>
        <w:rPr>
          <w:rFonts w:hint="eastAsia" w:ascii="宋体" w:hAnsi="宋体" w:eastAsia="宋体" w:cs="宋体"/>
          <w:color w:val="auto"/>
          <w:kern w:val="0"/>
          <w:sz w:val="24"/>
          <w:szCs w:val="24"/>
          <w:highlight w:val="none"/>
        </w:rPr>
        <w:t>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24"/>
          <w:szCs w:val="24"/>
          <w:highlight w:val="none"/>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2.1告知原则：</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在与承包人签订合同</w:t>
      </w:r>
      <w:r>
        <w:rPr>
          <w:rFonts w:hint="eastAsia" w:ascii="宋体" w:hAnsi="宋体" w:eastAsia="宋体" w:cs="宋体"/>
          <w:color w:val="auto"/>
          <w:kern w:val="0"/>
          <w:sz w:val="24"/>
          <w:szCs w:val="24"/>
          <w:highlight w:val="none"/>
          <w:lang w:eastAsia="zh-CN"/>
        </w:rPr>
        <w:t>（或施工协议、任务书）</w:t>
      </w:r>
      <w:r>
        <w:rPr>
          <w:rFonts w:hint="eastAsia" w:ascii="宋体" w:hAnsi="宋体" w:eastAsia="宋体" w:cs="宋体"/>
          <w:color w:val="auto"/>
          <w:kern w:val="0"/>
          <w:sz w:val="24"/>
          <w:szCs w:val="24"/>
          <w:highlight w:val="none"/>
          <w:lang w:val="en-US" w:eastAsia="zh-CN"/>
        </w:rPr>
        <w:t>时，本细则</w:t>
      </w:r>
      <w:r>
        <w:rPr>
          <w:rFonts w:hint="eastAsia" w:ascii="宋体" w:hAnsi="宋体" w:eastAsia="宋体" w:cs="宋体"/>
          <w:color w:val="auto"/>
          <w:kern w:val="0"/>
          <w:sz w:val="24"/>
          <w:szCs w:val="24"/>
          <w:highlight w:val="none"/>
          <w:lang w:eastAsia="zh-CN"/>
        </w:rPr>
        <w:t>作为</w:t>
      </w:r>
      <w:r>
        <w:rPr>
          <w:rFonts w:hint="eastAsia" w:ascii="宋体" w:hAnsi="宋体" w:eastAsia="宋体" w:cs="宋体"/>
          <w:color w:val="auto"/>
          <w:kern w:val="0"/>
          <w:sz w:val="24"/>
          <w:szCs w:val="24"/>
          <w:highlight w:val="none"/>
        </w:rPr>
        <w:t>《合同协议书》</w:t>
      </w:r>
      <w:r>
        <w:rPr>
          <w:rFonts w:hint="eastAsia" w:ascii="宋体" w:hAnsi="宋体" w:eastAsia="宋体" w:cs="宋体"/>
          <w:color w:val="auto"/>
          <w:kern w:val="0"/>
          <w:sz w:val="24"/>
          <w:szCs w:val="24"/>
          <w:highlight w:val="none"/>
          <w:lang w:eastAsia="zh-CN"/>
        </w:rPr>
        <w:t>、《安全生产合同》附件。未与</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签订合同时，管理（维护中心）、项目部在进场前书面告知</w:t>
      </w:r>
      <w:r>
        <w:rPr>
          <w:rFonts w:hint="eastAsia" w:ascii="宋体" w:hAnsi="宋体" w:eastAsia="宋体" w:cs="宋体"/>
          <w:color w:val="auto"/>
          <w:kern w:val="0"/>
          <w:sz w:val="24"/>
          <w:szCs w:val="24"/>
          <w:highlight w:val="none"/>
          <w:lang w:val="en-US" w:eastAsia="zh-CN"/>
        </w:rPr>
        <w:t>,并经承包人签字或盖章确认</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处理原则：承包人</w:t>
      </w:r>
      <w:r>
        <w:rPr>
          <w:rFonts w:hint="eastAsia" w:ascii="宋体" w:hAnsi="宋体" w:eastAsia="宋体" w:cs="宋体"/>
          <w:color w:val="auto"/>
          <w:kern w:val="0"/>
          <w:sz w:val="24"/>
          <w:szCs w:val="24"/>
          <w:highlight w:val="none"/>
        </w:rPr>
        <w:t>应认真履行合同条款，凡是违反合同条款规定的，均按规定承担违约责任</w:t>
      </w:r>
      <w:r>
        <w:rPr>
          <w:rFonts w:hint="eastAsia" w:ascii="宋体" w:hAnsi="宋体" w:eastAsia="宋体" w:cs="宋体"/>
          <w:color w:val="auto"/>
          <w:kern w:val="0"/>
          <w:sz w:val="24"/>
          <w:szCs w:val="24"/>
          <w:highlight w:val="none"/>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rPr>
        <w:t>中华人民共和国</w:t>
      </w:r>
      <w:r>
        <w:rPr>
          <w:rFonts w:hint="eastAsia" w:ascii="宋体" w:hAnsi="宋体" w:eastAsia="宋体" w:cs="宋体"/>
          <w:b w:val="0"/>
          <w:bCs w:val="0"/>
          <w:i w:val="0"/>
          <w:caps w:val="0"/>
          <w:color w:val="auto"/>
          <w:spacing w:val="0"/>
          <w:kern w:val="0"/>
          <w:sz w:val="24"/>
          <w:szCs w:val="24"/>
          <w:highlight w:val="none"/>
          <w:shd w:val="clear" w:color="auto" w:fill="auto"/>
          <w:lang w:eastAsia="zh-CN"/>
        </w:rPr>
        <w:t>民法典</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4.1安全监管职能部门（安全管理部、工程管理部、</w:t>
      </w:r>
      <w:r>
        <w:rPr>
          <w:rFonts w:hint="eastAsia" w:ascii="宋体" w:hAnsi="宋体" w:eastAsia="宋体" w:cs="宋体"/>
          <w:color w:val="auto"/>
          <w:kern w:val="0"/>
          <w:sz w:val="24"/>
          <w:szCs w:val="24"/>
          <w:highlight w:val="none"/>
          <w:lang w:eastAsia="zh-CN"/>
        </w:rPr>
        <w:t>智能交通研发中心</w:t>
      </w:r>
      <w:r>
        <w:rPr>
          <w:rFonts w:hint="eastAsia" w:ascii="宋体" w:hAnsi="宋体" w:eastAsia="宋体" w:cs="宋体"/>
          <w:color w:val="auto"/>
          <w:kern w:val="0"/>
          <w:sz w:val="24"/>
          <w:szCs w:val="24"/>
          <w:highlight w:val="none"/>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4.3施工单位必须严格执行国家、行业、主管部门、</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安全生产相关规定，管好项目相关作业人员，如被发现违约行为，则按本文规定接受相应的</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承包人在与公司签订施工、维护、服务合同后，按合同约定交纳</w:t>
      </w:r>
      <w:r>
        <w:rPr>
          <w:rFonts w:hint="eastAsia" w:ascii="宋体" w:hAnsi="宋体" w:eastAsia="宋体" w:cs="宋体"/>
          <w:color w:val="auto"/>
          <w:kern w:val="0"/>
          <w:sz w:val="24"/>
          <w:szCs w:val="24"/>
          <w:highlight w:val="none"/>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必须重视安全生产，严格按照施工安全规范制订符合本工程实际的施工安全技术方案和安全保证措施，</w:t>
      </w:r>
      <w:r>
        <w:rPr>
          <w:rFonts w:hint="eastAsia" w:ascii="宋体" w:hAnsi="宋体" w:eastAsia="宋体" w:cs="宋体"/>
          <w:color w:val="auto"/>
          <w:kern w:val="0"/>
          <w:sz w:val="24"/>
          <w:szCs w:val="24"/>
          <w:highlight w:val="none"/>
          <w:lang w:val="en-US" w:eastAsia="zh-CN"/>
        </w:rPr>
        <w:t>若在项目实施工程中未按审批后的技术方案和保证措施执行的</w:t>
      </w:r>
      <w:r>
        <w:rPr>
          <w:rFonts w:hint="eastAsia" w:ascii="宋体" w:hAnsi="宋体" w:eastAsia="宋体" w:cs="宋体"/>
          <w:color w:val="auto"/>
          <w:kern w:val="0"/>
          <w:sz w:val="24"/>
          <w:szCs w:val="24"/>
          <w:highlight w:val="none"/>
        </w:rPr>
        <w:t>，将处以</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的违约金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施工单位须</w:t>
      </w:r>
      <w:r>
        <w:rPr>
          <w:rFonts w:hint="eastAsia" w:ascii="宋体" w:hAnsi="宋体" w:eastAsia="宋体" w:cs="宋体"/>
          <w:color w:val="auto"/>
          <w:kern w:val="0"/>
          <w:sz w:val="24"/>
          <w:szCs w:val="24"/>
          <w:highlight w:val="none"/>
        </w:rPr>
        <w:t>建立安全管理机构</w:t>
      </w:r>
      <w:r>
        <w:rPr>
          <w:rFonts w:hint="eastAsia" w:ascii="宋体" w:hAnsi="宋体" w:eastAsia="宋体" w:cs="宋体"/>
          <w:color w:val="auto"/>
          <w:kern w:val="0"/>
          <w:sz w:val="24"/>
          <w:szCs w:val="24"/>
          <w:highlight w:val="none"/>
          <w:lang w:eastAsia="zh-CN"/>
        </w:rPr>
        <w:t>或设置安全管理人员，</w:t>
      </w:r>
      <w:r>
        <w:rPr>
          <w:rFonts w:hint="eastAsia" w:ascii="宋体" w:hAnsi="宋体" w:eastAsia="宋体" w:cs="宋体"/>
          <w:color w:val="auto"/>
          <w:kern w:val="0"/>
          <w:sz w:val="24"/>
          <w:szCs w:val="24"/>
          <w:highlight w:val="none"/>
        </w:rPr>
        <w:t>明确责任，</w:t>
      </w:r>
      <w:r>
        <w:rPr>
          <w:rFonts w:hint="eastAsia" w:ascii="宋体" w:hAnsi="宋体" w:eastAsia="宋体" w:cs="宋体"/>
          <w:color w:val="auto"/>
          <w:kern w:val="0"/>
          <w:sz w:val="24"/>
          <w:szCs w:val="24"/>
          <w:highlight w:val="none"/>
          <w:lang w:eastAsia="zh-CN"/>
        </w:rPr>
        <w:t>安全管理人员必须到岗，</w:t>
      </w:r>
      <w:r>
        <w:rPr>
          <w:rFonts w:hint="eastAsia" w:ascii="宋体" w:hAnsi="宋体" w:eastAsia="宋体" w:cs="宋体"/>
          <w:color w:val="auto"/>
          <w:kern w:val="0"/>
          <w:sz w:val="24"/>
          <w:szCs w:val="24"/>
          <w:highlight w:val="none"/>
        </w:rPr>
        <w:t>否则，将处以</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次</w:t>
      </w:r>
      <w:r>
        <w:rPr>
          <w:rFonts w:hint="eastAsia" w:ascii="宋体" w:hAnsi="宋体" w:eastAsia="宋体" w:cs="宋体"/>
          <w:color w:val="auto"/>
          <w:kern w:val="0"/>
          <w:sz w:val="24"/>
          <w:szCs w:val="24"/>
          <w:highlight w:val="none"/>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将</w:t>
      </w:r>
      <w:r>
        <w:rPr>
          <w:rFonts w:hint="eastAsia" w:ascii="宋体" w:hAnsi="宋体" w:eastAsia="宋体" w:cs="宋体"/>
          <w:color w:val="auto"/>
          <w:kern w:val="0"/>
          <w:sz w:val="24"/>
          <w:szCs w:val="24"/>
          <w:highlight w:val="none"/>
          <w:lang w:eastAsia="zh-CN"/>
        </w:rPr>
        <w:t>开展</w:t>
      </w:r>
      <w:r>
        <w:rPr>
          <w:rFonts w:hint="eastAsia" w:ascii="宋体" w:hAnsi="宋体" w:eastAsia="宋体" w:cs="宋体"/>
          <w:color w:val="auto"/>
          <w:kern w:val="0"/>
          <w:sz w:val="24"/>
          <w:szCs w:val="24"/>
          <w:highlight w:val="none"/>
        </w:rPr>
        <w:t>各种形式的安全检查，对施工现场有安全隐患的，</w:t>
      </w:r>
      <w:r>
        <w:rPr>
          <w:rFonts w:hint="eastAsia" w:ascii="宋体" w:hAnsi="宋体" w:eastAsia="宋体" w:cs="宋体"/>
          <w:color w:val="auto"/>
          <w:kern w:val="0"/>
          <w:sz w:val="24"/>
          <w:szCs w:val="24"/>
          <w:highlight w:val="none"/>
          <w:lang w:eastAsia="zh-CN"/>
        </w:rPr>
        <w:t>要立即整改</w:t>
      </w:r>
      <w:r>
        <w:rPr>
          <w:rFonts w:hint="eastAsia" w:ascii="宋体" w:hAnsi="宋体" w:eastAsia="宋体" w:cs="宋体"/>
          <w:color w:val="auto"/>
          <w:kern w:val="0"/>
          <w:sz w:val="24"/>
          <w:szCs w:val="24"/>
          <w:highlight w:val="none"/>
        </w:rPr>
        <w:t>；对现场已发现的安全隐患不及时排除或不采取必要的防护措施的，则处以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rPr>
        <w:t>500～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000（元/次）的违约金；</w:t>
      </w:r>
      <w:r>
        <w:rPr>
          <w:rFonts w:hint="eastAsia" w:ascii="宋体" w:hAnsi="宋体" w:eastAsia="宋体" w:cs="宋体"/>
          <w:color w:val="auto"/>
          <w:kern w:val="0"/>
          <w:sz w:val="24"/>
          <w:szCs w:val="24"/>
          <w:highlight w:val="none"/>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r>
        <w:rPr>
          <w:rFonts w:hint="eastAsia" w:ascii="宋体" w:hAnsi="宋体" w:eastAsia="宋体" w:cs="宋体"/>
          <w:color w:val="auto"/>
          <w:kern w:val="0"/>
          <w:sz w:val="24"/>
          <w:szCs w:val="24"/>
          <w:highlight w:val="none"/>
          <w:lang w:eastAsia="zh-CN"/>
        </w:rPr>
        <w:t>承包人发生安全生产责任事故的，除接受有关主管部门的处罚外，同时按照安全生产责任事故认定大小，并接受发包人处以合同金额的</w:t>
      </w:r>
      <w:r>
        <w:rPr>
          <w:rFonts w:hint="eastAsia" w:ascii="宋体" w:hAnsi="宋体" w:eastAsia="宋体" w:cs="宋体"/>
          <w:color w:val="auto"/>
          <w:kern w:val="0"/>
          <w:sz w:val="24"/>
          <w:szCs w:val="24"/>
          <w:highlight w:val="none"/>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rPr>
        <w:t>施工现场必须有明显的各种安全标识及安全保护措施，</w:t>
      </w:r>
      <w:r>
        <w:rPr>
          <w:rFonts w:hint="eastAsia" w:ascii="宋体" w:hAnsi="宋体" w:eastAsia="宋体" w:cs="宋体"/>
          <w:color w:val="auto"/>
          <w:kern w:val="0"/>
          <w:sz w:val="24"/>
          <w:szCs w:val="24"/>
          <w:highlight w:val="none"/>
          <w:lang w:eastAsia="zh-CN"/>
        </w:rPr>
        <w:t>涉路作业必须按照《公路养护安全作业规程》（</w:t>
      </w:r>
      <w:r>
        <w:rPr>
          <w:rFonts w:hint="eastAsia" w:ascii="宋体" w:hAnsi="宋体" w:eastAsia="宋体" w:cs="宋体"/>
          <w:color w:val="auto"/>
          <w:kern w:val="0"/>
          <w:sz w:val="24"/>
          <w:szCs w:val="24"/>
          <w:highlight w:val="none"/>
          <w:lang w:val="en-US" w:eastAsia="zh-CN"/>
        </w:rPr>
        <w:t>JTG H30-2015</w:t>
      </w:r>
      <w:r>
        <w:rPr>
          <w:rFonts w:hint="eastAsia" w:ascii="宋体" w:hAnsi="宋体" w:eastAsia="宋体" w:cs="宋体"/>
          <w:color w:val="auto"/>
          <w:kern w:val="0"/>
          <w:sz w:val="24"/>
          <w:szCs w:val="24"/>
          <w:highlight w:val="none"/>
          <w:lang w:eastAsia="zh-CN"/>
        </w:rPr>
        <w:t>）进行交通组织，</w:t>
      </w:r>
      <w:r>
        <w:rPr>
          <w:rFonts w:hint="eastAsia" w:ascii="宋体" w:hAnsi="宋体" w:eastAsia="宋体" w:cs="宋体"/>
          <w:color w:val="auto"/>
          <w:kern w:val="0"/>
          <w:sz w:val="24"/>
          <w:szCs w:val="24"/>
          <w:highlight w:val="none"/>
        </w:rPr>
        <w:t>否则，处以</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每处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6.6</w:t>
      </w:r>
      <w:r>
        <w:rPr>
          <w:rFonts w:hint="eastAsia" w:ascii="宋体" w:hAnsi="宋体" w:eastAsia="宋体" w:cs="宋体"/>
          <w:color w:val="auto"/>
          <w:kern w:val="0"/>
          <w:sz w:val="24"/>
          <w:szCs w:val="24"/>
          <w:highlight w:val="none"/>
        </w:rPr>
        <w:t>承包人必须文明施工，施工现场整齐规范，无乱堆乱放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由于生产、生活原因破坏生态环境，每处违约金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6.7</w:t>
      </w:r>
      <w:r>
        <w:rPr>
          <w:rFonts w:hint="eastAsia" w:ascii="宋体" w:hAnsi="宋体" w:eastAsia="宋体" w:cs="宋体"/>
          <w:color w:val="auto"/>
          <w:kern w:val="0"/>
          <w:sz w:val="24"/>
          <w:szCs w:val="24"/>
          <w:highlight w:val="none"/>
        </w:rPr>
        <w:t>特种工作人员，无证上岗的，则处以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rPr>
        <w:t>未参加岗前培训</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未购买保险的</w:t>
      </w:r>
      <w:r>
        <w:rPr>
          <w:rFonts w:hint="eastAsia" w:ascii="宋体" w:hAnsi="宋体" w:eastAsia="宋体" w:cs="宋体"/>
          <w:color w:val="auto"/>
          <w:kern w:val="0"/>
          <w:sz w:val="24"/>
          <w:szCs w:val="24"/>
          <w:highlight w:val="none"/>
          <w:lang w:eastAsia="zh-CN"/>
        </w:rPr>
        <w:t>作业</w:t>
      </w:r>
      <w:r>
        <w:rPr>
          <w:rFonts w:hint="eastAsia" w:ascii="宋体" w:hAnsi="宋体" w:eastAsia="宋体" w:cs="宋体"/>
          <w:color w:val="auto"/>
          <w:kern w:val="0"/>
          <w:sz w:val="24"/>
          <w:szCs w:val="24"/>
          <w:highlight w:val="none"/>
        </w:rPr>
        <w:t>人员从事养护施工作业，则处以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w:t>
      </w:r>
      <w:r>
        <w:rPr>
          <w:rFonts w:hint="eastAsia" w:ascii="宋体" w:hAnsi="宋体" w:eastAsia="宋体" w:cs="宋体"/>
          <w:color w:val="auto"/>
          <w:kern w:val="0"/>
          <w:sz w:val="24"/>
          <w:szCs w:val="24"/>
          <w:highlight w:val="none"/>
          <w:lang w:eastAsia="zh-CN"/>
        </w:rPr>
        <w:t>施工单位或施工现场</w:t>
      </w:r>
      <w:r>
        <w:rPr>
          <w:rFonts w:hint="eastAsia" w:ascii="宋体" w:hAnsi="宋体" w:eastAsia="宋体" w:cs="宋体"/>
          <w:color w:val="auto"/>
          <w:kern w:val="0"/>
          <w:sz w:val="24"/>
          <w:szCs w:val="24"/>
          <w:highlight w:val="none"/>
        </w:rPr>
        <w:t>有如下情况之一者，每人每次处以违约金</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w:t>
      </w:r>
      <w:r>
        <w:rPr>
          <w:rFonts w:hint="eastAsia" w:ascii="宋体" w:hAnsi="宋体" w:eastAsia="宋体" w:cs="宋体"/>
          <w:color w:val="auto"/>
          <w:kern w:val="0"/>
          <w:sz w:val="24"/>
          <w:szCs w:val="24"/>
          <w:highlight w:val="none"/>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6.9.2</w:t>
      </w:r>
      <w:r>
        <w:rPr>
          <w:rFonts w:hint="eastAsia" w:ascii="宋体" w:hAnsi="宋体" w:eastAsia="宋体" w:cs="宋体"/>
          <w:color w:val="auto"/>
          <w:kern w:val="0"/>
          <w:sz w:val="24"/>
          <w:szCs w:val="24"/>
          <w:highlight w:val="none"/>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6.9.3</w:t>
      </w:r>
      <w:r>
        <w:rPr>
          <w:rFonts w:hint="eastAsia" w:ascii="宋体" w:hAnsi="宋体" w:eastAsia="宋体" w:cs="宋体"/>
          <w:color w:val="auto"/>
          <w:kern w:val="0"/>
          <w:sz w:val="24"/>
          <w:szCs w:val="24"/>
          <w:highlight w:val="none"/>
        </w:rPr>
        <w:t>发现事故隐患苗头，未采取积极有效措施及时整改者。</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6.9.4</w:t>
      </w:r>
      <w:r>
        <w:rPr>
          <w:rFonts w:hint="eastAsia" w:ascii="宋体" w:hAnsi="宋体" w:eastAsia="宋体" w:cs="宋体"/>
          <w:color w:val="auto"/>
          <w:kern w:val="0"/>
          <w:sz w:val="24"/>
          <w:szCs w:val="24"/>
          <w:highlight w:val="none"/>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6.9.5</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6.9.6</w:t>
      </w:r>
      <w:r>
        <w:rPr>
          <w:rFonts w:hint="eastAsia" w:ascii="宋体" w:hAnsi="宋体" w:eastAsia="宋体" w:cs="宋体"/>
          <w:color w:val="auto"/>
          <w:kern w:val="0"/>
          <w:sz w:val="24"/>
          <w:szCs w:val="24"/>
          <w:highlight w:val="none"/>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6.9.7</w:t>
      </w:r>
      <w:r>
        <w:rPr>
          <w:rFonts w:hint="eastAsia" w:ascii="宋体" w:hAnsi="宋体" w:eastAsia="宋体" w:cs="宋体"/>
          <w:color w:val="auto"/>
          <w:kern w:val="0"/>
          <w:sz w:val="24"/>
          <w:szCs w:val="24"/>
          <w:highlight w:val="none"/>
        </w:rPr>
        <w:t>在未摆放安全锥标</w:t>
      </w:r>
      <w:r>
        <w:rPr>
          <w:rFonts w:hint="eastAsia" w:ascii="宋体" w:hAnsi="宋体" w:eastAsia="宋体" w:cs="宋体"/>
          <w:color w:val="auto"/>
          <w:kern w:val="0"/>
          <w:sz w:val="24"/>
          <w:szCs w:val="24"/>
          <w:highlight w:val="none"/>
          <w:lang w:eastAsia="zh-CN"/>
        </w:rPr>
        <w:t>情况下在</w:t>
      </w:r>
      <w:r>
        <w:rPr>
          <w:rFonts w:hint="eastAsia" w:ascii="宋体" w:hAnsi="宋体" w:eastAsia="宋体" w:cs="宋体"/>
          <w:color w:val="auto"/>
          <w:kern w:val="0"/>
          <w:sz w:val="24"/>
          <w:szCs w:val="24"/>
          <w:highlight w:val="none"/>
        </w:rPr>
        <w:t>紧急停车带内临时停车</w:t>
      </w:r>
      <w:r>
        <w:rPr>
          <w:rFonts w:hint="eastAsia" w:ascii="宋体" w:hAnsi="宋体" w:eastAsia="宋体" w:cs="宋体"/>
          <w:color w:val="auto"/>
          <w:kern w:val="0"/>
          <w:sz w:val="24"/>
          <w:szCs w:val="24"/>
          <w:highlight w:val="none"/>
          <w:lang w:eastAsia="zh-CN"/>
        </w:rPr>
        <w:t>作业、较长时间停车情况下车内留人</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6.9.8</w:t>
      </w:r>
      <w:r>
        <w:rPr>
          <w:rFonts w:hint="eastAsia" w:ascii="宋体" w:hAnsi="宋体" w:eastAsia="宋体" w:cs="宋体"/>
          <w:color w:val="auto"/>
          <w:kern w:val="0"/>
          <w:sz w:val="24"/>
          <w:szCs w:val="24"/>
          <w:highlight w:val="none"/>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6.9.9</w:t>
      </w:r>
      <w:r>
        <w:rPr>
          <w:rFonts w:hint="eastAsia" w:ascii="宋体" w:hAnsi="宋体" w:eastAsia="宋体" w:cs="宋体"/>
          <w:color w:val="auto"/>
          <w:kern w:val="0"/>
          <w:sz w:val="24"/>
          <w:szCs w:val="24"/>
          <w:highlight w:val="none"/>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6.9.10</w:t>
      </w:r>
      <w:r>
        <w:rPr>
          <w:rFonts w:hint="eastAsia" w:ascii="宋体" w:hAnsi="宋体" w:eastAsia="宋体" w:cs="宋体"/>
          <w:color w:val="auto"/>
          <w:kern w:val="0"/>
          <w:sz w:val="24"/>
          <w:szCs w:val="24"/>
          <w:highlight w:val="none"/>
        </w:rPr>
        <w:t>开展高压外线巡检、供配电维护、高位水池检查</w:t>
      </w:r>
      <w:r>
        <w:rPr>
          <w:rFonts w:hint="eastAsia" w:ascii="宋体" w:hAnsi="宋体" w:eastAsia="宋体" w:cs="宋体"/>
          <w:color w:val="auto"/>
          <w:kern w:val="0"/>
          <w:sz w:val="24"/>
          <w:szCs w:val="24"/>
          <w:highlight w:val="none"/>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0"/>
          <w:sz w:val="24"/>
          <w:szCs w:val="24"/>
          <w:highlight w:val="none"/>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执行</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承包人的项目完工后，在履约保障金在退还时，</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lang w:eastAsia="zh-CN"/>
        </w:rPr>
        <w:t>工程管理部、智能交通研发中心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在该项目实施过程中所获得的</w:t>
      </w:r>
      <w:r>
        <w:rPr>
          <w:rFonts w:hint="eastAsia" w:ascii="宋体" w:hAnsi="宋体" w:eastAsia="宋体" w:cs="宋体"/>
          <w:color w:val="auto"/>
          <w:kern w:val="0"/>
          <w:sz w:val="24"/>
          <w:szCs w:val="24"/>
          <w:highlight w:val="none"/>
          <w:lang w:val="en-US" w:eastAsia="zh-CN"/>
        </w:rPr>
        <w:t>《违约处理通知书》计算</w:t>
      </w:r>
      <w:r>
        <w:rPr>
          <w:rFonts w:hint="eastAsia" w:ascii="宋体" w:hAnsi="宋体" w:eastAsia="宋体" w:cs="宋体"/>
          <w:color w:val="auto"/>
          <w:kern w:val="0"/>
          <w:sz w:val="24"/>
          <w:szCs w:val="24"/>
          <w:highlight w:val="none"/>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4"/>
          <w:highlight w:val="none"/>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.1本规定在使用过程中，应结合</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rPr>
        <w:t>本规定对合同协议双方当事人具有约束力。若出现违约，须严格按以上规定进行违约处理，对严重违约或不履约者，</w:t>
      </w:r>
      <w:r>
        <w:rPr>
          <w:rFonts w:hint="eastAsia" w:ascii="宋体" w:hAnsi="宋体" w:eastAsia="宋体" w:cs="宋体"/>
          <w:color w:val="auto"/>
          <w:kern w:val="0"/>
          <w:sz w:val="24"/>
          <w:szCs w:val="24"/>
          <w:highlight w:val="none"/>
          <w:lang w:eastAsia="zh-CN"/>
        </w:rPr>
        <w:t>或有以上违约行为超过</w:t>
      </w:r>
      <w:r>
        <w:rPr>
          <w:rFonts w:hint="eastAsia" w:ascii="宋体" w:hAnsi="宋体" w:eastAsia="宋体" w:cs="宋体"/>
          <w:color w:val="auto"/>
          <w:kern w:val="0"/>
          <w:sz w:val="24"/>
          <w:szCs w:val="24"/>
          <w:highlight w:val="none"/>
          <w:lang w:val="en-US" w:eastAsia="zh-CN"/>
        </w:rPr>
        <w:t>2次的，</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有权</w:t>
      </w:r>
      <w:r>
        <w:rPr>
          <w:rFonts w:hint="eastAsia" w:ascii="宋体" w:hAnsi="宋体" w:eastAsia="宋体" w:cs="宋体"/>
          <w:color w:val="auto"/>
          <w:kern w:val="0"/>
          <w:sz w:val="24"/>
          <w:szCs w:val="24"/>
          <w:highlight w:val="none"/>
          <w:lang w:eastAsia="zh-CN"/>
        </w:rPr>
        <w:t>解除</w:t>
      </w:r>
      <w:r>
        <w:rPr>
          <w:rFonts w:hint="eastAsia" w:ascii="宋体" w:hAnsi="宋体" w:eastAsia="宋体" w:cs="宋体"/>
          <w:color w:val="auto"/>
          <w:kern w:val="0"/>
          <w:sz w:val="24"/>
          <w:szCs w:val="24"/>
          <w:highlight w:val="none"/>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本办法未尽事宜由</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在过程中另行补充完善和约定执行。</w:t>
      </w:r>
    </w:p>
    <w:p>
      <w:pPr>
        <w:spacing w:line="440" w:lineRule="exact"/>
        <w:rPr>
          <w:rFonts w:hint="eastAsia" w:ascii="宋体" w:hAnsi="宋体" w:eastAsia="宋体" w:cs="宋体"/>
          <w:color w:val="000000"/>
          <w:sz w:val="30"/>
          <w:szCs w:val="30"/>
          <w:highlight w:val="none"/>
        </w:rPr>
      </w:pPr>
    </w:p>
    <w:p>
      <w:pPr>
        <w:spacing w:line="240" w:lineRule="auto"/>
        <w:ind w:firstLine="0" w:firstLineChars="0"/>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spacing w:line="360" w:lineRule="auto"/>
        <w:ind w:firstLine="3213" w:firstLineChars="1000"/>
        <w:jc w:val="left"/>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违约处理</w:t>
      </w:r>
      <w:r>
        <w:rPr>
          <w:rFonts w:hint="eastAsia" w:ascii="宋体" w:hAnsi="宋体" w:eastAsia="宋体" w:cs="宋体"/>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受处理单位名称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施工项目名称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违章地点</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处理原因</w:t>
            </w: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处理依据</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处理决定</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违约金</w:t>
            </w:r>
          </w:p>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6769"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开单</w:t>
            </w:r>
            <w:r>
              <w:rPr>
                <w:rFonts w:hint="eastAsia" w:ascii="宋体" w:hAnsi="宋体" w:eastAsia="宋体" w:cs="宋体"/>
                <w:color w:val="auto"/>
                <w:kern w:val="0"/>
                <w:sz w:val="24"/>
                <w:szCs w:val="24"/>
                <w:highlight w:val="none"/>
                <w:lang w:eastAsia="zh-CN"/>
              </w:rPr>
              <w:t>部门</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开单人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接收人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注：本《违约处理通知书》一式三份，一份交违约施工单位，一份开具违约通知书部门留底，一份交职能部门。</w:t>
      </w: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3</w:t>
      </w:r>
      <w:r>
        <w:rPr>
          <w:rFonts w:hint="eastAsia" w:ascii="宋体" w:hAnsi="宋体" w:eastAsia="宋体" w:cs="宋体"/>
          <w:b/>
          <w:kern w:val="0"/>
          <w:sz w:val="32"/>
          <w:szCs w:val="32"/>
          <w:highlight w:val="none"/>
          <w:lang w:bidi="ar-SA"/>
        </w:rPr>
        <w:t>：廉政合同</w:t>
      </w:r>
    </w:p>
    <w:p>
      <w:pPr>
        <w:pStyle w:val="31"/>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31"/>
        <w:jc w:val="center"/>
        <w:rPr>
          <w:rFonts w:hint="eastAsia" w:ascii="宋体" w:hAnsi="宋体" w:eastAsia="宋体" w:cs="宋体"/>
          <w:sz w:val="24"/>
          <w:highlight w:val="none"/>
        </w:rPr>
      </w:pPr>
      <w:r>
        <w:rPr>
          <w:rFonts w:hint="eastAsia" w:ascii="宋体" w:hAnsi="宋体" w:eastAsia="宋体" w:cs="宋体"/>
          <w:b/>
          <w:sz w:val="32"/>
          <w:szCs w:val="32"/>
          <w:highlight w:val="none"/>
          <w:lang w:val="en-US" w:eastAsia="zh-CN"/>
        </w:rPr>
        <w:t>之</w:t>
      </w:r>
      <w:r>
        <w:rPr>
          <w:rFonts w:hint="eastAsia" w:ascii="宋体" w:hAnsi="宋体" w:eastAsia="宋体" w:cs="宋体"/>
          <w:b/>
          <w:sz w:val="32"/>
          <w:szCs w:val="32"/>
          <w:highlight w:val="none"/>
        </w:rPr>
        <w:t>廉政合同</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sz w:val="24"/>
          <w:highlight w:val="none"/>
          <w:u w:val="none"/>
        </w:rPr>
        <w:t>重庆首讯科技股份有限公司</w:t>
      </w:r>
      <w:r>
        <w:rPr>
          <w:rFonts w:hint="eastAsia" w:ascii="宋体" w:hAnsi="宋体" w:eastAsia="宋体" w:cs="宋体"/>
          <w:sz w:val="24"/>
          <w:highlight w:val="none"/>
        </w:rPr>
        <w:t>（以下称甲方）与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公司（以下称乙方），特订立如下合同。</w:t>
      </w:r>
    </w:p>
    <w:p>
      <w:pPr>
        <w:widowControl/>
        <w:adjustRightInd w:val="0"/>
        <w:snapToGrid w:val="0"/>
        <w:spacing w:beforeLines="0" w:afterLines="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w:t>
      </w:r>
      <w:r>
        <w:rPr>
          <w:rFonts w:hint="eastAsia" w:ascii="宋体" w:hAnsi="宋体" w:eastAsia="宋体" w:cs="宋体"/>
          <w:b/>
          <w:bCs/>
          <w:sz w:val="24"/>
          <w:highlight w:val="none"/>
          <w:lang w:val="en-US" w:eastAsia="zh-CN"/>
        </w:rPr>
        <w:t>廉政</w:t>
      </w:r>
      <w:r>
        <w:rPr>
          <w:rFonts w:hint="eastAsia" w:ascii="宋体" w:hAnsi="宋体" w:eastAsia="宋体" w:cs="宋体"/>
          <w:b/>
          <w:bCs/>
          <w:sz w:val="24"/>
          <w:highlight w:val="none"/>
        </w:rPr>
        <w:t>责任人</w:t>
      </w:r>
    </w:p>
    <w:p>
      <w:pPr>
        <w:widowControl/>
        <w:adjustRightInd w:val="0"/>
        <w:snapToGrid w:val="0"/>
        <w:spacing w:beforeLines="0" w:afterLines="0"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甲方（信创或智慧中心项目负责人）：               </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highlight w:val="none"/>
        </w:rPr>
      </w:pPr>
      <w:r>
        <w:rPr>
          <w:rFonts w:hint="eastAsia" w:ascii="宋体" w:hAnsi="宋体" w:eastAsia="宋体" w:cs="宋体"/>
          <w:b w:val="0"/>
          <w:bCs w:val="0"/>
          <w:sz w:val="24"/>
          <w:highlight w:val="none"/>
        </w:rPr>
        <w:t xml:space="preserve">乙方（此工程项目负责人）： </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、甲乙双方的权利和义务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（1）严格遵守党的政策规定和国家有关法律法规及交通部的有关规定。</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（3）建立健全廉政制度，开展廉政教育，设立廉政告示牌，公布举报电话，监督并认真查处违法违纪行为。</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（4）发现对方在业务活动中有违反廉政规定的行为，有及时提醒对方纠正的权利和义务。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Cs w:val="21"/>
          <w:highlight w:val="none"/>
        </w:rPr>
      </w:pPr>
      <w:r>
        <w:rPr>
          <w:rFonts w:hint="eastAsia" w:ascii="宋体" w:hAnsi="宋体" w:eastAsia="宋体" w:cs="宋体"/>
          <w:sz w:val="24"/>
          <w:highlight w:val="none"/>
        </w:rPr>
        <w:t>（5）发现对方严重违反本合同义务条款的行为，有向上级有关部门举报、建议给予处理并要求告知处理结果的权利。</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、甲方的义务</w:t>
      </w:r>
    </w:p>
    <w:p>
      <w:pPr>
        <w:widowControl/>
        <w:tabs>
          <w:tab w:val="left" w:pos="3936"/>
        </w:tabs>
        <w:adjustRightInd w:val="0"/>
        <w:snapToGrid w:val="0"/>
        <w:spacing w:beforeLines="0" w:afterLines="0" w:line="360" w:lineRule="auto"/>
        <w:ind w:firstLine="420" w:firstLineChars="200"/>
        <w:jc w:val="left"/>
        <w:rPr>
          <w:rFonts w:hint="eastAsia" w:ascii="宋体" w:hAnsi="宋体" w:eastAsia="宋体" w:cs="宋体"/>
          <w:sz w:val="24"/>
          <w:highlight w:val="none"/>
        </w:rPr>
      </w:pPr>
      <w:r>
        <w:rPr>
          <w:rFonts w:hint="eastAsia" w:ascii="宋体" w:hAnsi="宋体" w:eastAsia="宋体" w:cs="宋体"/>
          <w:szCs w:val="21"/>
          <w:highlight w:val="none"/>
        </w:rPr>
        <w:t>（</w:t>
      </w:r>
      <w:r>
        <w:rPr>
          <w:rFonts w:hint="eastAsia" w:ascii="宋体" w:hAnsi="宋体" w:eastAsia="宋体" w:cs="宋体"/>
          <w:sz w:val="24"/>
          <w:highlight w:val="none"/>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（2）甲方工作人员不得参加乙方安排的超标准宴请和娱乐活动；不得接受乙方提供的通讯工具、交通工具和高档办公用品等。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（4）甲方工作人员及其配偶、子女不得从事与甲方工程有关部门的材料设备供应、工程分包、劳务等经济活动等。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（5）甲方及其工作人员不得以任何理由向乙方推荐分包单位或推销材料，不得要求乙方购买合同规定外的材料和设备。</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、乙方义务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（1）乙方不得以任何理由向甲方及其工作人员行贿或馈赠礼金、有价证券、贵重物品。</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（2）乙方不得以任何名义为甲方及其工作人员报销应由甲方单位或个人支付的任何费用。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（3）乙方不得以任何理由邀请甲方工作人员外出旅游或安排甲方人员参加超标准宴请及娱乐活动。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（4）乙方不得为甲方单位和个人购置或提供通讯工具、交通工具和高档办公用品等。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、违约责任</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、双方约定</w:t>
      </w:r>
      <w:r>
        <w:rPr>
          <w:rFonts w:hint="eastAsia" w:ascii="宋体" w:hAnsi="宋体" w:eastAsia="宋体" w:cs="宋体"/>
          <w:szCs w:val="21"/>
          <w:highlight w:val="none"/>
        </w:rPr>
        <w:t>：</w:t>
      </w:r>
      <w:r>
        <w:rPr>
          <w:rFonts w:hint="eastAsia" w:ascii="宋体" w:hAnsi="宋体" w:eastAsia="宋体" w:cs="宋体"/>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sz w:val="24"/>
          <w:highlight w:val="none"/>
        </w:rPr>
        <w:t>本合同有效期为甲乙双方签署之日起至该工程项目竣工后止。</w:t>
      </w:r>
    </w:p>
    <w:p>
      <w:pPr>
        <w:widowControl/>
        <w:adjustRightInd w:val="0"/>
        <w:snapToGrid w:val="0"/>
        <w:spacing w:beforeLines="0" w:afterLines="0" w:line="360" w:lineRule="auto"/>
        <w:jc w:val="left"/>
        <w:rPr>
          <w:rFonts w:hint="eastAsia" w:ascii="宋体" w:hAnsi="宋体" w:eastAsia="宋体" w:cs="宋体"/>
          <w:szCs w:val="21"/>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w:t>
      </w:r>
      <w:r>
        <w:rPr>
          <w:rFonts w:hint="eastAsia" w:ascii="宋体" w:hAnsi="宋体" w:eastAsia="宋体" w:cs="宋体"/>
          <w:sz w:val="24"/>
          <w:highlight w:val="none"/>
        </w:rPr>
        <w:t>本合同一式两份，甲、乙双方各执一份。</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adjustRightInd w:val="0"/>
        <w:snapToGrid w:val="0"/>
        <w:spacing w:beforeLines="0" w:afterLines="0"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beforeLines="0" w:afterLines="0" w:line="360" w:lineRule="auto"/>
        <w:jc w:val="left"/>
        <w:rPr>
          <w:rFonts w:hint="eastAsia" w:ascii="宋体" w:hAnsi="宋体" w:eastAsia="宋体" w:cs="宋体"/>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adjustRightInd w:val="0"/>
        <w:snapToGrid w:val="0"/>
        <w:spacing w:beforeLines="0" w:afterLines="0"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pStyle w:val="10"/>
        <w:ind w:left="0" w:leftChars="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left"/>
        <w:rPr>
          <w:rFonts w:hint="eastAsia" w:ascii="宋体" w:hAnsi="宋体" w:eastAsia="宋体" w:cs="宋体"/>
          <w:b/>
          <w:sz w:val="32"/>
          <w:szCs w:val="32"/>
          <w:highlight w:val="none"/>
          <w:lang w:eastAsia="zh-CN"/>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4</w:t>
      </w:r>
      <w:r>
        <w:rPr>
          <w:rFonts w:hint="eastAsia" w:ascii="宋体" w:hAnsi="宋体" w:eastAsia="宋体" w:cs="宋体"/>
          <w:b/>
          <w:kern w:val="0"/>
          <w:sz w:val="32"/>
          <w:szCs w:val="32"/>
          <w:highlight w:val="none"/>
          <w:lang w:bidi="ar-SA"/>
        </w:rPr>
        <w:t>：环境保护</w:t>
      </w:r>
      <w:r>
        <w:rPr>
          <w:rFonts w:hint="eastAsia" w:ascii="宋体" w:hAnsi="宋体" w:eastAsia="宋体" w:cs="宋体"/>
          <w:b/>
          <w:kern w:val="0"/>
          <w:sz w:val="32"/>
          <w:szCs w:val="32"/>
          <w:highlight w:val="none"/>
          <w:lang w:val="en-US" w:eastAsia="zh-CN" w:bidi="ar-SA"/>
        </w:rPr>
        <w:t>协议</w:t>
      </w:r>
    </w:p>
    <w:p>
      <w:pPr>
        <w:widowControl/>
        <w:spacing w:line="360" w:lineRule="auto"/>
        <w:jc w:val="left"/>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 xml:space="preserve">  </w:t>
      </w:r>
    </w:p>
    <w:p>
      <w:pPr>
        <w:widowControl/>
        <w:spacing w:line="360" w:lineRule="auto"/>
        <w:jc w:val="left"/>
        <w:rPr>
          <w:rFonts w:hint="eastAsia" w:ascii="宋体" w:hAnsi="宋体" w:eastAsia="宋体" w:cs="宋体"/>
          <w:b/>
          <w:bCs/>
          <w:sz w:val="32"/>
          <w:szCs w:val="32"/>
          <w:highlight w:val="none"/>
          <w:u w:val="none"/>
          <w:lang w:val="en-US" w:eastAsia="zh-CN"/>
        </w:rPr>
      </w:pPr>
      <w:r>
        <w:rPr>
          <w:rFonts w:hint="eastAsia" w:ascii="宋体" w:hAnsi="宋体" w:eastAsia="宋体" w:cs="宋体"/>
          <w:sz w:val="24"/>
          <w:highlight w:val="none"/>
          <w:u w:val="none"/>
          <w:lang w:val="en-US" w:eastAsia="zh-CN"/>
        </w:rPr>
        <w:t xml:space="preserve">                      </w:t>
      </w: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24"/>
        <w:tabs>
          <w:tab w:val="left" w:pos="1200"/>
          <w:tab w:val="right" w:leader="dot" w:pos="9730"/>
        </w:tabs>
        <w:rPr>
          <w:rFonts w:hint="eastAsia" w:ascii="宋体" w:hAnsi="宋体" w:eastAsia="宋体" w:cs="宋体"/>
          <w:b/>
          <w:bCs/>
          <w:sz w:val="32"/>
          <w:szCs w:val="32"/>
          <w:highlight w:val="none"/>
        </w:rPr>
      </w:pPr>
      <w:r>
        <w:rPr>
          <w:rFonts w:hint="eastAsia" w:ascii="宋体" w:hAnsi="宋体" w:eastAsia="宋体" w:cs="宋体"/>
          <w:b/>
          <w:bCs/>
          <w:sz w:val="24"/>
          <w:highlight w:val="none"/>
          <w:u w:val="none"/>
          <w:lang w:val="en-US" w:eastAsia="zh-CN"/>
        </w:rPr>
        <w:t xml:space="preserve">                            </w:t>
      </w:r>
      <w:r>
        <w:rPr>
          <w:rFonts w:hint="eastAsia" w:ascii="宋体" w:hAnsi="宋体" w:eastAsia="宋体" w:cs="宋体"/>
          <w:b/>
          <w:bCs/>
          <w:sz w:val="32"/>
          <w:szCs w:val="32"/>
          <w:highlight w:val="none"/>
          <w:u w:val="none"/>
          <w:lang w:val="en-US" w:eastAsia="zh-CN"/>
        </w:rPr>
        <w:t>之环境保护协议</w:t>
      </w:r>
      <w:r>
        <w:rPr>
          <w:rFonts w:hint="eastAsia" w:ascii="宋体" w:hAnsi="宋体" w:eastAsia="宋体" w:cs="宋体"/>
          <w:b/>
          <w:bCs/>
          <w:sz w:val="24"/>
          <w:highlight w:val="none"/>
          <w:u w:val="none"/>
          <w:lang w:val="en-US" w:eastAsia="zh-CN"/>
        </w:rPr>
        <w:t xml:space="preserve">              </w:t>
      </w:r>
    </w:p>
    <w:p>
      <w:pPr>
        <w:widowControl/>
        <w:spacing w:line="360" w:lineRule="auto"/>
        <w:ind w:firstLine="420" w:firstLineChars="200"/>
        <w:jc w:val="left"/>
        <w:rPr>
          <w:rFonts w:hint="eastAsia" w:ascii="宋体" w:hAnsi="宋体" w:eastAsia="宋体" w:cs="宋体"/>
          <w:b w:val="0"/>
          <w:bCs w:val="0"/>
          <w:sz w:val="24"/>
          <w:highlight w:val="none"/>
        </w:rPr>
      </w:pPr>
      <w:r>
        <w:rPr>
          <w:rFonts w:hint="eastAsia" w:ascii="宋体" w:hAnsi="宋体" w:eastAsia="宋体" w:cs="宋体"/>
          <w:highlight w:val="none"/>
        </w:rPr>
        <w:t>为</w:t>
      </w:r>
      <w:r>
        <w:rPr>
          <w:rFonts w:hint="eastAsia" w:ascii="宋体" w:hAnsi="宋体" w:eastAsia="宋体" w:cs="宋体"/>
          <w:b w:val="0"/>
          <w:bCs w:val="0"/>
          <w:sz w:val="24"/>
          <w:highlight w:val="none"/>
        </w:rPr>
        <w:t>遵守《中华人民共和国环境保护法》《中华人民共和国安全生产法》及国家地方各项环境保护法律法规，保证施工生产符合环境管理要求，确保在实施过程中对周</w:t>
      </w:r>
      <w:r>
        <w:rPr>
          <w:rFonts w:hint="eastAsia" w:ascii="宋体" w:hAnsi="宋体" w:eastAsia="宋体" w:cs="宋体"/>
          <w:b w:val="0"/>
          <w:bCs w:val="0"/>
          <w:sz w:val="24"/>
          <w:highlight w:val="none"/>
          <w:lang w:val="en-US" w:eastAsia="zh-CN"/>
        </w:rPr>
        <w:t>边环境</w:t>
      </w:r>
      <w:r>
        <w:rPr>
          <w:rFonts w:hint="eastAsia" w:ascii="宋体" w:hAnsi="宋体" w:eastAsia="宋体" w:cs="宋体"/>
          <w:b w:val="0"/>
          <w:bCs w:val="0"/>
          <w:sz w:val="24"/>
          <w:highlight w:val="none"/>
        </w:rPr>
        <w:t>的保护，经甲乙双方协商，签订本协议。</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一、此项工程甲乙双方环保责任人</w:t>
      </w:r>
    </w:p>
    <w:p>
      <w:pPr>
        <w:widowControl/>
        <w:spacing w:line="360" w:lineRule="auto"/>
        <w:ind w:firstLine="480" w:firstLineChars="200"/>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甲方（项目负责人）：</w:t>
      </w:r>
      <w:r>
        <w:rPr>
          <w:rFonts w:hint="eastAsia" w:ascii="宋体" w:hAnsi="宋体" w:eastAsia="宋体" w:cs="宋体"/>
          <w:b w:val="0"/>
          <w:bCs w:val="0"/>
          <w:sz w:val="24"/>
          <w:highlight w:val="none"/>
          <w:u w:val="single"/>
        </w:rPr>
        <w:t xml:space="preserve">               </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乙方（此工程项目负责人）：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 xml:space="preserve"> </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1.严格遵守国家有关环境保护的法律法规，认真执行工程施工合同中的有关环保要求。</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2.监督检查乙方，对乙方在施工和提供其他服务的过程中在环境保护是否进行有效控制。</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4.针对项目特点，甲方对乙方进行环保交底工作，施工过程中监督乙方按交底内容实施。</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2.甲方对重大环境因素所提出的控制措施，乙方应负责进行有针对性的控制和实施。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8.乙方进入施工现场前，必须接受甲方环境保护培训，以提高作业人员环境保护意识。</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9.乙方必须按照甲方环境方针要求，排查各作业点环境因素，并制定相应措施。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10.乙方在土方开挖、运输、回填土作业时，必须要有防尘措施。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11.乙方作业人员要做到工完料净场地清，避免造成环境污染。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12.乙方施工机械、车辆尾气排放必须符合国家规定，不的泄露油污。</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1.本协议作为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的附件，与工程施工合同具有同等的法律效力。</w:t>
      </w:r>
    </w:p>
    <w:p>
      <w:pPr>
        <w:widowControl/>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sz w:val="24"/>
          <w:highlight w:val="none"/>
        </w:rPr>
        <w:t>2.本协议一式贰份，甲方执壹份，乙方执壹份。</w:t>
      </w:r>
      <w:r>
        <w:rPr>
          <w:rFonts w:hint="eastAsia" w:ascii="宋体" w:hAnsi="宋体" w:eastAsia="宋体" w:cs="宋体"/>
          <w:b w:val="0"/>
          <w:bCs w:val="0"/>
          <w:color w:val="auto"/>
          <w:sz w:val="24"/>
          <w:highlight w:val="none"/>
        </w:rPr>
        <w:t>由双方法定代表人或其授权的代理人签署盖章后生效，全部工程完工验收后终止。</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3.因协议在履行过程中所产生的争议，双方协商解决，协商不成的，提交甲方所在地有管辖权的人民法院管辖。</w:t>
      </w: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spacing w:line="360" w:lineRule="auto"/>
        <w:jc w:val="left"/>
        <w:rPr>
          <w:rFonts w:hint="eastAsia" w:ascii="宋体" w:hAnsi="宋体" w:eastAsia="宋体" w:cs="宋体"/>
          <w:b w:val="0"/>
          <w:bCs w:val="0"/>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spacing w:line="360" w:lineRule="auto"/>
        <w:jc w:val="left"/>
        <w:rPr>
          <w:rFonts w:hint="eastAsia" w:ascii="宋体" w:hAnsi="宋体" w:eastAsia="宋体" w:cs="宋体"/>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spacing w:line="360" w:lineRule="auto"/>
        <w:jc w:val="left"/>
        <w:rPr>
          <w:rFonts w:hint="eastAsia" w:ascii="宋体" w:hAnsi="宋体" w:eastAsia="宋体" w:cs="宋体"/>
          <w:b w:val="0"/>
          <w:bCs w:val="0"/>
          <w:sz w:val="24"/>
          <w:highlight w:val="none"/>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spacing w:line="360" w:lineRule="auto"/>
        <w:jc w:val="left"/>
        <w:rPr>
          <w:rFonts w:hint="eastAsia" w:ascii="宋体" w:hAnsi="宋体" w:eastAsia="宋体" w:cs="宋体"/>
          <w:b w:val="0"/>
          <w:bCs w:val="0"/>
          <w:sz w:val="24"/>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spacing w:line="440" w:lineRule="exact"/>
        <w:rPr>
          <w:rFonts w:hint="eastAsia" w:ascii="宋体" w:hAnsi="宋体" w:eastAsia="宋体" w:cs="宋体"/>
          <w:color w:val="000000"/>
          <w:sz w:val="30"/>
          <w:szCs w:val="30"/>
          <w:highlight w:val="none"/>
        </w:rPr>
      </w:pPr>
    </w:p>
    <w:p>
      <w:pPr>
        <w:pStyle w:val="24"/>
        <w:tabs>
          <w:tab w:val="right" w:leader="dot" w:pos="8296"/>
        </w:tabs>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color w:val="000000"/>
          <w:sz w:val="30"/>
          <w:szCs w:val="30"/>
          <w:highlight w:val="none"/>
          <w:lang w:val="en-US" w:eastAsia="zh-CN"/>
        </w:rPr>
      </w:pPr>
    </w:p>
    <w:p>
      <w:pPr>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highlight w:val="none"/>
          <w:lang w:val="en-US" w:eastAsia="zh-CN"/>
        </w:rPr>
      </w:pPr>
    </w:p>
    <w:p>
      <w:pPr>
        <w:spacing w:line="440" w:lineRule="exact"/>
        <w:jc w:val="left"/>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附件5:(适用于2000 万元以上的建设类项目合同</w:t>
      </w:r>
      <w:r>
        <w:rPr>
          <w:rFonts w:hint="eastAsia" w:ascii="宋体" w:hAnsi="宋体" w:eastAsia="宋体" w:cs="宋体"/>
          <w:b/>
          <w:bCs/>
          <w:color w:val="000000"/>
          <w:sz w:val="30"/>
          <w:szCs w:val="30"/>
          <w:highlight w:val="none"/>
          <w:lang w:eastAsia="zh-CN"/>
        </w:rPr>
        <w:t>）</w:t>
      </w:r>
    </w:p>
    <w:p>
      <w:pPr>
        <w:keepNext w:val="0"/>
        <w:keepLines w:val="0"/>
        <w:widowControl/>
        <w:suppressLineNumbers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诚信合规协议</w:t>
      </w: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乙方：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本协议为各方签订的</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（以下简称“合同”）的重要组成部分，经各方协商一致，同意共同遵守。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一、遵守反腐败法律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（一）为以下目的给予或承诺给予公务人员、个人或法人任何利益：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 不当影响公务人员的行为或决定；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 诱使公务人员违反其法定职责从而作为或不作为；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3. 诱使公务人员直接通过其个人影响力，或通过其对国内外政府或政府部门的影响力，影响该政府或政府部门的行为或决定；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4. 协助各方不当获得或保持商业机会或使其获得不当优势。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（二）为以下目的给予或承诺给予个人任何利益，无论其是否为公务人员：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1、意图使该个人不当履行其应尽的职责或义务；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2、知晓该个人接受利益即构成不当履行其应尽的职责或义务。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二、持续义务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公务人员参与</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四、无私设资金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五、免责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六、终止权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七、审核权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八、调查通知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咨询举报邮箱：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九、本协议有效期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本协议有效期与合同的有效期一致。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十、本协议生效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本协议一式</w:t>
      </w:r>
      <w:r>
        <w:rPr>
          <w:rFonts w:hint="eastAsia" w:ascii="宋体" w:hAnsi="宋体" w:eastAsia="宋体" w:cs="宋体"/>
          <w:color w:val="FF0000"/>
          <w:kern w:val="0"/>
          <w:sz w:val="24"/>
          <w:highlight w:val="none"/>
          <w:lang w:val="en-US" w:eastAsia="zh-CN"/>
        </w:rPr>
        <w:t>X</w:t>
      </w:r>
      <w:r>
        <w:rPr>
          <w:rFonts w:hint="eastAsia" w:ascii="宋体" w:hAnsi="宋体" w:eastAsia="宋体" w:cs="宋体"/>
          <w:color w:val="auto"/>
          <w:kern w:val="0"/>
          <w:sz w:val="24"/>
          <w:highlight w:val="none"/>
          <w:lang w:val="en-US" w:eastAsia="zh-CN"/>
        </w:rPr>
        <w:t xml:space="preserve">份，经各方盖章后生效，具有同等法律效力。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附：公务人员的定义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本协议中的“公务人员”应包括但不限于其他单位的下列人员：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（一）政府部门的官员、雇员、代表以及代表政府或者经公共权力机构授权的人员；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（二）国际组织的官员、雇员和代表;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（三）行使公共权力的政治组织的官员、雇员、代表，或皇室成员;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（四）政府直接或间接控制或施加决定性影响力的国有企业的人员。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（以下无正文）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甲方（盖章）                              乙方（盖章）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年 月 日                                   年 月 日</w:t>
      </w:r>
    </w:p>
    <w:p>
      <w:pPr>
        <w:pStyle w:val="24"/>
        <w:tabs>
          <w:tab w:val="right" w:leader="dot" w:pos="8296"/>
        </w:tabs>
        <w:rPr>
          <w:rFonts w:hint="eastAsia" w:ascii="宋体" w:hAnsi="宋体" w:eastAsia="宋体" w:cs="宋体"/>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jc w:val="left"/>
        <w:rPr>
          <w:rFonts w:hint="eastAsia" w:ascii="宋体" w:hAnsi="宋体" w:eastAsia="宋体" w:cs="宋体"/>
          <w:b/>
          <w:bCs/>
          <w:color w:val="000000"/>
          <w:kern w:val="2"/>
          <w:sz w:val="30"/>
          <w:szCs w:val="30"/>
          <w:highlight w:val="none"/>
          <w:lang w:bidi="ar-SA"/>
        </w:rPr>
      </w:pPr>
    </w:p>
    <w:p>
      <w:pPr>
        <w:spacing w:line="440" w:lineRule="exact"/>
        <w:jc w:val="left"/>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b/>
          <w:bCs/>
          <w:color w:val="000000"/>
          <w:kern w:val="2"/>
          <w:sz w:val="30"/>
          <w:szCs w:val="30"/>
          <w:highlight w:val="none"/>
          <w:lang w:bidi="ar-SA"/>
        </w:rPr>
      </w:pPr>
    </w:p>
    <w:p>
      <w:pPr>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highlight w:val="none"/>
        </w:rPr>
      </w:pPr>
    </w:p>
    <w:p>
      <w:pPr>
        <w:spacing w:line="240" w:lineRule="auto"/>
        <w:jc w:val="left"/>
        <w:rPr>
          <w:rFonts w:hint="eastAsia" w:ascii="宋体" w:hAnsi="宋体" w:eastAsia="宋体" w:cs="宋体"/>
          <w:b/>
          <w:bCs/>
          <w:color w:val="000000"/>
          <w:kern w:val="2"/>
          <w:sz w:val="30"/>
          <w:szCs w:val="30"/>
          <w:highlight w:val="none"/>
          <w:lang w:bidi="ar-SA"/>
        </w:rPr>
      </w:pPr>
      <w:r>
        <w:rPr>
          <w:rFonts w:hint="eastAsia" w:ascii="宋体" w:hAnsi="宋体" w:eastAsia="宋体" w:cs="宋体"/>
          <w:b/>
          <w:bCs/>
          <w:color w:val="000000"/>
          <w:kern w:val="2"/>
          <w:sz w:val="30"/>
          <w:szCs w:val="30"/>
          <w:highlight w:val="none"/>
          <w:lang w:bidi="ar-SA"/>
        </w:rPr>
        <w:br w:type="page"/>
      </w:r>
    </w:p>
    <w:p>
      <w:pPr>
        <w:spacing w:line="440" w:lineRule="exact"/>
        <w:jc w:val="left"/>
        <w:rPr>
          <w:rFonts w:hint="eastAsia" w:ascii="宋体" w:hAnsi="宋体" w:eastAsia="宋体" w:cs="宋体"/>
          <w:b/>
          <w:bCs/>
          <w:color w:val="000000"/>
          <w:kern w:val="2"/>
          <w:sz w:val="30"/>
          <w:szCs w:val="30"/>
          <w:highlight w:val="none"/>
          <w:lang w:eastAsia="zh-CN" w:bidi="ar-SA"/>
        </w:rPr>
      </w:pPr>
      <w:r>
        <w:rPr>
          <w:rFonts w:hint="eastAsia" w:ascii="宋体" w:hAnsi="宋体" w:eastAsia="宋体" w:cs="宋体"/>
          <w:b/>
          <w:bCs/>
          <w:color w:val="000000"/>
          <w:kern w:val="2"/>
          <w:sz w:val="30"/>
          <w:szCs w:val="30"/>
          <w:highlight w:val="none"/>
          <w:lang w:bidi="ar-SA"/>
        </w:rPr>
        <w:t>附件</w:t>
      </w:r>
      <w:r>
        <w:rPr>
          <w:rFonts w:hint="eastAsia" w:ascii="宋体" w:hAnsi="宋体" w:eastAsia="宋体" w:cs="宋体"/>
          <w:b/>
          <w:bCs/>
          <w:color w:val="000000"/>
          <w:kern w:val="2"/>
          <w:sz w:val="30"/>
          <w:szCs w:val="30"/>
          <w:highlight w:val="none"/>
          <w:lang w:val="en-US" w:eastAsia="zh-CN" w:bidi="ar-SA"/>
        </w:rPr>
        <w:t>6</w:t>
      </w:r>
      <w:r>
        <w:rPr>
          <w:rFonts w:hint="eastAsia" w:ascii="宋体" w:hAnsi="宋体" w:eastAsia="宋体" w:cs="宋体"/>
          <w:b/>
          <w:bCs/>
          <w:color w:val="000000"/>
          <w:kern w:val="2"/>
          <w:sz w:val="30"/>
          <w:szCs w:val="30"/>
          <w:highlight w:val="none"/>
          <w:lang w:bidi="ar-SA"/>
        </w:rPr>
        <w:t>：授权委托书</w:t>
      </w:r>
    </w:p>
    <w:p>
      <w:pPr>
        <w:pStyle w:val="6"/>
        <w:rPr>
          <w:rFonts w:hint="eastAsia" w:ascii="宋体" w:hAnsi="宋体" w:eastAsia="宋体" w:cs="宋体"/>
          <w:highlight w:val="none"/>
          <w:lang w:val="en-US" w:eastAsia="zh-CN"/>
        </w:rPr>
      </w:pPr>
    </w:p>
    <w:p>
      <w:pPr>
        <w:pStyle w:val="24"/>
        <w:tabs>
          <w:tab w:val="right" w:leader="dot" w:pos="8296"/>
        </w:tabs>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24"/>
        <w:tabs>
          <w:tab w:val="right" w:leader="dot" w:pos="8296"/>
        </w:tabs>
        <w:rPr>
          <w:rFonts w:hint="eastAsia" w:ascii="宋体" w:hAnsi="宋体" w:eastAsia="宋体" w:cs="宋体"/>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440" w:lineRule="exact"/>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附件</w:t>
      </w:r>
      <w:r>
        <w:rPr>
          <w:rFonts w:hint="eastAsia" w:ascii="宋体" w:hAnsi="宋体" w:eastAsia="宋体" w:cs="宋体"/>
          <w:b/>
          <w:bCs/>
          <w:color w:val="000000"/>
          <w:sz w:val="30"/>
          <w:szCs w:val="30"/>
          <w:highlight w:val="none"/>
          <w:lang w:val="en-US" w:eastAsia="zh-CN"/>
        </w:rPr>
        <w:t>7</w:t>
      </w:r>
      <w:r>
        <w:rPr>
          <w:rFonts w:hint="eastAsia" w:ascii="宋体" w:hAnsi="宋体" w:eastAsia="宋体" w:cs="宋体"/>
          <w:b/>
          <w:bCs/>
          <w:color w:val="000000"/>
          <w:sz w:val="30"/>
          <w:szCs w:val="30"/>
          <w:highlight w:val="none"/>
        </w:rPr>
        <w:t>：项目经理任命书</w:t>
      </w:r>
      <w:r>
        <w:rPr>
          <w:rFonts w:hint="eastAsia" w:ascii="宋体" w:hAnsi="宋体" w:eastAsia="宋体" w:cs="宋体"/>
          <w:b/>
          <w:bCs/>
          <w:color w:val="000000"/>
          <w:sz w:val="30"/>
          <w:szCs w:val="30"/>
          <w:highlight w:val="none"/>
        </w:rPr>
        <w:tab/>
      </w: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 xml:space="preserve">                      </w:t>
      </w:r>
      <w:r>
        <w:rPr>
          <w:rFonts w:hint="eastAsia" w:ascii="宋体" w:hAnsi="宋体" w:eastAsia="宋体" w:cs="宋体"/>
          <w:b/>
          <w:bCs/>
          <w:color w:val="000000"/>
          <w:sz w:val="30"/>
          <w:szCs w:val="30"/>
          <w:highlight w:val="none"/>
        </w:rPr>
        <w:t>项目经理任命书</w:t>
      </w:r>
    </w:p>
    <w:p>
      <w:pPr>
        <w:spacing w:line="440" w:lineRule="exact"/>
        <w:rPr>
          <w:rFonts w:hint="eastAsia" w:ascii="宋体" w:hAnsi="宋体" w:eastAsia="宋体" w:cs="宋体"/>
          <w:color w:val="000000"/>
          <w:sz w:val="30"/>
          <w:szCs w:val="30"/>
          <w:highlight w:val="none"/>
        </w:rPr>
      </w:pPr>
    </w:p>
    <w:p>
      <w:pPr>
        <w:spacing w:line="360" w:lineRule="auto"/>
        <w:ind w:firstLine="600" w:firstLineChars="200"/>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经公司研究决定，任命</w:t>
      </w:r>
      <w:r>
        <w:rPr>
          <w:rFonts w:hint="eastAsia" w:ascii="宋体" w:hAnsi="宋体" w:eastAsia="宋体" w:cs="宋体"/>
          <w:color w:val="FF0000"/>
          <w:sz w:val="30"/>
          <w:szCs w:val="30"/>
          <w:highlight w:val="none"/>
          <w:u w:val="single"/>
        </w:rPr>
        <w:t xml:space="preserve"> XX </w:t>
      </w:r>
      <w:r>
        <w:rPr>
          <w:rFonts w:hint="eastAsia" w:ascii="宋体" w:hAnsi="宋体" w:eastAsia="宋体" w:cs="宋体"/>
          <w:color w:val="000000"/>
          <w:sz w:val="30"/>
          <w:szCs w:val="30"/>
          <w:highlight w:val="none"/>
        </w:rPr>
        <w:t xml:space="preserve">同志担任 </w:t>
      </w:r>
      <w:r>
        <w:rPr>
          <w:rFonts w:hint="eastAsia" w:ascii="宋体" w:hAnsi="宋体" w:eastAsia="宋体" w:cs="宋体"/>
          <w:color w:val="FF0000"/>
          <w:sz w:val="30"/>
          <w:szCs w:val="30"/>
          <w:highlight w:val="none"/>
          <w:u w:val="single"/>
        </w:rPr>
        <w:t>XXXXXX</w:t>
      </w:r>
      <w:r>
        <w:rPr>
          <w:rFonts w:hint="eastAsia" w:ascii="宋体" w:hAnsi="宋体" w:eastAsia="宋体" w:cs="宋体"/>
          <w:color w:val="000000"/>
          <w:sz w:val="30"/>
          <w:szCs w:val="30"/>
          <w:highlight w:val="none"/>
        </w:rPr>
        <w:t>项目的项目经理，负责该工程项目管理工作，并负责处理该工程项目的一切事务。</w:t>
      </w:r>
    </w:p>
    <w:p>
      <w:pPr>
        <w:spacing w:line="360" w:lineRule="auto"/>
        <w:ind w:firstLine="600" w:firstLineChars="200"/>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特此任命！</w:t>
      </w:r>
    </w:p>
    <w:p>
      <w:pPr>
        <w:spacing w:line="440" w:lineRule="exact"/>
        <w:rPr>
          <w:rFonts w:hint="eastAsia" w:ascii="宋体" w:hAnsi="宋体" w:eastAsia="宋体" w:cs="宋体"/>
          <w:color w:val="000000"/>
          <w:sz w:val="30"/>
          <w:szCs w:val="30"/>
          <w:highlight w:val="none"/>
        </w:rPr>
      </w:pPr>
    </w:p>
    <w:p>
      <w:pPr>
        <w:spacing w:line="440" w:lineRule="exact"/>
        <w:ind w:firstLine="5400" w:firstLineChars="1800"/>
        <w:rPr>
          <w:rFonts w:hint="eastAsia" w:ascii="宋体" w:hAnsi="宋体" w:eastAsia="宋体" w:cs="宋体"/>
          <w:color w:val="FF0000"/>
          <w:sz w:val="30"/>
          <w:szCs w:val="30"/>
          <w:highlight w:val="none"/>
        </w:rPr>
      </w:pPr>
      <w:r>
        <w:rPr>
          <w:rFonts w:hint="eastAsia" w:ascii="宋体" w:hAnsi="宋体" w:eastAsia="宋体" w:cs="宋体"/>
          <w:color w:val="FF0000"/>
          <w:sz w:val="30"/>
          <w:szCs w:val="30"/>
          <w:highlight w:val="none"/>
        </w:rPr>
        <w:t xml:space="preserve">XXXXXXXXXXXX公司  </w:t>
      </w:r>
    </w:p>
    <w:p>
      <w:pPr>
        <w:spacing w:line="440" w:lineRule="exact"/>
        <w:ind w:firstLine="6000" w:firstLineChars="2000"/>
        <w:rPr>
          <w:rFonts w:hint="eastAsia" w:ascii="宋体" w:hAnsi="宋体" w:eastAsia="宋体" w:cs="宋体"/>
          <w:color w:val="000000"/>
          <w:sz w:val="30"/>
          <w:szCs w:val="30"/>
          <w:highlight w:val="none"/>
        </w:rPr>
      </w:pPr>
      <w:r>
        <w:rPr>
          <w:rFonts w:hint="eastAsia" w:ascii="宋体" w:hAnsi="宋体" w:eastAsia="宋体" w:cs="宋体"/>
          <w:color w:val="FF0000"/>
          <w:sz w:val="30"/>
          <w:szCs w:val="30"/>
          <w:highlight w:val="none"/>
        </w:rPr>
        <w:t>20XX年 X月X 日</w:t>
      </w: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22" w:name="_Toc296944566"/>
      <w:bookmarkStart w:id="323" w:name="_Toc296347226"/>
      <w:bookmarkStart w:id="324" w:name="_Toc296503227"/>
      <w:bookmarkStart w:id="325" w:name="_Toc296346728"/>
      <w:bookmarkStart w:id="326" w:name="_Toc296891055"/>
      <w:bookmarkStart w:id="327" w:name="_Toc296891267"/>
      <w:bookmarkStart w:id="328" w:name="_Toc267261698"/>
      <w:r>
        <w:rPr>
          <w:rFonts w:hint="eastAsia" w:ascii="宋体" w:hAnsi="宋体" w:eastAsia="宋体" w:cs="宋体"/>
          <w:b/>
          <w:bCs/>
          <w:color w:val="000000"/>
          <w:sz w:val="30"/>
          <w:szCs w:val="30"/>
          <w:highlight w:val="none"/>
        </w:rPr>
        <w:t>件</w:t>
      </w:r>
      <w:r>
        <w:rPr>
          <w:rFonts w:hint="eastAsia" w:ascii="宋体" w:hAnsi="宋体" w:eastAsia="宋体" w:cs="宋体"/>
          <w:b/>
          <w:bCs/>
          <w:color w:val="000000"/>
          <w:sz w:val="30"/>
          <w:szCs w:val="30"/>
          <w:highlight w:val="none"/>
          <w:lang w:val="en-US" w:eastAsia="zh-CN"/>
        </w:rPr>
        <w:t>8</w:t>
      </w:r>
      <w:r>
        <w:rPr>
          <w:rFonts w:hint="eastAsia" w:ascii="宋体" w:hAnsi="宋体" w:eastAsia="宋体" w:cs="宋体"/>
          <w:b/>
          <w:bCs/>
          <w:color w:val="000000"/>
          <w:sz w:val="30"/>
          <w:szCs w:val="30"/>
          <w:highlight w:val="none"/>
        </w:rPr>
        <w:t>：</w:t>
      </w:r>
    </w:p>
    <w:bookmarkEnd w:id="322"/>
    <w:bookmarkEnd w:id="323"/>
    <w:bookmarkEnd w:id="324"/>
    <w:bookmarkEnd w:id="325"/>
    <w:bookmarkEnd w:id="326"/>
    <w:bookmarkEnd w:id="327"/>
    <w:bookmarkEnd w:id="328"/>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序号</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机械或设备名称</w:t>
            </w:r>
          </w:p>
        </w:tc>
        <w:tc>
          <w:tcPr>
            <w:tcW w:w="85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规格型号</w:t>
            </w:r>
          </w:p>
        </w:tc>
        <w:tc>
          <w:tcPr>
            <w:tcW w:w="105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数量</w:t>
            </w:r>
          </w:p>
        </w:tc>
        <w:tc>
          <w:tcPr>
            <w:tcW w:w="8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产地</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制造年份</w:t>
            </w:r>
          </w:p>
        </w:tc>
        <w:tc>
          <w:tcPr>
            <w:tcW w:w="14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额定功率(kW)</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生产能力</w:t>
            </w:r>
          </w:p>
        </w:tc>
        <w:tc>
          <w:tcPr>
            <w:tcW w:w="92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bl>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440" w:lineRule="exact"/>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29" w:name="_Toc296347227"/>
      <w:bookmarkStart w:id="330" w:name="_Toc296944567"/>
      <w:bookmarkStart w:id="331" w:name="_Toc296503228"/>
      <w:bookmarkStart w:id="332" w:name="_Toc296346729"/>
      <w:bookmarkStart w:id="333" w:name="_Toc296891268"/>
      <w:bookmarkStart w:id="334" w:name="_Toc267261699"/>
      <w:bookmarkStart w:id="335" w:name="_Toc296891056"/>
      <w:r>
        <w:rPr>
          <w:rFonts w:hint="eastAsia" w:ascii="宋体" w:hAnsi="宋体" w:eastAsia="宋体" w:cs="宋体"/>
          <w:b/>
          <w:bCs/>
          <w:color w:val="000000"/>
          <w:sz w:val="30"/>
          <w:szCs w:val="30"/>
          <w:highlight w:val="none"/>
        </w:rPr>
        <w:t>件</w:t>
      </w:r>
      <w:r>
        <w:rPr>
          <w:rFonts w:hint="eastAsia" w:ascii="宋体" w:hAnsi="宋体" w:eastAsia="宋体" w:cs="宋体"/>
          <w:b/>
          <w:bCs/>
          <w:color w:val="000000"/>
          <w:sz w:val="30"/>
          <w:szCs w:val="30"/>
          <w:highlight w:val="none"/>
          <w:lang w:val="en-US" w:eastAsia="zh-CN"/>
        </w:rPr>
        <w:t>9</w:t>
      </w:r>
      <w:r>
        <w:rPr>
          <w:rFonts w:hint="eastAsia" w:ascii="宋体" w:hAnsi="宋体" w:eastAsia="宋体" w:cs="宋体"/>
          <w:b/>
          <w:bCs/>
          <w:color w:val="000000"/>
          <w:sz w:val="30"/>
          <w:szCs w:val="30"/>
          <w:highlight w:val="none"/>
        </w:rPr>
        <w:t>：</w:t>
      </w:r>
    </w:p>
    <w:bookmarkEnd w:id="329"/>
    <w:bookmarkEnd w:id="330"/>
    <w:bookmarkEnd w:id="331"/>
    <w:bookmarkEnd w:id="332"/>
    <w:bookmarkEnd w:id="333"/>
    <w:bookmarkEnd w:id="334"/>
    <w:bookmarkEnd w:id="335"/>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名    称</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姓名</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职务</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职称</w:t>
            </w:r>
          </w:p>
        </w:tc>
        <w:tc>
          <w:tcPr>
            <w:tcW w:w="425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项目主管</w:t>
            </w: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项目副经理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技术负责人</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造价管理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质量管理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材料管理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计划管理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安全管理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bl>
    <w:p>
      <w:pPr>
        <w:spacing w:line="360" w:lineRule="auto"/>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br w:type="page"/>
      </w:r>
      <w:bookmarkStart w:id="336" w:name="_Toc267261701"/>
      <w:r>
        <w:rPr>
          <w:rFonts w:hint="eastAsia" w:ascii="宋体" w:hAnsi="宋体" w:eastAsia="宋体" w:cs="宋体"/>
          <w:b/>
          <w:bCs/>
          <w:color w:val="000000"/>
          <w:sz w:val="30"/>
          <w:szCs w:val="30"/>
          <w:highlight w:val="none"/>
        </w:rPr>
        <w:t>附</w:t>
      </w:r>
      <w:bookmarkStart w:id="337" w:name="_Toc296891059"/>
      <w:bookmarkStart w:id="338" w:name="_Toc296944570"/>
      <w:bookmarkStart w:id="339" w:name="_Toc296346732"/>
      <w:bookmarkStart w:id="340" w:name="_Toc296503231"/>
      <w:bookmarkStart w:id="341" w:name="_Toc296891271"/>
      <w:bookmarkStart w:id="342" w:name="_Toc296347230"/>
      <w:r>
        <w:rPr>
          <w:rFonts w:hint="eastAsia" w:ascii="宋体" w:hAnsi="宋体" w:eastAsia="宋体" w:cs="宋体"/>
          <w:b/>
          <w:bCs/>
          <w:color w:val="000000"/>
          <w:sz w:val="30"/>
          <w:szCs w:val="30"/>
          <w:highlight w:val="none"/>
        </w:rPr>
        <w:t>件</w:t>
      </w:r>
      <w:r>
        <w:rPr>
          <w:rFonts w:hint="eastAsia" w:ascii="宋体" w:hAnsi="宋体" w:eastAsia="宋体" w:cs="宋体"/>
          <w:b/>
          <w:bCs/>
          <w:color w:val="000000"/>
          <w:sz w:val="30"/>
          <w:szCs w:val="30"/>
          <w:highlight w:val="none"/>
          <w:lang w:val="en-US" w:eastAsia="zh-CN"/>
        </w:rPr>
        <w:t>10</w:t>
      </w:r>
      <w:r>
        <w:rPr>
          <w:rFonts w:hint="eastAsia" w:ascii="宋体" w:hAnsi="宋体" w:eastAsia="宋体" w:cs="宋体"/>
          <w:b/>
          <w:bCs/>
          <w:color w:val="000000"/>
          <w:sz w:val="30"/>
          <w:szCs w:val="30"/>
          <w:highlight w:val="none"/>
        </w:rPr>
        <w:t>：</w:t>
      </w:r>
    </w:p>
    <w:bookmarkEnd w:id="336"/>
    <w:bookmarkEnd w:id="337"/>
    <w:bookmarkEnd w:id="338"/>
    <w:bookmarkEnd w:id="339"/>
    <w:bookmarkEnd w:id="340"/>
    <w:bookmarkEnd w:id="341"/>
    <w:bookmarkEnd w:id="342"/>
    <w:p>
      <w:pPr>
        <w:spacing w:before="156" w:beforeLines="50" w:after="156" w:afterLines="50" w:line="36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履约担保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鉴于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（发包人名称，以下简称“发包人”）与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你方和承包人按合同约定变更合同时，我方承担本担保规定的义务不变。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 保 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p>
    <w:p>
      <w:pPr>
        <w:spacing w:line="360" w:lineRule="auto"/>
        <w:jc w:val="left"/>
        <w:rPr>
          <w:rFonts w:hint="eastAsia" w:ascii="宋体" w:hAnsi="宋体" w:eastAsia="宋体" w:cs="宋体"/>
          <w:color w:val="000000"/>
          <w:sz w:val="24"/>
          <w:szCs w:val="24"/>
          <w:highlight w:val="none"/>
          <w:u w:val="single"/>
        </w:rPr>
      </w:pPr>
    </w:p>
    <w:p>
      <w:pPr>
        <w:spacing w:line="360" w:lineRule="auto"/>
        <w:ind w:left="1899" w:hanging="1519" w:hangingChars="63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line="360" w:lineRule="auto"/>
        <w:ind w:left="1899" w:hanging="1899" w:hangingChars="633"/>
        <w:rPr>
          <w:rFonts w:hint="eastAsia" w:ascii="宋体" w:hAnsi="宋体" w:eastAsia="宋体" w:cs="宋体"/>
          <w:color w:val="000000"/>
          <w:sz w:val="30"/>
          <w:szCs w:val="30"/>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360" w:lineRule="auto"/>
        <w:rPr>
          <w:rFonts w:hint="eastAsia" w:ascii="宋体" w:hAnsi="宋体" w:eastAsia="宋体" w:cs="宋体"/>
          <w:color w:val="000000"/>
          <w:sz w:val="30"/>
          <w:szCs w:val="30"/>
          <w:highlight w:val="none"/>
        </w:rPr>
      </w:pPr>
      <w:r>
        <w:rPr>
          <w:rFonts w:hint="eastAsia" w:ascii="宋体" w:hAnsi="宋体" w:eastAsia="宋体" w:cs="宋体"/>
          <w:b/>
          <w:bCs/>
          <w:color w:val="000000"/>
          <w:sz w:val="30"/>
          <w:szCs w:val="30"/>
          <w:highlight w:val="none"/>
        </w:rPr>
        <w:t>附</w:t>
      </w:r>
      <w:bookmarkStart w:id="343" w:name="_Toc296347231"/>
      <w:bookmarkStart w:id="344" w:name="_Toc296891060"/>
      <w:bookmarkStart w:id="345" w:name="_Toc296346733"/>
      <w:bookmarkStart w:id="346" w:name="_Toc296944571"/>
      <w:bookmarkStart w:id="347" w:name="_Toc267261702"/>
      <w:bookmarkStart w:id="348" w:name="_Toc296891272"/>
      <w:bookmarkStart w:id="349" w:name="_Toc296503232"/>
      <w:r>
        <w:rPr>
          <w:rFonts w:hint="eastAsia" w:ascii="宋体" w:hAnsi="宋体" w:eastAsia="宋体" w:cs="宋体"/>
          <w:b/>
          <w:bCs/>
          <w:color w:val="000000"/>
          <w:sz w:val="30"/>
          <w:szCs w:val="30"/>
          <w:highlight w:val="none"/>
        </w:rPr>
        <w:t>件</w:t>
      </w:r>
      <w:r>
        <w:rPr>
          <w:rFonts w:hint="eastAsia" w:ascii="宋体" w:hAnsi="宋体" w:eastAsia="宋体" w:cs="宋体"/>
          <w:b w:val="0"/>
          <w:bCs w:val="0"/>
          <w:color w:val="000000"/>
          <w:sz w:val="30"/>
          <w:szCs w:val="30"/>
          <w:highlight w:val="none"/>
          <w:lang w:eastAsia="zh-CN"/>
        </w:rPr>
        <w:t>1</w:t>
      </w:r>
      <w:r>
        <w:rPr>
          <w:rFonts w:hint="eastAsia" w:ascii="宋体" w:hAnsi="宋体" w:eastAsia="宋体" w:cs="宋体"/>
          <w:b w:val="0"/>
          <w:bCs w:val="0"/>
          <w:color w:val="000000"/>
          <w:sz w:val="30"/>
          <w:szCs w:val="30"/>
          <w:highlight w:val="none"/>
          <w:lang w:val="en-US" w:eastAsia="zh-CN"/>
        </w:rPr>
        <w:t>1</w:t>
      </w:r>
      <w:r>
        <w:rPr>
          <w:rFonts w:hint="eastAsia" w:ascii="宋体" w:hAnsi="宋体" w:eastAsia="宋体" w:cs="宋体"/>
          <w:color w:val="000000"/>
          <w:sz w:val="30"/>
          <w:szCs w:val="30"/>
          <w:highlight w:val="none"/>
        </w:rPr>
        <w:t xml:space="preserve"> ：</w:t>
      </w:r>
    </w:p>
    <w:bookmarkEnd w:id="343"/>
    <w:bookmarkEnd w:id="344"/>
    <w:bookmarkEnd w:id="345"/>
    <w:bookmarkEnd w:id="346"/>
    <w:bookmarkEnd w:id="347"/>
    <w:bookmarkEnd w:id="348"/>
    <w:bookmarkEnd w:id="349"/>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预付款担保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（承包人名称）（以下称“承包人”）与</w:t>
      </w:r>
    </w:p>
    <w:p>
      <w:pPr>
        <w:spacing w:line="360" w:lineRule="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bookmarkStart w:id="350" w:name="_Toc12723"/>
      <w:bookmarkStart w:id="351" w:name="_Toc16118"/>
      <w:r>
        <w:rPr>
          <w:rFonts w:hint="eastAsia" w:ascii="宋体" w:hAnsi="宋体" w:eastAsia="宋体" w:cs="宋体"/>
          <w:color w:val="000000"/>
          <w:sz w:val="24"/>
          <w:szCs w:val="24"/>
          <w:highlight w:val="none"/>
        </w:rPr>
        <w:t>（发包人名称）（以下简称“发包人”）</w:t>
      </w:r>
      <w:bookmarkEnd w:id="350"/>
      <w:bookmarkEnd w:id="351"/>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日签订的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担保有效期自预付款支付给承包人起生效，至你方进度款（不含质保金）全部已完全扣清止。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在本保函有效期内，因承包人违反合同约定的义务而要求收回预付款时，我方在收到你方的书面通知后，在７天内无条件支付。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你方和承包人按合同约定变更合同时，我方承担本保函规定的义务不变。</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担保人：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auto"/>
          <w:highlight w:val="none"/>
          <w:lang w:bidi="ar"/>
        </w:rPr>
        <w:br w:type="page"/>
      </w:r>
    </w:p>
    <w:p>
      <w:pPr>
        <w:spacing w:line="360" w:lineRule="auto"/>
        <w:rPr>
          <w:rFonts w:hint="eastAsia" w:ascii="宋体" w:hAnsi="宋体" w:eastAsia="宋体" w:cs="宋体"/>
          <w:color w:val="000000"/>
          <w:sz w:val="30"/>
          <w:szCs w:val="30"/>
          <w:highlight w:val="none"/>
        </w:rPr>
      </w:pPr>
      <w:bookmarkStart w:id="352" w:name="_Toc335223537"/>
      <w:bookmarkStart w:id="353" w:name="_Toc7256"/>
      <w:bookmarkStart w:id="354" w:name="_Toc467164263"/>
      <w:bookmarkStart w:id="355" w:name="_Toc424558734"/>
      <w:bookmarkStart w:id="356" w:name="_Toc424558376"/>
      <w:bookmarkStart w:id="357" w:name="_Toc509390702"/>
      <w:bookmarkStart w:id="358" w:name="_Toc12736"/>
      <w:bookmarkStart w:id="359" w:name="_Toc57795997"/>
      <w:r>
        <w:rPr>
          <w:rFonts w:hint="eastAsia" w:ascii="宋体" w:hAnsi="宋体" w:eastAsia="宋体" w:cs="宋体"/>
          <w:b/>
          <w:bCs/>
          <w:color w:val="000000"/>
          <w:sz w:val="30"/>
          <w:szCs w:val="30"/>
          <w:highlight w:val="none"/>
        </w:rPr>
        <w:t>附件</w:t>
      </w:r>
      <w:r>
        <w:rPr>
          <w:rFonts w:hint="eastAsia" w:ascii="宋体" w:hAnsi="宋体" w:eastAsia="宋体" w:cs="宋体"/>
          <w:b w:val="0"/>
          <w:bCs w:val="0"/>
          <w:color w:val="000000"/>
          <w:sz w:val="30"/>
          <w:szCs w:val="30"/>
          <w:highlight w:val="none"/>
          <w:lang w:eastAsia="zh-CN"/>
        </w:rPr>
        <w:t>1</w:t>
      </w:r>
      <w:r>
        <w:rPr>
          <w:rFonts w:hint="eastAsia" w:ascii="宋体" w:hAnsi="宋体" w:eastAsia="宋体" w:cs="宋体"/>
          <w:b w:val="0"/>
          <w:bCs w:val="0"/>
          <w:color w:val="000000"/>
          <w:sz w:val="30"/>
          <w:szCs w:val="30"/>
          <w:highlight w:val="none"/>
          <w:lang w:val="en-US" w:eastAsia="zh-CN"/>
        </w:rPr>
        <w:t>2</w:t>
      </w:r>
      <w:r>
        <w:rPr>
          <w:rFonts w:hint="eastAsia" w:ascii="宋体" w:hAnsi="宋体" w:eastAsia="宋体" w:cs="宋体"/>
          <w:color w:val="000000"/>
          <w:sz w:val="30"/>
          <w:szCs w:val="30"/>
          <w:highlight w:val="none"/>
        </w:rPr>
        <w:t xml:space="preserve"> ：</w:t>
      </w:r>
    </w:p>
    <w:p>
      <w:pPr>
        <w:pStyle w:val="31"/>
        <w:keepNext/>
        <w:keepLines/>
        <w:tabs>
          <w:tab w:val="left" w:pos="420"/>
        </w:tabs>
        <w:spacing w:line="400" w:lineRule="exact"/>
        <w:jc w:val="center"/>
        <w:outlineLvl w:val="2"/>
        <w:rPr>
          <w:rFonts w:hint="eastAsia" w:ascii="宋体" w:hAnsi="宋体" w:eastAsia="宋体" w:cs="宋体"/>
          <w:color w:val="auto"/>
          <w:highlight w:val="none"/>
        </w:rPr>
      </w:pPr>
      <w:r>
        <w:rPr>
          <w:rFonts w:hint="eastAsia" w:ascii="宋体" w:hAnsi="宋体" w:eastAsia="宋体" w:cs="宋体"/>
          <w:color w:val="auto"/>
          <w:sz w:val="32"/>
          <w:szCs w:val="32"/>
          <w:highlight w:val="none"/>
          <w:lang w:bidi="ar"/>
        </w:rPr>
        <w:t xml:space="preserve"> </w:t>
      </w:r>
      <w:bookmarkStart w:id="360" w:name="_Toc12322"/>
      <w:r>
        <w:rPr>
          <w:rFonts w:hint="eastAsia" w:ascii="宋体" w:hAnsi="宋体" w:eastAsia="宋体" w:cs="宋体"/>
          <w:color w:val="auto"/>
          <w:sz w:val="32"/>
          <w:szCs w:val="32"/>
          <w:highlight w:val="none"/>
          <w:lang w:bidi="ar"/>
        </w:rPr>
        <w:t>履约</w:t>
      </w:r>
      <w:bookmarkEnd w:id="352"/>
      <w:bookmarkEnd w:id="353"/>
      <w:bookmarkEnd w:id="354"/>
      <w:bookmarkEnd w:id="355"/>
      <w:bookmarkEnd w:id="356"/>
      <w:r>
        <w:rPr>
          <w:rFonts w:hint="eastAsia" w:ascii="宋体" w:hAnsi="宋体" w:eastAsia="宋体" w:cs="宋体"/>
          <w:color w:val="auto"/>
          <w:sz w:val="32"/>
          <w:szCs w:val="32"/>
          <w:highlight w:val="none"/>
          <w:lang w:bidi="ar"/>
        </w:rPr>
        <w:t>保证金格式</w:t>
      </w:r>
      <w:bookmarkEnd w:id="357"/>
      <w:bookmarkEnd w:id="358"/>
      <w:bookmarkEnd w:id="359"/>
      <w:bookmarkEnd w:id="360"/>
    </w:p>
    <w:p>
      <w:pPr>
        <w:spacing w:line="400" w:lineRule="atLeast"/>
        <w:rPr>
          <w:rFonts w:hint="eastAsia" w:ascii="宋体" w:hAnsi="宋体" w:eastAsia="宋体" w:cs="宋体"/>
          <w:b/>
          <w:color w:val="auto"/>
          <w:sz w:val="24"/>
          <w:highlight w:val="none"/>
          <w:lang w:bidi="ar"/>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鉴于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（发包人名称，以下简称“发包人”）接受</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（承包人名称）（以下称“承包人”）于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日参加</w:t>
      </w:r>
      <w:r>
        <w:rPr>
          <w:rFonts w:hint="eastAsia" w:ascii="宋体" w:hAnsi="宋体" w:cs="宋体"/>
          <w:color w:val="auto"/>
          <w:highlight w:val="none"/>
          <w:u w:val="single"/>
          <w:lang w:eastAsia="zh-CN" w:bidi="ar"/>
        </w:rPr>
        <w:t>巫溪至开州高速公路项目机电工程通风照明工程专项分包</w:t>
      </w:r>
      <w:r>
        <w:rPr>
          <w:rFonts w:hint="eastAsia" w:ascii="宋体" w:hAnsi="宋体" w:eastAsia="宋体" w:cs="宋体"/>
          <w:color w:val="auto"/>
          <w:highlight w:val="none"/>
          <w:u w:val="single"/>
          <w:lang w:bidi="ar"/>
        </w:rPr>
        <w:t>（标段名称）</w:t>
      </w:r>
      <w:r>
        <w:rPr>
          <w:rFonts w:hint="eastAsia" w:ascii="宋体" w:hAnsi="宋体" w:eastAsia="宋体" w:cs="宋体"/>
          <w:color w:val="auto"/>
          <w:highlight w:val="none"/>
          <w:lang w:bidi="ar"/>
        </w:rPr>
        <w:t>施工的投标。我方愿意无条件地、不可撤销地就承包人履行与你方订立的合同，向你方提供担保。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担保金额人民币（大写）</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元（¥</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担保有效期发包人与承包人签订的合同生效之日起至合同工期结束并延长6个月，但最迟不超过</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在本担保有效期内，因承包人违反合同约定的义务给你方造成经济损失时，我方在收到你方以书面形式提出的在担保金额内的赔偿要求后，在7日内无条件支付，无须你方出具证明或陈述理由。</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发包人和承包人按合同条款第15条变更合同时，无论我方是否收到该变更，我方承担本担保规定的义务不变。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5.发包人转让本保函项下权利的，应经我行书面同意，否则我行不再承担担保责任。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6.书面索赔通知和有关证明材料必须在保函有效期内送达我行，否则我行在本保函项的的责任自动解除。</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7.合同按期限履行完毕、保函超过有效期或我行的担保义务履行完毕，本保函即行失效，无论本保函是否退回我行注销。</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担 保 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（盖单位</w:t>
      </w:r>
      <w:r>
        <w:rPr>
          <w:rFonts w:hint="eastAsia" w:ascii="宋体" w:hAnsi="宋体" w:eastAsia="宋体" w:cs="宋体"/>
          <w:color w:val="auto"/>
          <w:highlight w:val="none"/>
          <w:lang w:val="en-US" w:eastAsia="zh-CN" w:bidi="ar"/>
        </w:rPr>
        <w:t>公</w:t>
      </w:r>
      <w:r>
        <w:rPr>
          <w:rFonts w:hint="eastAsia" w:ascii="宋体" w:hAnsi="宋体" w:eastAsia="宋体" w:cs="宋体"/>
          <w:color w:val="auto"/>
          <w:highlight w:val="none"/>
          <w:lang w:bidi="ar"/>
        </w:rPr>
        <w:t>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法定代表人或其委托代理人：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r>
        <w:rPr>
          <w:rFonts w:hint="eastAsia" w:ascii="宋体" w:hAnsi="宋体" w:eastAsia="宋体" w:cs="宋体"/>
          <w:color w:val="auto"/>
          <w:highlight w:val="none"/>
          <w:lang w:eastAsia="zh-CN" w:bidi="ar"/>
        </w:rPr>
        <w:t>签名</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地    址：</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p>
    <w:p>
      <w:pPr>
        <w:spacing w:line="360" w:lineRule="auto"/>
        <w:ind w:firstLine="420" w:firstLineChars="2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邮政编码：</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    话：</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传    真：</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600" w:lineRule="exact"/>
        <w:ind w:firstLine="4678" w:firstLineChars="2228"/>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月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rPr>
          <w:rFonts w:hint="eastAsia" w:ascii="宋体" w:hAnsi="宋体" w:eastAsia="宋体" w:cs="宋体"/>
          <w:color w:val="auto"/>
          <w:highlight w:val="none"/>
          <w:lang w:bidi="ar"/>
        </w:rPr>
      </w:pPr>
      <w:bookmarkStart w:id="361" w:name="_Toc509390703"/>
      <w:bookmarkStart w:id="362" w:name="_Toc467164261"/>
      <w:bookmarkStart w:id="363" w:name="_Toc240180921"/>
      <w:bookmarkStart w:id="364" w:name="_Toc424558374"/>
      <w:bookmarkStart w:id="365" w:name="_Toc424558732"/>
      <w:bookmarkStart w:id="366" w:name="_Toc152042553"/>
      <w:bookmarkStart w:id="367" w:name="_Toc335223535"/>
      <w:bookmarkStart w:id="368" w:name="_Toc152045771"/>
      <w:bookmarkStart w:id="369" w:name="_Toc57795998"/>
      <w:bookmarkStart w:id="370" w:name="_Toc144974833"/>
      <w:r>
        <w:rPr>
          <w:rFonts w:hint="eastAsia" w:ascii="宋体" w:hAnsi="宋体" w:eastAsia="宋体" w:cs="宋体"/>
          <w:color w:val="auto"/>
          <w:sz w:val="32"/>
          <w:szCs w:val="32"/>
          <w:highlight w:val="none"/>
          <w:lang w:bidi="ar"/>
        </w:rPr>
        <w:br w:type="page"/>
      </w:r>
      <w:bookmarkEnd w:id="361"/>
      <w:bookmarkEnd w:id="362"/>
      <w:bookmarkEnd w:id="363"/>
      <w:bookmarkEnd w:id="364"/>
      <w:bookmarkEnd w:id="365"/>
      <w:bookmarkEnd w:id="366"/>
      <w:bookmarkEnd w:id="367"/>
      <w:bookmarkEnd w:id="368"/>
      <w:bookmarkEnd w:id="369"/>
      <w:bookmarkEnd w:id="370"/>
    </w:p>
    <w:p>
      <w:pPr>
        <w:spacing w:line="360" w:lineRule="auto"/>
        <w:rPr>
          <w:rFonts w:hint="eastAsia" w:ascii="宋体" w:hAnsi="宋体" w:eastAsia="宋体" w:cs="宋体"/>
          <w:color w:val="000000"/>
          <w:sz w:val="30"/>
          <w:szCs w:val="30"/>
          <w:highlight w:val="none"/>
        </w:rPr>
      </w:pPr>
      <w:r>
        <w:rPr>
          <w:rFonts w:hint="eastAsia" w:ascii="宋体" w:hAnsi="宋体" w:eastAsia="宋体" w:cs="宋体"/>
          <w:b/>
          <w:bCs/>
          <w:color w:val="000000"/>
          <w:sz w:val="30"/>
          <w:szCs w:val="30"/>
          <w:highlight w:val="none"/>
        </w:rPr>
        <w:t>附件</w:t>
      </w:r>
      <w:r>
        <w:rPr>
          <w:rFonts w:hint="eastAsia" w:ascii="宋体" w:hAnsi="宋体" w:eastAsia="宋体" w:cs="宋体"/>
          <w:b w:val="0"/>
          <w:bCs w:val="0"/>
          <w:color w:val="000000"/>
          <w:sz w:val="30"/>
          <w:szCs w:val="30"/>
          <w:highlight w:val="none"/>
          <w:lang w:eastAsia="zh-CN"/>
        </w:rPr>
        <w:t>1</w:t>
      </w:r>
      <w:r>
        <w:rPr>
          <w:rFonts w:hint="eastAsia" w:ascii="宋体" w:hAnsi="宋体" w:cs="宋体"/>
          <w:b w:val="0"/>
          <w:bCs w:val="0"/>
          <w:color w:val="000000"/>
          <w:sz w:val="30"/>
          <w:szCs w:val="30"/>
          <w:highlight w:val="none"/>
          <w:lang w:val="en-US" w:eastAsia="zh-CN"/>
        </w:rPr>
        <w:t>3</w:t>
      </w:r>
      <w:r>
        <w:rPr>
          <w:rFonts w:hint="eastAsia" w:ascii="宋体" w:hAnsi="宋体" w:eastAsia="宋体" w:cs="宋体"/>
          <w:color w:val="000000"/>
          <w:sz w:val="30"/>
          <w:szCs w:val="30"/>
          <w:highlight w:val="none"/>
        </w:rPr>
        <w:t xml:space="preserve"> ：</w:t>
      </w:r>
    </w:p>
    <w:p>
      <w:pPr>
        <w:spacing w:line="600" w:lineRule="exact"/>
        <w:jc w:val="center"/>
        <w:rPr>
          <w:rFonts w:hint="eastAsia" w:ascii="宋体" w:hAnsi="宋体" w:eastAsia="宋体" w:cs="宋体"/>
          <w:color w:val="auto"/>
          <w:sz w:val="32"/>
          <w:szCs w:val="32"/>
          <w:highlight w:val="none"/>
          <w:lang w:val="en-US" w:eastAsia="zh-CN" w:bidi="ar"/>
        </w:rPr>
      </w:pPr>
      <w:r>
        <w:rPr>
          <w:rFonts w:hint="eastAsia" w:ascii="宋体" w:hAnsi="宋体" w:eastAsia="宋体" w:cs="宋体"/>
          <w:color w:val="auto"/>
          <w:sz w:val="32"/>
          <w:szCs w:val="32"/>
          <w:highlight w:val="none"/>
          <w:lang w:val="en-US" w:eastAsia="zh-CN" w:bidi="ar"/>
        </w:rPr>
        <w:t xml:space="preserve"> </w:t>
      </w:r>
      <w:r>
        <w:rPr>
          <w:rFonts w:hint="eastAsia" w:ascii="宋体" w:hAnsi="宋体" w:eastAsia="宋体" w:cs="宋体"/>
          <w:color w:val="auto"/>
          <w:sz w:val="32"/>
          <w:szCs w:val="32"/>
          <w:highlight w:val="none"/>
          <w:lang w:bidi="ar"/>
        </w:rPr>
        <w:t>低价风险担保保函示范文本（独立保函）（如有）</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szCs w:val="21"/>
          <w:highlight w:val="none"/>
        </w:rPr>
        <w:t>低价风险担保保函示范文本</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（独立保函）</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编号：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申请人：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受益人：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（受益人名称）： </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鉴于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（以下简称“申请人”）于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（以下简称“受益人”）的</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lang w:eastAsia="zh-CN"/>
        </w:rPr>
        <w:t>巫溪至开州高速公路项目机电工程通风照明工程专项分包</w:t>
      </w:r>
      <w:r>
        <w:rPr>
          <w:rFonts w:hint="eastAsia" w:ascii="宋体" w:hAnsi="宋体" w:eastAsia="宋体" w:cs="宋体"/>
          <w:sz w:val="21"/>
          <w:szCs w:val="21"/>
          <w:highlight w:val="none"/>
        </w:rPr>
        <w:t>的投标，收到受益人于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二、本保函担保金额最高不超过人民币（大写）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三、本保函有效期自开立之日起至合同约定的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日止，最迟不超过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日。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四、我方承诺，在收到受益人发来的书面付款通知后的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（1）付款通知到达的日期在本保函的有效期内；</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（2）载明要求支付的金额；</w:t>
      </w:r>
    </w:p>
    <w:p>
      <w:pPr>
        <w:adjustRightInd w:val="0"/>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（4）付款通知中应声明不存在招标文件约定、合同文件约定或我国法律规定免除申请人或开立人支付责任的情形；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（5）付款通知应在本保函有效期内到达的地址是：</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受益人发出的书面付款通知应由其为鉴明受益人法定代表人（负责人）或授权代理人签名加盖公章。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六、与本保函有关的合同不成立、不生效、无效、被撤销、被解除，不影响本保函的独立有效。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八、本保函适用的法律为中华人民共和国法律，争议裁判管辖地为中华人民共和国</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九、本保函自我方法定代表人或授权代表签名并加盖章之日起生效。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 立 人：                              （公章）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              （</w:t>
      </w:r>
      <w:r>
        <w:rPr>
          <w:rFonts w:hint="eastAsia" w:ascii="宋体" w:hAnsi="宋体" w:eastAsia="宋体" w:cs="宋体"/>
          <w:b w:val="0"/>
          <w:bCs w:val="0"/>
          <w:sz w:val="21"/>
          <w:szCs w:val="21"/>
          <w:highlight w:val="none"/>
        </w:rPr>
        <w:t>签名</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邮政编码：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    话：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传    真：                 </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sz w:val="21"/>
          <w:szCs w:val="21"/>
          <w:highlight w:val="none"/>
        </w:rPr>
        <w:t>开立时间：      年      月</w:t>
      </w:r>
    </w:p>
    <w:p>
      <w:pPr>
        <w:pStyle w:val="3"/>
        <w:spacing w:before="0" w:after="0" w:line="360" w:lineRule="auto"/>
        <w:jc w:val="center"/>
        <w:rPr>
          <w:rFonts w:hint="eastAsia" w:ascii="宋体" w:hAnsi="宋体" w:eastAsia="宋体" w:cs="宋体"/>
          <w:b w:val="0"/>
          <w:color w:val="auto"/>
          <w:highlight w:val="none"/>
        </w:rPr>
      </w:pPr>
      <w:bookmarkStart w:id="371" w:name="_Toc287620797"/>
      <w:bookmarkStart w:id="372" w:name="_Toc509218843"/>
      <w:bookmarkStart w:id="373" w:name="_Toc287607855"/>
      <w:bookmarkStart w:id="374" w:name="_Toc534185822"/>
      <w:bookmarkStart w:id="375" w:name="_Toc430530513"/>
      <w:bookmarkStart w:id="376" w:name="_Toc351203480"/>
      <w:bookmarkStart w:id="377" w:name="_Toc296890982"/>
      <w:bookmarkStart w:id="378" w:name="_Toc296503025"/>
      <w:r>
        <w:rPr>
          <w:rFonts w:hint="eastAsia" w:ascii="宋体" w:hAnsi="宋体" w:eastAsia="宋体" w:cs="宋体"/>
          <w:b w:val="0"/>
          <w:color w:val="auto"/>
          <w:highlight w:val="none"/>
        </w:rPr>
        <w:br w:type="page"/>
      </w:r>
      <w:bookmarkStart w:id="379" w:name="_Toc9230"/>
      <w:r>
        <w:rPr>
          <w:rFonts w:hint="eastAsia" w:ascii="宋体" w:hAnsi="宋体" w:eastAsia="宋体" w:cs="宋体"/>
          <w:bCs w:val="0"/>
          <w:color w:val="auto"/>
          <w:highlight w:val="none"/>
        </w:rPr>
        <w:t>第五章  工程量清单</w:t>
      </w:r>
      <w:bookmarkEnd w:id="371"/>
      <w:bookmarkEnd w:id="372"/>
      <w:bookmarkEnd w:id="373"/>
      <w:bookmarkEnd w:id="374"/>
      <w:bookmarkEnd w:id="375"/>
      <w:bookmarkEnd w:id="379"/>
    </w:p>
    <w:p>
      <w:pPr>
        <w:snapToGrid w:val="0"/>
        <w:spacing w:line="360" w:lineRule="auto"/>
        <w:jc w:val="center"/>
        <w:rPr>
          <w:rFonts w:hint="eastAsia" w:ascii="宋体" w:hAnsi="宋体" w:eastAsia="宋体" w:cs="宋体"/>
          <w:color w:val="auto"/>
          <w:szCs w:val="21"/>
          <w:highlight w:val="none"/>
        </w:rPr>
      </w:pPr>
      <w:bookmarkStart w:id="380" w:name="招标文件05章工程量清单01"/>
      <w:bookmarkEnd w:id="380"/>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pStyle w:val="3"/>
        <w:spacing w:before="0" w:after="0" w:line="480" w:lineRule="auto"/>
        <w:jc w:val="center"/>
        <w:rPr>
          <w:rFonts w:hint="eastAsia" w:ascii="宋体" w:hAnsi="宋体" w:eastAsia="宋体" w:cs="宋体"/>
          <w:color w:val="auto"/>
          <w:sz w:val="52"/>
          <w:szCs w:val="52"/>
          <w:highlight w:val="none"/>
        </w:rPr>
      </w:pPr>
      <w:bookmarkStart w:id="381" w:name="_Toc20558"/>
      <w:bookmarkStart w:id="382" w:name="_Toc534185823"/>
      <w:bookmarkStart w:id="383" w:name="_Toc509218844"/>
      <w:r>
        <w:rPr>
          <w:rFonts w:hint="eastAsia" w:ascii="宋体" w:hAnsi="宋体" w:eastAsia="宋体" w:cs="宋体"/>
          <w:color w:val="auto"/>
          <w:sz w:val="52"/>
          <w:szCs w:val="52"/>
          <w:highlight w:val="none"/>
        </w:rPr>
        <w:t>第 二 卷</w:t>
      </w:r>
      <w:bookmarkEnd w:id="381"/>
      <w:bookmarkEnd w:id="382"/>
      <w:bookmarkEnd w:id="383"/>
    </w:p>
    <w:p>
      <w:pPr>
        <w:pStyle w:val="3"/>
        <w:spacing w:before="0" w:after="0"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Cs w:val="20"/>
          <w:highlight w:val="none"/>
        </w:rPr>
        <w:br w:type="page"/>
      </w:r>
      <w:bookmarkStart w:id="384" w:name="招标文件06章图纸"/>
      <w:bookmarkEnd w:id="384"/>
      <w:bookmarkStart w:id="385" w:name="_Toc287620803"/>
      <w:bookmarkStart w:id="386" w:name="_Toc287607861"/>
      <w:bookmarkStart w:id="387" w:name="_Toc534185825"/>
      <w:bookmarkStart w:id="388" w:name="_Toc509218846"/>
      <w:bookmarkStart w:id="389" w:name="_Toc29302"/>
      <w:bookmarkStart w:id="390" w:name="_Toc430530519"/>
      <w:r>
        <w:rPr>
          <w:rFonts w:hint="eastAsia" w:ascii="宋体" w:hAnsi="宋体" w:eastAsia="宋体" w:cs="宋体"/>
          <w:bCs w:val="0"/>
          <w:color w:val="auto"/>
          <w:highlight w:val="none"/>
        </w:rPr>
        <w:t>第六章  图纸</w:t>
      </w:r>
      <w:bookmarkEnd w:id="385"/>
      <w:bookmarkEnd w:id="386"/>
      <w:bookmarkEnd w:id="387"/>
      <w:bookmarkEnd w:id="388"/>
      <w:bookmarkEnd w:id="389"/>
      <w:bookmarkEnd w:id="390"/>
    </w:p>
    <w:p>
      <w:pPr>
        <w:spacing w:line="360" w:lineRule="auto"/>
        <w:jc w:val="center"/>
        <w:rPr>
          <w:rFonts w:hint="eastAsia" w:ascii="宋体" w:hAnsi="宋体" w:eastAsia="宋体" w:cs="宋体"/>
          <w:color w:val="auto"/>
          <w:szCs w:val="21"/>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b w:val="0"/>
          <w:bCs w:val="0"/>
          <w:i w:val="0"/>
          <w:color w:val="auto"/>
          <w:kern w:val="2"/>
          <w:sz w:val="21"/>
          <w:szCs w:val="21"/>
          <w:highlight w:val="none"/>
          <w:lang w:val="en-US" w:eastAsia="zh-CN"/>
        </w:rPr>
        <w:t>详见图纸</w:t>
      </w:r>
      <w:r>
        <w:rPr>
          <w:rFonts w:hint="eastAsia" w:ascii="宋体" w:hAnsi="宋体" w:eastAsia="宋体" w:cs="宋体"/>
          <w:color w:val="auto"/>
          <w:szCs w:val="20"/>
          <w:highlight w:val="none"/>
        </w:rPr>
        <w:br w:type="page"/>
      </w:r>
      <w:bookmarkStart w:id="391" w:name="招标文件06章图纸01"/>
      <w:bookmarkEnd w:id="391"/>
    </w:p>
    <w:p>
      <w:pPr>
        <w:pStyle w:val="3"/>
        <w:spacing w:before="0" w:after="0" w:line="480" w:lineRule="auto"/>
        <w:jc w:val="center"/>
        <w:rPr>
          <w:rFonts w:hint="eastAsia" w:ascii="宋体" w:hAnsi="宋体" w:eastAsia="宋体" w:cs="宋体"/>
          <w:color w:val="auto"/>
          <w:sz w:val="52"/>
          <w:szCs w:val="52"/>
          <w:highlight w:val="none"/>
        </w:rPr>
      </w:pPr>
      <w:bookmarkStart w:id="392" w:name="_Toc6776"/>
      <w:r>
        <w:rPr>
          <w:rFonts w:hint="eastAsia" w:ascii="宋体" w:hAnsi="宋体" w:eastAsia="宋体" w:cs="宋体"/>
          <w:color w:val="auto"/>
          <w:sz w:val="52"/>
          <w:szCs w:val="52"/>
          <w:highlight w:val="none"/>
        </w:rPr>
        <w:t>第 三 卷</w:t>
      </w:r>
      <w:bookmarkEnd w:id="392"/>
    </w:p>
    <w:p>
      <w:pPr>
        <w:pStyle w:val="3"/>
        <w:spacing w:before="0" w:after="0" w:line="360" w:lineRule="auto"/>
        <w:jc w:val="center"/>
        <w:rPr>
          <w:rFonts w:hint="eastAsia" w:ascii="宋体" w:hAnsi="宋体" w:eastAsia="宋体" w:cs="宋体"/>
          <w:color w:val="auto"/>
          <w:sz w:val="48"/>
          <w:szCs w:val="48"/>
          <w:highlight w:val="none"/>
        </w:rPr>
      </w:pPr>
      <w:bookmarkStart w:id="393" w:name="_Toc37531145"/>
      <w:bookmarkStart w:id="394" w:name="_Toc534185826"/>
      <w:bookmarkStart w:id="395" w:name="_Toc536781805"/>
      <w:bookmarkStart w:id="396" w:name="_Toc536782206"/>
      <w:bookmarkStart w:id="397" w:name="_Toc536773650"/>
      <w:bookmarkStart w:id="398" w:name="_Toc536781937"/>
      <w:bookmarkStart w:id="399" w:name="_Toc536782072"/>
      <w:bookmarkStart w:id="400" w:name="_Toc30239"/>
      <w:bookmarkStart w:id="401" w:name="_Toc536800736"/>
      <w:bookmarkStart w:id="402" w:name="_Toc43278921"/>
      <w:r>
        <w:rPr>
          <w:rFonts w:hint="eastAsia" w:ascii="宋体" w:hAnsi="宋体" w:eastAsia="宋体" w:cs="宋体"/>
          <w:color w:val="auto"/>
          <w:sz w:val="56"/>
          <w:szCs w:val="56"/>
          <w:highlight w:val="none"/>
        </w:rPr>
        <w:br w:type="page"/>
      </w:r>
      <w:bookmarkEnd w:id="393"/>
      <w:bookmarkEnd w:id="394"/>
      <w:bookmarkEnd w:id="395"/>
      <w:bookmarkEnd w:id="396"/>
      <w:bookmarkEnd w:id="397"/>
      <w:bookmarkEnd w:id="398"/>
      <w:bookmarkEnd w:id="399"/>
      <w:bookmarkEnd w:id="400"/>
      <w:bookmarkEnd w:id="401"/>
      <w:bookmarkEnd w:id="402"/>
      <w:bookmarkStart w:id="403" w:name="招标文件07章技术标准和要求"/>
      <w:bookmarkEnd w:id="403"/>
      <w:bookmarkStart w:id="404" w:name="_Toc11633"/>
      <w:r>
        <w:rPr>
          <w:rFonts w:hint="eastAsia" w:ascii="宋体" w:hAnsi="宋体" w:eastAsia="宋体" w:cs="宋体"/>
          <w:bCs w:val="0"/>
          <w:color w:val="auto"/>
          <w:highlight w:val="none"/>
        </w:rPr>
        <w:t>第七章  技术标准和要求</w:t>
      </w:r>
      <w:bookmarkEnd w:id="404"/>
      <w:bookmarkStart w:id="405" w:name="招标文件07章技术标准和要求01"/>
      <w:bookmarkEnd w:id="405"/>
      <w:bookmarkStart w:id="406" w:name="_Toc287620808"/>
      <w:bookmarkStart w:id="407" w:name="_Toc430530524"/>
    </w:p>
    <w:bookmarkEnd w:id="406"/>
    <w:bookmarkEnd w:id="407"/>
    <w:p>
      <w:pPr>
        <w:spacing w:line="360" w:lineRule="auto"/>
        <w:jc w:val="center"/>
        <w:rPr>
          <w:rFonts w:hint="eastAsia" w:ascii="宋体" w:hAnsi="宋体" w:eastAsia="宋体" w:cs="宋体"/>
          <w:i/>
          <w:color w:val="auto"/>
          <w:highlight w:val="none"/>
        </w:rPr>
      </w:pPr>
    </w:p>
    <w:p>
      <w:pPr>
        <w:pStyle w:val="3"/>
        <w:spacing w:line="360" w:lineRule="auto"/>
        <w:jc w:val="center"/>
        <w:rPr>
          <w:rFonts w:hint="eastAsia" w:ascii="宋体" w:hAnsi="宋体" w:eastAsia="宋体" w:cs="宋体"/>
          <w:b w:val="0"/>
          <w:color w:val="auto"/>
          <w:sz w:val="48"/>
          <w:szCs w:val="48"/>
          <w:highlight w:val="none"/>
        </w:rPr>
      </w:pPr>
      <w:bookmarkStart w:id="408" w:name="_Toc28727"/>
      <w:r>
        <w:rPr>
          <w:rFonts w:hint="eastAsia" w:ascii="宋体" w:hAnsi="宋体" w:eastAsia="宋体" w:cs="宋体"/>
          <w:b w:val="0"/>
          <w:bCs w:val="0"/>
          <w:i w:val="0"/>
          <w:color w:val="auto"/>
          <w:kern w:val="2"/>
          <w:sz w:val="21"/>
          <w:szCs w:val="21"/>
          <w:highlight w:val="none"/>
          <w:lang w:val="en-US" w:eastAsia="zh-CN"/>
        </w:rPr>
        <w:t>详见图纸</w:t>
      </w:r>
      <w:r>
        <w:rPr>
          <w:rFonts w:hint="eastAsia" w:ascii="宋体" w:hAnsi="宋体" w:eastAsia="宋体" w:cs="宋体"/>
          <w:b w:val="0"/>
          <w:color w:val="auto"/>
          <w:sz w:val="48"/>
          <w:szCs w:val="48"/>
          <w:highlight w:val="none"/>
        </w:rPr>
        <w:br w:type="page"/>
      </w:r>
      <w:r>
        <w:rPr>
          <w:rFonts w:hint="eastAsia" w:ascii="宋体" w:hAnsi="宋体" w:eastAsia="宋体" w:cs="宋体"/>
          <w:bCs w:val="0"/>
          <w:color w:val="auto"/>
          <w:highlight w:val="none"/>
        </w:rPr>
        <w:t>第八章  工程量清单计量规则</w:t>
      </w:r>
      <w:bookmarkEnd w:id="408"/>
    </w:p>
    <w:p>
      <w:pPr>
        <w:spacing w:line="360" w:lineRule="auto"/>
        <w:jc w:val="center"/>
        <w:rPr>
          <w:rFonts w:hint="eastAsia" w:ascii="宋体" w:hAnsi="宋体" w:eastAsia="宋体" w:cs="宋体"/>
          <w:color w:val="auto"/>
          <w:szCs w:val="21"/>
          <w:highlight w:val="none"/>
        </w:rPr>
      </w:pPr>
      <w:bookmarkStart w:id="409" w:name="_Toc509218849"/>
      <w:bookmarkStart w:id="410" w:name="_Toc534185827"/>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p>
    <w:p>
      <w:pPr>
        <w:pStyle w:val="3"/>
        <w:spacing w:before="0" w:after="0"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br w:type="page"/>
      </w:r>
      <w:bookmarkStart w:id="411" w:name="_Toc7873"/>
      <w:r>
        <w:rPr>
          <w:rFonts w:hint="eastAsia" w:ascii="宋体" w:hAnsi="宋体" w:eastAsia="宋体" w:cs="宋体"/>
          <w:color w:val="auto"/>
          <w:sz w:val="52"/>
          <w:szCs w:val="52"/>
          <w:highlight w:val="none"/>
        </w:rPr>
        <w:t>第 四 卷</w:t>
      </w:r>
      <w:bookmarkEnd w:id="409"/>
      <w:bookmarkEnd w:id="410"/>
      <w:bookmarkEnd w:id="411"/>
    </w:p>
    <w:p>
      <w:pPr>
        <w:pStyle w:val="3"/>
        <w:spacing w:before="0" w:after="0" w:line="360" w:lineRule="auto"/>
        <w:jc w:val="center"/>
        <w:rPr>
          <w:rFonts w:hint="eastAsia" w:ascii="宋体" w:hAnsi="宋体" w:eastAsia="宋体" w:cs="宋体"/>
          <w:b w:val="0"/>
          <w:color w:val="auto"/>
          <w:sz w:val="48"/>
          <w:szCs w:val="48"/>
          <w:highlight w:val="none"/>
        </w:rPr>
      </w:pPr>
      <w:bookmarkStart w:id="412" w:name="招标文件08章投标文件格式"/>
      <w:bookmarkEnd w:id="412"/>
      <w:bookmarkStart w:id="413" w:name="_Toc509218852"/>
      <w:bookmarkStart w:id="414" w:name="_Toc287620812"/>
      <w:bookmarkStart w:id="415" w:name="_Toc287607865"/>
      <w:bookmarkStart w:id="416" w:name="_Toc430530528"/>
      <w:bookmarkStart w:id="417" w:name="_Toc534185829"/>
      <w:r>
        <w:rPr>
          <w:rFonts w:hint="eastAsia" w:ascii="宋体" w:hAnsi="宋体" w:eastAsia="宋体" w:cs="宋体"/>
          <w:b w:val="0"/>
          <w:color w:val="auto"/>
          <w:sz w:val="48"/>
          <w:szCs w:val="48"/>
          <w:highlight w:val="none"/>
        </w:rPr>
        <w:br w:type="page"/>
      </w:r>
      <w:bookmarkStart w:id="418" w:name="_Toc12482"/>
      <w:r>
        <w:rPr>
          <w:rFonts w:hint="eastAsia" w:ascii="宋体" w:hAnsi="宋体" w:eastAsia="宋体" w:cs="宋体"/>
          <w:bCs w:val="0"/>
          <w:color w:val="auto"/>
          <w:highlight w:val="none"/>
        </w:rPr>
        <w:t>第九章  投标文件格式</w:t>
      </w:r>
      <w:bookmarkEnd w:id="413"/>
      <w:bookmarkEnd w:id="414"/>
      <w:bookmarkEnd w:id="415"/>
      <w:bookmarkEnd w:id="416"/>
      <w:bookmarkEnd w:id="417"/>
      <w:bookmarkEnd w:id="418"/>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Cs w:val="20"/>
          <w:highlight w:val="none"/>
        </w:rPr>
        <w:br w:type="page"/>
      </w: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240" w:lineRule="auto"/>
        <w:jc w:val="left"/>
        <w:outlineLvl w:val="9"/>
        <w:rPr>
          <w:rFonts w:hint="eastAsia" w:ascii="宋体" w:hAnsi="宋体" w:eastAsia="宋体" w:cs="宋体"/>
          <w:color w:val="auto"/>
          <w:szCs w:val="20"/>
          <w:highlight w:val="none"/>
        </w:rPr>
      </w:pPr>
    </w:p>
    <w:p>
      <w:pPr>
        <w:spacing w:line="360" w:lineRule="auto"/>
        <w:jc w:val="center"/>
        <w:outlineLvl w:val="0"/>
        <w:rPr>
          <w:rFonts w:hint="eastAsia" w:ascii="宋体" w:hAnsi="宋体" w:eastAsia="宋体" w:cs="宋体"/>
          <w:color w:val="auto"/>
          <w:szCs w:val="20"/>
          <w:highlight w:val="none"/>
        </w:rPr>
      </w:pPr>
      <w:bookmarkStart w:id="419" w:name="_Toc23377"/>
      <w:r>
        <w:rPr>
          <w:rFonts w:hint="eastAsia" w:ascii="宋体" w:hAnsi="宋体" w:eastAsia="宋体" w:cs="宋体"/>
          <w:b/>
          <w:bCs/>
          <w:color w:val="auto"/>
          <w:sz w:val="36"/>
          <w:szCs w:val="36"/>
          <w:highlight w:val="none"/>
        </w:rPr>
        <w:t>目  录</w:t>
      </w:r>
      <w:bookmarkEnd w:id="419"/>
    </w:p>
    <w:p>
      <w:pPr>
        <w:spacing w:line="360" w:lineRule="auto"/>
        <w:outlineLvl w:val="0"/>
        <w:rPr>
          <w:rFonts w:hint="eastAsia" w:ascii="宋体" w:hAnsi="宋体" w:eastAsia="宋体" w:cs="宋体"/>
          <w:b/>
          <w:color w:val="auto"/>
          <w:highlight w:val="none"/>
        </w:rPr>
      </w:pPr>
      <w:bookmarkStart w:id="420" w:name="_Toc19872"/>
      <w:r>
        <w:rPr>
          <w:rFonts w:hint="eastAsia" w:ascii="宋体" w:hAnsi="宋体" w:eastAsia="宋体" w:cs="宋体"/>
          <w:b/>
          <w:color w:val="auto"/>
          <w:highlight w:val="none"/>
        </w:rPr>
        <w:t>一、投标函部分</w:t>
      </w:r>
      <w:bookmarkEnd w:id="420"/>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（三）法定代表人身份证明或附有法定代表人身份证明的授权委托书</w:t>
      </w:r>
    </w:p>
    <w:p>
      <w:pPr>
        <w:spacing w:line="360" w:lineRule="auto"/>
        <w:outlineLvl w:val="0"/>
        <w:rPr>
          <w:rFonts w:hint="eastAsia" w:ascii="宋体" w:hAnsi="宋体" w:eastAsia="宋体" w:cs="宋体"/>
          <w:b/>
          <w:color w:val="auto"/>
          <w:highlight w:val="none"/>
        </w:rPr>
      </w:pPr>
      <w:bookmarkStart w:id="421" w:name="_Toc9644"/>
      <w:r>
        <w:rPr>
          <w:rFonts w:hint="eastAsia" w:ascii="宋体" w:hAnsi="宋体" w:eastAsia="宋体" w:cs="宋体"/>
          <w:b/>
          <w:color w:val="auto"/>
          <w:highlight w:val="none"/>
        </w:rPr>
        <w:t>二、经济部分</w:t>
      </w:r>
      <w:bookmarkEnd w:id="421"/>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p>
      <w:pPr>
        <w:spacing w:line="360" w:lineRule="auto"/>
        <w:outlineLvl w:val="0"/>
        <w:rPr>
          <w:rFonts w:hint="eastAsia" w:ascii="宋体" w:hAnsi="宋体" w:eastAsia="宋体" w:cs="宋体"/>
          <w:b/>
          <w:color w:val="auto"/>
          <w:highlight w:val="none"/>
        </w:rPr>
      </w:pPr>
      <w:bookmarkStart w:id="422" w:name="_Toc16841"/>
      <w:r>
        <w:rPr>
          <w:rFonts w:hint="eastAsia" w:ascii="宋体" w:hAnsi="宋体" w:eastAsia="宋体" w:cs="宋体"/>
          <w:b/>
          <w:color w:val="auto"/>
          <w:highlight w:val="none"/>
        </w:rPr>
        <w:t>三、商务部分</w:t>
      </w:r>
      <w:bookmarkEnd w:id="422"/>
    </w:p>
    <w:p>
      <w:pPr>
        <w:spacing w:line="360" w:lineRule="auto"/>
        <w:outlineLvl w:val="0"/>
        <w:rPr>
          <w:rFonts w:hint="eastAsia" w:ascii="宋体" w:hAnsi="宋体" w:eastAsia="宋体" w:cs="宋体"/>
          <w:b/>
          <w:color w:val="auto"/>
          <w:highlight w:val="none"/>
        </w:rPr>
      </w:pPr>
      <w:bookmarkStart w:id="423" w:name="_Toc11555"/>
      <w:r>
        <w:rPr>
          <w:rFonts w:hint="eastAsia" w:ascii="宋体" w:hAnsi="宋体" w:eastAsia="宋体" w:cs="宋体"/>
          <w:b/>
          <w:color w:val="auto"/>
          <w:highlight w:val="none"/>
        </w:rPr>
        <w:t>四、技术部分</w:t>
      </w:r>
      <w:bookmarkEnd w:id="423"/>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技术方案</w:t>
      </w:r>
    </w:p>
    <w:p>
      <w:pPr>
        <w:spacing w:line="360" w:lineRule="auto"/>
        <w:outlineLvl w:val="0"/>
        <w:rPr>
          <w:rFonts w:hint="eastAsia" w:ascii="宋体" w:hAnsi="宋体" w:eastAsia="宋体" w:cs="宋体"/>
          <w:b/>
          <w:color w:val="auto"/>
          <w:highlight w:val="none"/>
        </w:rPr>
      </w:pPr>
      <w:bookmarkStart w:id="424" w:name="_Toc26297"/>
      <w:r>
        <w:rPr>
          <w:rFonts w:hint="eastAsia" w:ascii="宋体" w:hAnsi="宋体" w:eastAsia="宋体" w:cs="宋体"/>
          <w:b/>
          <w:color w:val="auto"/>
          <w:highlight w:val="none"/>
        </w:rPr>
        <w:t>五、资格审查部分</w:t>
      </w:r>
      <w:bookmarkEnd w:id="424"/>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（六）承诺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（七）其他资料</w:t>
      </w:r>
    </w:p>
    <w:p>
      <w:pPr>
        <w:spacing w:line="360" w:lineRule="auto"/>
        <w:ind w:firstLine="420" w:firstLineChars="200"/>
        <w:rPr>
          <w:rFonts w:hint="eastAsia" w:ascii="宋体" w:hAnsi="宋体" w:eastAsia="宋体" w:cs="宋体"/>
          <w:color w:val="auto"/>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425" w:name="_Toc22269"/>
      <w:bookmarkStart w:id="426" w:name="_Toc33106472"/>
      <w:r>
        <w:rPr>
          <w:rFonts w:hint="eastAsia" w:ascii="宋体" w:hAnsi="宋体" w:eastAsia="宋体" w:cs="宋体"/>
          <w:b w:val="0"/>
          <w:bCs w:val="0"/>
          <w:color w:val="auto"/>
          <w:sz w:val="44"/>
          <w:szCs w:val="44"/>
          <w:highlight w:val="none"/>
        </w:rPr>
        <w:t>一、投标函部分</w:t>
      </w:r>
      <w:bookmarkEnd w:id="425"/>
      <w:bookmarkEnd w:id="426"/>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36"/>
          <w:szCs w:val="36"/>
          <w:highlight w:val="none"/>
        </w:rPr>
      </w:pPr>
      <w:bookmarkStart w:id="427" w:name="_Toc536800771"/>
      <w:bookmarkStart w:id="428" w:name="_Toc509218853"/>
      <w:bookmarkStart w:id="429" w:name="_Toc534185830"/>
      <w:r>
        <w:rPr>
          <w:rFonts w:hint="eastAsia" w:ascii="宋体" w:hAnsi="宋体" w:eastAsia="宋体" w:cs="宋体"/>
          <w:b/>
          <w:color w:val="auto"/>
          <w:sz w:val="32"/>
          <w:szCs w:val="32"/>
          <w:highlight w:val="none"/>
        </w:rPr>
        <w:t xml:space="preserve"> </w:t>
      </w:r>
      <w:bookmarkEnd w:id="427"/>
      <w:bookmarkEnd w:id="428"/>
      <w:bookmarkEnd w:id="429"/>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b w:val="0"/>
          <w:color w:val="auto"/>
          <w:highlight w:val="none"/>
        </w:rPr>
      </w:pPr>
      <w:r>
        <w:rPr>
          <w:rFonts w:hint="eastAsia" w:ascii="宋体" w:hAnsi="宋体" w:eastAsia="宋体" w:cs="宋体"/>
          <w:color w:val="auto"/>
          <w:kern w:val="0"/>
          <w:sz w:val="28"/>
          <w:szCs w:val="28"/>
          <w:highlight w:val="none"/>
          <w:u w:val="single"/>
        </w:rPr>
        <w:br w:type="page"/>
      </w:r>
      <w:bookmarkStart w:id="430" w:name="_Toc536800772"/>
      <w:bookmarkStart w:id="431" w:name="_Toc534185831"/>
      <w:bookmarkStart w:id="432" w:name="_Toc224103495"/>
      <w:bookmarkStart w:id="433" w:name="_Toc509218854"/>
      <w:bookmarkStart w:id="434" w:name="_Toc287607867"/>
      <w:bookmarkStart w:id="435" w:name="_Toc277082643"/>
      <w:bookmarkStart w:id="436" w:name="_Toc21828"/>
      <w:bookmarkStart w:id="437" w:name="_Toc287620814"/>
      <w:bookmarkStart w:id="438" w:name="_Toc430530530"/>
      <w:bookmarkStart w:id="439" w:name="_Toc16206"/>
      <w:r>
        <w:rPr>
          <w:rFonts w:hint="eastAsia" w:ascii="宋体" w:hAnsi="宋体" w:eastAsia="宋体" w:cs="宋体"/>
          <w:b w:val="0"/>
          <w:bCs w:val="0"/>
          <w:color w:val="auto"/>
          <w:highlight w:val="none"/>
        </w:rPr>
        <w:t>（一）投标函</w:t>
      </w:r>
      <w:bookmarkEnd w:id="430"/>
      <w:bookmarkEnd w:id="431"/>
      <w:bookmarkEnd w:id="432"/>
      <w:bookmarkEnd w:id="433"/>
      <w:bookmarkEnd w:id="434"/>
      <w:bookmarkEnd w:id="435"/>
      <w:bookmarkEnd w:id="436"/>
      <w:bookmarkEnd w:id="437"/>
      <w:bookmarkEnd w:id="438"/>
      <w:bookmarkEnd w:id="439"/>
    </w:p>
    <w:p>
      <w:pPr>
        <w:keepNext w:val="0"/>
        <w:keepLines w:val="0"/>
        <w:pageBreakBefore w:val="0"/>
        <w:widowControl w:val="0"/>
        <w:tabs>
          <w:tab w:val="left" w:pos="264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我方已仔细研究了</w:t>
      </w:r>
      <w:r>
        <w:rPr>
          <w:rFonts w:hint="eastAsia" w:ascii="宋体" w:hAnsi="宋体" w:cs="宋体"/>
          <w:color w:val="auto"/>
          <w:highlight w:val="none"/>
          <w:u w:val="single"/>
          <w:lang w:eastAsia="zh-CN"/>
        </w:rPr>
        <w:t>巫溪至开州高速公路项目机电工程通风照明工程专项分包</w:t>
      </w:r>
      <w:r>
        <w:rPr>
          <w:rFonts w:hint="eastAsia" w:ascii="宋体" w:hAnsi="宋体" w:eastAsia="宋体" w:cs="宋体"/>
          <w:color w:val="auto"/>
          <w:szCs w:val="21"/>
          <w:highlight w:val="none"/>
        </w:rPr>
        <w:t>招标文件的全部内容，</w:t>
      </w:r>
      <w:r>
        <w:rPr>
          <w:rFonts w:hint="eastAsia" w:ascii="宋体" w:hAnsi="宋体" w:eastAsia="宋体" w:cs="宋体"/>
          <w:snapToGrid w:val="0"/>
          <w:color w:val="auto"/>
          <w:kern w:val="0"/>
          <w:szCs w:val="21"/>
          <w:highlight w:val="none"/>
        </w:rPr>
        <w:t>愿意以人民币（大写）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）的投标总报价进行报价</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该工程</w:t>
      </w:r>
      <w:r>
        <w:rPr>
          <w:rFonts w:hint="eastAsia" w:ascii="宋体" w:hAnsi="宋体" w:eastAsia="宋体" w:cs="宋体"/>
          <w:snapToGrid w:val="0"/>
          <w:color w:val="auto"/>
          <w:kern w:val="0"/>
          <w:highlight w:val="none"/>
        </w:rPr>
        <w:t>项目经理为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，项目总工为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工期：</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，按合同约定实施和完成承包工程，修补工程中的任何缺陷， 工程质量：</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，安全目标：</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我方承诺响应招标文件规定的投标有效期，在投标有效期内不修改、撤销投标文件。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如我方中标：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（3）我方承诺按照招标文件规定向你方递交履约担保。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我方承诺以不低于招标文件</w:t>
      </w:r>
      <w:r>
        <w:rPr>
          <w:rFonts w:hint="eastAsia" w:ascii="宋体" w:hAnsi="宋体" w:eastAsia="宋体" w:cs="宋体"/>
          <w:snapToGrid w:val="0"/>
          <w:color w:val="auto"/>
          <w:kern w:val="0"/>
          <w:szCs w:val="21"/>
          <w:highlight w:val="none"/>
        </w:rPr>
        <w:t>第七章</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技术标准和要求</w:t>
      </w:r>
      <w:r>
        <w:rPr>
          <w:rFonts w:hint="eastAsia" w:ascii="宋体" w:hAnsi="宋体" w:eastAsia="宋体" w:cs="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5.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rPr>
        <w:t>6</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（其他补充说明）</w:t>
      </w:r>
      <w:r>
        <w:rPr>
          <w:rFonts w:hint="eastAsia" w:ascii="宋体" w:hAnsi="宋体" w:eastAsia="宋体" w:cs="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line="360" w:lineRule="auto"/>
        <w:jc w:val="center"/>
        <w:outlineLvl w:val="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highlight w:val="none"/>
        </w:rPr>
        <w:br w:type="page"/>
      </w:r>
      <w:bookmarkStart w:id="440" w:name="_Toc509218855"/>
      <w:bookmarkStart w:id="441" w:name="_Toc27251"/>
      <w:bookmarkStart w:id="442" w:name="_Toc534185832"/>
      <w:bookmarkStart w:id="443" w:name="_Toc6551"/>
      <w:bookmarkStart w:id="444" w:name="_Toc430530532"/>
      <w:bookmarkStart w:id="445" w:name="_Toc287620816"/>
      <w:bookmarkStart w:id="446" w:name="_Toc287607869"/>
      <w:bookmarkStart w:id="447" w:name="_Toc224103497"/>
      <w:bookmarkStart w:id="448" w:name="_Toc277082645"/>
      <w:r>
        <w:rPr>
          <w:rFonts w:hint="eastAsia" w:ascii="宋体" w:hAnsi="宋体" w:eastAsia="宋体" w:cs="宋体"/>
          <w:b w:val="0"/>
          <w:bCs w:val="0"/>
          <w:color w:val="auto"/>
          <w:highlight w:val="none"/>
        </w:rPr>
        <w:t>（二）投标函附录</w:t>
      </w:r>
      <w:bookmarkEnd w:id="440"/>
      <w:bookmarkEnd w:id="441"/>
      <w:bookmarkEnd w:id="442"/>
      <w:bookmarkEnd w:id="443"/>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序号</w:t>
            </w:r>
          </w:p>
        </w:tc>
        <w:tc>
          <w:tcPr>
            <w:tcW w:w="2429"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条款名称</w:t>
            </w:r>
          </w:p>
        </w:tc>
        <w:tc>
          <w:tcPr>
            <w:tcW w:w="1392"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rPr>
              <w:t>合同</w:t>
            </w:r>
            <w:r>
              <w:rPr>
                <w:rFonts w:hint="eastAsia" w:ascii="宋体" w:hAnsi="宋体" w:eastAsia="宋体" w:cs="宋体"/>
                <w:b/>
                <w:bCs/>
                <w:color w:val="auto"/>
                <w:spacing w:val="1"/>
                <w:szCs w:val="22"/>
                <w:highlight w:val="none"/>
                <w:lang w:eastAsia="en-US"/>
              </w:rPr>
              <w:t>条目号</w:t>
            </w:r>
          </w:p>
        </w:tc>
        <w:tc>
          <w:tcPr>
            <w:tcW w:w="3286" w:type="dxa"/>
            <w:tcBorders>
              <w:lef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约定内容</w:t>
            </w:r>
          </w:p>
        </w:tc>
        <w:tc>
          <w:tcPr>
            <w:tcW w:w="8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429"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pacing w:val="1"/>
                <w:szCs w:val="22"/>
                <w:highlight w:val="none"/>
                <w:lang w:eastAsia="en-US"/>
              </w:rPr>
              <w:t>缺陷责任期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24</w:t>
            </w:r>
            <w:r>
              <w:rPr>
                <w:rFonts w:hint="eastAsia" w:ascii="宋体" w:hAnsi="宋体" w:eastAsia="宋体" w:cs="宋体"/>
                <w:color w:val="auto"/>
                <w:szCs w:val="22"/>
                <w:highlight w:val="none"/>
                <w:u w:val="single"/>
              </w:rPr>
              <w:t>月</w:t>
            </w:r>
          </w:p>
        </w:tc>
        <w:tc>
          <w:tcPr>
            <w:tcW w:w="850" w:type="dxa"/>
            <w:vAlign w:val="center"/>
          </w:tcPr>
          <w:p>
            <w:pPr>
              <w:keepNext w:val="0"/>
              <w:keepLines w:val="0"/>
              <w:suppressLineNumbers w:val="0"/>
              <w:tabs>
                <w:tab w:val="left" w:pos="2190"/>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2</w:t>
            </w:r>
          </w:p>
        </w:tc>
        <w:tc>
          <w:tcPr>
            <w:tcW w:w="2429"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pacing w:val="1"/>
                <w:szCs w:val="22"/>
                <w:highlight w:val="none"/>
                <w:lang w:eastAsia="en-US"/>
              </w:rPr>
            </w:pPr>
            <w:r>
              <w:rPr>
                <w:rFonts w:hint="eastAsia" w:ascii="宋体" w:hAnsi="宋体" w:eastAsia="宋体" w:cs="宋体"/>
                <w:color w:val="auto"/>
                <w:spacing w:val="1"/>
                <w:szCs w:val="22"/>
                <w:highlight w:val="none"/>
                <w:lang w:eastAsia="en-US"/>
              </w:rPr>
              <w:t>保修期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5</w:t>
            </w:r>
            <w:r>
              <w:rPr>
                <w:rFonts w:hint="eastAsia" w:ascii="宋体" w:hAnsi="宋体" w:eastAsia="宋体" w:cs="宋体"/>
                <w:color w:val="auto"/>
                <w:szCs w:val="22"/>
                <w:highlight w:val="none"/>
              </w:rPr>
              <w:t>年</w:t>
            </w:r>
          </w:p>
        </w:tc>
        <w:tc>
          <w:tcPr>
            <w:tcW w:w="85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bl>
    <w:p>
      <w:pPr>
        <w:spacing w:line="360" w:lineRule="auto"/>
        <w:rPr>
          <w:rFonts w:hint="eastAsia" w:ascii="宋体" w:hAnsi="宋体" w:eastAsia="宋体" w:cs="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pStyle w:val="2"/>
        <w:rPr>
          <w:rFonts w:hint="eastAsia" w:ascii="宋体" w:hAnsi="宋体" w:eastAsia="宋体" w:cs="宋体"/>
          <w:snapToGrid w:val="0"/>
          <w:color w:val="auto"/>
          <w:kern w:val="0"/>
          <w:szCs w:val="21"/>
          <w:highlight w:val="none"/>
        </w:rPr>
      </w:pPr>
    </w:p>
    <w:p>
      <w:pPr>
        <w:pStyle w:val="2"/>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r>
        <w:rPr>
          <w:rFonts w:hint="eastAsia" w:ascii="宋体" w:hAnsi="宋体" w:eastAsia="宋体" w:cs="宋体"/>
          <w:color w:val="auto"/>
          <w:highlight w:val="none"/>
        </w:rPr>
        <w:br w:type="page"/>
      </w:r>
    </w:p>
    <w:p>
      <w:pPr>
        <w:pStyle w:val="5"/>
        <w:spacing w:before="0" w:line="360" w:lineRule="auto"/>
        <w:jc w:val="center"/>
        <w:outlineLvl w:val="1"/>
        <w:rPr>
          <w:rFonts w:hint="eastAsia" w:ascii="宋体" w:hAnsi="宋体" w:eastAsia="宋体" w:cs="宋体"/>
          <w:b w:val="0"/>
          <w:bCs w:val="0"/>
          <w:color w:val="auto"/>
          <w:highlight w:val="none"/>
        </w:rPr>
      </w:pPr>
      <w:bookmarkStart w:id="449" w:name="_Toc29609"/>
      <w:bookmarkStart w:id="450" w:name="_Toc20072"/>
      <w:r>
        <w:rPr>
          <w:rFonts w:hint="eastAsia" w:ascii="宋体" w:hAnsi="宋体" w:eastAsia="宋体" w:cs="宋体"/>
          <w:b w:val="0"/>
          <w:bCs w:val="0"/>
          <w:color w:val="auto"/>
          <w:highlight w:val="none"/>
        </w:rPr>
        <w:t>（三）法定代表人身份证明或附有法定代表人身份证明的授权委托书</w:t>
      </w:r>
      <w:bookmarkEnd w:id="444"/>
      <w:bookmarkEnd w:id="445"/>
      <w:bookmarkEnd w:id="446"/>
      <w:bookmarkEnd w:id="447"/>
      <w:bookmarkEnd w:id="448"/>
      <w:bookmarkEnd w:id="449"/>
      <w:bookmarkEnd w:id="450"/>
    </w:p>
    <w:p>
      <w:pPr>
        <w:spacing w:line="480" w:lineRule="auto"/>
        <w:jc w:val="center"/>
        <w:outlineLvl w:val="1"/>
        <w:rPr>
          <w:rFonts w:hint="eastAsia" w:ascii="宋体" w:hAnsi="宋体" w:eastAsia="宋体" w:cs="宋体"/>
          <w:color w:val="auto"/>
          <w:sz w:val="28"/>
          <w:highlight w:val="none"/>
        </w:rPr>
      </w:pPr>
      <w:bookmarkStart w:id="451" w:name="_Toc32072"/>
      <w:bookmarkStart w:id="452" w:name="_Toc25663"/>
      <w:r>
        <w:rPr>
          <w:rFonts w:hint="eastAsia" w:ascii="宋体" w:hAnsi="宋体" w:eastAsia="宋体" w:cs="宋体"/>
          <w:color w:val="auto"/>
          <w:sz w:val="28"/>
          <w:highlight w:val="none"/>
        </w:rPr>
        <w:t>法定代表人身份证明</w:t>
      </w:r>
      <w:bookmarkEnd w:id="451"/>
      <w:bookmarkEnd w:id="452"/>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eastAsia="宋体" w:cs="宋体"/>
          <w:color w:val="auto"/>
          <w:kern w:val="0"/>
          <w:sz w:val="12"/>
          <w:szCs w:val="12"/>
          <w:highlight w:val="none"/>
        </w:rPr>
      </w:pPr>
      <w:r>
        <w:rPr>
          <w:rFonts w:hint="eastAsia" w:ascii="宋体" w:hAnsi="宋体" w:eastAsia="宋体" w:cs="宋体"/>
          <w:b/>
          <w:color w:val="auto"/>
          <w:kern w:val="0"/>
          <w:sz w:val="28"/>
          <w:szCs w:val="28"/>
          <w:highlight w:val="none"/>
        </w:rPr>
        <w:br w:type="page"/>
      </w:r>
      <w:bookmarkStart w:id="453" w:name="_Toc32670"/>
      <w:bookmarkStart w:id="454" w:name="_Toc31307"/>
      <w:r>
        <w:rPr>
          <w:rFonts w:hint="eastAsia" w:ascii="宋体" w:hAnsi="宋体" w:eastAsia="宋体" w:cs="宋体"/>
          <w:snapToGrid w:val="0"/>
          <w:color w:val="auto"/>
          <w:kern w:val="0"/>
          <w:sz w:val="32"/>
          <w:szCs w:val="32"/>
          <w:highlight w:val="none"/>
        </w:rPr>
        <w:t>授权委托书</w:t>
      </w:r>
      <w:bookmarkEnd w:id="453"/>
      <w:bookmarkEnd w:id="454"/>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巫溪至开州高速公路项目机电工程通风照明工程专项分包</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hint="eastAsia" w:ascii="宋体" w:hAnsi="宋体" w:eastAsia="宋体" w:cs="宋体"/>
          <w:snapToGrid w:val="0"/>
          <w:color w:val="auto"/>
          <w:kern w:val="0"/>
          <w:sz w:val="32"/>
          <w:szCs w:val="32"/>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4"/>
        <w:spacing w:line="360" w:lineRule="auto"/>
        <w:jc w:val="center"/>
        <w:outlineLvl w:val="0"/>
        <w:rPr>
          <w:rFonts w:hint="eastAsia" w:ascii="宋体" w:hAnsi="宋体" w:eastAsia="宋体" w:cs="宋体"/>
          <w:b w:val="0"/>
          <w:bCs w:val="0"/>
          <w:color w:val="auto"/>
          <w:sz w:val="44"/>
          <w:szCs w:val="44"/>
          <w:highlight w:val="none"/>
        </w:rPr>
      </w:pPr>
      <w:bookmarkStart w:id="455" w:name="_Toc224103500"/>
      <w:r>
        <w:rPr>
          <w:rFonts w:hint="eastAsia" w:ascii="宋体" w:hAnsi="宋体" w:eastAsia="宋体" w:cs="宋体"/>
          <w:color w:val="auto"/>
          <w:highlight w:val="none"/>
        </w:rPr>
        <w:br w:type="page"/>
      </w:r>
      <w:bookmarkEnd w:id="455"/>
      <w:bookmarkStart w:id="456" w:name="_Toc11820"/>
      <w:bookmarkStart w:id="457" w:name="_Toc7263"/>
      <w:r>
        <w:rPr>
          <w:rFonts w:hint="eastAsia" w:ascii="宋体" w:hAnsi="宋体" w:eastAsia="宋体" w:cs="宋体"/>
          <w:b w:val="0"/>
          <w:bCs w:val="0"/>
          <w:color w:val="auto"/>
          <w:sz w:val="44"/>
          <w:szCs w:val="44"/>
          <w:highlight w:val="none"/>
        </w:rPr>
        <w:t>二、经济部分</w:t>
      </w:r>
      <w:bookmarkEnd w:id="456"/>
      <w:bookmarkEnd w:id="457"/>
    </w:p>
    <w:p>
      <w:pPr>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4"/>
          <w:szCs w:val="21"/>
          <w:highlight w:val="none"/>
        </w:rPr>
      </w:pPr>
      <w:r>
        <w:rPr>
          <w:rFonts w:hint="eastAsia" w:ascii="宋体" w:hAnsi="宋体" w:eastAsia="宋体" w:cs="宋体"/>
          <w:color w:val="auto"/>
          <w:sz w:val="32"/>
          <w:szCs w:val="32"/>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5"/>
        <w:spacing w:before="0" w:after="0" w:line="240" w:lineRule="auto"/>
        <w:jc w:val="center"/>
        <w:rPr>
          <w:rFonts w:hint="eastAsia" w:ascii="宋体" w:hAnsi="宋体" w:eastAsia="宋体" w:cs="宋体"/>
          <w:b w:val="0"/>
          <w:bCs w:val="0"/>
          <w:color w:val="auto"/>
          <w:highlight w:val="none"/>
        </w:rPr>
      </w:pPr>
      <w:bookmarkStart w:id="458" w:name="_Toc287620820"/>
      <w:bookmarkStart w:id="459" w:name="_Toc224103501"/>
      <w:bookmarkStart w:id="460" w:name="_Toc430530535"/>
      <w:bookmarkStart w:id="461" w:name="_Toc277082648"/>
      <w:bookmarkStart w:id="462" w:name="_Toc287607873"/>
      <w:r>
        <w:rPr>
          <w:rFonts w:hint="eastAsia" w:ascii="宋体" w:hAnsi="宋体" w:eastAsia="宋体" w:cs="宋体"/>
          <w:b w:val="0"/>
          <w:bCs w:val="0"/>
          <w:color w:val="auto"/>
          <w:kern w:val="0"/>
          <w:sz w:val="21"/>
          <w:szCs w:val="21"/>
          <w:highlight w:val="none"/>
        </w:rPr>
        <w:br w:type="page"/>
      </w:r>
      <w:bookmarkStart w:id="463" w:name="_Toc6790"/>
      <w:bookmarkStart w:id="464" w:name="_Toc10606"/>
      <w:r>
        <w:rPr>
          <w:rFonts w:hint="eastAsia" w:ascii="宋体" w:hAnsi="宋体" w:eastAsia="宋体" w:cs="宋体"/>
          <w:b w:val="0"/>
          <w:bCs w:val="0"/>
          <w:color w:val="auto"/>
          <w:highlight w:val="none"/>
        </w:rPr>
        <w:t>（一）已标价工程量清单</w:t>
      </w:r>
      <w:bookmarkEnd w:id="458"/>
      <w:bookmarkEnd w:id="459"/>
      <w:bookmarkEnd w:id="460"/>
      <w:bookmarkEnd w:id="461"/>
      <w:bookmarkEnd w:id="462"/>
      <w:bookmarkEnd w:id="463"/>
      <w:bookmarkEnd w:id="464"/>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465" w:name="_Toc15718"/>
      <w:r>
        <w:rPr>
          <w:rFonts w:hint="eastAsia" w:ascii="宋体" w:hAnsi="宋体" w:eastAsia="宋体" w:cs="宋体"/>
          <w:b w:val="0"/>
          <w:bCs w:val="0"/>
          <w:color w:val="auto"/>
          <w:sz w:val="44"/>
          <w:szCs w:val="44"/>
          <w:highlight w:val="none"/>
        </w:rPr>
        <w:t>三、商务部分</w:t>
      </w:r>
      <w:bookmarkEnd w:id="465"/>
    </w:p>
    <w:p>
      <w:pPr>
        <w:tabs>
          <w:tab w:val="left" w:pos="3280"/>
          <w:tab w:val="left" w:pos="4680"/>
          <w:tab w:val="left" w:pos="6080"/>
        </w:tabs>
        <w:autoSpaceDE w:val="0"/>
        <w:autoSpaceDN w:val="0"/>
        <w:adjustRightInd w:val="0"/>
        <w:snapToGrid w:val="0"/>
        <w:spacing w:after="156" w:afterLines="50" w:line="360" w:lineRule="auto"/>
        <w:jc w:val="center"/>
        <w:outlineLvl w:val="1"/>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8"/>
          <w:szCs w:val="28"/>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4"/>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4"/>
        <w:spacing w:line="360" w:lineRule="auto"/>
        <w:jc w:val="center"/>
        <w:outlineLvl w:val="0"/>
        <w:rPr>
          <w:rFonts w:hint="eastAsia" w:ascii="宋体" w:hAnsi="宋体" w:eastAsia="宋体" w:cs="宋体"/>
          <w:b w:val="0"/>
          <w:bCs w:val="0"/>
          <w:color w:val="auto"/>
          <w:sz w:val="44"/>
          <w:szCs w:val="44"/>
          <w:highlight w:val="none"/>
        </w:rPr>
      </w:pPr>
      <w:bookmarkStart w:id="466" w:name="_Toc14100"/>
      <w:r>
        <w:rPr>
          <w:rFonts w:hint="eastAsia" w:ascii="宋体" w:hAnsi="宋体" w:eastAsia="宋体" w:cs="宋体"/>
          <w:color w:val="auto"/>
          <w:sz w:val="44"/>
          <w:szCs w:val="44"/>
          <w:highlight w:val="none"/>
        </w:rPr>
        <w:t>四、</w:t>
      </w:r>
      <w:r>
        <w:rPr>
          <w:rFonts w:hint="eastAsia" w:ascii="宋体" w:hAnsi="宋体" w:eastAsia="宋体" w:cs="宋体"/>
          <w:b w:val="0"/>
          <w:bCs w:val="0"/>
          <w:color w:val="auto"/>
          <w:sz w:val="44"/>
          <w:szCs w:val="44"/>
          <w:highlight w:val="none"/>
        </w:rPr>
        <w:t>技术部分</w:t>
      </w:r>
      <w:bookmarkEnd w:id="466"/>
    </w:p>
    <w:p>
      <w:pPr>
        <w:jc w:val="center"/>
        <w:rPr>
          <w:rFonts w:hint="eastAsia" w:ascii="宋体" w:hAnsi="宋体" w:eastAsia="宋体" w:cs="宋体"/>
          <w:i/>
          <w:iCs/>
          <w:color w:val="auto"/>
          <w:highlight w:val="none"/>
        </w:rPr>
      </w:pPr>
      <w:bookmarkStart w:id="467" w:name="_Toc534185833"/>
      <w:bookmarkStart w:id="468" w:name="_Toc430530537"/>
      <w:bookmarkStart w:id="469" w:name="_Toc509218856"/>
      <w:bookmarkStart w:id="470" w:name="_Toc536628352"/>
    </w:p>
    <w:bookmarkEnd w:id="467"/>
    <w:bookmarkEnd w:id="468"/>
    <w:bookmarkEnd w:id="469"/>
    <w:bookmarkEnd w:id="470"/>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目  录</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471" w:name="_Toc586"/>
      <w:r>
        <w:rPr>
          <w:rFonts w:hint="eastAsia" w:ascii="宋体" w:hAnsi="宋体" w:eastAsia="宋体" w:cs="宋体"/>
          <w:b w:val="0"/>
          <w:bCs w:val="0"/>
          <w:color w:val="auto"/>
          <w:sz w:val="36"/>
          <w:szCs w:val="36"/>
          <w:highlight w:val="none"/>
        </w:rPr>
        <w:t>（一）</w:t>
      </w:r>
      <w:r>
        <w:rPr>
          <w:rFonts w:hint="eastAsia" w:ascii="宋体" w:hAnsi="宋体" w:eastAsia="宋体" w:cs="宋体"/>
          <w:b w:val="0"/>
          <w:bCs w:val="0"/>
          <w:color w:val="auto"/>
          <w:highlight w:val="none"/>
        </w:rPr>
        <w:t>技术方案</w:t>
      </w:r>
      <w:bookmarkEnd w:id="471"/>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[投标人应根据招标文件的要求编制技术方案]</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 xml:space="preserve"> 投标人应按以下要点（如有）编制技术方案（文字宜精炼、内容具有针对性）：</w:t>
      </w:r>
    </w:p>
    <w:p>
      <w:pPr>
        <w:pStyle w:val="2"/>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1.1关键设备</w:t>
      </w:r>
    </w:p>
    <w:p>
      <w:pPr>
        <w:pStyle w:val="2"/>
        <w:ind w:firstLine="420" w:firstLineChars="200"/>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1.2施工组织设计</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（1）总体施工组织布置及规划；</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（2）主要工程项目的施工方案、方法与技术措施（尤其对重点、关键和难点工程的施工方案、方法及措施）；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（3）工期</w:t>
      </w:r>
      <w:r>
        <w:rPr>
          <w:rFonts w:hint="eastAsia" w:ascii="宋体" w:hAnsi="宋体" w:eastAsia="宋体" w:cs="宋体"/>
          <w:color w:val="auto"/>
          <w:highlight w:val="none"/>
          <w:lang w:eastAsia="zh-CN"/>
        </w:rPr>
        <w:t>和资金</w:t>
      </w:r>
      <w:r>
        <w:rPr>
          <w:rFonts w:hint="eastAsia" w:ascii="宋体" w:hAnsi="宋体" w:eastAsia="宋体" w:cs="宋体"/>
          <w:color w:val="auto"/>
          <w:highlight w:val="none"/>
        </w:rPr>
        <w:t>保证体系及保证措施；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（4）工程质量</w:t>
      </w:r>
      <w:r>
        <w:rPr>
          <w:rFonts w:hint="eastAsia" w:ascii="宋体" w:hAnsi="宋体" w:eastAsia="宋体" w:cs="宋体"/>
          <w:color w:val="auto"/>
          <w:highlight w:val="none"/>
          <w:lang w:eastAsia="zh-CN"/>
        </w:rPr>
        <w:t>、安全、环保、水保</w:t>
      </w:r>
      <w:r>
        <w:rPr>
          <w:rFonts w:hint="eastAsia" w:ascii="宋体" w:hAnsi="宋体" w:eastAsia="宋体" w:cs="宋体"/>
          <w:color w:val="auto"/>
          <w:highlight w:val="none"/>
        </w:rPr>
        <w:t>管理体系及保证措施；</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（5）项目风险预测与防范，事故应急预案</w:t>
      </w:r>
      <w:r>
        <w:rPr>
          <w:rFonts w:hint="eastAsia" w:ascii="宋体" w:hAnsi="宋体" w:eastAsia="宋体" w:cs="宋体"/>
          <w:color w:val="auto"/>
          <w:highlight w:val="none"/>
          <w:lang w:eastAsia="zh-CN"/>
        </w:rPr>
        <w:t>；</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）支付保障措施（有关民工工资、劳务专业分包等的按期支付保证措施）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）交通组织方案；</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）缺陷责任期配合措施；</w:t>
      </w:r>
    </w:p>
    <w:p>
      <w:pPr>
        <w:pStyle w:val="2"/>
        <w:ind w:firstLine="420" w:firstLineChars="200"/>
        <w:rPr>
          <w:rFonts w:hint="default" w:eastAsia="宋体"/>
          <w:lang w:val="en-US" w:eastAsia="zh-CN"/>
        </w:rPr>
      </w:pPr>
      <w:r>
        <w:rPr>
          <w:rFonts w:hint="eastAsia" w:ascii="宋体" w:hAnsi="宋体" w:eastAsia="宋体" w:cs="宋体"/>
          <w:color w:val="auto"/>
          <w:highlight w:val="none"/>
        </w:rPr>
        <w:t>（9）其他应说明的事项。</w:t>
      </w:r>
    </w:p>
    <w:p>
      <w:pPr>
        <w:pStyle w:val="4"/>
        <w:spacing w:line="360" w:lineRule="auto"/>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472" w:name="_Toc277082656"/>
      <w:bookmarkStart w:id="473" w:name="_Toc430530545"/>
      <w:bookmarkStart w:id="474" w:name="_Toc287607882"/>
      <w:bookmarkStart w:id="475" w:name="_Toc224103510"/>
      <w:bookmarkStart w:id="476" w:name="_Toc287620829"/>
      <w:bookmarkStart w:id="477" w:name="_Toc18649"/>
      <w:r>
        <w:rPr>
          <w:rFonts w:hint="eastAsia" w:ascii="宋体" w:hAnsi="宋体" w:eastAsia="宋体" w:cs="宋体"/>
          <w:b w:val="0"/>
          <w:bCs w:val="0"/>
          <w:color w:val="auto"/>
          <w:sz w:val="44"/>
          <w:szCs w:val="44"/>
          <w:highlight w:val="none"/>
        </w:rPr>
        <w:t>五、资格审查资料</w:t>
      </w:r>
      <w:bookmarkEnd w:id="472"/>
      <w:bookmarkEnd w:id="473"/>
      <w:bookmarkEnd w:id="474"/>
      <w:bookmarkEnd w:id="475"/>
      <w:bookmarkEnd w:id="476"/>
      <w:bookmarkEnd w:id="477"/>
    </w:p>
    <w:bookmarkEnd w:id="376"/>
    <w:bookmarkEnd w:id="377"/>
    <w:bookmarkEnd w:id="378"/>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highlight w:val="none"/>
        </w:rPr>
      </w:pPr>
      <w:bookmarkStart w:id="478" w:name="_Toc27983327"/>
      <w:r>
        <w:rPr>
          <w:rFonts w:hint="eastAsia" w:ascii="宋体" w:hAnsi="宋体" w:eastAsia="宋体" w:cs="宋体"/>
          <w:color w:val="auto"/>
          <w:sz w:val="32"/>
          <w:szCs w:val="32"/>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（七）其他资料</w:t>
      </w:r>
    </w:p>
    <w:p>
      <w:pPr>
        <w:spacing w:line="360" w:lineRule="auto"/>
        <w:ind w:firstLine="420" w:firstLineChars="200"/>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bookmarkStart w:id="479" w:name="_Toc287607883"/>
      <w:bookmarkStart w:id="480" w:name="_Toc33106476"/>
      <w:bookmarkStart w:id="481" w:name="_Toc277082657"/>
      <w:bookmarkStart w:id="482" w:name="_Toc430530546"/>
      <w:bookmarkStart w:id="483" w:name="_Toc287620830"/>
      <w:bookmarkStart w:id="484" w:name="_Toc224103511"/>
      <w:r>
        <w:rPr>
          <w:rFonts w:hint="eastAsia" w:ascii="宋体" w:hAnsi="宋体" w:eastAsia="宋体" w:cs="宋体"/>
          <w:b w:val="0"/>
          <w:bCs w:val="0"/>
          <w:color w:val="auto"/>
          <w:highlight w:val="none"/>
        </w:rPr>
        <w:br w:type="page"/>
      </w:r>
      <w:bookmarkStart w:id="485" w:name="_Toc18889"/>
      <w:r>
        <w:rPr>
          <w:rFonts w:hint="eastAsia" w:ascii="宋体" w:hAnsi="宋体" w:eastAsia="宋体" w:cs="宋体"/>
          <w:b w:val="0"/>
          <w:bCs w:val="0"/>
          <w:color w:val="auto"/>
          <w:highlight w:val="none"/>
        </w:rPr>
        <w:t>（一）法定代表人身份证明或附有法定代表人身份证明的授权委托书</w:t>
      </w:r>
      <w:bookmarkEnd w:id="479"/>
      <w:bookmarkEnd w:id="480"/>
      <w:bookmarkEnd w:id="481"/>
      <w:bookmarkEnd w:id="482"/>
      <w:bookmarkEnd w:id="483"/>
      <w:bookmarkEnd w:id="484"/>
      <w:bookmarkEnd w:id="485"/>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巫溪至开州高速公路项目机电工程通风照明工程专项分包</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2"/>
        <w:rPr>
          <w:rFonts w:hint="eastAsia" w:ascii="宋体" w:hAnsi="宋体" w:eastAsia="宋体" w:cs="宋体"/>
          <w:color w:val="auto"/>
          <w:highlight w:val="none"/>
        </w:rPr>
      </w:pP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78"/>
    <w:p>
      <w:pPr>
        <w:pStyle w:val="5"/>
        <w:spacing w:before="0" w:after="0" w:line="240" w:lineRule="auto"/>
        <w:jc w:val="center"/>
        <w:rPr>
          <w:rFonts w:hint="eastAsia" w:ascii="宋体" w:hAnsi="宋体" w:eastAsia="宋体" w:cs="宋体"/>
          <w:b w:val="0"/>
          <w:bCs w:val="0"/>
          <w:color w:val="auto"/>
          <w:highlight w:val="none"/>
          <w:lang w:eastAsia="zh-CN"/>
        </w:rPr>
      </w:pPr>
      <w:bookmarkStart w:id="486" w:name="_Toc16824"/>
      <w:bookmarkStart w:id="487" w:name="_Toc8598"/>
      <w:bookmarkStart w:id="488" w:name="_Toc33106478"/>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制造商授权书</w:t>
      </w:r>
      <w:bookmarkEnd w:id="486"/>
      <w:bookmarkEnd w:id="487"/>
    </w:p>
    <w:p>
      <w:pPr>
        <w:pStyle w:val="2"/>
        <w:rPr>
          <w:rFonts w:hint="eastAsia" w:ascii="宋体" w:hAnsi="宋体" w:eastAsia="宋体" w:cs="宋体"/>
          <w:color w:val="auto"/>
          <w:highlight w:val="none"/>
          <w:lang w:eastAsia="zh-CN"/>
        </w:rPr>
      </w:pPr>
    </w:p>
    <w:p>
      <w:pPr>
        <w:spacing w:before="149"/>
        <w:ind w:left="3280" w:right="3393"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制造商授权书</w:t>
      </w: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autoSpaceDE w:val="0"/>
        <w:autoSpaceDN w:val="0"/>
        <w:adjustRightInd w:val="0"/>
        <w:snapToGrid w:val="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（招标人）</w:t>
      </w:r>
    </w:p>
    <w:p>
      <w:pPr>
        <w:pStyle w:val="2"/>
        <w:spacing w:before="3"/>
        <w:rPr>
          <w:rFonts w:hint="eastAsia" w:ascii="宋体" w:hAnsi="宋体" w:eastAsia="宋体" w:cs="宋体"/>
          <w:color w:val="auto"/>
          <w:sz w:val="9"/>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我单位</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（制造商名称）是按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（国家／地区名称）法律成立的一家制造商，主要营业地点设在</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（制造商地址）。兹授权按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（国家／地区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名称）的法律正式成立的，主要营业地点设在</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（投标人的单位地址）的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（投标人名称）以我单位制造的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（设备名称）进行</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（项目名称）投标活动。我单位同意按照中标合同供货，并对产品质量承担责任。</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napToGrid w:val="0"/>
        <w:jc w:val="both"/>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授权期限：</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26"/>
          <w:highlight w:val="none"/>
        </w:rPr>
      </w:pPr>
    </w:p>
    <w:p>
      <w:pPr>
        <w:pStyle w:val="2"/>
        <w:keepNext w:val="0"/>
        <w:keepLines w:val="0"/>
        <w:pageBreakBefore w:val="0"/>
        <w:widowControl w:val="0"/>
        <w:tabs>
          <w:tab w:val="left" w:pos="3040"/>
          <w:tab w:val="left" w:pos="4512"/>
          <w:tab w:val="left" w:pos="7572"/>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9"/>
          <w:highlight w:val="none"/>
        </w:rPr>
      </w:pPr>
      <w:r>
        <w:rPr>
          <w:rFonts w:hint="eastAsia" w:ascii="宋体" w:hAnsi="宋体" w:eastAsia="宋体" w:cs="宋体"/>
          <w:color w:val="auto"/>
          <w:highlight w:val="none"/>
        </w:rPr>
        <w:t>投标</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名</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3"/>
          <w:highlight w:val="none"/>
        </w:rPr>
        <w:t>盖</w:t>
      </w:r>
      <w:r>
        <w:rPr>
          <w:rFonts w:hint="eastAsia" w:ascii="宋体" w:hAnsi="宋体" w:eastAsia="宋体" w:cs="宋体"/>
          <w:color w:val="auto"/>
          <w:highlight w:val="none"/>
        </w:rPr>
        <w:t>单</w:t>
      </w:r>
      <w:r>
        <w:rPr>
          <w:rFonts w:hint="eastAsia" w:ascii="宋体" w:hAnsi="宋体" w:eastAsia="宋体" w:cs="宋体"/>
          <w:color w:val="auto"/>
          <w:spacing w:val="-3"/>
          <w:highlight w:val="none"/>
        </w:rPr>
        <w:t>位</w:t>
      </w:r>
      <w:r>
        <w:rPr>
          <w:rFonts w:hint="eastAsia" w:ascii="宋体" w:hAnsi="宋体" w:eastAsia="宋体" w:cs="宋体"/>
          <w:color w:val="auto"/>
          <w:highlight w:val="none"/>
        </w:rPr>
        <w:t>章）</w:t>
      </w:r>
      <w:r>
        <w:rPr>
          <w:rFonts w:hint="eastAsia" w:ascii="宋体" w:hAnsi="宋体" w:eastAsia="宋体" w:cs="宋体"/>
          <w:color w:val="auto"/>
          <w:highlight w:val="none"/>
        </w:rPr>
        <w:tab/>
      </w:r>
      <w:r>
        <w:rPr>
          <w:rFonts w:hint="eastAsia" w:ascii="宋体" w:hAnsi="宋体" w:eastAsia="宋体" w:cs="宋体"/>
          <w:color w:val="auto"/>
          <w:spacing w:val="-3"/>
          <w:highlight w:val="none"/>
        </w:rPr>
        <w:t>制造</w:t>
      </w:r>
      <w:r>
        <w:rPr>
          <w:rFonts w:hint="eastAsia" w:ascii="宋体" w:hAnsi="宋体" w:eastAsia="宋体" w:cs="宋体"/>
          <w:color w:val="auto"/>
          <w:highlight w:val="none"/>
        </w:rPr>
        <w:t>商名</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10"/>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职</w:t>
      </w:r>
      <w:r>
        <w:rPr>
          <w:rFonts w:hint="eastAsia" w:ascii="宋体" w:hAnsi="宋体" w:eastAsia="宋体" w:cs="宋体"/>
          <w:color w:val="auto"/>
          <w:spacing w:val="-3"/>
          <w:highlight w:val="none"/>
        </w:rPr>
        <w:t>务</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人职</w:t>
      </w:r>
      <w:r>
        <w:rPr>
          <w:rFonts w:hint="eastAsia" w:ascii="宋体" w:hAnsi="宋体" w:eastAsia="宋体" w:cs="宋体"/>
          <w:color w:val="auto"/>
          <w:spacing w:val="-3"/>
          <w:highlight w:val="none"/>
        </w:rPr>
        <w:t>务</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11"/>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姓</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人姓</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签</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人签</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numPr>
          <w:ilvl w:val="0"/>
          <w:numId w:val="0"/>
        </w:numPr>
        <w:rPr>
          <w:rFonts w:hint="eastAsia" w:ascii="宋体" w:hAnsi="宋体" w:eastAsia="宋体" w:cs="宋体"/>
          <w:b w:val="0"/>
          <w:bCs w:val="0"/>
          <w:color w:val="auto"/>
          <w:highlight w:val="none"/>
        </w:rPr>
      </w:pPr>
    </w:p>
    <w:p>
      <w:pPr>
        <w:spacing w:before="0" w:after="0" w:line="240" w:lineRule="auto"/>
        <w:jc w:val="center"/>
        <w:rPr>
          <w:rFonts w:hint="eastAsia" w:ascii="宋体" w:hAnsi="宋体" w:eastAsia="宋体" w:cs="宋体"/>
          <w:b w:val="0"/>
          <w:bCs w:val="0"/>
          <w:color w:val="auto"/>
          <w:highlight w:val="none"/>
        </w:rPr>
      </w:pPr>
    </w:p>
    <w:p>
      <w:pPr>
        <w:spacing w:before="0" w:after="0" w:line="240" w:lineRule="auto"/>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p>
    <w:p>
      <w:pPr>
        <w:pStyle w:val="5"/>
        <w:spacing w:before="0" w:after="0" w:line="240" w:lineRule="auto"/>
        <w:jc w:val="center"/>
        <w:rPr>
          <w:rFonts w:hint="eastAsia" w:ascii="宋体" w:hAnsi="宋体" w:eastAsia="宋体" w:cs="宋体"/>
          <w:color w:val="auto"/>
          <w:highlight w:val="none"/>
        </w:rPr>
      </w:pPr>
      <w:bookmarkStart w:id="489" w:name="_Toc16645"/>
      <w:r>
        <w:rPr>
          <w:rFonts w:hint="eastAsia" w:ascii="宋体" w:hAnsi="宋体" w:eastAsia="宋体" w:cs="宋体"/>
          <w:b w:val="0"/>
          <w:bCs w:val="0"/>
          <w:color w:val="auto"/>
          <w:highlight w:val="none"/>
        </w:rPr>
        <w:t>（三）投标人基本情况表</w:t>
      </w:r>
      <w:bookmarkEnd w:id="488"/>
      <w:bookmarkEnd w:id="489"/>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统一社会信用代码</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b w:val="0"/>
          <w:bCs w:val="0"/>
          <w:color w:val="auto"/>
          <w:highlight w:val="none"/>
        </w:rPr>
      </w:pPr>
      <w:bookmarkStart w:id="490" w:name="_Toc33106479"/>
      <w:bookmarkStart w:id="491" w:name="_Toc2596"/>
      <w:r>
        <w:rPr>
          <w:rFonts w:hint="eastAsia" w:ascii="宋体" w:hAnsi="宋体" w:eastAsia="宋体" w:cs="宋体"/>
          <w:b w:val="0"/>
          <w:bCs w:val="0"/>
          <w:color w:val="auto"/>
          <w:highlight w:val="none"/>
        </w:rPr>
        <w:t>（四）项目管理机构</w:t>
      </w:r>
      <w:bookmarkEnd w:id="490"/>
      <w:bookmarkEnd w:id="491"/>
    </w:p>
    <w:p>
      <w:pPr>
        <w:spacing w:line="360" w:lineRule="auto"/>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89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专职安全员</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bl>
    <w:p>
      <w:pPr>
        <w:spacing w:line="20" w:lineRule="exact"/>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注：本表仅填项目经理、项目总工</w:t>
      </w:r>
      <w:r>
        <w:rPr>
          <w:rFonts w:hint="eastAsia" w:ascii="宋体" w:hAnsi="宋体" w:eastAsia="宋体" w:cs="宋体"/>
          <w:color w:val="auto"/>
          <w:szCs w:val="21"/>
          <w:highlight w:val="none"/>
          <w:lang w:eastAsia="zh-CN"/>
        </w:rPr>
        <w:t>、专职安全员</w:t>
      </w:r>
      <w:r>
        <w:rPr>
          <w:rFonts w:hint="eastAsia" w:ascii="宋体" w:hAnsi="宋体" w:eastAsia="宋体" w:cs="宋体"/>
          <w:color w:val="auto"/>
          <w:szCs w:val="21"/>
          <w:highlight w:val="none"/>
        </w:rPr>
        <w:t>相关信息</w:t>
      </w:r>
      <w:r>
        <w:rPr>
          <w:rFonts w:hint="eastAsia" w:ascii="宋体" w:hAnsi="宋体" w:eastAsia="宋体" w:cs="宋体"/>
          <w:color w:val="auto"/>
          <w:szCs w:val="21"/>
          <w:highlight w:val="none"/>
        </w:rPr>
        <w:br w:type="page"/>
      </w:r>
      <w:r>
        <w:rPr>
          <w:rFonts w:hint="eastAsia" w:ascii="宋体" w:hAnsi="宋体" w:eastAsia="宋体" w:cs="宋体"/>
          <w:color w:val="auto"/>
          <w:kern w:val="0"/>
          <w:sz w:val="28"/>
          <w:szCs w:val="28"/>
          <w:highlight w:val="none"/>
        </w:rPr>
        <w:t>项目经理</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项目总工</w:t>
      </w:r>
      <w:r>
        <w:rPr>
          <w:rFonts w:hint="eastAsia" w:ascii="宋体" w:hAnsi="宋体" w:eastAsia="宋体" w:cs="宋体"/>
          <w:color w:val="auto"/>
          <w:kern w:val="0"/>
          <w:sz w:val="28"/>
          <w:szCs w:val="28"/>
          <w:highlight w:val="none"/>
          <w:lang w:eastAsia="zh-CN"/>
        </w:rPr>
        <w:t>及专职安全员</w:t>
      </w:r>
      <w:r>
        <w:rPr>
          <w:rFonts w:hint="eastAsia" w:ascii="宋体" w:hAnsi="宋体" w:eastAsia="宋体" w:cs="宋体"/>
          <w:color w:val="auto"/>
          <w:kern w:val="0"/>
          <w:sz w:val="28"/>
          <w:szCs w:val="28"/>
          <w:highlight w:val="none"/>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bookmarkStart w:id="492" w:name="_Toc224103515"/>
    </w:p>
    <w:bookmarkEnd w:id="492"/>
    <w:p>
      <w:pPr>
        <w:pStyle w:val="5"/>
        <w:spacing w:before="0" w:line="240" w:lineRule="auto"/>
        <w:jc w:val="center"/>
        <w:rPr>
          <w:rFonts w:hint="eastAsia" w:ascii="宋体" w:hAnsi="宋体" w:eastAsia="宋体" w:cs="宋体"/>
          <w:b w:val="0"/>
          <w:color w:val="auto"/>
          <w:highlight w:val="none"/>
        </w:rPr>
      </w:pPr>
      <w:bookmarkStart w:id="493" w:name="_Toc534185842"/>
      <w:bookmarkStart w:id="494" w:name="_Toc224103516"/>
      <w:bookmarkStart w:id="495" w:name="_Toc287607889"/>
      <w:bookmarkStart w:id="496" w:name="_Toc277082661"/>
      <w:bookmarkStart w:id="497" w:name="_Toc287620835"/>
      <w:bookmarkStart w:id="498" w:name="_Toc27983330"/>
      <w:bookmarkStart w:id="499" w:name="_Toc509218865"/>
      <w:bookmarkStart w:id="500" w:name="_Toc430530551"/>
      <w:r>
        <w:rPr>
          <w:rFonts w:hint="eastAsia" w:ascii="宋体" w:hAnsi="宋体" w:eastAsia="宋体" w:cs="宋体"/>
          <w:bCs w:val="0"/>
          <w:color w:val="auto"/>
          <w:szCs w:val="28"/>
          <w:highlight w:val="none"/>
        </w:rPr>
        <w:br w:type="page"/>
      </w:r>
      <w:bookmarkStart w:id="501" w:name="_Toc9392"/>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五</w:t>
      </w:r>
      <w:r>
        <w:rPr>
          <w:rFonts w:hint="eastAsia" w:ascii="宋体" w:hAnsi="宋体" w:eastAsia="宋体" w:cs="宋体"/>
          <w:b w:val="0"/>
          <w:color w:val="auto"/>
          <w:highlight w:val="none"/>
        </w:rPr>
        <w:t>）类似项目情况表</w:t>
      </w:r>
      <w:bookmarkEnd w:id="493"/>
      <w:bookmarkEnd w:id="494"/>
      <w:bookmarkEnd w:id="495"/>
      <w:bookmarkEnd w:id="496"/>
      <w:bookmarkEnd w:id="497"/>
      <w:bookmarkEnd w:id="498"/>
      <w:bookmarkEnd w:id="499"/>
      <w:bookmarkEnd w:id="500"/>
      <w:bookmarkEnd w:id="501"/>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交工（或竣工）日期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总监理工程师及电话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pStyle w:val="5"/>
        <w:spacing w:before="0" w:line="360" w:lineRule="auto"/>
        <w:jc w:val="center"/>
        <w:rPr>
          <w:rFonts w:hint="eastAsia" w:ascii="宋体" w:hAnsi="宋体" w:eastAsia="宋体" w:cs="宋体"/>
          <w:b w:val="0"/>
          <w:color w:val="auto"/>
          <w:highlight w:val="none"/>
        </w:rPr>
      </w:pPr>
      <w:bookmarkStart w:id="502" w:name="_Toc430530552"/>
      <w:bookmarkStart w:id="503" w:name="_Toc27983331"/>
      <w:bookmarkStart w:id="504" w:name="_Toc287620839"/>
      <w:bookmarkStart w:id="505" w:name="_Toc287607893"/>
      <w:bookmarkStart w:id="506" w:name="_Toc224103520"/>
      <w:bookmarkStart w:id="507" w:name="_Toc509218866"/>
      <w:bookmarkStart w:id="508" w:name="_Toc534185843"/>
      <w:bookmarkStart w:id="509" w:name="_Toc277082663"/>
      <w:bookmarkStart w:id="510" w:name="_Toc28356"/>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六</w:t>
      </w:r>
      <w:r>
        <w:rPr>
          <w:rFonts w:hint="eastAsia" w:ascii="宋体" w:hAnsi="宋体" w:eastAsia="宋体" w:cs="宋体"/>
          <w:b w:val="0"/>
          <w:color w:val="auto"/>
          <w:highlight w:val="none"/>
        </w:rPr>
        <w:t>）</w:t>
      </w:r>
      <w:bookmarkEnd w:id="502"/>
      <w:bookmarkEnd w:id="503"/>
      <w:bookmarkEnd w:id="504"/>
      <w:bookmarkEnd w:id="505"/>
      <w:bookmarkEnd w:id="506"/>
      <w:bookmarkEnd w:id="507"/>
      <w:bookmarkEnd w:id="508"/>
      <w:bookmarkEnd w:id="509"/>
      <w:r>
        <w:rPr>
          <w:rFonts w:hint="eastAsia" w:ascii="宋体" w:hAnsi="宋体" w:eastAsia="宋体" w:cs="宋体"/>
          <w:b w:val="0"/>
          <w:color w:val="auto"/>
          <w:highlight w:val="none"/>
        </w:rPr>
        <w:t>承诺</w:t>
      </w:r>
      <w:bookmarkEnd w:id="510"/>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巫溪至开州高速公路项目机电工程通风照明工程专项分包</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（5）被重庆市市级有关行业主管部门暂停在渝承揽新业务且在暂停期内；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2.1.2拟派的项目经理未被重庆市</w:t>
      </w:r>
      <w:r>
        <w:rPr>
          <w:rFonts w:hint="eastAsia" w:ascii="宋体" w:hAnsi="宋体" w:eastAsia="宋体" w:cs="宋体"/>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2.1.3</w:t>
      </w:r>
      <w:r>
        <w:rPr>
          <w:rFonts w:hint="eastAsia" w:ascii="宋体" w:hAnsi="宋体" w:eastAsia="宋体" w:cs="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eastAsia="宋体" w:cs="宋体"/>
          <w:color w:val="auto"/>
          <w:szCs w:val="21"/>
          <w:highlight w:val="none"/>
          <w:u w:val="single"/>
          <w:lang w:val="en-US" w:eastAsia="zh-CN"/>
        </w:rPr>
        <w:t xml:space="preserve"> 14 </w:t>
      </w:r>
      <w:r>
        <w:rPr>
          <w:rFonts w:hint="eastAsia" w:ascii="宋体" w:hAnsi="宋体" w:eastAsia="宋体" w:cs="宋体"/>
          <w:color w:val="auto"/>
          <w:szCs w:val="21"/>
          <w:highlight w:val="none"/>
          <w:lang w:val="en-US" w:eastAsia="zh-CN"/>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.1拟派的项目总工中标后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suppressLineNumbers w:val="0"/>
        <w:adjustRightInd w:val="0"/>
        <w:snapToGrid w:val="0"/>
        <w:spacing w:before="0" w:beforeAutospacing="0" w:after="0" w:afterLines="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承诺拟派项目总工按相关规定到岗履职和未被禁止参与投标。</w:t>
      </w:r>
    </w:p>
    <w:p>
      <w:pPr>
        <w:adjustRightInd w:val="0"/>
        <w:snapToGrid w:val="0"/>
        <w:spacing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承诺拟派项目总工中标后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adjustRightInd w:val="0"/>
        <w:snapToGrid w:val="0"/>
        <w:spacing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adjustRightInd w:val="0"/>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承诺拟投入其他管理和技术人员</w:t>
      </w:r>
      <w:r>
        <w:rPr>
          <w:rFonts w:hint="eastAsia" w:ascii="宋体" w:hAnsi="宋体" w:eastAsia="宋体" w:cs="宋体"/>
          <w:color w:val="auto"/>
          <w:szCs w:val="21"/>
          <w:highlight w:val="none"/>
          <w:lang w:eastAsia="zh-CN"/>
        </w:rPr>
        <w:t>满足招标人要求，并在</w:t>
      </w:r>
      <w:r>
        <w:rPr>
          <w:rFonts w:hint="eastAsia" w:ascii="宋体" w:hAnsi="宋体" w:eastAsia="宋体" w:cs="宋体"/>
          <w:color w:val="auto"/>
          <w:szCs w:val="21"/>
          <w:highlight w:val="none"/>
        </w:rPr>
        <w:t>招标人和</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在合同谈判阶段确定。</w:t>
      </w:r>
    </w:p>
    <w:p>
      <w:pPr>
        <w:adjustRightInd w:val="0"/>
        <w:snapToGrid w:val="0"/>
        <w:spacing w:afterLines="0"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承诺投入主要机械设备和试验检测设备</w:t>
      </w:r>
      <w:r>
        <w:rPr>
          <w:rFonts w:hint="eastAsia" w:ascii="宋体" w:hAnsi="宋体" w:eastAsia="宋体" w:cs="宋体"/>
          <w:color w:val="auto"/>
          <w:szCs w:val="21"/>
          <w:highlight w:val="none"/>
          <w:lang w:eastAsia="zh-CN"/>
        </w:rPr>
        <w:t>招标人要求，并在</w:t>
      </w:r>
      <w:r>
        <w:rPr>
          <w:rFonts w:hint="eastAsia" w:ascii="宋体" w:hAnsi="宋体" w:eastAsia="宋体" w:cs="宋体"/>
          <w:color w:val="auto"/>
          <w:szCs w:val="21"/>
          <w:highlight w:val="none"/>
        </w:rPr>
        <w:t>招标人和</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在合同谈判阶段确定。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3、我公司若中标，将在合同谈判结束后7日内按照本项目招标文件“投标人须知”前附表1.4.1的要求，向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提供参与本项目施工工作的人员名单，并附相应人员的身份证、执业资格证、职称证书、社保缴费证明等证明材料作为投标书附件并作为合同文件的组成部分。如果我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在合同谈判结束后7日内，不能向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提供上述材料（除不可抗力因素），视为我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放弃中标候选人资格。</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4、我公司若中标，将在合同谈判结束后7日内按照本项目招标文件“投标人须知”前附表1.4.1的要求，向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提供主要设备进场清单。如果我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在合同谈判结束后7日内，不能向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提供上述材料（除不可抗力因素），视为我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放弃中标候选人资格。</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5、我公司严格按照第五章“工程量清单”、第八章“工程量清单计量规则”的规定进行报价。招标文件中规定工程量清单不允许修改的内容不得修改。投标总报价不高于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公布的投标总报价最高限价。各清单子目单价不高于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公布的各清单子目单价最高限价的。若出现差错，按招标文件第二章投标人须知前附表第3.2.9项规定的原则进行处理（或结算）。</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6、我公司在</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、我公司的投标文件符合第七章 技术标准和要求（如有）。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11、我公司接受招标文件中关于“不平衡报价”的相关约定（如有）。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szCs w:val="21"/>
          <w:highlight w:val="none"/>
          <w:lang w:val="en-US" w:eastAsia="zh-CN"/>
        </w:rPr>
        <w:t>12、我公司接受招标文件中关于“不允许负数报价”的相关要求（如有）。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spacing w:before="0" w:line="360" w:lineRule="auto"/>
        <w:jc w:val="center"/>
        <w:rPr>
          <w:rFonts w:hint="eastAsia" w:ascii="宋体" w:hAnsi="宋体" w:eastAsia="宋体" w:cs="宋体"/>
          <w:b w:val="0"/>
          <w:color w:val="auto"/>
          <w:highlight w:val="none"/>
        </w:rPr>
      </w:pPr>
      <w:bookmarkStart w:id="511" w:name="_Toc27983333"/>
      <w:r>
        <w:rPr>
          <w:rFonts w:hint="eastAsia" w:ascii="宋体" w:hAnsi="宋体" w:eastAsia="宋体" w:cs="宋体"/>
          <w:b w:val="0"/>
          <w:bCs w:val="0"/>
          <w:color w:val="auto"/>
          <w:sz w:val="21"/>
          <w:szCs w:val="24"/>
          <w:highlight w:val="none"/>
        </w:rPr>
        <w:br w:type="page"/>
      </w:r>
      <w:bookmarkStart w:id="512" w:name="_Toc4368"/>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七</w:t>
      </w:r>
      <w:r>
        <w:rPr>
          <w:rFonts w:hint="eastAsia" w:ascii="宋体" w:hAnsi="宋体" w:eastAsia="宋体" w:cs="宋体"/>
          <w:b w:val="0"/>
          <w:color w:val="auto"/>
          <w:highlight w:val="none"/>
        </w:rPr>
        <w:t>）其他资料</w:t>
      </w:r>
      <w:bookmarkEnd w:id="511"/>
      <w:bookmarkEnd w:id="512"/>
    </w:p>
    <w:p>
      <w:pPr>
        <w:pStyle w:val="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pStyle w:val="2"/>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pStyle w:val="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i/>
          <w:iCs/>
          <w:sz w:val="18"/>
          <w:szCs w:val="18"/>
          <w:highlight w:val="none"/>
        </w:rPr>
      </w:pPr>
      <w:r>
        <w:rPr>
          <w:rFonts w:hint="eastAsia" w:ascii="宋体" w:hAnsi="宋体" w:eastAsia="宋体" w:cs="宋体"/>
          <w:i/>
          <w:iCs/>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（1）纸质投标保函</w:t>
      </w:r>
      <w:r>
        <w:rPr>
          <w:rFonts w:hint="eastAsia" w:ascii="宋体" w:hAnsi="宋体" w:eastAsia="宋体" w:cs="宋体"/>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2"/>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p>
      <w:pPr>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p>
    <w:p>
      <w:pPr>
        <w:spacing w:line="360" w:lineRule="auto"/>
        <w:ind w:firstLine="420" w:firstLineChars="200"/>
        <w:rPr>
          <w:rFonts w:hint="eastAsia" w:ascii="宋体" w:hAnsi="宋体" w:eastAsia="宋体" w:cs="宋体"/>
          <w:color w:val="auto"/>
          <w:szCs w:val="21"/>
          <w:highlight w:val="none"/>
        </w:rPr>
      </w:pPr>
    </w:p>
    <w:sectPr>
      <w:footerReference r:id="rId8" w:type="first"/>
      <w:footerReference r:id="rId7"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B2F8"/>
    <w:multiLevelType w:val="singleLevel"/>
    <w:tmpl w:val="2577B2F8"/>
    <w:lvl w:ilvl="0" w:tentative="0">
      <w:start w:val="3"/>
      <w:numFmt w:val="chineseCounting"/>
      <w:suff w:val="nothing"/>
      <w:lvlText w:val="%1、"/>
      <w:lvlJc w:val="left"/>
      <w:rPr>
        <w:rFonts w:hint="eastAsia"/>
      </w:rPr>
    </w:lvl>
  </w:abstractNum>
  <w:abstractNum w:abstractNumId="1">
    <w:nsid w:val="61027DAC"/>
    <w:multiLevelType w:val="singleLevel"/>
    <w:tmpl w:val="61027DAC"/>
    <w:lvl w:ilvl="0" w:tentative="0">
      <w:start w:val="1"/>
      <w:numFmt w:val="chineseCounting"/>
      <w:suff w:val="nothing"/>
      <w:lvlText w:val="%1、"/>
      <w:lvlJc w:val="left"/>
    </w:lvl>
  </w:abstractNum>
  <w:abstractNum w:abstractNumId="2">
    <w:nsid w:val="79C3249C"/>
    <w:multiLevelType w:val="singleLevel"/>
    <w:tmpl w:val="79C3249C"/>
    <w:lvl w:ilvl="0" w:tentative="0">
      <w:start w:val="2"/>
      <w:numFmt w:val="decimal"/>
      <w:suff w:val="nothing"/>
      <w:lvlText w:val="%1、"/>
      <w:lvlJc w:val="left"/>
      <w:pPr>
        <w:ind w:left="-422"/>
      </w:pPr>
    </w:lvl>
  </w:abstractNum>
  <w:abstractNum w:abstractNumId="3">
    <w:nsid w:val="7AF23F93"/>
    <w:multiLevelType w:val="singleLevel"/>
    <w:tmpl w:val="7AF23F93"/>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172A27"/>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37CA8"/>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0CBA"/>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4F77FD"/>
    <w:rsid w:val="01BD7155"/>
    <w:rsid w:val="01C8709F"/>
    <w:rsid w:val="01CB6AEA"/>
    <w:rsid w:val="01DD18A6"/>
    <w:rsid w:val="02B67D2C"/>
    <w:rsid w:val="03030405"/>
    <w:rsid w:val="042E36E9"/>
    <w:rsid w:val="0449181A"/>
    <w:rsid w:val="044A1D23"/>
    <w:rsid w:val="047D65FE"/>
    <w:rsid w:val="048A5101"/>
    <w:rsid w:val="0491196B"/>
    <w:rsid w:val="04DA472B"/>
    <w:rsid w:val="055714ED"/>
    <w:rsid w:val="05592D53"/>
    <w:rsid w:val="05697E55"/>
    <w:rsid w:val="0585676B"/>
    <w:rsid w:val="05944D89"/>
    <w:rsid w:val="05EF7AF1"/>
    <w:rsid w:val="0620273A"/>
    <w:rsid w:val="064B0E32"/>
    <w:rsid w:val="067E64B8"/>
    <w:rsid w:val="06C07E9C"/>
    <w:rsid w:val="073D68E0"/>
    <w:rsid w:val="07BE618B"/>
    <w:rsid w:val="081F724D"/>
    <w:rsid w:val="083B1C9D"/>
    <w:rsid w:val="083C0673"/>
    <w:rsid w:val="084E094B"/>
    <w:rsid w:val="08756B3B"/>
    <w:rsid w:val="08910757"/>
    <w:rsid w:val="08FE575D"/>
    <w:rsid w:val="092C0626"/>
    <w:rsid w:val="09691011"/>
    <w:rsid w:val="097825B5"/>
    <w:rsid w:val="09784721"/>
    <w:rsid w:val="097C3834"/>
    <w:rsid w:val="097D43D3"/>
    <w:rsid w:val="09A12942"/>
    <w:rsid w:val="09EA17B6"/>
    <w:rsid w:val="0A1022FA"/>
    <w:rsid w:val="0A1259C1"/>
    <w:rsid w:val="0A59403A"/>
    <w:rsid w:val="0AA6526E"/>
    <w:rsid w:val="0AC30814"/>
    <w:rsid w:val="0AC814E4"/>
    <w:rsid w:val="0AE957B4"/>
    <w:rsid w:val="0B00739E"/>
    <w:rsid w:val="0B0F72C5"/>
    <w:rsid w:val="0B233575"/>
    <w:rsid w:val="0B453633"/>
    <w:rsid w:val="0B6D05B8"/>
    <w:rsid w:val="0B805DF3"/>
    <w:rsid w:val="0C3A4C9D"/>
    <w:rsid w:val="0C4A2238"/>
    <w:rsid w:val="0C8F3B55"/>
    <w:rsid w:val="0D150B42"/>
    <w:rsid w:val="0D8043C0"/>
    <w:rsid w:val="0D973D58"/>
    <w:rsid w:val="0D9F2BF4"/>
    <w:rsid w:val="0DB24751"/>
    <w:rsid w:val="0DB93D8E"/>
    <w:rsid w:val="0DE047BF"/>
    <w:rsid w:val="0E1B0C80"/>
    <w:rsid w:val="0E313CB2"/>
    <w:rsid w:val="0E9D16CD"/>
    <w:rsid w:val="0EAE5F16"/>
    <w:rsid w:val="0EE17BF8"/>
    <w:rsid w:val="0F20638A"/>
    <w:rsid w:val="0F3B2869"/>
    <w:rsid w:val="0F3E2235"/>
    <w:rsid w:val="0F4372C8"/>
    <w:rsid w:val="0F996FC7"/>
    <w:rsid w:val="0FAD4F92"/>
    <w:rsid w:val="0FD93D3D"/>
    <w:rsid w:val="0FDB683D"/>
    <w:rsid w:val="0FEB191A"/>
    <w:rsid w:val="0FEC0DA5"/>
    <w:rsid w:val="1130644C"/>
    <w:rsid w:val="113A5835"/>
    <w:rsid w:val="11672002"/>
    <w:rsid w:val="11857183"/>
    <w:rsid w:val="11A36112"/>
    <w:rsid w:val="11A63E39"/>
    <w:rsid w:val="11EE7BE1"/>
    <w:rsid w:val="12415B32"/>
    <w:rsid w:val="126C71EE"/>
    <w:rsid w:val="12D75E24"/>
    <w:rsid w:val="12E8751A"/>
    <w:rsid w:val="135F621C"/>
    <w:rsid w:val="141D7709"/>
    <w:rsid w:val="14764402"/>
    <w:rsid w:val="1476678A"/>
    <w:rsid w:val="14850D94"/>
    <w:rsid w:val="14A5693F"/>
    <w:rsid w:val="14A9258C"/>
    <w:rsid w:val="14AC5F02"/>
    <w:rsid w:val="14D86A5D"/>
    <w:rsid w:val="153D55BD"/>
    <w:rsid w:val="15776D7E"/>
    <w:rsid w:val="157A0D68"/>
    <w:rsid w:val="158031FC"/>
    <w:rsid w:val="15983282"/>
    <w:rsid w:val="15EE3AB6"/>
    <w:rsid w:val="16630470"/>
    <w:rsid w:val="16647707"/>
    <w:rsid w:val="16A672C9"/>
    <w:rsid w:val="16AE3F18"/>
    <w:rsid w:val="16B81603"/>
    <w:rsid w:val="16CF1CC6"/>
    <w:rsid w:val="17072BAB"/>
    <w:rsid w:val="1711696E"/>
    <w:rsid w:val="1724402F"/>
    <w:rsid w:val="172E7810"/>
    <w:rsid w:val="17794346"/>
    <w:rsid w:val="18016D14"/>
    <w:rsid w:val="182E0082"/>
    <w:rsid w:val="18470F08"/>
    <w:rsid w:val="18492666"/>
    <w:rsid w:val="185507A1"/>
    <w:rsid w:val="186D1005"/>
    <w:rsid w:val="187359FA"/>
    <w:rsid w:val="188E727B"/>
    <w:rsid w:val="193079D5"/>
    <w:rsid w:val="196462BA"/>
    <w:rsid w:val="1977632C"/>
    <w:rsid w:val="197C1FCE"/>
    <w:rsid w:val="19A20EDD"/>
    <w:rsid w:val="19A526C7"/>
    <w:rsid w:val="1A3C0C0D"/>
    <w:rsid w:val="1A585BC2"/>
    <w:rsid w:val="1A5E6A00"/>
    <w:rsid w:val="1A8671EE"/>
    <w:rsid w:val="1A9262B2"/>
    <w:rsid w:val="1AA616FE"/>
    <w:rsid w:val="1AEC42A8"/>
    <w:rsid w:val="1AEE6276"/>
    <w:rsid w:val="1AF323D8"/>
    <w:rsid w:val="1AF62C69"/>
    <w:rsid w:val="1B990233"/>
    <w:rsid w:val="1BC20C24"/>
    <w:rsid w:val="1BEA5591"/>
    <w:rsid w:val="1BFD27A2"/>
    <w:rsid w:val="1C011678"/>
    <w:rsid w:val="1C2302B3"/>
    <w:rsid w:val="1C2A7E30"/>
    <w:rsid w:val="1C53323F"/>
    <w:rsid w:val="1C756A7F"/>
    <w:rsid w:val="1C955067"/>
    <w:rsid w:val="1CE87118"/>
    <w:rsid w:val="1DED6AA9"/>
    <w:rsid w:val="1E587E3F"/>
    <w:rsid w:val="1E925EEC"/>
    <w:rsid w:val="1E9B5208"/>
    <w:rsid w:val="1EE25BAC"/>
    <w:rsid w:val="1F404FCB"/>
    <w:rsid w:val="201B73DE"/>
    <w:rsid w:val="203043BA"/>
    <w:rsid w:val="203D6437"/>
    <w:rsid w:val="20522D90"/>
    <w:rsid w:val="20913A89"/>
    <w:rsid w:val="209605CD"/>
    <w:rsid w:val="20C032A2"/>
    <w:rsid w:val="20C470C3"/>
    <w:rsid w:val="211D336B"/>
    <w:rsid w:val="21224CAB"/>
    <w:rsid w:val="21590E3E"/>
    <w:rsid w:val="219A17D7"/>
    <w:rsid w:val="21A33D9D"/>
    <w:rsid w:val="21C26024"/>
    <w:rsid w:val="21DD798D"/>
    <w:rsid w:val="224D32E0"/>
    <w:rsid w:val="22630AD3"/>
    <w:rsid w:val="228A2EBA"/>
    <w:rsid w:val="22A868C7"/>
    <w:rsid w:val="22E83C69"/>
    <w:rsid w:val="22F05CD0"/>
    <w:rsid w:val="235C1616"/>
    <w:rsid w:val="23BE63FD"/>
    <w:rsid w:val="23DF56EE"/>
    <w:rsid w:val="23E87558"/>
    <w:rsid w:val="243D0021"/>
    <w:rsid w:val="24571916"/>
    <w:rsid w:val="24D96407"/>
    <w:rsid w:val="25036463"/>
    <w:rsid w:val="26730A93"/>
    <w:rsid w:val="267A2882"/>
    <w:rsid w:val="26BC3ED1"/>
    <w:rsid w:val="26CF5E39"/>
    <w:rsid w:val="26E03B86"/>
    <w:rsid w:val="26E5714E"/>
    <w:rsid w:val="277977B9"/>
    <w:rsid w:val="27817123"/>
    <w:rsid w:val="2796417F"/>
    <w:rsid w:val="27EE79E5"/>
    <w:rsid w:val="28966B51"/>
    <w:rsid w:val="28AA26C7"/>
    <w:rsid w:val="28CD0B68"/>
    <w:rsid w:val="29036481"/>
    <w:rsid w:val="29D335AD"/>
    <w:rsid w:val="29FC6BA5"/>
    <w:rsid w:val="2A3335CD"/>
    <w:rsid w:val="2A42741A"/>
    <w:rsid w:val="2A5E2A81"/>
    <w:rsid w:val="2ADC6E62"/>
    <w:rsid w:val="2B2D30AD"/>
    <w:rsid w:val="2B4E1731"/>
    <w:rsid w:val="2B840CEF"/>
    <w:rsid w:val="2BC34B28"/>
    <w:rsid w:val="2BC7066A"/>
    <w:rsid w:val="2BF4566F"/>
    <w:rsid w:val="2C0223D5"/>
    <w:rsid w:val="2CC9010B"/>
    <w:rsid w:val="2D3C672F"/>
    <w:rsid w:val="2D8C0CA9"/>
    <w:rsid w:val="2DB476A8"/>
    <w:rsid w:val="2E211F3C"/>
    <w:rsid w:val="2E3C2B38"/>
    <w:rsid w:val="2E5E719D"/>
    <w:rsid w:val="2E864028"/>
    <w:rsid w:val="2E9A469C"/>
    <w:rsid w:val="2EA90039"/>
    <w:rsid w:val="2EE74166"/>
    <w:rsid w:val="2F1B3FB6"/>
    <w:rsid w:val="2F351546"/>
    <w:rsid w:val="2F6E50EF"/>
    <w:rsid w:val="302F2916"/>
    <w:rsid w:val="30E04FE4"/>
    <w:rsid w:val="319B301C"/>
    <w:rsid w:val="31DA3FA2"/>
    <w:rsid w:val="32020E00"/>
    <w:rsid w:val="32064B97"/>
    <w:rsid w:val="32262AF8"/>
    <w:rsid w:val="322724E2"/>
    <w:rsid w:val="323B56EB"/>
    <w:rsid w:val="325516D3"/>
    <w:rsid w:val="326A1263"/>
    <w:rsid w:val="32C93B11"/>
    <w:rsid w:val="32DD5CE2"/>
    <w:rsid w:val="32FA66E7"/>
    <w:rsid w:val="330453E1"/>
    <w:rsid w:val="33613E2E"/>
    <w:rsid w:val="33CA1B48"/>
    <w:rsid w:val="33D23AE7"/>
    <w:rsid w:val="33E82C54"/>
    <w:rsid w:val="33E84C6F"/>
    <w:rsid w:val="33EE16C5"/>
    <w:rsid w:val="34094D01"/>
    <w:rsid w:val="34373666"/>
    <w:rsid w:val="3448190B"/>
    <w:rsid w:val="344D638C"/>
    <w:rsid w:val="34623430"/>
    <w:rsid w:val="34A43D50"/>
    <w:rsid w:val="3522336A"/>
    <w:rsid w:val="356614A1"/>
    <w:rsid w:val="35991723"/>
    <w:rsid w:val="35A4308C"/>
    <w:rsid w:val="35BA3378"/>
    <w:rsid w:val="35E43AC5"/>
    <w:rsid w:val="365C138D"/>
    <w:rsid w:val="365D3297"/>
    <w:rsid w:val="365F2FA1"/>
    <w:rsid w:val="36A12F8B"/>
    <w:rsid w:val="36B75F37"/>
    <w:rsid w:val="370C6480"/>
    <w:rsid w:val="373B1965"/>
    <w:rsid w:val="37464D41"/>
    <w:rsid w:val="376B5470"/>
    <w:rsid w:val="377F0339"/>
    <w:rsid w:val="378576A4"/>
    <w:rsid w:val="378661DC"/>
    <w:rsid w:val="378D144C"/>
    <w:rsid w:val="37CE36AA"/>
    <w:rsid w:val="37D912AF"/>
    <w:rsid w:val="37F938E1"/>
    <w:rsid w:val="381A4397"/>
    <w:rsid w:val="38AE536D"/>
    <w:rsid w:val="38CB45F6"/>
    <w:rsid w:val="38D70825"/>
    <w:rsid w:val="38F013CF"/>
    <w:rsid w:val="392873D2"/>
    <w:rsid w:val="393E267E"/>
    <w:rsid w:val="394936CA"/>
    <w:rsid w:val="394C7A4E"/>
    <w:rsid w:val="39DF5E7B"/>
    <w:rsid w:val="39FC031F"/>
    <w:rsid w:val="3A1563B6"/>
    <w:rsid w:val="3A4A20F0"/>
    <w:rsid w:val="3A683CF4"/>
    <w:rsid w:val="3A9D5677"/>
    <w:rsid w:val="3ADE2055"/>
    <w:rsid w:val="3AF50D0F"/>
    <w:rsid w:val="3B0D436B"/>
    <w:rsid w:val="3B1B48C3"/>
    <w:rsid w:val="3B3D3804"/>
    <w:rsid w:val="3B6D0393"/>
    <w:rsid w:val="3BA42917"/>
    <w:rsid w:val="3C6B3FB1"/>
    <w:rsid w:val="3CA57EE7"/>
    <w:rsid w:val="3CB54F9E"/>
    <w:rsid w:val="3CBE68F7"/>
    <w:rsid w:val="3CDE7AB5"/>
    <w:rsid w:val="3D9D3166"/>
    <w:rsid w:val="3DD83EEF"/>
    <w:rsid w:val="3DF4772F"/>
    <w:rsid w:val="3E0266DA"/>
    <w:rsid w:val="3E120575"/>
    <w:rsid w:val="3EB05AE8"/>
    <w:rsid w:val="3F1359D9"/>
    <w:rsid w:val="3F181114"/>
    <w:rsid w:val="3F736F49"/>
    <w:rsid w:val="3F936427"/>
    <w:rsid w:val="40330355"/>
    <w:rsid w:val="404B0D61"/>
    <w:rsid w:val="4074430D"/>
    <w:rsid w:val="408332FD"/>
    <w:rsid w:val="409E72AD"/>
    <w:rsid w:val="40D06FF7"/>
    <w:rsid w:val="41173673"/>
    <w:rsid w:val="412D0429"/>
    <w:rsid w:val="41890F84"/>
    <w:rsid w:val="41935AA8"/>
    <w:rsid w:val="41AF06E5"/>
    <w:rsid w:val="420F5CD5"/>
    <w:rsid w:val="422D088A"/>
    <w:rsid w:val="42E626B8"/>
    <w:rsid w:val="4310260B"/>
    <w:rsid w:val="43960C56"/>
    <w:rsid w:val="43F6136F"/>
    <w:rsid w:val="445F05C2"/>
    <w:rsid w:val="44A67551"/>
    <w:rsid w:val="4522752F"/>
    <w:rsid w:val="455B34EE"/>
    <w:rsid w:val="45EA7CB3"/>
    <w:rsid w:val="45EB7527"/>
    <w:rsid w:val="4620416D"/>
    <w:rsid w:val="464D3E6C"/>
    <w:rsid w:val="46806F6C"/>
    <w:rsid w:val="46895B7E"/>
    <w:rsid w:val="46971B71"/>
    <w:rsid w:val="46B85657"/>
    <w:rsid w:val="46CD0AAD"/>
    <w:rsid w:val="47230359"/>
    <w:rsid w:val="47976D64"/>
    <w:rsid w:val="47D56597"/>
    <w:rsid w:val="47ED6C78"/>
    <w:rsid w:val="4815401C"/>
    <w:rsid w:val="483B43E5"/>
    <w:rsid w:val="48A81E74"/>
    <w:rsid w:val="48CB4707"/>
    <w:rsid w:val="49061368"/>
    <w:rsid w:val="490A1A5A"/>
    <w:rsid w:val="49BA2155"/>
    <w:rsid w:val="49E6074E"/>
    <w:rsid w:val="4A187B73"/>
    <w:rsid w:val="4A8357D3"/>
    <w:rsid w:val="4AC95400"/>
    <w:rsid w:val="4ACC757D"/>
    <w:rsid w:val="4AD75231"/>
    <w:rsid w:val="4B3D3E36"/>
    <w:rsid w:val="4BE5166F"/>
    <w:rsid w:val="4C0F41D3"/>
    <w:rsid w:val="4C5335A6"/>
    <w:rsid w:val="4CCB6C1A"/>
    <w:rsid w:val="4CCC055B"/>
    <w:rsid w:val="4D645B95"/>
    <w:rsid w:val="4D840EA6"/>
    <w:rsid w:val="4DB712C8"/>
    <w:rsid w:val="4E217075"/>
    <w:rsid w:val="4E2E13A4"/>
    <w:rsid w:val="4E4978FA"/>
    <w:rsid w:val="4E707357"/>
    <w:rsid w:val="4E811D9C"/>
    <w:rsid w:val="4E975A2F"/>
    <w:rsid w:val="4ECB62BD"/>
    <w:rsid w:val="4F132D93"/>
    <w:rsid w:val="4F1E65B6"/>
    <w:rsid w:val="4F385F62"/>
    <w:rsid w:val="4F7C2662"/>
    <w:rsid w:val="4F8A7BC1"/>
    <w:rsid w:val="4F8B7540"/>
    <w:rsid w:val="4FC03BB7"/>
    <w:rsid w:val="50010D18"/>
    <w:rsid w:val="50251EFD"/>
    <w:rsid w:val="5054412B"/>
    <w:rsid w:val="5070182A"/>
    <w:rsid w:val="509E60CE"/>
    <w:rsid w:val="51350182"/>
    <w:rsid w:val="514A7DDE"/>
    <w:rsid w:val="51D90B7F"/>
    <w:rsid w:val="5242311F"/>
    <w:rsid w:val="527A50A7"/>
    <w:rsid w:val="5284158D"/>
    <w:rsid w:val="52CD6292"/>
    <w:rsid w:val="533B7406"/>
    <w:rsid w:val="53A72CFD"/>
    <w:rsid w:val="53B848D6"/>
    <w:rsid w:val="53CF0D45"/>
    <w:rsid w:val="541A5C3D"/>
    <w:rsid w:val="54664225"/>
    <w:rsid w:val="54975600"/>
    <w:rsid w:val="54AE00FE"/>
    <w:rsid w:val="54B34286"/>
    <w:rsid w:val="54B424A6"/>
    <w:rsid w:val="54D50B1E"/>
    <w:rsid w:val="54DD0B09"/>
    <w:rsid w:val="553852FD"/>
    <w:rsid w:val="554F3275"/>
    <w:rsid w:val="55A91241"/>
    <w:rsid w:val="55B84A33"/>
    <w:rsid w:val="55E157DD"/>
    <w:rsid w:val="57B5615E"/>
    <w:rsid w:val="57B86E53"/>
    <w:rsid w:val="57C97459"/>
    <w:rsid w:val="587C4EEC"/>
    <w:rsid w:val="587F41EE"/>
    <w:rsid w:val="58851615"/>
    <w:rsid w:val="58B21DED"/>
    <w:rsid w:val="58BF552E"/>
    <w:rsid w:val="58F3018E"/>
    <w:rsid w:val="59C559E9"/>
    <w:rsid w:val="5A107862"/>
    <w:rsid w:val="5A303418"/>
    <w:rsid w:val="5AD31898"/>
    <w:rsid w:val="5AF80C77"/>
    <w:rsid w:val="5AF92E38"/>
    <w:rsid w:val="5B061EEA"/>
    <w:rsid w:val="5B0B5357"/>
    <w:rsid w:val="5BCB373A"/>
    <w:rsid w:val="5BFE2ECC"/>
    <w:rsid w:val="5C09332D"/>
    <w:rsid w:val="5C2241EA"/>
    <w:rsid w:val="5C427612"/>
    <w:rsid w:val="5CAE3391"/>
    <w:rsid w:val="5D0B72B7"/>
    <w:rsid w:val="5D2F3E81"/>
    <w:rsid w:val="5D3A3002"/>
    <w:rsid w:val="5D9D650F"/>
    <w:rsid w:val="5DB541FC"/>
    <w:rsid w:val="5DC60B7B"/>
    <w:rsid w:val="5DE75350"/>
    <w:rsid w:val="5DF632D6"/>
    <w:rsid w:val="5E226469"/>
    <w:rsid w:val="5EB91925"/>
    <w:rsid w:val="5EEA4405"/>
    <w:rsid w:val="5F7807E8"/>
    <w:rsid w:val="5F8F1CCA"/>
    <w:rsid w:val="5FD567BC"/>
    <w:rsid w:val="5FD93481"/>
    <w:rsid w:val="5FF45A39"/>
    <w:rsid w:val="600A145C"/>
    <w:rsid w:val="60345CAD"/>
    <w:rsid w:val="60951E5E"/>
    <w:rsid w:val="60C61354"/>
    <w:rsid w:val="611B5A95"/>
    <w:rsid w:val="61637845"/>
    <w:rsid w:val="616C642D"/>
    <w:rsid w:val="61743132"/>
    <w:rsid w:val="619A3CD5"/>
    <w:rsid w:val="62590A51"/>
    <w:rsid w:val="628840AC"/>
    <w:rsid w:val="62A14F38"/>
    <w:rsid w:val="62B2525D"/>
    <w:rsid w:val="62B4404D"/>
    <w:rsid w:val="62E4555A"/>
    <w:rsid w:val="635316CE"/>
    <w:rsid w:val="636662E6"/>
    <w:rsid w:val="639C4864"/>
    <w:rsid w:val="63B46F70"/>
    <w:rsid w:val="63CC7EC7"/>
    <w:rsid w:val="63DD2BD2"/>
    <w:rsid w:val="64744580"/>
    <w:rsid w:val="64B2485B"/>
    <w:rsid w:val="655D18A4"/>
    <w:rsid w:val="65BA5ECB"/>
    <w:rsid w:val="65DC4FC3"/>
    <w:rsid w:val="65ED39EF"/>
    <w:rsid w:val="661D1CBA"/>
    <w:rsid w:val="6699415C"/>
    <w:rsid w:val="66A345A3"/>
    <w:rsid w:val="673E2FAD"/>
    <w:rsid w:val="677907D4"/>
    <w:rsid w:val="677B2F49"/>
    <w:rsid w:val="6782583F"/>
    <w:rsid w:val="67A8253D"/>
    <w:rsid w:val="67DB9BAC"/>
    <w:rsid w:val="67EE6C5E"/>
    <w:rsid w:val="6896659C"/>
    <w:rsid w:val="68F22FB3"/>
    <w:rsid w:val="69040F22"/>
    <w:rsid w:val="690D529F"/>
    <w:rsid w:val="691741BA"/>
    <w:rsid w:val="69404255"/>
    <w:rsid w:val="6983580F"/>
    <w:rsid w:val="69D55525"/>
    <w:rsid w:val="69F12C12"/>
    <w:rsid w:val="6A0B6749"/>
    <w:rsid w:val="6A941EE2"/>
    <w:rsid w:val="6AA12E96"/>
    <w:rsid w:val="6B191868"/>
    <w:rsid w:val="6B391FC4"/>
    <w:rsid w:val="6B6415CC"/>
    <w:rsid w:val="6B725C27"/>
    <w:rsid w:val="6BA72D16"/>
    <w:rsid w:val="6BAF252C"/>
    <w:rsid w:val="6BC76EEF"/>
    <w:rsid w:val="6BF71620"/>
    <w:rsid w:val="6C692E30"/>
    <w:rsid w:val="6CD07E03"/>
    <w:rsid w:val="6CDC1B25"/>
    <w:rsid w:val="6CF20C90"/>
    <w:rsid w:val="6D35349C"/>
    <w:rsid w:val="6DC2F6AF"/>
    <w:rsid w:val="6E3B0A35"/>
    <w:rsid w:val="6E617936"/>
    <w:rsid w:val="6E64080E"/>
    <w:rsid w:val="6E8B3884"/>
    <w:rsid w:val="6EEE586F"/>
    <w:rsid w:val="6EF374CD"/>
    <w:rsid w:val="6EFB7FD5"/>
    <w:rsid w:val="6F363068"/>
    <w:rsid w:val="6F7C126C"/>
    <w:rsid w:val="6FB830E8"/>
    <w:rsid w:val="6FEA5E6C"/>
    <w:rsid w:val="70147557"/>
    <w:rsid w:val="70195AE2"/>
    <w:rsid w:val="70233379"/>
    <w:rsid w:val="70621F78"/>
    <w:rsid w:val="70622071"/>
    <w:rsid w:val="706D7EFF"/>
    <w:rsid w:val="70900C9D"/>
    <w:rsid w:val="70D00331"/>
    <w:rsid w:val="71D97BD7"/>
    <w:rsid w:val="71DC5AD4"/>
    <w:rsid w:val="72817588"/>
    <w:rsid w:val="729565A6"/>
    <w:rsid w:val="72975FE7"/>
    <w:rsid w:val="72BB1C50"/>
    <w:rsid w:val="72BD1547"/>
    <w:rsid w:val="72CE59A2"/>
    <w:rsid w:val="72F71CE0"/>
    <w:rsid w:val="730513DA"/>
    <w:rsid w:val="738F4C25"/>
    <w:rsid w:val="73954547"/>
    <w:rsid w:val="73C61AAF"/>
    <w:rsid w:val="7405578E"/>
    <w:rsid w:val="740622E5"/>
    <w:rsid w:val="74245921"/>
    <w:rsid w:val="74994F19"/>
    <w:rsid w:val="75332BD9"/>
    <w:rsid w:val="754E6641"/>
    <w:rsid w:val="75511F93"/>
    <w:rsid w:val="755702EC"/>
    <w:rsid w:val="755A18A0"/>
    <w:rsid w:val="756714AE"/>
    <w:rsid w:val="756D3404"/>
    <w:rsid w:val="759F3CDD"/>
    <w:rsid w:val="75A7007A"/>
    <w:rsid w:val="75A823AB"/>
    <w:rsid w:val="75F30DB1"/>
    <w:rsid w:val="76576F7D"/>
    <w:rsid w:val="765D4BDE"/>
    <w:rsid w:val="76987597"/>
    <w:rsid w:val="76A36ECC"/>
    <w:rsid w:val="76CE02F2"/>
    <w:rsid w:val="76FB50AD"/>
    <w:rsid w:val="77053749"/>
    <w:rsid w:val="771732C7"/>
    <w:rsid w:val="77247BB4"/>
    <w:rsid w:val="77B169C2"/>
    <w:rsid w:val="77E236CF"/>
    <w:rsid w:val="78F51F09"/>
    <w:rsid w:val="7902696A"/>
    <w:rsid w:val="791E38B3"/>
    <w:rsid w:val="79535D1B"/>
    <w:rsid w:val="795E3DD1"/>
    <w:rsid w:val="79B03E9D"/>
    <w:rsid w:val="79F06ECD"/>
    <w:rsid w:val="7A4714C9"/>
    <w:rsid w:val="7A666614"/>
    <w:rsid w:val="7A9859BB"/>
    <w:rsid w:val="7B0331A2"/>
    <w:rsid w:val="7B15385D"/>
    <w:rsid w:val="7B4A229F"/>
    <w:rsid w:val="7B784258"/>
    <w:rsid w:val="7BA01165"/>
    <w:rsid w:val="7BBA6ECC"/>
    <w:rsid w:val="7BD067C2"/>
    <w:rsid w:val="7BFF4C55"/>
    <w:rsid w:val="7C3D774D"/>
    <w:rsid w:val="7C72542F"/>
    <w:rsid w:val="7C8C4E16"/>
    <w:rsid w:val="7CBF1C41"/>
    <w:rsid w:val="7CC9772B"/>
    <w:rsid w:val="7D7168E4"/>
    <w:rsid w:val="7D763BC4"/>
    <w:rsid w:val="7D7F4EE0"/>
    <w:rsid w:val="7D943F20"/>
    <w:rsid w:val="7E932B20"/>
    <w:rsid w:val="7EA80065"/>
    <w:rsid w:val="7EF79F78"/>
    <w:rsid w:val="7F210069"/>
    <w:rsid w:val="7F307FA6"/>
    <w:rsid w:val="7F587F69"/>
    <w:rsid w:val="7F996F32"/>
    <w:rsid w:val="7FBA2792"/>
    <w:rsid w:val="7FBF06F2"/>
    <w:rsid w:val="7FDD6B9E"/>
    <w:rsid w:val="EBDF181A"/>
    <w:rsid w:val="FDFF267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81"/>
    <w:autoRedefine/>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link w:val="88"/>
    <w:autoRedefine/>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autoRedefine/>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autoRedefine/>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8">
    <w:name w:val="heading 9"/>
    <w:basedOn w:val="1"/>
    <w:next w:val="1"/>
    <w:link w:val="83"/>
    <w:autoRedefine/>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autoRedefine/>
    <w:semiHidden/>
    <w:qFormat/>
    <w:uiPriority w:val="0"/>
  </w:style>
  <w:style w:type="table" w:default="1" w:styleId="3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autoRedefine/>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9">
    <w:name w:val="toc 7"/>
    <w:basedOn w:val="1"/>
    <w:next w:val="1"/>
    <w:autoRedefine/>
    <w:unhideWhenUsed/>
    <w:qFormat/>
    <w:uiPriority w:val="39"/>
    <w:pPr>
      <w:ind w:left="2520" w:leftChars="1200"/>
    </w:pPr>
    <w:rPr>
      <w:rFonts w:ascii="等线" w:hAnsi="等线" w:eastAsia="等线" w:cs="Times New Roman"/>
      <w:szCs w:val="22"/>
    </w:rPr>
  </w:style>
  <w:style w:type="paragraph" w:styleId="10">
    <w:name w:val="table of authorities"/>
    <w:basedOn w:val="1"/>
    <w:next w:val="1"/>
    <w:autoRedefine/>
    <w:qFormat/>
    <w:uiPriority w:val="99"/>
    <w:pPr>
      <w:ind w:left="420" w:leftChars="200"/>
    </w:pPr>
  </w:style>
  <w:style w:type="paragraph" w:styleId="11">
    <w:name w:val="Normal Indent"/>
    <w:basedOn w:val="12"/>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2"/>
    <w:link w:val="87"/>
    <w:autoRedefine/>
    <w:qFormat/>
    <w:uiPriority w:val="0"/>
    <w:rPr>
      <w:sz w:val="18"/>
      <w:szCs w:val="18"/>
    </w:rPr>
  </w:style>
  <w:style w:type="paragraph" w:styleId="13">
    <w:name w:val="annotation text"/>
    <w:basedOn w:val="1"/>
    <w:link w:val="82"/>
    <w:autoRedefine/>
    <w:qFormat/>
    <w:uiPriority w:val="99"/>
    <w:pPr>
      <w:jc w:val="left"/>
    </w:pPr>
  </w:style>
  <w:style w:type="paragraph" w:styleId="14">
    <w:name w:val="Body Text Indent"/>
    <w:basedOn w:val="1"/>
    <w:next w:val="1"/>
    <w:autoRedefine/>
    <w:qFormat/>
    <w:uiPriority w:val="0"/>
    <w:pPr>
      <w:ind w:firstLine="407" w:firstLineChars="200"/>
    </w:pPr>
  </w:style>
  <w:style w:type="paragraph" w:styleId="15">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autoRedefine/>
    <w:unhideWhenUsed/>
    <w:qFormat/>
    <w:uiPriority w:val="39"/>
    <w:pPr>
      <w:ind w:left="1680" w:leftChars="800"/>
    </w:pPr>
    <w:rPr>
      <w:rFonts w:ascii="等线" w:hAnsi="等线" w:eastAsia="等线" w:cs="Times New Roman"/>
      <w:szCs w:val="22"/>
    </w:rPr>
  </w:style>
  <w:style w:type="paragraph" w:styleId="17">
    <w:name w:val="toc 3"/>
    <w:basedOn w:val="1"/>
    <w:next w:val="1"/>
    <w:autoRedefine/>
    <w:qFormat/>
    <w:uiPriority w:val="39"/>
    <w:pPr>
      <w:keepNext w:val="0"/>
      <w:keepLines w:val="0"/>
      <w:spacing w:before="0" w:after="0" w:line="240" w:lineRule="auto"/>
      <w:ind w:left="420"/>
      <w:jc w:val="left"/>
      <w:outlineLvl w:val="9"/>
    </w:pPr>
    <w:rPr>
      <w:i/>
      <w:iCs/>
      <w:sz w:val="20"/>
      <w:szCs w:val="20"/>
    </w:rPr>
  </w:style>
  <w:style w:type="paragraph" w:styleId="18">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19">
    <w:name w:val="toc 8"/>
    <w:basedOn w:val="1"/>
    <w:next w:val="1"/>
    <w:autoRedefine/>
    <w:unhideWhenUsed/>
    <w:qFormat/>
    <w:uiPriority w:val="39"/>
    <w:pPr>
      <w:ind w:left="2940" w:leftChars="1400"/>
    </w:pPr>
    <w:rPr>
      <w:rFonts w:ascii="等线" w:hAnsi="等线" w:eastAsia="等线" w:cs="Times New Roman"/>
      <w:szCs w:val="22"/>
    </w:rPr>
  </w:style>
  <w:style w:type="paragraph" w:styleId="20">
    <w:name w:val="Date"/>
    <w:basedOn w:val="1"/>
    <w:next w:val="1"/>
    <w:link w:val="77"/>
    <w:autoRedefine/>
    <w:qFormat/>
    <w:uiPriority w:val="0"/>
    <w:pPr>
      <w:ind w:left="100" w:leftChars="2500"/>
    </w:pPr>
  </w:style>
  <w:style w:type="paragraph" w:styleId="21">
    <w:name w:val="Body Text Indent 2"/>
    <w:basedOn w:val="1"/>
    <w:autoRedefine/>
    <w:qFormat/>
    <w:uiPriority w:val="0"/>
    <w:pPr>
      <w:widowControl/>
      <w:spacing w:line="480" w:lineRule="auto"/>
      <w:ind w:firstLine="560"/>
      <w:jc w:val="left"/>
    </w:pPr>
    <w:rPr>
      <w:kern w:val="0"/>
      <w:sz w:val="28"/>
    </w:rPr>
  </w:style>
  <w:style w:type="paragraph" w:styleId="22">
    <w:name w:val="footer"/>
    <w:basedOn w:val="1"/>
    <w:autoRedefine/>
    <w:qFormat/>
    <w:uiPriority w:val="99"/>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25">
    <w:name w:val="toc 4"/>
    <w:basedOn w:val="1"/>
    <w:next w:val="1"/>
    <w:autoRedefine/>
    <w:unhideWhenUsed/>
    <w:qFormat/>
    <w:uiPriority w:val="39"/>
    <w:pPr>
      <w:ind w:left="1260" w:leftChars="600"/>
    </w:pPr>
    <w:rPr>
      <w:rFonts w:ascii="等线" w:hAnsi="等线" w:eastAsia="等线" w:cs="Times New Roman"/>
      <w:szCs w:val="22"/>
    </w:rPr>
  </w:style>
  <w:style w:type="paragraph" w:styleId="26">
    <w:name w:val="Subtitle"/>
    <w:basedOn w:val="1"/>
    <w:link w:val="80"/>
    <w:autoRedefine/>
    <w:qFormat/>
    <w:uiPriority w:val="0"/>
    <w:pPr>
      <w:widowControl/>
      <w:jc w:val="center"/>
    </w:pPr>
    <w:rPr>
      <w:kern w:val="0"/>
      <w:sz w:val="20"/>
      <w:u w:val="single"/>
      <w:lang w:eastAsia="en-US"/>
    </w:rPr>
  </w:style>
  <w:style w:type="paragraph" w:styleId="27">
    <w:name w:val="toc 6"/>
    <w:basedOn w:val="1"/>
    <w:next w:val="1"/>
    <w:autoRedefine/>
    <w:unhideWhenUsed/>
    <w:qFormat/>
    <w:uiPriority w:val="39"/>
    <w:pPr>
      <w:ind w:left="2100" w:leftChars="1000"/>
    </w:pPr>
    <w:rPr>
      <w:rFonts w:ascii="等线" w:hAnsi="等线" w:eastAsia="等线" w:cs="Times New Roman"/>
      <w:szCs w:val="22"/>
    </w:rPr>
  </w:style>
  <w:style w:type="paragraph" w:styleId="2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autoRedefine/>
    <w:unhideWhenUsed/>
    <w:qFormat/>
    <w:uiPriority w:val="39"/>
    <w:pPr>
      <w:ind w:left="3360" w:leftChars="1600"/>
    </w:pPr>
    <w:rPr>
      <w:rFonts w:ascii="等线" w:hAnsi="等线" w:eastAsia="等线" w:cs="Times New Roman"/>
      <w:szCs w:val="22"/>
    </w:rPr>
  </w:style>
  <w:style w:type="paragraph" w:styleId="30">
    <w:name w:val="Body Text 2"/>
    <w:basedOn w:val="1"/>
    <w:autoRedefine/>
    <w:qFormat/>
    <w:uiPriority w:val="0"/>
    <w:rPr>
      <w:i/>
      <w:iCs/>
      <w:sz w:val="26"/>
    </w:rPr>
  </w:style>
  <w:style w:type="paragraph" w:styleId="31">
    <w:name w:val="Normal (Web)"/>
    <w:basedOn w:val="1"/>
    <w:autoRedefine/>
    <w:qFormat/>
    <w:uiPriority w:val="0"/>
    <w:rPr>
      <w:sz w:val="24"/>
    </w:rPr>
  </w:style>
  <w:style w:type="paragraph" w:styleId="32">
    <w:name w:val="annotation subject"/>
    <w:basedOn w:val="13"/>
    <w:next w:val="13"/>
    <w:link w:val="79"/>
    <w:autoRedefine/>
    <w:qFormat/>
    <w:uiPriority w:val="0"/>
    <w:rPr>
      <w:b/>
      <w:bCs/>
    </w:rPr>
  </w:style>
  <w:style w:type="paragraph" w:styleId="33">
    <w:name w:val="Body Text First Indent 2"/>
    <w:basedOn w:val="14"/>
    <w:next w:val="1"/>
    <w:autoRedefine/>
    <w:qFormat/>
    <w:uiPriority w:val="0"/>
    <w:pPr>
      <w:spacing w:after="120"/>
      <w:ind w:left="420" w:leftChars="200" w:firstLine="420"/>
    </w:pPr>
    <w:rPr>
      <w:szCs w:val="20"/>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autoRedefine/>
    <w:qFormat/>
    <w:uiPriority w:val="0"/>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paragraph" w:customStyle="1" w:styleId="40">
    <w:name w:val="样式 标题 3 + (中文) 黑体 小四 非加粗 段前: 7.8 磅 段后: 0 磅 行距: 固定值 20 磅"/>
    <w:basedOn w:val="5"/>
    <w:autoRedefine/>
    <w:qFormat/>
    <w:uiPriority w:val="0"/>
    <w:pPr>
      <w:numPr>
        <w:ilvl w:val="0"/>
        <w:numId w:val="0"/>
      </w:numPr>
      <w:spacing w:before="0" w:after="0" w:line="400" w:lineRule="exact"/>
    </w:pPr>
    <w:rPr>
      <w:rFonts w:eastAsia="黑体" w:cs="宋体"/>
      <w:b w:val="0"/>
      <w:sz w:val="24"/>
    </w:rPr>
  </w:style>
  <w:style w:type="paragraph" w:customStyle="1" w:styleId="41">
    <w:name w:val="Normal_4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_Style 37"/>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Table Paragraph"/>
    <w:basedOn w:val="1"/>
    <w:autoRedefine/>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4">
    <w:name w:val="_Style 10"/>
    <w:basedOn w:val="3"/>
    <w:next w:val="1"/>
    <w:autoRedefine/>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45">
    <w:name w:val="Normal_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Normal_12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3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列出段落1"/>
    <w:basedOn w:val="1"/>
    <w:autoRedefine/>
    <w:qFormat/>
    <w:uiPriority w:val="0"/>
    <w:pPr>
      <w:ind w:firstLine="420" w:firstLineChars="200"/>
    </w:pPr>
    <w:rPr>
      <w:sz w:val="28"/>
      <w:szCs w:val="28"/>
    </w:rPr>
  </w:style>
  <w:style w:type="paragraph" w:customStyle="1" w:styleId="49">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customStyle="1" w:styleId="50">
    <w:name w:val="Normal_6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14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3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6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Default"/>
    <w:next w:val="56"/>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6">
    <w:name w:val="List Paragraph"/>
    <w:basedOn w:val="57"/>
    <w:autoRedefine/>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7">
    <w:name w:val="五级条标题"/>
    <w:basedOn w:val="58"/>
    <w:next w:val="58"/>
    <w:autoRedefine/>
    <w:qFormat/>
    <w:uiPriority w:val="0"/>
    <w:pPr>
      <w:outlineLvl w:val="6"/>
    </w:pPr>
  </w:style>
  <w:style w:type="paragraph" w:customStyle="1" w:styleId="58">
    <w:name w:val="章标题"/>
    <w:next w:val="59"/>
    <w:autoRedefine/>
    <w:qFormat/>
    <w:uiPriority w:val="0"/>
    <w:pPr>
      <w:jc w:val="both"/>
      <w:outlineLvl w:val="1"/>
    </w:pPr>
    <w:rPr>
      <w:rFonts w:ascii="黑体" w:hAnsi="黑体" w:eastAsia="黑体" w:cs="Times New Roman"/>
      <w:kern w:val="1"/>
      <w:sz w:val="21"/>
      <w:lang w:val="en-US" w:eastAsia="zh-CN" w:bidi="ar-SA"/>
    </w:rPr>
  </w:style>
  <w:style w:type="paragraph" w:customStyle="1" w:styleId="59">
    <w:name w:val="目次、标准名称标题"/>
    <w:basedOn w:val="60"/>
    <w:next w:val="60"/>
    <w:autoRedefine/>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0">
    <w:name w:val="投标正文"/>
    <w:basedOn w:val="61"/>
    <w:autoRedefine/>
    <w:qFormat/>
    <w:uiPriority w:val="0"/>
    <w:pPr>
      <w:spacing w:line="360" w:lineRule="auto"/>
    </w:pPr>
    <w:rPr>
      <w:spacing w:val="15"/>
      <w:sz w:val="32"/>
      <w:szCs w:val="32"/>
    </w:rPr>
  </w:style>
  <w:style w:type="paragraph" w:customStyle="1" w:styleId="61">
    <w:name w:val="四级条标题"/>
    <w:basedOn w:val="62"/>
    <w:next w:val="62"/>
    <w:autoRedefine/>
    <w:qFormat/>
    <w:uiPriority w:val="0"/>
    <w:pPr>
      <w:outlineLvl w:val="5"/>
    </w:pPr>
  </w:style>
  <w:style w:type="paragraph" w:customStyle="1" w:styleId="62">
    <w:name w:val="三级条标题"/>
    <w:basedOn w:val="63"/>
    <w:next w:val="63"/>
    <w:autoRedefine/>
    <w:qFormat/>
    <w:uiPriority w:val="0"/>
    <w:pPr>
      <w:outlineLvl w:val="4"/>
    </w:pPr>
  </w:style>
  <w:style w:type="paragraph" w:customStyle="1" w:styleId="63">
    <w:name w:val="二级条标题"/>
    <w:basedOn w:val="64"/>
    <w:next w:val="64"/>
    <w:autoRedefine/>
    <w:qFormat/>
    <w:uiPriority w:val="0"/>
    <w:pPr>
      <w:outlineLvl w:val="3"/>
    </w:pPr>
  </w:style>
  <w:style w:type="paragraph" w:customStyle="1" w:styleId="64">
    <w:name w:val="一级条标题"/>
    <w:next w:val="11"/>
    <w:autoRedefine/>
    <w:qFormat/>
    <w:uiPriority w:val="0"/>
    <w:pPr>
      <w:outlineLvl w:val="2"/>
    </w:pPr>
    <w:rPr>
      <w:rFonts w:ascii="黑体" w:hAnsi="黑体" w:eastAsia="黑体" w:cs="Times New Roman"/>
      <w:kern w:val="1"/>
      <w:sz w:val="21"/>
      <w:szCs w:val="21"/>
      <w:lang w:val="en-US" w:eastAsia="zh-CN" w:bidi="ar-SA"/>
    </w:rPr>
  </w:style>
  <w:style w:type="paragraph" w:customStyle="1" w:styleId="65">
    <w:name w:val="Normal_13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Normal_12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正  文"/>
    <w:basedOn w:val="1"/>
    <w:autoRedefine/>
    <w:qFormat/>
    <w:uiPriority w:val="0"/>
    <w:pPr>
      <w:spacing w:line="360" w:lineRule="auto"/>
      <w:ind w:firstLine="200" w:firstLineChars="200"/>
    </w:pPr>
    <w:rPr>
      <w:rFonts w:ascii="宋体" w:hAnsi="Calibri"/>
      <w:sz w:val="24"/>
    </w:rPr>
  </w:style>
  <w:style w:type="paragraph" w:customStyle="1" w:styleId="70">
    <w:name w:val="Normal_12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Normal_4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header"/>
    <w:basedOn w:val="1"/>
    <w:autoRedefine/>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3">
    <w:name w:val="Normal_15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2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31"/>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6">
    <w:name w:val="标题 1 Char"/>
    <w:link w:val="3"/>
    <w:autoRedefine/>
    <w:qFormat/>
    <w:uiPriority w:val="0"/>
    <w:rPr>
      <w:b/>
      <w:bCs/>
      <w:kern w:val="44"/>
      <w:sz w:val="44"/>
      <w:szCs w:val="44"/>
    </w:rPr>
  </w:style>
  <w:style w:type="character" w:customStyle="1" w:styleId="77">
    <w:name w:val="日期 Char"/>
    <w:link w:val="20"/>
    <w:autoRedefine/>
    <w:qFormat/>
    <w:uiPriority w:val="0"/>
    <w:rPr>
      <w:kern w:val="2"/>
      <w:sz w:val="21"/>
      <w:szCs w:val="24"/>
    </w:rPr>
  </w:style>
  <w:style w:type="character" w:customStyle="1" w:styleId="78">
    <w:name w:val="尾注文本 Char"/>
    <w:autoRedefine/>
    <w:qFormat/>
    <w:uiPriority w:val="0"/>
    <w:rPr>
      <w:kern w:val="2"/>
      <w:sz w:val="21"/>
      <w:szCs w:val="24"/>
    </w:rPr>
  </w:style>
  <w:style w:type="character" w:customStyle="1" w:styleId="79">
    <w:name w:val="批注主题 Char"/>
    <w:link w:val="32"/>
    <w:autoRedefine/>
    <w:qFormat/>
    <w:uiPriority w:val="0"/>
    <w:rPr>
      <w:b/>
      <w:bCs/>
      <w:kern w:val="2"/>
      <w:sz w:val="21"/>
      <w:szCs w:val="24"/>
    </w:rPr>
  </w:style>
  <w:style w:type="character" w:customStyle="1" w:styleId="80">
    <w:name w:val="副标题 Char"/>
    <w:link w:val="26"/>
    <w:autoRedefine/>
    <w:qFormat/>
    <w:uiPriority w:val="0"/>
    <w:rPr>
      <w:szCs w:val="24"/>
      <w:u w:val="single"/>
      <w:lang w:eastAsia="en-US"/>
    </w:rPr>
  </w:style>
  <w:style w:type="character" w:customStyle="1" w:styleId="81">
    <w:name w:val="标题 2 Char"/>
    <w:link w:val="4"/>
    <w:autoRedefine/>
    <w:qFormat/>
    <w:uiPriority w:val="0"/>
    <w:rPr>
      <w:rFonts w:ascii="Cambria" w:hAnsi="Cambria"/>
      <w:b/>
      <w:bCs/>
      <w:sz w:val="32"/>
      <w:szCs w:val="32"/>
    </w:rPr>
  </w:style>
  <w:style w:type="character" w:customStyle="1" w:styleId="82">
    <w:name w:val="批注文字 Char"/>
    <w:link w:val="13"/>
    <w:autoRedefine/>
    <w:qFormat/>
    <w:uiPriority w:val="99"/>
    <w:rPr>
      <w:kern w:val="2"/>
      <w:sz w:val="21"/>
      <w:szCs w:val="24"/>
    </w:rPr>
  </w:style>
  <w:style w:type="character" w:customStyle="1" w:styleId="83">
    <w:name w:val="标题 9 Char"/>
    <w:link w:val="8"/>
    <w:autoRedefine/>
    <w:semiHidden/>
    <w:qFormat/>
    <w:uiPriority w:val="0"/>
    <w:rPr>
      <w:rFonts w:ascii="等线 Light" w:hAnsi="等线 Light" w:eastAsia="等线 Light" w:cs="Times New Roman"/>
      <w:kern w:val="2"/>
      <w:sz w:val="21"/>
      <w:szCs w:val="21"/>
    </w:rPr>
  </w:style>
  <w:style w:type="character" w:customStyle="1" w:styleId="84">
    <w:name w:val="标题 2 Char2"/>
    <w:autoRedefine/>
    <w:qFormat/>
    <w:uiPriority w:val="0"/>
    <w:rPr>
      <w:rFonts w:ascii="Cambria" w:hAnsi="Cambria" w:eastAsia="宋体"/>
      <w:b/>
      <w:bCs/>
      <w:kern w:val="2"/>
      <w:sz w:val="32"/>
      <w:szCs w:val="32"/>
      <w:lang w:val="en-US" w:eastAsia="zh-CN" w:bidi="ar-SA"/>
    </w:rPr>
  </w:style>
  <w:style w:type="character" w:customStyle="1" w:styleId="85">
    <w:name w:val="副标题 Char3"/>
    <w:autoRedefine/>
    <w:qFormat/>
    <w:uiPriority w:val="0"/>
    <w:rPr>
      <w:rFonts w:eastAsia="宋体"/>
      <w:szCs w:val="24"/>
      <w:u w:val="single"/>
      <w:lang w:val="en-US" w:eastAsia="en-US" w:bidi="ar-SA"/>
    </w:rPr>
  </w:style>
  <w:style w:type="character" w:customStyle="1" w:styleId="86">
    <w:name w:val="批注文字 Char3"/>
    <w:autoRedefine/>
    <w:qFormat/>
    <w:uiPriority w:val="99"/>
    <w:rPr>
      <w:rFonts w:eastAsia="宋体"/>
      <w:kern w:val="2"/>
      <w:sz w:val="21"/>
      <w:szCs w:val="24"/>
      <w:lang w:val="en-US" w:eastAsia="zh-CN" w:bidi="ar-SA"/>
    </w:rPr>
  </w:style>
  <w:style w:type="character" w:customStyle="1" w:styleId="87">
    <w:name w:val="批注框文本 Char"/>
    <w:link w:val="12"/>
    <w:autoRedefine/>
    <w:qFormat/>
    <w:uiPriority w:val="0"/>
    <w:rPr>
      <w:kern w:val="2"/>
      <w:sz w:val="18"/>
      <w:szCs w:val="18"/>
    </w:rPr>
  </w:style>
  <w:style w:type="character" w:customStyle="1" w:styleId="88">
    <w:name w:val="标题 3 Char"/>
    <w:link w:val="5"/>
    <w:autoRedefine/>
    <w:qFormat/>
    <w:uiPriority w:val="0"/>
    <w:rPr>
      <w:b/>
      <w:bCs/>
      <w:kern w:val="2"/>
      <w:sz w:val="32"/>
      <w:szCs w:val="32"/>
    </w:rPr>
  </w:style>
  <w:style w:type="character" w:customStyle="1" w:styleId="89">
    <w:name w:val="未处理的提及"/>
    <w:autoRedefine/>
    <w:unhideWhenUsed/>
    <w:qFormat/>
    <w:uiPriority w:val="99"/>
    <w:rPr>
      <w:color w:val="605E5C"/>
      <w:shd w:val="clear" w:color="auto" w:fill="E1DFDD"/>
    </w:rPr>
  </w:style>
  <w:style w:type="character" w:customStyle="1" w:styleId="90">
    <w:name w:val="15"/>
    <w:basedOn w:val="36"/>
    <w:autoRedefine/>
    <w:qFormat/>
    <w:uiPriority w:val="0"/>
    <w:rPr>
      <w:rFonts w:hint="default" w:ascii="Times New Roman" w:hAnsi="Times New Roman" w:cs="Times New Roman"/>
    </w:rPr>
  </w:style>
  <w:style w:type="character" w:customStyle="1" w:styleId="91">
    <w:name w:val="10"/>
    <w:basedOn w:val="36"/>
    <w:autoRedefine/>
    <w:qFormat/>
    <w:uiPriority w:val="0"/>
    <w:rPr>
      <w:rFonts w:hint="default" w:ascii="Times New Roman" w:hAnsi="Times New Roman" w:cs="Times New Roman"/>
    </w:rPr>
  </w:style>
  <w:style w:type="paragraph" w:customStyle="1" w:styleId="92">
    <w:name w:val="_Style 7"/>
    <w:basedOn w:val="3"/>
    <w:next w:val="1"/>
    <w:autoRedefine/>
    <w:qFormat/>
    <w:uiPriority w:val="0"/>
    <w:pPr>
      <w:outlineLvl w:val="9"/>
    </w:pPr>
  </w:style>
  <w:style w:type="character" w:customStyle="1" w:styleId="93">
    <w:name w:val="font11"/>
    <w:basedOn w:val="3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69173</Words>
  <Characters>74012</Characters>
  <Lines>1</Lines>
  <Paragraphs>1</Paragraphs>
  <TotalTime>12</TotalTime>
  <ScaleCrop>false</ScaleCrop>
  <LinksUpToDate>false</LinksUpToDate>
  <CharactersWithSpaces>82419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2020-12-28T09:28:00Z</dcterms:created>
  <dc:creator>Lenovo E480</dc:creator>
  <cp:lastModifiedBy>♂杰♂</cp:lastModifiedBy>
  <cp:lastPrinted>2020-12-23T09:27:00Z</cp:lastPrinted>
  <dcterms:modified xsi:type="dcterms:W3CDTF">2024-03-08T09:14:47Z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C69E1A85EBD54C7AB9F2385B34505506</vt:lpwstr>
  </property>
</Properties>
</file>