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b/>
          <w:color w:val="auto"/>
          <w:sz w:val="32"/>
          <w:szCs w:val="32"/>
          <w:highlight w:val="none"/>
        </w:rPr>
      </w:pPr>
    </w:p>
    <w:p>
      <w:pPr>
        <w:jc w:val="center"/>
        <w:rPr>
          <w:rFonts w:hint="eastAsia" w:ascii="宋体" w:hAnsi="宋体" w:cs="宋体"/>
          <w:b/>
          <w:color w:val="auto"/>
          <w:sz w:val="32"/>
          <w:szCs w:val="32"/>
          <w:highlight w:val="none"/>
          <w:lang w:val="en-US" w:eastAsia="zh-CN"/>
        </w:rPr>
      </w:pPr>
      <w:r>
        <w:rPr>
          <w:rFonts w:hint="eastAsia" w:ascii="宋体" w:hAnsi="宋体" w:cs="宋体"/>
          <w:b/>
          <w:color w:val="auto"/>
          <w:sz w:val="32"/>
          <w:szCs w:val="32"/>
          <w:highlight w:val="none"/>
        </w:rPr>
        <w:t>项目名称：</w:t>
      </w:r>
      <w:r>
        <w:rPr>
          <w:rFonts w:hint="eastAsia" w:ascii="宋体" w:hAnsi="宋体" w:cs="宋体"/>
          <w:b/>
          <w:color w:val="auto"/>
          <w:sz w:val="32"/>
          <w:szCs w:val="32"/>
          <w:highlight w:val="none"/>
          <w:lang w:val="en-US" w:eastAsia="zh-CN"/>
        </w:rPr>
        <w:t>巫溪至开州高速公路项目机电工程工程保险服务</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竞</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争</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性</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比</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选</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48"/>
          <w:szCs w:val="48"/>
          <w:highlight w:val="none"/>
        </w:rPr>
      </w:pPr>
      <w:r>
        <w:rPr>
          <w:rFonts w:hint="eastAsia" w:ascii="宋体" w:hAnsi="宋体" w:cs="宋体"/>
          <w:b/>
          <w:color w:val="auto"/>
          <w:sz w:val="48"/>
          <w:szCs w:val="48"/>
          <w:highlight w:val="none"/>
        </w:rPr>
        <w:t>文</w:t>
      </w:r>
    </w:p>
    <w:p>
      <w:pPr>
        <w:jc w:val="center"/>
        <w:rPr>
          <w:rFonts w:hint="eastAsia" w:ascii="宋体" w:hAnsi="宋体" w:cs="宋体"/>
          <w:b/>
          <w:color w:val="auto"/>
          <w:sz w:val="48"/>
          <w:szCs w:val="48"/>
          <w:highlight w:val="none"/>
        </w:rPr>
      </w:pPr>
    </w:p>
    <w:p>
      <w:pPr>
        <w:jc w:val="center"/>
        <w:rPr>
          <w:rFonts w:hint="eastAsia" w:ascii="宋体" w:hAnsi="宋体" w:cs="宋体"/>
          <w:b/>
          <w:color w:val="auto"/>
          <w:sz w:val="96"/>
          <w:szCs w:val="72"/>
          <w:highlight w:val="none"/>
        </w:rPr>
      </w:pPr>
      <w:r>
        <w:rPr>
          <w:rFonts w:hint="eastAsia" w:ascii="宋体" w:hAnsi="宋体" w:cs="宋体"/>
          <w:b/>
          <w:color w:val="auto"/>
          <w:sz w:val="48"/>
          <w:szCs w:val="48"/>
          <w:highlight w:val="none"/>
        </w:rPr>
        <w:t>件</w:t>
      </w: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rPr>
          <w:rFonts w:hint="eastAsia"/>
          <w:color w:val="auto"/>
          <w:highlight w:val="none"/>
        </w:rPr>
      </w:pPr>
    </w:p>
    <w:p>
      <w:pPr>
        <w:rPr>
          <w:rFonts w:hint="eastAsia"/>
          <w:color w:val="auto"/>
          <w:highlight w:val="none"/>
        </w:rPr>
      </w:pPr>
    </w:p>
    <w:p>
      <w:pPr>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采购人：重庆首讯科技股份有限公司</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u w:val="single"/>
        </w:rPr>
        <w:t>202</w:t>
      </w:r>
      <w:r>
        <w:rPr>
          <w:rFonts w:hint="eastAsia" w:ascii="宋体" w:hAnsi="宋体" w:cs="宋体"/>
          <w:b/>
          <w:color w:val="auto"/>
          <w:sz w:val="28"/>
          <w:szCs w:val="28"/>
          <w:highlight w:val="none"/>
          <w:u w:val="single"/>
          <w:lang w:val="en-US" w:eastAsia="zh-CN"/>
        </w:rPr>
        <w:t>4</w:t>
      </w:r>
      <w:r>
        <w:rPr>
          <w:rFonts w:hint="eastAsia" w:ascii="宋体" w:hAnsi="宋体" w:cs="宋体"/>
          <w:b/>
          <w:color w:val="auto"/>
          <w:sz w:val="28"/>
          <w:szCs w:val="28"/>
          <w:highlight w:val="none"/>
        </w:rPr>
        <w:t>年</w:t>
      </w:r>
      <w:r>
        <w:rPr>
          <w:rFonts w:hint="eastAsia" w:ascii="宋体" w:hAnsi="宋体" w:cs="宋体"/>
          <w:b/>
          <w:color w:val="auto"/>
          <w:sz w:val="28"/>
          <w:szCs w:val="28"/>
          <w:highlight w:val="none"/>
          <w:u w:val="single"/>
          <w:lang w:val="en-US" w:eastAsia="zh-CN"/>
        </w:rPr>
        <w:t>3</w:t>
      </w:r>
      <w:r>
        <w:rPr>
          <w:rFonts w:hint="eastAsia" w:ascii="宋体" w:hAnsi="宋体" w:cs="宋体"/>
          <w:b/>
          <w:color w:val="auto"/>
          <w:sz w:val="28"/>
          <w:szCs w:val="28"/>
          <w:highlight w:val="none"/>
        </w:rPr>
        <w:t>月</w:t>
      </w:r>
    </w:p>
    <w:p>
      <w:pPr>
        <w:pStyle w:val="29"/>
        <w:jc w:val="center"/>
        <w:rPr>
          <w:rFonts w:hint="eastAsia" w:ascii="宋体" w:hAnsi="宋体" w:cs="宋体"/>
          <w:color w:val="auto"/>
          <w:szCs w:val="21"/>
          <w:highlight w:val="none"/>
        </w:rPr>
      </w:pPr>
      <w:r>
        <w:rPr>
          <w:color w:val="auto"/>
          <w:highlight w:val="none"/>
        </w:rPr>
        <w:br w:type="page"/>
      </w:r>
      <w:bookmarkStart w:id="0" w:name="_Toc246996898"/>
      <w:bookmarkStart w:id="1" w:name="_Toc296602400"/>
      <w:bookmarkStart w:id="2" w:name="_Toc507319889"/>
      <w:bookmarkStart w:id="3" w:name="_Toc247085669"/>
      <w:bookmarkStart w:id="4" w:name="_Toc507428442"/>
      <w:r>
        <w:rPr>
          <w:rFonts w:hint="eastAsia" w:ascii="宋体" w:hAnsi="宋体" w:cs="宋体"/>
          <w:b w:val="0"/>
          <w:color w:val="auto"/>
          <w:sz w:val="32"/>
          <w:highlight w:val="none"/>
        </w:rPr>
        <w:t>目   录</w:t>
      </w:r>
      <w:bookmarkEnd w:id="0"/>
      <w:bookmarkEnd w:id="1"/>
      <w:bookmarkEnd w:id="2"/>
      <w:bookmarkEnd w:id="3"/>
      <w:bookmarkEnd w:id="4"/>
    </w:p>
    <w:p>
      <w:pPr>
        <w:pStyle w:val="29"/>
        <w:tabs>
          <w:tab w:val="right" w:leader="dot" w:pos="9638"/>
        </w:tabs>
        <w:rPr>
          <w:color w:val="auto"/>
          <w:highlight w:val="none"/>
        </w:rPr>
      </w:pPr>
      <w:r>
        <w:rPr>
          <w:rFonts w:hint="eastAsia" w:ascii="宋体" w:hAnsi="宋体" w:cs="宋体"/>
          <w:b w:val="0"/>
          <w:bCs w:val="0"/>
          <w:caps w:val="0"/>
          <w:color w:val="auto"/>
          <w:highlight w:val="none"/>
        </w:rPr>
        <w:fldChar w:fldCharType="begin"/>
      </w:r>
      <w:r>
        <w:rPr>
          <w:rFonts w:hint="eastAsia" w:ascii="宋体" w:hAnsi="宋体" w:cs="宋体"/>
          <w:b w:val="0"/>
          <w:bCs w:val="0"/>
          <w:caps w:val="0"/>
          <w:color w:val="auto"/>
          <w:highlight w:val="none"/>
        </w:rPr>
        <w:instrText xml:space="preserve"> TOC \o "1-2" \h \z \u </w:instrText>
      </w:r>
      <w:r>
        <w:rPr>
          <w:rFonts w:hint="eastAsia" w:ascii="宋体" w:hAnsi="宋体" w:cs="宋体"/>
          <w:b w:val="0"/>
          <w:bCs w:val="0"/>
          <w:caps w:val="0"/>
          <w:color w:val="auto"/>
          <w:highlight w:val="none"/>
        </w:rPr>
        <w:fldChar w:fldCharType="separate"/>
      </w:r>
      <w:r>
        <w:rPr>
          <w:rFonts w:hint="eastAsia" w:ascii="宋体" w:hAnsi="宋体" w:cs="宋体"/>
          <w:bCs w:val="0"/>
          <w:caps w:val="0"/>
          <w:color w:val="auto"/>
          <w:highlight w:val="none"/>
        </w:rPr>
        <w:fldChar w:fldCharType="begin"/>
      </w:r>
      <w:r>
        <w:rPr>
          <w:rFonts w:hint="eastAsia" w:ascii="宋体" w:hAnsi="宋体" w:cs="宋体"/>
          <w:bCs w:val="0"/>
          <w:caps w:val="0"/>
          <w:color w:val="auto"/>
          <w:highlight w:val="none"/>
        </w:rPr>
        <w:instrText xml:space="preserve"> HYPERLINK \l _Toc5531 </w:instrText>
      </w:r>
      <w:r>
        <w:rPr>
          <w:rFonts w:hint="eastAsia" w:ascii="宋体" w:hAnsi="宋体" w:cs="宋体"/>
          <w:bCs w:val="0"/>
          <w:caps w:val="0"/>
          <w:color w:val="auto"/>
          <w:highlight w:val="none"/>
        </w:rPr>
        <w:fldChar w:fldCharType="separate"/>
      </w:r>
      <w:r>
        <w:rPr>
          <w:rFonts w:hint="eastAsia" w:ascii="宋体" w:hAnsi="宋体" w:cs="宋体"/>
          <w:color w:val="auto"/>
          <w:highlight w:val="none"/>
        </w:rPr>
        <w:t>第一章 比选公告</w:t>
      </w:r>
      <w:r>
        <w:rPr>
          <w:color w:val="auto"/>
          <w:highlight w:val="none"/>
        </w:rPr>
        <w:tab/>
      </w:r>
      <w:r>
        <w:rPr>
          <w:color w:val="auto"/>
          <w:highlight w:val="none"/>
        </w:rPr>
        <w:fldChar w:fldCharType="begin"/>
      </w:r>
      <w:r>
        <w:rPr>
          <w:color w:val="auto"/>
          <w:highlight w:val="none"/>
        </w:rPr>
        <w:instrText xml:space="preserve"> PAGEREF _Toc5531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val="0"/>
          <w:caps w:val="0"/>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_Toc7525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1. 比选条件</w:t>
      </w:r>
      <w:r>
        <w:rPr>
          <w:color w:val="auto"/>
          <w:highlight w:val="none"/>
        </w:rPr>
        <w:tab/>
      </w:r>
      <w:r>
        <w:rPr>
          <w:color w:val="auto"/>
          <w:highlight w:val="none"/>
        </w:rPr>
        <w:fldChar w:fldCharType="begin"/>
      </w:r>
      <w:r>
        <w:rPr>
          <w:color w:val="auto"/>
          <w:highlight w:val="none"/>
        </w:rPr>
        <w:instrText xml:space="preserve"> PAGEREF _Toc7525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_Toc23060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2. 项目概况与比选范围</w:t>
      </w:r>
      <w:r>
        <w:rPr>
          <w:color w:val="auto"/>
          <w:highlight w:val="none"/>
        </w:rPr>
        <w:tab/>
      </w:r>
      <w:r>
        <w:rPr>
          <w:color w:val="auto"/>
          <w:highlight w:val="none"/>
        </w:rPr>
        <w:fldChar w:fldCharType="begin"/>
      </w:r>
      <w:r>
        <w:rPr>
          <w:color w:val="auto"/>
          <w:highlight w:val="none"/>
        </w:rPr>
        <w:instrText xml:space="preserve"> PAGEREF _Toc23060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_Toc23184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3. 报价人资格要求</w:t>
      </w:r>
      <w:r>
        <w:rPr>
          <w:color w:val="auto"/>
          <w:highlight w:val="none"/>
        </w:rPr>
        <w:tab/>
      </w:r>
      <w:r>
        <w:rPr>
          <w:color w:val="auto"/>
          <w:highlight w:val="none"/>
        </w:rPr>
        <w:fldChar w:fldCharType="begin"/>
      </w:r>
      <w:r>
        <w:rPr>
          <w:color w:val="auto"/>
          <w:highlight w:val="none"/>
        </w:rPr>
        <w:instrText xml:space="preserve"> PAGEREF _Toc23184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_Toc23921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4. 比选文件的获取</w:t>
      </w:r>
      <w:r>
        <w:rPr>
          <w:color w:val="auto"/>
          <w:highlight w:val="none"/>
        </w:rPr>
        <w:tab/>
      </w:r>
      <w:r>
        <w:rPr>
          <w:color w:val="auto"/>
          <w:highlight w:val="none"/>
        </w:rPr>
        <w:fldChar w:fldCharType="begin"/>
      </w:r>
      <w:r>
        <w:rPr>
          <w:color w:val="auto"/>
          <w:highlight w:val="none"/>
        </w:rPr>
        <w:instrText xml:space="preserve"> PAGEREF _Toc23921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_Toc4096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5. 竞争性比选响应文件的递交及相关事宜</w:t>
      </w:r>
      <w:r>
        <w:rPr>
          <w:color w:val="auto"/>
          <w:highlight w:val="none"/>
        </w:rPr>
        <w:tab/>
      </w:r>
      <w:r>
        <w:rPr>
          <w:color w:val="auto"/>
          <w:highlight w:val="none"/>
        </w:rPr>
        <w:fldChar w:fldCharType="begin"/>
      </w:r>
      <w:r>
        <w:rPr>
          <w:color w:val="auto"/>
          <w:highlight w:val="none"/>
        </w:rPr>
        <w:instrText xml:space="preserve"> PAGEREF _Toc4096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_Toc11820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联系方式</w:t>
      </w:r>
      <w:r>
        <w:rPr>
          <w:color w:val="auto"/>
          <w:highlight w:val="none"/>
        </w:rPr>
        <w:tab/>
      </w:r>
      <w:r>
        <w:rPr>
          <w:color w:val="auto"/>
          <w:highlight w:val="none"/>
        </w:rPr>
        <w:fldChar w:fldCharType="begin"/>
      </w:r>
      <w:r>
        <w:rPr>
          <w:color w:val="auto"/>
          <w:highlight w:val="none"/>
        </w:rPr>
        <w:instrText xml:space="preserve"> PAGEREF _Toc11820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cs="宋体"/>
          <w:bCs/>
          <w:caps/>
          <w:color w:val="auto"/>
          <w:highlight w:val="none"/>
        </w:rPr>
        <w:fldChar w:fldCharType="end"/>
      </w:r>
    </w:p>
    <w:p>
      <w:pPr>
        <w:pStyle w:val="29"/>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_Toc15316 </w:instrText>
      </w:r>
      <w:r>
        <w:rPr>
          <w:rFonts w:hint="eastAsia" w:ascii="宋体" w:hAnsi="宋体" w:cs="宋体"/>
          <w:bCs/>
          <w:caps/>
          <w:color w:val="auto"/>
          <w:highlight w:val="none"/>
        </w:rPr>
        <w:fldChar w:fldCharType="separate"/>
      </w:r>
      <w:r>
        <w:rPr>
          <w:rFonts w:hint="eastAsia" w:ascii="宋体" w:hAnsi="宋体" w:cs="宋体"/>
          <w:color w:val="auto"/>
          <w:highlight w:val="none"/>
        </w:rPr>
        <w:t>第二章 报价人须知</w:t>
      </w:r>
      <w:r>
        <w:rPr>
          <w:color w:val="auto"/>
          <w:highlight w:val="none"/>
        </w:rPr>
        <w:tab/>
      </w:r>
      <w:r>
        <w:rPr>
          <w:color w:val="auto"/>
          <w:highlight w:val="none"/>
        </w:rPr>
        <w:fldChar w:fldCharType="begin"/>
      </w:r>
      <w:r>
        <w:rPr>
          <w:color w:val="auto"/>
          <w:highlight w:val="none"/>
        </w:rPr>
        <w:instrText xml:space="preserve"> PAGEREF _Toc15316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_Toc32070 </w:instrText>
      </w:r>
      <w:r>
        <w:rPr>
          <w:rFonts w:hint="eastAsia" w:ascii="宋体" w:hAnsi="宋体" w:cs="宋体"/>
          <w:bCs/>
          <w:caps/>
          <w:color w:val="auto"/>
          <w:highlight w:val="none"/>
        </w:rPr>
        <w:fldChar w:fldCharType="separate"/>
      </w:r>
      <w:r>
        <w:rPr>
          <w:rFonts w:hint="eastAsia" w:ascii="宋体" w:hAnsi="宋体" w:eastAsia="宋体" w:cs="宋体"/>
          <w:color w:val="auto"/>
          <w:szCs w:val="28"/>
          <w:highlight w:val="none"/>
        </w:rPr>
        <w:t xml:space="preserve">附录1  </w:t>
      </w:r>
      <w:r>
        <w:rPr>
          <w:rFonts w:hint="eastAsia" w:ascii="宋体" w:hAnsi="宋体" w:eastAsia="宋体" w:cs="宋体"/>
          <w:bCs w:val="0"/>
          <w:color w:val="auto"/>
          <w:szCs w:val="28"/>
          <w:highlight w:val="none"/>
        </w:rPr>
        <w:t>报价人资格要求</w:t>
      </w:r>
      <w:r>
        <w:rPr>
          <w:color w:val="auto"/>
          <w:highlight w:val="none"/>
        </w:rPr>
        <w:tab/>
      </w:r>
      <w:r>
        <w:rPr>
          <w:color w:val="auto"/>
          <w:highlight w:val="none"/>
        </w:rPr>
        <w:fldChar w:fldCharType="begin"/>
      </w:r>
      <w:r>
        <w:rPr>
          <w:color w:val="auto"/>
          <w:highlight w:val="none"/>
        </w:rPr>
        <w:instrText xml:space="preserve"> PAGEREF _Toc32070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cs="宋体"/>
          <w:bCs/>
          <w:caps/>
          <w:color w:val="auto"/>
          <w:highlight w:val="none"/>
        </w:rPr>
        <w:fldChar w:fldCharType="end"/>
      </w:r>
    </w:p>
    <w:p>
      <w:pPr>
        <w:pStyle w:val="29"/>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_Toc20700 </w:instrText>
      </w:r>
      <w:r>
        <w:rPr>
          <w:rFonts w:hint="eastAsia" w:ascii="宋体" w:hAnsi="宋体" w:cs="宋体"/>
          <w:bCs/>
          <w:caps/>
          <w:color w:val="auto"/>
          <w:highlight w:val="none"/>
        </w:rPr>
        <w:fldChar w:fldCharType="separate"/>
      </w:r>
      <w:r>
        <w:rPr>
          <w:rFonts w:hint="eastAsia"/>
          <w:color w:val="auto"/>
          <w:highlight w:val="none"/>
        </w:rPr>
        <w:t xml:space="preserve">第三章 </w:t>
      </w:r>
      <w:r>
        <w:rPr>
          <w:rFonts w:hint="eastAsia" w:ascii="宋体" w:hAnsi="宋体" w:cs="宋体"/>
          <w:color w:val="auto"/>
          <w:highlight w:val="none"/>
        </w:rPr>
        <w:t>评标办法（</w:t>
      </w:r>
      <w:r>
        <w:rPr>
          <w:rFonts w:hint="eastAsia" w:ascii="宋体" w:hAnsi="宋体" w:cs="宋体"/>
          <w:color w:val="auto"/>
          <w:highlight w:val="none"/>
          <w:lang w:val="en-US" w:eastAsia="zh-CN"/>
        </w:rPr>
        <w:t>综合评估</w:t>
      </w:r>
      <w:r>
        <w:rPr>
          <w:rFonts w:hint="eastAsia" w:ascii="宋体" w:hAnsi="宋体" w:cs="宋体"/>
          <w:color w:val="auto"/>
          <w:highlight w:val="none"/>
        </w:rPr>
        <w:t>法）</w:t>
      </w:r>
      <w:r>
        <w:rPr>
          <w:color w:val="auto"/>
          <w:highlight w:val="none"/>
        </w:rPr>
        <w:tab/>
      </w:r>
      <w:r>
        <w:rPr>
          <w:color w:val="auto"/>
          <w:highlight w:val="none"/>
        </w:rPr>
        <w:fldChar w:fldCharType="begin"/>
      </w:r>
      <w:r>
        <w:rPr>
          <w:color w:val="auto"/>
          <w:highlight w:val="none"/>
        </w:rPr>
        <w:instrText xml:space="preserve"> PAGEREF _Toc20700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_Toc18631 </w:instrText>
      </w:r>
      <w:r>
        <w:rPr>
          <w:rFonts w:hint="eastAsia" w:ascii="宋体" w:hAnsi="宋体" w:cs="宋体"/>
          <w:bCs/>
          <w:caps/>
          <w:color w:val="auto"/>
          <w:highlight w:val="none"/>
        </w:rPr>
        <w:fldChar w:fldCharType="separate"/>
      </w:r>
      <w:r>
        <w:rPr>
          <w:rFonts w:hint="eastAsia" w:ascii="宋体" w:hAnsi="宋体" w:cs="宋体"/>
          <w:color w:val="auto"/>
          <w:szCs w:val="28"/>
          <w:highlight w:val="none"/>
        </w:rPr>
        <w:t>评标方法</w:t>
      </w:r>
      <w:r>
        <w:rPr>
          <w:rFonts w:hint="eastAsia" w:ascii="宋体" w:hAnsi="宋体" w:cs="宋体"/>
          <w:color w:val="auto"/>
          <w:szCs w:val="28"/>
          <w:highlight w:val="none"/>
          <w:lang w:val="en-US" w:eastAsia="zh-CN"/>
        </w:rPr>
        <w:t>前附表</w:t>
      </w:r>
      <w:r>
        <w:rPr>
          <w:color w:val="auto"/>
          <w:highlight w:val="none"/>
        </w:rPr>
        <w:tab/>
      </w:r>
      <w:r>
        <w:rPr>
          <w:color w:val="auto"/>
          <w:highlight w:val="none"/>
        </w:rPr>
        <w:fldChar w:fldCharType="begin"/>
      </w:r>
      <w:r>
        <w:rPr>
          <w:color w:val="auto"/>
          <w:highlight w:val="none"/>
        </w:rPr>
        <w:instrText xml:space="preserve"> PAGEREF _Toc18631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_Toc6578 </w:instrText>
      </w:r>
      <w:r>
        <w:rPr>
          <w:rFonts w:hint="eastAsia" w:ascii="宋体" w:hAnsi="宋体" w:cs="宋体"/>
          <w:bCs/>
          <w:caps/>
          <w:color w:val="auto"/>
          <w:highlight w:val="none"/>
        </w:rPr>
        <w:fldChar w:fldCharType="separate"/>
      </w:r>
      <w:r>
        <w:rPr>
          <w:rFonts w:hint="eastAsia" w:ascii="宋体" w:hAnsi="宋体" w:cs="宋体"/>
          <w:color w:val="auto"/>
          <w:szCs w:val="28"/>
          <w:highlight w:val="none"/>
        </w:rPr>
        <w:t>1. 评标方法</w:t>
      </w:r>
      <w:r>
        <w:rPr>
          <w:color w:val="auto"/>
          <w:highlight w:val="none"/>
        </w:rPr>
        <w:tab/>
      </w:r>
      <w:r>
        <w:rPr>
          <w:color w:val="auto"/>
          <w:highlight w:val="none"/>
        </w:rPr>
        <w:fldChar w:fldCharType="begin"/>
      </w:r>
      <w:r>
        <w:rPr>
          <w:color w:val="auto"/>
          <w:highlight w:val="none"/>
        </w:rPr>
        <w:instrText xml:space="preserve"> PAGEREF _Toc6578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_Toc2783 </w:instrText>
      </w:r>
      <w:r>
        <w:rPr>
          <w:rFonts w:hint="eastAsia" w:ascii="宋体" w:hAnsi="宋体" w:cs="宋体"/>
          <w:bCs/>
          <w:caps/>
          <w:color w:val="auto"/>
          <w:highlight w:val="none"/>
        </w:rPr>
        <w:fldChar w:fldCharType="separate"/>
      </w:r>
      <w:r>
        <w:rPr>
          <w:rFonts w:hint="eastAsia" w:ascii="宋体" w:hAnsi="宋体" w:cs="宋体"/>
          <w:color w:val="auto"/>
          <w:szCs w:val="28"/>
          <w:highlight w:val="none"/>
        </w:rPr>
        <w:t>2. 评审标准</w:t>
      </w:r>
      <w:r>
        <w:rPr>
          <w:color w:val="auto"/>
          <w:highlight w:val="none"/>
        </w:rPr>
        <w:tab/>
      </w:r>
      <w:r>
        <w:rPr>
          <w:color w:val="auto"/>
          <w:highlight w:val="none"/>
        </w:rPr>
        <w:fldChar w:fldCharType="begin"/>
      </w:r>
      <w:r>
        <w:rPr>
          <w:color w:val="auto"/>
          <w:highlight w:val="none"/>
        </w:rPr>
        <w:instrText xml:space="preserve"> PAGEREF _Toc2783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_Toc8634 </w:instrText>
      </w:r>
      <w:r>
        <w:rPr>
          <w:rFonts w:hint="eastAsia" w:ascii="宋体" w:hAnsi="宋体" w:cs="宋体"/>
          <w:bCs/>
          <w:caps/>
          <w:color w:val="auto"/>
          <w:highlight w:val="none"/>
        </w:rPr>
        <w:fldChar w:fldCharType="separate"/>
      </w:r>
      <w:r>
        <w:rPr>
          <w:rFonts w:hint="eastAsia" w:ascii="宋体" w:hAnsi="宋体" w:cs="宋体"/>
          <w:color w:val="auto"/>
          <w:szCs w:val="28"/>
          <w:highlight w:val="none"/>
        </w:rPr>
        <w:t>3. 评标程序</w:t>
      </w:r>
      <w:r>
        <w:rPr>
          <w:color w:val="auto"/>
          <w:highlight w:val="none"/>
        </w:rPr>
        <w:tab/>
      </w:r>
      <w:r>
        <w:rPr>
          <w:color w:val="auto"/>
          <w:highlight w:val="none"/>
        </w:rPr>
        <w:fldChar w:fldCharType="begin"/>
      </w:r>
      <w:r>
        <w:rPr>
          <w:color w:val="auto"/>
          <w:highlight w:val="none"/>
        </w:rPr>
        <w:instrText xml:space="preserve"> PAGEREF _Toc8634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cs="宋体"/>
          <w:bCs/>
          <w:caps/>
          <w:color w:val="auto"/>
          <w:highlight w:val="none"/>
        </w:rPr>
        <w:fldChar w:fldCharType="end"/>
      </w:r>
    </w:p>
    <w:p>
      <w:pPr>
        <w:pStyle w:val="29"/>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_Toc7031 </w:instrText>
      </w:r>
      <w:r>
        <w:rPr>
          <w:rFonts w:hint="eastAsia" w:ascii="宋体" w:hAnsi="宋体" w:cs="宋体"/>
          <w:bCs/>
          <w:caps/>
          <w:color w:val="auto"/>
          <w:highlight w:val="none"/>
        </w:rPr>
        <w:fldChar w:fldCharType="separate"/>
      </w:r>
      <w:r>
        <w:rPr>
          <w:rFonts w:hint="eastAsia"/>
          <w:bCs/>
          <w:color w:val="auto"/>
          <w:highlight w:val="none"/>
          <w:lang w:val="en-US" w:eastAsia="zh-CN"/>
        </w:rPr>
        <w:t>第四章 报价说明</w:t>
      </w:r>
      <w:r>
        <w:rPr>
          <w:color w:val="auto"/>
          <w:highlight w:val="none"/>
        </w:rPr>
        <w:tab/>
      </w:r>
      <w:r>
        <w:rPr>
          <w:color w:val="auto"/>
          <w:highlight w:val="none"/>
        </w:rPr>
        <w:fldChar w:fldCharType="begin"/>
      </w:r>
      <w:r>
        <w:rPr>
          <w:color w:val="auto"/>
          <w:highlight w:val="none"/>
        </w:rPr>
        <w:instrText xml:space="preserve"> PAGEREF _Toc7031 \h </w:instrText>
      </w:r>
      <w:r>
        <w:rPr>
          <w:color w:val="auto"/>
          <w:highlight w:val="none"/>
        </w:rPr>
        <w:fldChar w:fldCharType="separate"/>
      </w:r>
      <w:r>
        <w:rPr>
          <w:color w:val="auto"/>
          <w:highlight w:val="none"/>
        </w:rPr>
        <w:t>11</w:t>
      </w:r>
      <w:r>
        <w:rPr>
          <w:color w:val="auto"/>
          <w:highlight w:val="none"/>
        </w:rPr>
        <w:fldChar w:fldCharType="end"/>
      </w:r>
      <w:r>
        <w:rPr>
          <w:rFonts w:hint="eastAsia" w:ascii="宋体" w:hAnsi="宋体" w:cs="宋体"/>
          <w:bCs/>
          <w:caps/>
          <w:color w:val="auto"/>
          <w:highlight w:val="none"/>
        </w:rPr>
        <w:fldChar w:fldCharType="end"/>
      </w:r>
    </w:p>
    <w:p>
      <w:pPr>
        <w:pStyle w:val="29"/>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_Toc15109 </w:instrText>
      </w:r>
      <w:r>
        <w:rPr>
          <w:rFonts w:hint="eastAsia" w:ascii="宋体" w:hAnsi="宋体" w:cs="宋体"/>
          <w:bCs/>
          <w:caps/>
          <w:color w:val="auto"/>
          <w:highlight w:val="none"/>
        </w:rPr>
        <w:fldChar w:fldCharType="separate"/>
      </w:r>
      <w:r>
        <w:rPr>
          <w:rFonts w:hint="eastAsia" w:ascii="宋体" w:hAnsi="宋体" w:cs="宋体"/>
          <w:color w:val="auto"/>
          <w:highlight w:val="none"/>
        </w:rPr>
        <w:t xml:space="preserve">第五章  </w:t>
      </w:r>
      <w:r>
        <w:rPr>
          <w:rFonts w:hint="eastAsia" w:ascii="宋体" w:hAnsi="宋体" w:cs="宋体"/>
          <w:color w:val="auto"/>
          <w:highlight w:val="none"/>
          <w:lang w:val="en-US" w:eastAsia="zh-CN"/>
        </w:rPr>
        <w:t>工程量</w:t>
      </w:r>
      <w:r>
        <w:rPr>
          <w:rFonts w:hint="eastAsia" w:ascii="宋体" w:hAnsi="宋体" w:cs="宋体"/>
          <w:color w:val="auto"/>
          <w:highlight w:val="none"/>
          <w:lang w:eastAsia="zh-CN"/>
        </w:rPr>
        <w:t>清单</w:t>
      </w:r>
      <w:r>
        <w:rPr>
          <w:color w:val="auto"/>
          <w:highlight w:val="none"/>
        </w:rPr>
        <w:tab/>
      </w:r>
      <w:r>
        <w:rPr>
          <w:color w:val="auto"/>
          <w:highlight w:val="none"/>
        </w:rPr>
        <w:fldChar w:fldCharType="begin"/>
      </w:r>
      <w:r>
        <w:rPr>
          <w:color w:val="auto"/>
          <w:highlight w:val="none"/>
        </w:rPr>
        <w:instrText xml:space="preserve"> PAGEREF _Toc15109 \h </w:instrText>
      </w:r>
      <w:r>
        <w:rPr>
          <w:color w:val="auto"/>
          <w:highlight w:val="none"/>
        </w:rPr>
        <w:fldChar w:fldCharType="separate"/>
      </w:r>
      <w:r>
        <w:rPr>
          <w:color w:val="auto"/>
          <w:highlight w:val="none"/>
        </w:rPr>
        <w:t>12</w:t>
      </w:r>
      <w:r>
        <w:rPr>
          <w:color w:val="auto"/>
          <w:highlight w:val="none"/>
        </w:rPr>
        <w:fldChar w:fldCharType="end"/>
      </w:r>
      <w:r>
        <w:rPr>
          <w:rFonts w:hint="eastAsia" w:ascii="宋体" w:hAnsi="宋体" w:cs="宋体"/>
          <w:bCs/>
          <w:caps/>
          <w:color w:val="auto"/>
          <w:highlight w:val="none"/>
        </w:rPr>
        <w:fldChar w:fldCharType="end"/>
      </w:r>
    </w:p>
    <w:p>
      <w:pPr>
        <w:pStyle w:val="29"/>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_Toc7930 </w:instrText>
      </w:r>
      <w:r>
        <w:rPr>
          <w:rFonts w:hint="eastAsia" w:ascii="宋体" w:hAnsi="宋体" w:cs="宋体"/>
          <w:bCs/>
          <w:caps/>
          <w:color w:val="auto"/>
          <w:highlight w:val="none"/>
        </w:rPr>
        <w:fldChar w:fldCharType="separate"/>
      </w:r>
      <w:r>
        <w:rPr>
          <w:rFonts w:hint="eastAsia" w:ascii="宋体" w:hAnsi="宋体" w:cs="宋体"/>
          <w:color w:val="auto"/>
          <w:highlight w:val="none"/>
        </w:rPr>
        <w:t>第六章  图  纸</w:t>
      </w:r>
      <w:r>
        <w:rPr>
          <w:color w:val="auto"/>
          <w:highlight w:val="none"/>
        </w:rPr>
        <w:tab/>
      </w:r>
      <w:r>
        <w:rPr>
          <w:color w:val="auto"/>
          <w:highlight w:val="none"/>
        </w:rPr>
        <w:fldChar w:fldCharType="begin"/>
      </w:r>
      <w:r>
        <w:rPr>
          <w:color w:val="auto"/>
          <w:highlight w:val="none"/>
        </w:rPr>
        <w:instrText xml:space="preserve"> PAGEREF _Toc7930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cs="宋体"/>
          <w:bCs/>
          <w:caps/>
          <w:color w:val="auto"/>
          <w:highlight w:val="none"/>
        </w:rPr>
        <w:fldChar w:fldCharType="end"/>
      </w:r>
    </w:p>
    <w:p>
      <w:pPr>
        <w:pStyle w:val="29"/>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_Toc12396 </w:instrText>
      </w:r>
      <w:r>
        <w:rPr>
          <w:rFonts w:hint="eastAsia" w:ascii="宋体" w:hAnsi="宋体" w:cs="宋体"/>
          <w:bCs/>
          <w:caps/>
          <w:color w:val="auto"/>
          <w:highlight w:val="none"/>
        </w:rPr>
        <w:fldChar w:fldCharType="separate"/>
      </w:r>
      <w:r>
        <w:rPr>
          <w:rFonts w:hint="eastAsia" w:ascii="宋体" w:hAnsi="宋体" w:cs="宋体"/>
          <w:color w:val="auto"/>
          <w:highlight w:val="none"/>
        </w:rPr>
        <w:t xml:space="preserve">第七章  </w:t>
      </w:r>
      <w:r>
        <w:rPr>
          <w:rFonts w:hint="eastAsia" w:ascii="宋体" w:hAnsi="宋体" w:cs="宋体"/>
          <w:color w:val="auto"/>
          <w:highlight w:val="none"/>
          <w:lang w:val="en-US" w:eastAsia="zh-CN"/>
        </w:rPr>
        <w:t>技术标准</w:t>
      </w:r>
      <w:r>
        <w:rPr>
          <w:color w:val="auto"/>
          <w:highlight w:val="none"/>
        </w:rPr>
        <w:tab/>
      </w:r>
      <w:r>
        <w:rPr>
          <w:color w:val="auto"/>
          <w:highlight w:val="none"/>
        </w:rPr>
        <w:fldChar w:fldCharType="begin"/>
      </w:r>
      <w:r>
        <w:rPr>
          <w:color w:val="auto"/>
          <w:highlight w:val="none"/>
        </w:rPr>
        <w:instrText xml:space="preserve"> PAGEREF _Toc12396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cs="宋体"/>
          <w:bCs/>
          <w:caps/>
          <w:color w:val="auto"/>
          <w:highlight w:val="none"/>
        </w:rPr>
        <w:fldChar w:fldCharType="end"/>
      </w:r>
    </w:p>
    <w:p>
      <w:pPr>
        <w:pStyle w:val="29"/>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_Toc29842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 xml:space="preserve">第八章  </w:t>
      </w:r>
      <w:r>
        <w:rPr>
          <w:rFonts w:hint="eastAsia" w:ascii="宋体" w:hAnsi="宋体" w:eastAsia="宋体" w:cs="宋体"/>
          <w:color w:val="auto"/>
          <w:highlight w:val="none"/>
          <w:lang w:val="en-US" w:eastAsia="zh-CN"/>
        </w:rPr>
        <w:t>合同范本</w:t>
      </w:r>
      <w:r>
        <w:rPr>
          <w:color w:val="auto"/>
          <w:highlight w:val="none"/>
        </w:rPr>
        <w:tab/>
      </w:r>
      <w:r>
        <w:rPr>
          <w:color w:val="auto"/>
          <w:highlight w:val="none"/>
        </w:rPr>
        <w:fldChar w:fldCharType="begin"/>
      </w:r>
      <w:r>
        <w:rPr>
          <w:color w:val="auto"/>
          <w:highlight w:val="none"/>
        </w:rPr>
        <w:instrText xml:space="preserve"> PAGEREF _Toc29842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cs="宋体"/>
          <w:bCs/>
          <w:caps/>
          <w:color w:val="auto"/>
          <w:highlight w:val="none"/>
        </w:rPr>
        <w:fldChar w:fldCharType="end"/>
      </w:r>
    </w:p>
    <w:p>
      <w:pPr>
        <w:pStyle w:val="29"/>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_Toc27998 </w:instrText>
      </w:r>
      <w:r>
        <w:rPr>
          <w:rFonts w:hint="eastAsia" w:ascii="宋体" w:hAnsi="宋体" w:cs="宋体"/>
          <w:bCs/>
          <w:caps/>
          <w:color w:val="auto"/>
          <w:highlight w:val="none"/>
        </w:rPr>
        <w:fldChar w:fldCharType="separate"/>
      </w:r>
      <w:r>
        <w:rPr>
          <w:rFonts w:hint="eastAsia" w:ascii="宋体" w:hAnsi="宋体" w:cs="宋体"/>
          <w:color w:val="auto"/>
          <w:highlight w:val="none"/>
        </w:rPr>
        <w:t>第九章  竞争性比选响应文件格式</w:t>
      </w:r>
      <w:r>
        <w:rPr>
          <w:color w:val="auto"/>
          <w:highlight w:val="none"/>
        </w:rPr>
        <w:tab/>
      </w:r>
      <w:r>
        <w:rPr>
          <w:color w:val="auto"/>
          <w:highlight w:val="none"/>
        </w:rPr>
        <w:fldChar w:fldCharType="begin"/>
      </w:r>
      <w:r>
        <w:rPr>
          <w:color w:val="auto"/>
          <w:highlight w:val="none"/>
        </w:rPr>
        <w:instrText xml:space="preserve"> PAGEREF _Toc27998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_Toc26420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目    录</w:t>
      </w:r>
      <w:r>
        <w:rPr>
          <w:color w:val="auto"/>
          <w:highlight w:val="none"/>
        </w:rPr>
        <w:tab/>
      </w:r>
      <w:r>
        <w:rPr>
          <w:color w:val="auto"/>
          <w:highlight w:val="none"/>
        </w:rPr>
        <w:fldChar w:fldCharType="begin"/>
      </w:r>
      <w:r>
        <w:rPr>
          <w:color w:val="auto"/>
          <w:highlight w:val="none"/>
        </w:rPr>
        <w:instrText xml:space="preserve"> PAGEREF _Toc26420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_Toc28976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rPr>
        <w:t>一、</w:t>
      </w:r>
      <w:r>
        <w:rPr>
          <w:rFonts w:hint="eastAsia" w:ascii="宋体" w:hAnsi="宋体" w:eastAsia="宋体" w:cs="宋体"/>
          <w:color w:val="auto"/>
          <w:highlight w:val="none"/>
          <w:lang w:eastAsia="zh-CN"/>
        </w:rPr>
        <w:t>竞争比选</w:t>
      </w:r>
      <w:r>
        <w:rPr>
          <w:rFonts w:hint="eastAsia" w:ascii="宋体" w:hAnsi="宋体" w:eastAsia="宋体" w:cs="宋体"/>
          <w:color w:val="auto"/>
          <w:highlight w:val="none"/>
        </w:rPr>
        <w:t>响应声明书</w:t>
      </w:r>
      <w:r>
        <w:rPr>
          <w:color w:val="auto"/>
          <w:highlight w:val="none"/>
        </w:rPr>
        <w:tab/>
      </w:r>
      <w:r>
        <w:rPr>
          <w:color w:val="auto"/>
          <w:highlight w:val="none"/>
        </w:rPr>
        <w:fldChar w:fldCharType="begin"/>
      </w:r>
      <w:r>
        <w:rPr>
          <w:color w:val="auto"/>
          <w:highlight w:val="none"/>
        </w:rPr>
        <w:instrText xml:space="preserve"> PAGEREF _Toc28976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_Toc16435 </w:instrText>
      </w:r>
      <w:r>
        <w:rPr>
          <w:rFonts w:hint="eastAsia" w:ascii="宋体" w:hAnsi="宋体" w:cs="宋体"/>
          <w:bCs/>
          <w:caps/>
          <w:color w:val="auto"/>
          <w:highlight w:val="none"/>
        </w:rPr>
        <w:fldChar w:fldCharType="separate"/>
      </w:r>
      <w:r>
        <w:rPr>
          <w:rFonts w:hint="eastAsia" w:ascii="宋体" w:hAnsi="宋体" w:eastAsia="宋体" w:cs="宋体"/>
          <w:color w:val="auto"/>
          <w:szCs w:val="28"/>
          <w:highlight w:val="none"/>
        </w:rPr>
        <w:t>二、法定代表人身份证明或法定代表人授权委托书</w:t>
      </w:r>
      <w:r>
        <w:rPr>
          <w:color w:val="auto"/>
          <w:highlight w:val="none"/>
        </w:rPr>
        <w:tab/>
      </w:r>
      <w:r>
        <w:rPr>
          <w:color w:val="auto"/>
          <w:highlight w:val="none"/>
        </w:rPr>
        <w:fldChar w:fldCharType="begin"/>
      </w:r>
      <w:r>
        <w:rPr>
          <w:color w:val="auto"/>
          <w:highlight w:val="none"/>
        </w:rPr>
        <w:instrText xml:space="preserve"> PAGEREF _Toc16435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_Toc20985 </w:instrText>
      </w:r>
      <w:r>
        <w:rPr>
          <w:rFonts w:hint="eastAsia" w:ascii="宋体" w:hAnsi="宋体" w:cs="宋体"/>
          <w:bCs/>
          <w:caps/>
          <w:color w:val="auto"/>
          <w:highlight w:val="none"/>
        </w:rPr>
        <w:fldChar w:fldCharType="separate"/>
      </w:r>
      <w:r>
        <w:rPr>
          <w:rFonts w:hint="eastAsia" w:ascii="宋体" w:hAnsi="宋体" w:eastAsia="宋体" w:cs="宋体"/>
          <w:color w:val="auto"/>
          <w:szCs w:val="24"/>
          <w:highlight w:val="none"/>
        </w:rPr>
        <w:t>（一）法定代表人身份证明</w:t>
      </w:r>
      <w:r>
        <w:rPr>
          <w:color w:val="auto"/>
          <w:highlight w:val="none"/>
        </w:rPr>
        <w:tab/>
      </w:r>
      <w:r>
        <w:rPr>
          <w:color w:val="auto"/>
          <w:highlight w:val="none"/>
        </w:rPr>
        <w:fldChar w:fldCharType="begin"/>
      </w:r>
      <w:r>
        <w:rPr>
          <w:color w:val="auto"/>
          <w:highlight w:val="none"/>
        </w:rPr>
        <w:instrText xml:space="preserve"> PAGEREF _Toc20985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_Toc3882 </w:instrText>
      </w:r>
      <w:r>
        <w:rPr>
          <w:rFonts w:hint="eastAsia" w:ascii="宋体" w:hAnsi="宋体" w:cs="宋体"/>
          <w:bCs/>
          <w:caps/>
          <w:color w:val="auto"/>
          <w:highlight w:val="none"/>
        </w:rPr>
        <w:fldChar w:fldCharType="separate"/>
      </w:r>
      <w:r>
        <w:rPr>
          <w:rFonts w:hint="eastAsia" w:ascii="宋体" w:hAnsi="宋体" w:eastAsia="宋体" w:cs="宋体"/>
          <w:color w:val="auto"/>
          <w:szCs w:val="24"/>
          <w:highlight w:val="none"/>
        </w:rPr>
        <w:t>（二）法定代表人授权委托书</w:t>
      </w:r>
      <w:r>
        <w:rPr>
          <w:color w:val="auto"/>
          <w:highlight w:val="none"/>
        </w:rPr>
        <w:tab/>
      </w:r>
      <w:r>
        <w:rPr>
          <w:color w:val="auto"/>
          <w:highlight w:val="none"/>
        </w:rPr>
        <w:fldChar w:fldCharType="begin"/>
      </w:r>
      <w:r>
        <w:rPr>
          <w:color w:val="auto"/>
          <w:highlight w:val="none"/>
        </w:rPr>
        <w:instrText xml:space="preserve"> PAGEREF _Toc3882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_Toc29500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lang w:val="en-US" w:eastAsia="zh-CN"/>
        </w:rPr>
        <w:t>三、报价一览表</w:t>
      </w:r>
      <w:r>
        <w:rPr>
          <w:color w:val="auto"/>
          <w:highlight w:val="none"/>
        </w:rPr>
        <w:tab/>
      </w:r>
      <w:r>
        <w:rPr>
          <w:color w:val="auto"/>
          <w:highlight w:val="none"/>
        </w:rPr>
        <w:fldChar w:fldCharType="begin"/>
      </w:r>
      <w:r>
        <w:rPr>
          <w:color w:val="auto"/>
          <w:highlight w:val="none"/>
        </w:rPr>
        <w:instrText xml:space="preserve"> PAGEREF _Toc29500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_Toc23170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lang w:val="en-US" w:eastAsia="zh-CN"/>
        </w:rPr>
        <w:t>四、资格审查资料</w:t>
      </w:r>
      <w:r>
        <w:rPr>
          <w:color w:val="auto"/>
          <w:highlight w:val="none"/>
        </w:rPr>
        <w:tab/>
      </w:r>
      <w:r>
        <w:rPr>
          <w:color w:val="auto"/>
          <w:highlight w:val="none"/>
        </w:rPr>
        <w:fldChar w:fldCharType="begin"/>
      </w:r>
      <w:r>
        <w:rPr>
          <w:color w:val="auto"/>
          <w:highlight w:val="none"/>
        </w:rPr>
        <w:instrText xml:space="preserve"> PAGEREF _Toc23170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38"/>
        </w:tabs>
        <w:rPr>
          <w:color w:val="auto"/>
          <w:highlight w:val="none"/>
        </w:rPr>
      </w:pPr>
      <w:r>
        <w:rPr>
          <w:rFonts w:hint="eastAsia" w:ascii="宋体" w:hAnsi="宋体" w:cs="宋体"/>
          <w:bCs/>
          <w:caps/>
          <w:color w:val="auto"/>
          <w:highlight w:val="none"/>
        </w:rPr>
        <w:fldChar w:fldCharType="begin"/>
      </w:r>
      <w:r>
        <w:rPr>
          <w:rFonts w:hint="eastAsia" w:ascii="宋体" w:hAnsi="宋体" w:cs="宋体"/>
          <w:bCs/>
          <w:caps/>
          <w:color w:val="auto"/>
          <w:highlight w:val="none"/>
        </w:rPr>
        <w:instrText xml:space="preserve"> HYPERLINK \l _Toc30447 </w:instrText>
      </w:r>
      <w:r>
        <w:rPr>
          <w:rFonts w:hint="eastAsia" w:ascii="宋体" w:hAnsi="宋体" w:cs="宋体"/>
          <w:bCs/>
          <w:caps/>
          <w:color w:val="auto"/>
          <w:highlight w:val="none"/>
        </w:rPr>
        <w:fldChar w:fldCharType="separate"/>
      </w:r>
      <w:r>
        <w:rPr>
          <w:rFonts w:hint="eastAsia" w:ascii="宋体" w:hAnsi="宋体" w:eastAsia="宋体" w:cs="宋体"/>
          <w:color w:val="auto"/>
          <w:highlight w:val="none"/>
          <w:lang w:val="en-US" w:eastAsia="zh-CN"/>
        </w:rPr>
        <w:t>五、报价人承诺</w:t>
      </w:r>
      <w:r>
        <w:rPr>
          <w:color w:val="auto"/>
          <w:highlight w:val="none"/>
        </w:rPr>
        <w:tab/>
      </w:r>
      <w:r>
        <w:rPr>
          <w:color w:val="auto"/>
          <w:highlight w:val="none"/>
        </w:rPr>
        <w:fldChar w:fldCharType="begin"/>
      </w:r>
      <w:r>
        <w:rPr>
          <w:color w:val="auto"/>
          <w:highlight w:val="none"/>
        </w:rPr>
        <w:instrText xml:space="preserve"> PAGEREF _Toc30447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cs="宋体"/>
          <w:bCs/>
          <w:caps/>
          <w:color w:val="auto"/>
          <w:highlight w:val="none"/>
        </w:rPr>
        <w:fldChar w:fldCharType="end"/>
      </w:r>
    </w:p>
    <w:p>
      <w:pPr>
        <w:pStyle w:val="36"/>
        <w:tabs>
          <w:tab w:val="right" w:leader="dot" w:pos="9628"/>
        </w:tabs>
        <w:ind w:left="0" w:leftChars="0" w:firstLine="0" w:firstLineChars="0"/>
        <w:rPr>
          <w:rFonts w:ascii="宋体" w:hAnsi="宋体" w:cs="宋体"/>
          <w:b/>
          <w:bCs/>
          <w:caps/>
          <w:color w:val="auto"/>
          <w:highlight w:val="none"/>
        </w:rPr>
        <w:sectPr>
          <w:footerReference r:id="rId6" w:type="first"/>
          <w:headerReference r:id="rId3" w:type="default"/>
          <w:footerReference r:id="rId4" w:type="default"/>
          <w:footerReference r:id="rId5" w:type="even"/>
          <w:pgSz w:w="11906" w:h="16838"/>
          <w:pgMar w:top="1418" w:right="1134" w:bottom="1418" w:left="1134" w:header="851" w:footer="992" w:gutter="0"/>
          <w:cols w:space="720" w:num="1"/>
          <w:docGrid w:type="lines" w:linePitch="312" w:charSpace="0"/>
        </w:sectPr>
      </w:pPr>
      <w:r>
        <w:rPr>
          <w:rFonts w:hint="eastAsia" w:ascii="宋体" w:hAnsi="宋体" w:cs="宋体"/>
          <w:bCs/>
          <w:caps/>
          <w:color w:val="auto"/>
          <w:highlight w:val="none"/>
        </w:rPr>
        <w:fldChar w:fldCharType="end"/>
      </w:r>
    </w:p>
    <w:p>
      <w:pPr>
        <w:pStyle w:val="5"/>
        <w:spacing w:before="0" w:after="0" w:line="360" w:lineRule="auto"/>
        <w:jc w:val="center"/>
        <w:rPr>
          <w:rFonts w:hint="eastAsia" w:ascii="宋体" w:hAnsi="宋体" w:cs="宋体"/>
          <w:color w:val="auto"/>
          <w:highlight w:val="none"/>
        </w:rPr>
      </w:pPr>
      <w:bookmarkStart w:id="5" w:name="_Toc246996157"/>
      <w:bookmarkStart w:id="6" w:name="_Toc152042287"/>
      <w:bookmarkStart w:id="7" w:name="_Toc247085671"/>
      <w:bookmarkStart w:id="8" w:name="_Toc152045511"/>
      <w:bookmarkStart w:id="9" w:name="_Toc144974479"/>
      <w:bookmarkStart w:id="10" w:name="_Toc507319890"/>
      <w:bookmarkStart w:id="11" w:name="_Toc246996900"/>
      <w:bookmarkStart w:id="12" w:name="_Toc247096243"/>
      <w:bookmarkStart w:id="13" w:name="_Toc179632527"/>
      <w:bookmarkStart w:id="14" w:name="_Toc2000404"/>
      <w:bookmarkStart w:id="15" w:name="_Toc5531"/>
      <w:r>
        <w:rPr>
          <w:rFonts w:hint="eastAsia" w:ascii="宋体" w:hAnsi="宋体" w:cs="宋体"/>
          <w:color w:val="auto"/>
          <w:highlight w:val="none"/>
        </w:rPr>
        <w:t xml:space="preserve">第一章 </w:t>
      </w:r>
      <w:bookmarkEnd w:id="5"/>
      <w:bookmarkEnd w:id="6"/>
      <w:bookmarkEnd w:id="7"/>
      <w:bookmarkEnd w:id="8"/>
      <w:bookmarkEnd w:id="9"/>
      <w:bookmarkEnd w:id="10"/>
      <w:bookmarkEnd w:id="11"/>
      <w:bookmarkEnd w:id="12"/>
      <w:bookmarkEnd w:id="13"/>
      <w:bookmarkEnd w:id="14"/>
      <w:r>
        <w:rPr>
          <w:rFonts w:hint="eastAsia" w:ascii="宋体" w:hAnsi="宋体" w:cs="宋体"/>
          <w:color w:val="auto"/>
          <w:highlight w:val="none"/>
        </w:rPr>
        <w:t>比选公告</w:t>
      </w:r>
      <w:bookmarkEnd w:id="15"/>
    </w:p>
    <w:p>
      <w:pPr>
        <w:spacing w:line="440" w:lineRule="exact"/>
        <w:jc w:val="center"/>
        <w:rPr>
          <w:rFonts w:hint="eastAsia" w:ascii="宋体" w:hAnsi="宋体" w:cs="宋体"/>
          <w:b/>
          <w:color w:val="auto"/>
          <w:sz w:val="28"/>
          <w:szCs w:val="28"/>
          <w:highlight w:val="none"/>
        </w:rPr>
      </w:pPr>
      <w:bookmarkStart w:id="16" w:name="OLE_LINK2"/>
      <w:bookmarkStart w:id="17" w:name="OLE_LINK3"/>
    </w:p>
    <w:p>
      <w:pPr>
        <w:pStyle w:val="6"/>
        <w:spacing w:before="0" w:after="0" w:line="360" w:lineRule="auto"/>
        <w:rPr>
          <w:rFonts w:hint="eastAsia" w:ascii="宋体" w:hAnsi="宋体" w:eastAsia="宋体" w:cs="宋体"/>
          <w:color w:val="auto"/>
          <w:highlight w:val="none"/>
        </w:rPr>
      </w:pPr>
      <w:bookmarkStart w:id="18" w:name="_Toc179632528"/>
      <w:bookmarkStart w:id="19" w:name="_Toc10076"/>
      <w:bookmarkStart w:id="20" w:name="_Toc247085672"/>
      <w:bookmarkStart w:id="21" w:name="_Toc6549"/>
      <w:bookmarkStart w:id="22" w:name="_Toc152042288"/>
      <w:bookmarkStart w:id="23" w:name="_Toc24874"/>
      <w:bookmarkStart w:id="24" w:name="_Toc246996158"/>
      <w:bookmarkStart w:id="25" w:name="_Toc144974480"/>
      <w:bookmarkStart w:id="26" w:name="_Toc11329213"/>
      <w:bookmarkStart w:id="27" w:name="_Toc246996901"/>
      <w:bookmarkStart w:id="28" w:name="_Toc152045512"/>
      <w:bookmarkStart w:id="29" w:name="_Toc507319891"/>
      <w:bookmarkStart w:id="30" w:name="_Toc7525"/>
      <w:r>
        <w:rPr>
          <w:rFonts w:hint="eastAsia" w:ascii="宋体" w:hAnsi="宋体" w:eastAsia="宋体" w:cs="宋体"/>
          <w:color w:val="auto"/>
          <w:highlight w:val="none"/>
        </w:rPr>
        <w:t>1. 比选条件</w:t>
      </w:r>
      <w:bookmarkEnd w:id="18"/>
      <w:bookmarkEnd w:id="19"/>
      <w:bookmarkEnd w:id="20"/>
      <w:bookmarkEnd w:id="21"/>
      <w:bookmarkEnd w:id="22"/>
      <w:bookmarkEnd w:id="23"/>
      <w:bookmarkEnd w:id="24"/>
      <w:bookmarkEnd w:id="25"/>
      <w:bookmarkEnd w:id="26"/>
      <w:bookmarkEnd w:id="27"/>
      <w:bookmarkEnd w:id="28"/>
      <w:bookmarkEnd w:id="29"/>
      <w:bookmarkEnd w:id="30"/>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　　本竞争性比选项目</w:t>
      </w:r>
      <w:r>
        <w:rPr>
          <w:rFonts w:hint="eastAsia" w:ascii="宋体" w:hAnsi="宋体" w:cs="宋体"/>
          <w:color w:val="auto"/>
          <w:szCs w:val="21"/>
          <w:highlight w:val="none"/>
          <w:u w:val="single"/>
          <w:lang w:val="en-US" w:eastAsia="zh-CN"/>
        </w:rPr>
        <w:t>巫溪至开州高速公路项目机电工程工程保险服务</w:t>
      </w:r>
      <w:r>
        <w:rPr>
          <w:rFonts w:hint="eastAsia" w:ascii="宋体" w:hAnsi="宋体" w:cs="宋体"/>
          <w:color w:val="auto"/>
          <w:szCs w:val="21"/>
          <w:highlight w:val="none"/>
        </w:rPr>
        <w:t>，采购人为</w:t>
      </w:r>
      <w:r>
        <w:rPr>
          <w:rFonts w:hint="eastAsia" w:ascii="宋体" w:hAnsi="宋体" w:cs="宋体"/>
          <w:color w:val="auto"/>
          <w:szCs w:val="21"/>
          <w:highlight w:val="none"/>
          <w:u w:val="single"/>
        </w:rPr>
        <w:t xml:space="preserve"> 重庆首讯科技股份有限公司 </w:t>
      </w:r>
      <w:r>
        <w:rPr>
          <w:rFonts w:hint="eastAsia" w:ascii="宋体" w:hAnsi="宋体" w:cs="宋体"/>
          <w:color w:val="auto"/>
          <w:szCs w:val="21"/>
          <w:highlight w:val="none"/>
        </w:rPr>
        <w:t>，该项目已具备比选条件，现对该项目进行竞争性比选。</w:t>
      </w:r>
    </w:p>
    <w:p>
      <w:pPr>
        <w:pStyle w:val="6"/>
        <w:spacing w:before="120" w:after="0" w:line="360" w:lineRule="auto"/>
        <w:rPr>
          <w:rFonts w:hint="eastAsia" w:ascii="宋体" w:hAnsi="宋体" w:eastAsia="宋体" w:cs="宋体"/>
          <w:color w:val="auto"/>
          <w:highlight w:val="none"/>
        </w:rPr>
      </w:pPr>
      <w:bookmarkStart w:id="31" w:name="_Toc18109"/>
      <w:bookmarkStart w:id="32" w:name="_Toc21343"/>
      <w:bookmarkStart w:id="33" w:name="_Toc10952"/>
      <w:bookmarkStart w:id="34" w:name="_Toc23060"/>
      <w:bookmarkStart w:id="35" w:name="_Toc11329214"/>
      <w:bookmarkStart w:id="36" w:name="_Toc507319892"/>
      <w:bookmarkStart w:id="37" w:name="_Toc247085673"/>
      <w:bookmarkStart w:id="38" w:name="_Toc246996159"/>
      <w:bookmarkStart w:id="39" w:name="_Toc246996902"/>
      <w:bookmarkStart w:id="40" w:name="_Toc152042289"/>
      <w:bookmarkStart w:id="41" w:name="_Toc179632529"/>
      <w:bookmarkStart w:id="42" w:name="_Toc152045513"/>
      <w:bookmarkStart w:id="43" w:name="_Toc144974481"/>
      <w:r>
        <w:rPr>
          <w:rFonts w:hint="eastAsia" w:ascii="宋体" w:hAnsi="宋体" w:eastAsia="宋体" w:cs="宋体"/>
          <w:color w:val="auto"/>
          <w:highlight w:val="none"/>
        </w:rPr>
        <w:t>2. 项目概况与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范围</w:t>
      </w:r>
      <w:bookmarkEnd w:id="31"/>
      <w:bookmarkEnd w:id="32"/>
      <w:bookmarkEnd w:id="33"/>
      <w:bookmarkEnd w:id="34"/>
      <w:bookmarkEnd w:id="35"/>
      <w:bookmarkEnd w:id="36"/>
      <w:bookmarkEnd w:id="37"/>
      <w:bookmarkEnd w:id="38"/>
      <w:bookmarkEnd w:id="39"/>
      <w:bookmarkEnd w:id="40"/>
      <w:bookmarkEnd w:id="41"/>
      <w:bookmarkEnd w:id="42"/>
      <w:bookmarkEnd w:id="43"/>
    </w:p>
    <w:p>
      <w:pPr>
        <w:pStyle w:val="15"/>
        <w:adjustRightInd w:val="0"/>
        <w:spacing w:line="400" w:lineRule="exact"/>
        <w:jc w:val="both"/>
        <w:rPr>
          <w:rFonts w:hint="eastAsia" w:ascii="宋体" w:hAnsi="宋体" w:cs="宋体"/>
          <w:color w:val="auto"/>
          <w:sz w:val="21"/>
          <w:szCs w:val="21"/>
          <w:highlight w:val="none"/>
        </w:rPr>
      </w:pPr>
      <w:bookmarkStart w:id="44" w:name="_Toc446247226"/>
      <w:r>
        <w:rPr>
          <w:rFonts w:hint="eastAsia" w:ascii="宋体" w:hAnsi="宋体" w:cs="宋体"/>
          <w:color w:val="auto"/>
          <w:sz w:val="21"/>
          <w:szCs w:val="21"/>
          <w:highlight w:val="none"/>
        </w:rPr>
        <w:t xml:space="preserve">2.1 </w:t>
      </w:r>
      <w:bookmarkEnd w:id="44"/>
      <w:r>
        <w:rPr>
          <w:rFonts w:hint="eastAsia" w:ascii="宋体" w:hAnsi="宋体" w:cs="宋体"/>
          <w:color w:val="auto"/>
          <w:sz w:val="21"/>
          <w:szCs w:val="21"/>
          <w:highlight w:val="none"/>
        </w:rPr>
        <w:t>项目地点：</w:t>
      </w:r>
      <w:r>
        <w:rPr>
          <w:rFonts w:hint="eastAsia" w:ascii="宋体" w:hAnsi="宋体" w:cs="宋体"/>
          <w:sz w:val="21"/>
          <w:szCs w:val="21"/>
          <w:highlight w:val="none"/>
          <w:u w:val="single"/>
          <w:lang w:val="en-US" w:eastAsia="zh-CN"/>
        </w:rPr>
        <w:t>重庆市巫溪县、云阳县、开州区境内</w:t>
      </w:r>
      <w:r>
        <w:rPr>
          <w:rFonts w:hint="eastAsia" w:ascii="宋体" w:hAnsi="宋体" w:cs="宋体"/>
          <w:sz w:val="21"/>
          <w:szCs w:val="21"/>
          <w:highlight w:val="none"/>
          <w:lang w:eastAsia="zh-CN"/>
        </w:rPr>
        <w:t>。</w:t>
      </w:r>
    </w:p>
    <w:p>
      <w:pPr>
        <w:pStyle w:val="15"/>
        <w:adjustRightInd w:val="0"/>
        <w:spacing w:line="400" w:lineRule="exact"/>
        <w:rPr>
          <w:rFonts w:hint="eastAsia" w:ascii="宋体" w:hAnsi="宋体" w:cs="宋体"/>
          <w:sz w:val="21"/>
          <w:szCs w:val="21"/>
          <w:highlight w:val="none"/>
        </w:rPr>
      </w:pPr>
      <w:r>
        <w:rPr>
          <w:rFonts w:hint="eastAsia" w:ascii="宋体" w:hAnsi="宋体" w:cs="宋体"/>
          <w:b w:val="0"/>
          <w:bCs w:val="0"/>
          <w:color w:val="auto"/>
          <w:sz w:val="21"/>
          <w:szCs w:val="21"/>
          <w:highlight w:val="none"/>
        </w:rPr>
        <w:t>2.</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kern w:val="2"/>
          <w:sz w:val="21"/>
          <w:szCs w:val="21"/>
          <w:highlight w:val="none"/>
          <w:lang w:val="en-US" w:eastAsia="zh-CN" w:bidi="ar-SA"/>
        </w:rPr>
        <w:t xml:space="preserve"> </w:t>
      </w:r>
      <w:r>
        <w:rPr>
          <w:rFonts w:hint="eastAsia" w:ascii="宋体" w:hAnsi="宋体" w:cs="宋体"/>
          <w:color w:val="auto"/>
          <w:sz w:val="21"/>
          <w:szCs w:val="21"/>
          <w:highlight w:val="none"/>
        </w:rPr>
        <w:t>项目概况</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rPr>
        <w:t>本项目巫溪至开州高速公路位于渝东北区域中部，是同 G42 沪蓉高速公路相平行的一条地方公路，起点与 G6911 安康至来凤国家高速公路（奉节至巫溪段）相接，由巫溪县南部区域，途径凤凰、菱角、塘坊、文峰、朝阳至云阳界，再经沙市、鱼泉、江口、双龙至开州界，再经金峰至厚坝，即为本项目终点，与 G69 银川至百色国家高速公路（城口至开州段）设置枢纽互通式立交，实现路网功能转换。本项目巫溪至开州高速公路全线长约 118.608km</w:t>
      </w:r>
      <w:r>
        <w:rPr>
          <w:rFonts w:hint="eastAsia" w:ascii="宋体" w:hAnsi="宋体" w:cs="宋体"/>
          <w:color w:val="auto"/>
          <w:sz w:val="21"/>
          <w:szCs w:val="21"/>
          <w:highlight w:val="none"/>
          <w:lang w:eastAsia="zh-CN"/>
        </w:rPr>
        <w:t>。</w:t>
      </w:r>
      <w:r>
        <w:rPr>
          <w:rFonts w:hint="eastAsia" w:ascii="宋体" w:hAnsi="宋体"/>
          <w:sz w:val="21"/>
          <w:szCs w:val="21"/>
          <w:highlight w:val="none"/>
        </w:rPr>
        <w:t>本项目预计开工时间为2024年3月，预计通车时间为2024年12月</w:t>
      </w:r>
      <w:r>
        <w:rPr>
          <w:rFonts w:hint="eastAsia" w:ascii="宋体" w:hAnsi="宋体"/>
          <w:sz w:val="21"/>
          <w:szCs w:val="21"/>
          <w:highlight w:val="none"/>
          <w:lang w:eastAsia="zh-CN"/>
        </w:rPr>
        <w:t>，</w:t>
      </w:r>
      <w:r>
        <w:rPr>
          <w:rFonts w:hint="eastAsia" w:ascii="宋体" w:hAnsi="宋体"/>
          <w:sz w:val="21"/>
          <w:szCs w:val="21"/>
          <w:highlight w:val="none"/>
        </w:rPr>
        <w:t>具体以项目实际进度为准。</w:t>
      </w:r>
    </w:p>
    <w:p>
      <w:pPr>
        <w:spacing w:line="400" w:lineRule="exact"/>
        <w:ind w:firstLine="420" w:firstLineChars="200"/>
        <w:rPr>
          <w:rFonts w:hint="default" w:ascii="宋体" w:hAnsi="宋体" w:eastAsia="宋体" w:cs="宋体"/>
          <w:b w:val="0"/>
          <w:bCs w:val="0"/>
          <w:caps w:val="0"/>
          <w:color w:val="auto"/>
          <w:kern w:val="2"/>
          <w:sz w:val="21"/>
          <w:szCs w:val="24"/>
          <w:highlight w:val="none"/>
          <w:lang w:val="en-US" w:eastAsia="zh-CN" w:bidi="ar-SA"/>
        </w:rPr>
      </w:pPr>
      <w:r>
        <w:rPr>
          <w:rFonts w:hint="eastAsia" w:ascii="宋体" w:hAnsi="宋体" w:cs="宋体"/>
          <w:b w:val="0"/>
          <w:bCs w:val="0"/>
          <w:color w:val="auto"/>
          <w:kern w:val="2"/>
          <w:sz w:val="21"/>
          <w:szCs w:val="24"/>
          <w:highlight w:val="none"/>
          <w:lang w:val="en-US" w:eastAsia="zh-CN" w:bidi="ar-SA"/>
        </w:rPr>
        <w:t xml:space="preserve">2.3 </w:t>
      </w:r>
      <w:r>
        <w:rPr>
          <w:rFonts w:hint="eastAsia" w:ascii="宋体" w:hAnsi="宋体" w:cs="宋体"/>
          <w:highlight w:val="none"/>
        </w:rPr>
        <w:t>比选范围：</w:t>
      </w:r>
      <w:r>
        <w:rPr>
          <w:rFonts w:hint="eastAsia" w:ascii="宋体" w:hAnsi="宋体" w:cs="宋体"/>
          <w:color w:val="auto"/>
          <w:szCs w:val="21"/>
          <w:highlight w:val="none"/>
          <w:u w:val="single"/>
          <w:lang w:val="en-US" w:eastAsia="zh-CN"/>
        </w:rPr>
        <w:t>（1）建筑、安装工程一切险及第三者责任险；（2）建筑、安装工程团体人身意外伤害险，以及对所有事故（含超出保险额度或未投保险种的案件）进行出险、定损、谈判、诉讼、仲裁、保险法律条款提供咨询等相关服务。</w:t>
      </w:r>
    </w:p>
    <w:p>
      <w:pPr>
        <w:adjustRightInd w:val="0"/>
        <w:snapToGrid w:val="0"/>
        <w:spacing w:line="360" w:lineRule="auto"/>
        <w:ind w:firstLine="420" w:firstLineChars="200"/>
        <w:jc w:val="left"/>
        <w:rPr>
          <w:rFonts w:hint="eastAsia" w:ascii="宋体" w:hAnsi="宋体"/>
          <w:highlight w:val="none"/>
        </w:rPr>
      </w:pPr>
      <w:r>
        <w:rPr>
          <w:rFonts w:hint="eastAsia" w:ascii="宋体" w:hAnsi="宋体" w:cs="宋体"/>
          <w:b w:val="0"/>
          <w:bCs w:val="0"/>
          <w:color w:val="auto"/>
          <w:kern w:val="2"/>
          <w:sz w:val="21"/>
          <w:szCs w:val="24"/>
          <w:highlight w:val="none"/>
          <w:lang w:val="en-US" w:eastAsia="zh-CN" w:bidi="ar-SA"/>
        </w:rPr>
        <w:t>2.4 保险期限：</w:t>
      </w:r>
      <w:r>
        <w:rPr>
          <w:rFonts w:hint="eastAsia" w:ascii="宋体" w:hAnsi="宋体"/>
          <w:szCs w:val="21"/>
          <w:highlight w:val="none"/>
        </w:rPr>
        <w:t>建筑、安装工程一切险及第三者责任险期限</w:t>
      </w:r>
      <w:r>
        <w:rPr>
          <w:rFonts w:hint="eastAsia" w:ascii="宋体" w:hAnsi="宋体"/>
          <w:highlight w:val="none"/>
          <w:lang w:val="en-US" w:eastAsia="zh-CN"/>
        </w:rPr>
        <w:t>为</w:t>
      </w:r>
      <w:r>
        <w:rPr>
          <w:rFonts w:hint="eastAsia" w:ascii="宋体" w:hAnsi="宋体"/>
          <w:highlight w:val="none"/>
        </w:rPr>
        <w:t>项目开工日起直至项目交工验收合格直至附加缺陷责任期止。附加缺陷保证期：自交工验收合格之日起24个月。保险期限预计为（</w:t>
      </w:r>
      <w:r>
        <w:rPr>
          <w:rFonts w:hint="eastAsia" w:ascii="宋体" w:hAnsi="宋体"/>
          <w:highlight w:val="none"/>
          <w:lang w:val="en-US" w:eastAsia="zh-CN"/>
        </w:rPr>
        <w:t>10</w:t>
      </w:r>
      <w:r>
        <w:rPr>
          <w:rFonts w:hint="eastAsia" w:ascii="宋体" w:hAnsi="宋体"/>
          <w:highlight w:val="none"/>
        </w:rPr>
        <w:t>+24</w:t>
      </w:r>
      <w:r>
        <w:rPr>
          <w:rFonts w:hint="eastAsia" w:ascii="宋体" w:hAnsi="宋体"/>
          <w:highlight w:val="none"/>
          <w:lang w:eastAsia="zh-CN"/>
        </w:rPr>
        <w:t>）</w:t>
      </w:r>
      <w:r>
        <w:rPr>
          <w:rFonts w:hint="eastAsia" w:ascii="宋体" w:hAnsi="宋体"/>
          <w:highlight w:val="none"/>
        </w:rPr>
        <w:t>个月</w:t>
      </w:r>
      <w:r>
        <w:rPr>
          <w:rFonts w:hint="eastAsia" w:ascii="宋体" w:hAnsi="宋体"/>
          <w:highlight w:val="none"/>
          <w:lang w:eastAsia="zh-CN"/>
        </w:rPr>
        <w:t>，</w:t>
      </w:r>
      <w:r>
        <w:rPr>
          <w:rFonts w:hint="eastAsia" w:ascii="宋体" w:hAnsi="宋体"/>
          <w:highlight w:val="none"/>
        </w:rPr>
        <w:t>如工程延期则附加缺陷责任期的起始日期相应顺延。</w:t>
      </w:r>
    </w:p>
    <w:p>
      <w:pPr>
        <w:spacing w:line="400" w:lineRule="exact"/>
        <w:ind w:firstLine="420" w:firstLineChars="200"/>
        <w:rPr>
          <w:rFonts w:hint="default" w:ascii="宋体" w:hAnsi="宋体" w:cs="宋体"/>
          <w:b w:val="0"/>
          <w:bCs w:val="0"/>
          <w:color w:val="auto"/>
          <w:kern w:val="2"/>
          <w:sz w:val="21"/>
          <w:szCs w:val="24"/>
          <w:highlight w:val="none"/>
          <w:lang w:val="en-US" w:eastAsia="zh-CN" w:bidi="ar-SA"/>
        </w:rPr>
      </w:pPr>
      <w:r>
        <w:rPr>
          <w:rFonts w:hint="eastAsia" w:ascii="宋体" w:hAnsi="宋体"/>
          <w:szCs w:val="21"/>
          <w:highlight w:val="none"/>
          <w:lang w:eastAsia="zh-CN"/>
        </w:rPr>
        <w:t>建筑、安装工程团体人身意外伤害险</w:t>
      </w:r>
      <w:r>
        <w:rPr>
          <w:rFonts w:hint="eastAsia" w:ascii="宋体" w:hAnsi="宋体"/>
          <w:szCs w:val="21"/>
          <w:highlight w:val="none"/>
        </w:rPr>
        <w:t>保险期限预计为10个月</w:t>
      </w:r>
      <w:r>
        <w:rPr>
          <w:rFonts w:hint="eastAsia" w:ascii="宋体" w:hAnsi="宋体"/>
          <w:highlight w:val="none"/>
        </w:rPr>
        <w:t>。</w:t>
      </w:r>
    </w:p>
    <w:p>
      <w:pPr>
        <w:spacing w:line="400" w:lineRule="exact"/>
        <w:ind w:firstLine="420" w:firstLineChars="200"/>
        <w:rPr>
          <w:rFonts w:hint="eastAsia" w:ascii="宋体" w:hAnsi="宋体" w:cs="宋体"/>
          <w:color w:val="auto"/>
          <w:szCs w:val="21"/>
          <w:highlight w:val="none"/>
          <w:lang w:val="en-US" w:eastAsia="zh-CN"/>
        </w:rPr>
      </w:pPr>
      <w:r>
        <w:rPr>
          <w:rFonts w:hint="eastAsia" w:ascii="宋体" w:hAnsi="宋体" w:cs="宋体"/>
          <w:b w:val="0"/>
          <w:bCs w:val="0"/>
          <w:color w:val="auto"/>
          <w:kern w:val="2"/>
          <w:sz w:val="21"/>
          <w:szCs w:val="24"/>
          <w:highlight w:val="none"/>
          <w:lang w:val="en-US" w:eastAsia="zh-CN" w:bidi="ar-SA"/>
        </w:rPr>
        <w:t>2.5 标段划分：</w:t>
      </w:r>
      <w:r>
        <w:rPr>
          <w:rFonts w:hint="eastAsia" w:ascii="宋体" w:hAnsi="宋体" w:cs="宋体"/>
          <w:color w:val="auto"/>
          <w:szCs w:val="21"/>
          <w:highlight w:val="none"/>
          <w:lang w:val="en-US" w:eastAsia="zh-CN"/>
        </w:rPr>
        <w:t>1个合同段。</w:t>
      </w:r>
    </w:p>
    <w:p>
      <w:pPr>
        <w:spacing w:line="400" w:lineRule="exact"/>
        <w:ind w:firstLine="420" w:firstLineChars="200"/>
        <w:rPr>
          <w:rFonts w:hint="default" w:ascii="宋体" w:hAnsi="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2.6 采购规模：1598028.35元。</w:t>
      </w:r>
    </w:p>
    <w:p>
      <w:pPr>
        <w:pStyle w:val="6"/>
        <w:spacing w:before="120" w:after="0" w:line="360" w:lineRule="auto"/>
        <w:rPr>
          <w:rFonts w:hint="eastAsia" w:ascii="宋体" w:hAnsi="宋体" w:eastAsia="宋体" w:cs="宋体"/>
          <w:color w:val="auto"/>
          <w:highlight w:val="none"/>
        </w:rPr>
      </w:pPr>
      <w:bookmarkStart w:id="45" w:name="_Toc7065"/>
      <w:bookmarkStart w:id="46" w:name="_Toc30356"/>
      <w:bookmarkStart w:id="47" w:name="_Toc152042290"/>
      <w:bookmarkStart w:id="48" w:name="_Toc144974482"/>
      <w:bookmarkStart w:id="49" w:name="_Toc246996160"/>
      <w:bookmarkStart w:id="50" w:name="_Toc152045514"/>
      <w:bookmarkStart w:id="51" w:name="_Toc179632530"/>
      <w:bookmarkStart w:id="52" w:name="_Toc507319893"/>
      <w:bookmarkStart w:id="53" w:name="_Toc247085674"/>
      <w:bookmarkStart w:id="54" w:name="_Toc23184"/>
      <w:bookmarkStart w:id="55" w:name="_Toc246996903"/>
      <w:bookmarkStart w:id="56" w:name="_Toc11329215"/>
      <w:bookmarkStart w:id="57" w:name="_Toc10171"/>
      <w:r>
        <w:rPr>
          <w:rFonts w:hint="eastAsia" w:ascii="宋体" w:hAnsi="宋体" w:eastAsia="宋体" w:cs="宋体"/>
          <w:color w:val="auto"/>
          <w:highlight w:val="none"/>
        </w:rPr>
        <w:t>3. 报价人资格要求</w:t>
      </w:r>
      <w:bookmarkEnd w:id="45"/>
      <w:bookmarkEnd w:id="46"/>
      <w:bookmarkEnd w:id="47"/>
      <w:bookmarkEnd w:id="48"/>
      <w:bookmarkEnd w:id="49"/>
      <w:bookmarkEnd w:id="50"/>
      <w:bookmarkEnd w:id="51"/>
      <w:bookmarkEnd w:id="52"/>
      <w:bookmarkEnd w:id="53"/>
      <w:bookmarkEnd w:id="54"/>
      <w:bookmarkEnd w:id="55"/>
      <w:bookmarkEnd w:id="56"/>
      <w:bookmarkEnd w:id="57"/>
    </w:p>
    <w:p>
      <w:pPr>
        <w:spacing w:line="400" w:lineRule="exact"/>
        <w:ind w:firstLine="420" w:firstLineChars="200"/>
        <w:rPr>
          <w:rFonts w:hint="eastAsia" w:ascii="宋体" w:hAnsi="宋体" w:cs="宋体"/>
          <w:color w:val="auto"/>
          <w:szCs w:val="21"/>
          <w:highlight w:val="none"/>
          <w:shd w:val="clear" w:color="auto" w:fill="FFFFFF"/>
          <w:lang w:val="en-US" w:eastAsia="zh-CN"/>
        </w:rPr>
      </w:pPr>
      <w:bookmarkStart w:id="58" w:name="_Toc246996161"/>
      <w:bookmarkStart w:id="59" w:name="_Toc179632531"/>
      <w:bookmarkStart w:id="60" w:name="_Toc152042291"/>
      <w:bookmarkStart w:id="61" w:name="_Toc247085675"/>
      <w:bookmarkStart w:id="62" w:name="_Toc144974483"/>
      <w:bookmarkStart w:id="63" w:name="_Toc246996904"/>
      <w:bookmarkStart w:id="64" w:name="_Toc152045515"/>
      <w:r>
        <w:rPr>
          <w:rFonts w:hint="eastAsia" w:ascii="宋体" w:hAnsi="宋体" w:cs="宋体"/>
          <w:color w:val="auto"/>
          <w:szCs w:val="21"/>
          <w:highlight w:val="none"/>
          <w:shd w:val="clear" w:color="auto" w:fill="FFFFFF"/>
        </w:rPr>
        <w:t xml:space="preserve">3.1 </w:t>
      </w:r>
      <w:r>
        <w:rPr>
          <w:rFonts w:hint="eastAsia" w:ascii="宋体" w:hAnsi="宋体" w:cs="宋体"/>
          <w:color w:val="auto"/>
          <w:szCs w:val="21"/>
          <w:highlight w:val="none"/>
          <w:shd w:val="clear" w:color="auto" w:fill="FFFFFF"/>
          <w:lang w:val="en-US" w:eastAsia="zh-CN"/>
        </w:rPr>
        <w:t>资质要求：</w:t>
      </w:r>
    </w:p>
    <w:p>
      <w:pPr>
        <w:spacing w:line="400" w:lineRule="exact"/>
        <w:ind w:firstLine="420" w:firstLineChars="200"/>
        <w:rPr>
          <w:rFonts w:hint="eastAsia" w:ascii="宋体" w:hAnsi="宋体" w:cs="宋体"/>
          <w:color w:val="auto"/>
          <w:szCs w:val="21"/>
          <w:highlight w:val="none"/>
          <w:shd w:val="clear" w:color="auto" w:fill="FFFFFF"/>
          <w:lang w:val="en-US" w:eastAsia="zh-CN"/>
        </w:rPr>
      </w:pPr>
      <w:r>
        <w:rPr>
          <w:rFonts w:hint="eastAsia" w:ascii="宋体" w:hAnsi="宋体" w:cs="宋体"/>
          <w:color w:val="auto"/>
          <w:szCs w:val="21"/>
          <w:highlight w:val="none"/>
          <w:shd w:val="clear" w:color="auto" w:fill="FFFFFF"/>
          <w:lang w:val="en-US" w:eastAsia="zh-CN"/>
        </w:rPr>
        <w:t>（1）报价人必须在中华人民共和国境内注册、经中国银行保险监督管理委员会批准开展财产保险业务，注册资本金不低于20亿元人民币。本次招标只接受保险公司的总公司（独立法人公司）或者经总公司唯一授权的本项目所在地省级（或直辖市）分公司参与投标。</w:t>
      </w:r>
    </w:p>
    <w:p>
      <w:pPr>
        <w:spacing w:line="400" w:lineRule="exact"/>
        <w:ind w:firstLine="420" w:firstLineChars="200"/>
        <w:rPr>
          <w:rFonts w:hint="eastAsia" w:ascii="宋体" w:hAnsi="宋体" w:cs="宋体"/>
          <w:color w:val="auto"/>
          <w:szCs w:val="21"/>
          <w:highlight w:val="none"/>
          <w:shd w:val="clear" w:color="auto" w:fill="FFFFFF"/>
          <w:lang w:val="en-US" w:eastAsia="zh-CN"/>
        </w:rPr>
      </w:pPr>
      <w:r>
        <w:rPr>
          <w:rFonts w:hint="eastAsia" w:ascii="宋体" w:hAnsi="宋体" w:cs="宋体"/>
          <w:color w:val="auto"/>
          <w:szCs w:val="21"/>
          <w:highlight w:val="none"/>
          <w:shd w:val="clear" w:color="auto" w:fill="FFFFFF"/>
          <w:lang w:val="en-US" w:eastAsia="zh-CN"/>
        </w:rPr>
        <w:t>（2）报价人总公司综合偿付能力充足率不得低于150%，核心偿付能力充足率不低于100%，以经2022年度审计确认的偿付能力为准。</w:t>
      </w:r>
    </w:p>
    <w:p>
      <w:pPr>
        <w:spacing w:line="400" w:lineRule="exact"/>
        <w:ind w:firstLine="420" w:firstLineChars="200"/>
        <w:rPr>
          <w:rFonts w:hint="eastAsia" w:ascii="宋体" w:hAnsi="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3.2 业绩要求:2021年1月1日至报价截止日期（以合同签订时间为准），报价人至少具有1个单项工程投保额不少于1亿元的工程项目的建筑/安装工程一切险及第三者责任险保险项目（独立承保或首席承保或共保）的保险服务业绩。</w:t>
      </w:r>
    </w:p>
    <w:p>
      <w:pPr>
        <w:spacing w:line="400" w:lineRule="exact"/>
        <w:ind w:firstLine="420" w:firstLineChars="200"/>
        <w:rPr>
          <w:rFonts w:hint="eastAsia" w:ascii="宋体" w:hAnsi="宋体" w:cs="宋体"/>
          <w:szCs w:val="21"/>
          <w:highlight w:val="none"/>
          <w:shd w:val="clear" w:color="auto" w:fill="FFFFFF"/>
        </w:rPr>
      </w:pPr>
      <w:r>
        <w:rPr>
          <w:rFonts w:hint="default" w:ascii="宋体" w:hAnsi="宋体" w:cs="宋体"/>
          <w:szCs w:val="21"/>
          <w:highlight w:val="none"/>
          <w:shd w:val="clear" w:color="auto" w:fill="FFFFFF"/>
          <w:lang w:val="en-US" w:eastAsia="zh-CN"/>
        </w:rPr>
        <w:t>3.</w:t>
      </w:r>
      <w:r>
        <w:rPr>
          <w:rFonts w:hint="eastAsia" w:ascii="宋体" w:hAnsi="宋体" w:cs="宋体"/>
          <w:szCs w:val="21"/>
          <w:highlight w:val="none"/>
          <w:shd w:val="clear" w:color="auto" w:fill="FFFFFF"/>
          <w:lang w:val="en-US" w:eastAsia="zh-CN"/>
        </w:rPr>
        <w:t>3信誉要求：报价人在国家企业信用信息公示系统（http://www.gsxt.gov.cn/）中未被列入严重违法失信企业名单（黑名单）信息；在“信用中国”网站（http://www.creditchina.gov.cn/）中未被列入失信惩戒执行人名单。报价人没有处于被责令停业、相关资格被注销、投标资格被暂停或取消、财产被接管、冻结、破产状态；2021年1月1日起至投标截止日止在项目所在地未被中国银保监会、重庆银保监局因工程类保险服务受到行政处罚，或因报价人原因而使任何合同被解除；具有依法缴纳税金和社会保障基金的良好记录；无不良诉讼记录。</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kern w:val="2"/>
          <w:sz w:val="21"/>
          <w:szCs w:val="21"/>
          <w:highlight w:val="none"/>
          <w:shd w:val="clear" w:fill="FFFFFF"/>
        </w:rPr>
      </w:pPr>
      <w:r>
        <w:rPr>
          <w:rFonts w:hint="eastAsia" w:ascii="宋体" w:hAnsi="宋体" w:eastAsia="宋体" w:cs="宋体"/>
          <w:kern w:val="2"/>
          <w:sz w:val="21"/>
          <w:szCs w:val="21"/>
          <w:highlight w:val="none"/>
          <w:shd w:val="clear" w:fill="FFFFFF"/>
          <w:lang w:val="en-US" w:eastAsia="zh-CN" w:bidi="ar"/>
        </w:rPr>
        <w:t>3.</w:t>
      </w:r>
      <w:r>
        <w:rPr>
          <w:rFonts w:hint="eastAsia" w:ascii="宋体" w:hAnsi="宋体" w:cs="宋体"/>
          <w:kern w:val="2"/>
          <w:sz w:val="21"/>
          <w:szCs w:val="21"/>
          <w:highlight w:val="none"/>
          <w:shd w:val="clear" w:fill="FFFFFF"/>
          <w:lang w:val="en-US" w:eastAsia="zh-CN" w:bidi="ar"/>
        </w:rPr>
        <w:t>4</w:t>
      </w:r>
      <w:r>
        <w:rPr>
          <w:rFonts w:hint="eastAsia" w:ascii="宋体" w:hAnsi="宋体" w:eastAsia="宋体" w:cs="宋体"/>
          <w:kern w:val="2"/>
          <w:sz w:val="21"/>
          <w:szCs w:val="21"/>
          <w:highlight w:val="none"/>
          <w:shd w:val="clear" w:fill="FFFFFF"/>
          <w:lang w:val="en-US" w:eastAsia="zh-CN" w:bidi="ar"/>
        </w:rPr>
        <w:t xml:space="preserve"> 报价人须提供采购人要求的所有资质要求、业绩要求、信誉要求的复印件并加盖单位公章。</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kern w:val="2"/>
          <w:sz w:val="21"/>
          <w:szCs w:val="21"/>
          <w:highlight w:val="none"/>
          <w:shd w:val="clear" w:fill="FFFFFF"/>
        </w:rPr>
      </w:pPr>
      <w:r>
        <w:rPr>
          <w:rFonts w:hint="eastAsia" w:ascii="宋体" w:hAnsi="宋体" w:eastAsia="宋体" w:cs="宋体"/>
          <w:kern w:val="2"/>
          <w:sz w:val="21"/>
          <w:szCs w:val="21"/>
          <w:highlight w:val="none"/>
          <w:shd w:val="clear" w:fill="FFFFFF"/>
          <w:lang w:val="en-US" w:eastAsia="zh-CN" w:bidi="ar"/>
        </w:rPr>
        <w:t>3.</w:t>
      </w:r>
      <w:r>
        <w:rPr>
          <w:rFonts w:hint="eastAsia" w:ascii="宋体" w:hAnsi="宋体" w:cs="宋体"/>
          <w:kern w:val="2"/>
          <w:sz w:val="21"/>
          <w:szCs w:val="21"/>
          <w:highlight w:val="none"/>
          <w:shd w:val="clear" w:fill="FFFFFF"/>
          <w:lang w:val="en-US" w:eastAsia="zh-CN" w:bidi="ar"/>
        </w:rPr>
        <w:t>5</w:t>
      </w:r>
      <w:r>
        <w:rPr>
          <w:rFonts w:hint="eastAsia" w:ascii="宋体" w:hAnsi="宋体" w:eastAsia="宋体" w:cs="宋体"/>
          <w:kern w:val="2"/>
          <w:sz w:val="21"/>
          <w:szCs w:val="21"/>
          <w:highlight w:val="none"/>
          <w:shd w:val="clear" w:fill="FFFFFF"/>
          <w:lang w:val="en-US" w:eastAsia="zh-CN" w:bidi="ar"/>
        </w:rPr>
        <w:t xml:space="preserve"> 本次比选不接受联合体报价。</w:t>
      </w:r>
    </w:p>
    <w:p>
      <w:pPr>
        <w:keepNext w:val="0"/>
        <w:keepLines w:val="0"/>
        <w:widowControl w:val="0"/>
        <w:suppressLineNumbers w:val="0"/>
        <w:spacing w:before="0" w:beforeAutospacing="0" w:after="0" w:afterAutospacing="0" w:line="400" w:lineRule="exact"/>
        <w:ind w:left="0" w:right="0" w:firstLine="420" w:firstLineChars="200"/>
        <w:jc w:val="both"/>
        <w:rPr>
          <w:rFonts w:hint="eastAsia" w:ascii="宋体" w:hAnsi="宋体" w:eastAsia="宋体" w:cs="宋体"/>
          <w:kern w:val="2"/>
          <w:sz w:val="21"/>
          <w:szCs w:val="21"/>
          <w:highlight w:val="none"/>
          <w:shd w:val="clear" w:fill="FFFFFF"/>
        </w:rPr>
      </w:pPr>
      <w:r>
        <w:rPr>
          <w:rFonts w:hint="eastAsia" w:ascii="宋体" w:hAnsi="宋体" w:eastAsia="宋体" w:cs="宋体"/>
          <w:kern w:val="2"/>
          <w:sz w:val="21"/>
          <w:szCs w:val="21"/>
          <w:highlight w:val="none"/>
          <w:shd w:val="clear" w:fill="FFFFFF"/>
          <w:lang w:val="en-US" w:eastAsia="zh-CN" w:bidi="ar"/>
        </w:rPr>
        <w:t>3.</w:t>
      </w:r>
      <w:r>
        <w:rPr>
          <w:rFonts w:hint="eastAsia" w:ascii="宋体" w:hAnsi="宋体" w:cs="宋体"/>
          <w:kern w:val="2"/>
          <w:sz w:val="21"/>
          <w:szCs w:val="21"/>
          <w:highlight w:val="none"/>
          <w:shd w:val="clear" w:fill="FFFFFF"/>
          <w:lang w:val="en-US" w:eastAsia="zh-CN" w:bidi="ar"/>
        </w:rPr>
        <w:t>6</w:t>
      </w:r>
      <w:r>
        <w:rPr>
          <w:rFonts w:hint="eastAsia" w:ascii="宋体" w:hAnsi="宋体" w:eastAsia="宋体" w:cs="宋体"/>
          <w:kern w:val="2"/>
          <w:sz w:val="21"/>
          <w:szCs w:val="21"/>
          <w:highlight w:val="none"/>
          <w:shd w:val="clear" w:fill="FFFFFF"/>
          <w:lang w:val="en-US" w:eastAsia="zh-CN" w:bidi="ar"/>
        </w:rPr>
        <w:t xml:space="preserve"> 单位负责人为同一人或者存在控股、管理关系的不同单位，不得同时参加本项目报价，否则均按无效报价处理。</w:t>
      </w:r>
    </w:p>
    <w:p>
      <w:pPr>
        <w:pStyle w:val="6"/>
        <w:spacing w:before="120" w:after="0" w:line="400" w:lineRule="exact"/>
        <w:rPr>
          <w:rFonts w:hint="eastAsia" w:ascii="宋体" w:hAnsi="宋体" w:eastAsia="宋体" w:cs="宋体"/>
          <w:highlight w:val="none"/>
          <w:lang w:val="en-US" w:eastAsia="zh-CN"/>
        </w:rPr>
      </w:pPr>
      <w:bookmarkStart w:id="65" w:name="_Toc14361"/>
      <w:bookmarkStart w:id="66" w:name="_Toc23921"/>
      <w:bookmarkStart w:id="67" w:name="_Toc12460"/>
      <w:bookmarkStart w:id="68" w:name="_Toc25619"/>
      <w:bookmarkStart w:id="69" w:name="_Toc507319894"/>
      <w:bookmarkStart w:id="70" w:name="_Toc11329216"/>
      <w:r>
        <w:rPr>
          <w:rFonts w:hint="eastAsia" w:ascii="宋体" w:hAnsi="宋体" w:eastAsia="宋体" w:cs="宋体"/>
          <w:highlight w:val="none"/>
        </w:rPr>
        <w:t xml:space="preserve">4. </w:t>
      </w:r>
      <w:r>
        <w:rPr>
          <w:rFonts w:hint="eastAsia" w:ascii="宋体" w:hAnsi="宋体" w:eastAsia="宋体" w:cs="宋体"/>
          <w:highlight w:val="none"/>
          <w:lang w:val="en-US" w:eastAsia="zh-CN"/>
        </w:rPr>
        <w:t>评标办法</w:t>
      </w:r>
    </w:p>
    <w:p>
      <w:pPr>
        <w:spacing w:line="400" w:lineRule="exact"/>
        <w:ind w:firstLine="420" w:firstLineChars="200"/>
        <w:rPr>
          <w:rFonts w:ascii="宋体" w:hAnsi="宋体" w:cs="宋体"/>
          <w:szCs w:val="21"/>
          <w:highlight w:val="none"/>
          <w:shd w:val="clear" w:color="auto" w:fill="FFFFFF"/>
        </w:rPr>
      </w:pPr>
      <w:r>
        <w:rPr>
          <w:rFonts w:hint="eastAsia" w:ascii="宋体" w:hAnsi="宋体" w:cs="宋体"/>
          <w:szCs w:val="21"/>
          <w:highlight w:val="none"/>
          <w:shd w:val="clear" w:color="auto" w:fill="FFFFFF"/>
          <w:lang w:val="en-US" w:eastAsia="zh-CN"/>
        </w:rPr>
        <w:t>综合评估法</w:t>
      </w:r>
      <w:r>
        <w:rPr>
          <w:rFonts w:hint="eastAsia" w:ascii="宋体" w:hAnsi="宋体" w:cs="宋体"/>
          <w:szCs w:val="21"/>
          <w:highlight w:val="none"/>
          <w:shd w:val="clear" w:color="auto" w:fill="FFFFFF"/>
        </w:rPr>
        <w:t>。</w:t>
      </w:r>
    </w:p>
    <w:p>
      <w:pPr>
        <w:pStyle w:val="6"/>
        <w:spacing w:before="120" w:after="0"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比选文件的获取</w:t>
      </w:r>
      <w:bookmarkEnd w:id="58"/>
      <w:bookmarkEnd w:id="59"/>
      <w:bookmarkEnd w:id="60"/>
      <w:bookmarkEnd w:id="61"/>
      <w:bookmarkEnd w:id="62"/>
      <w:bookmarkEnd w:id="63"/>
      <w:bookmarkEnd w:id="64"/>
      <w:bookmarkEnd w:id="65"/>
      <w:bookmarkEnd w:id="66"/>
      <w:bookmarkEnd w:id="67"/>
      <w:bookmarkEnd w:id="68"/>
      <w:bookmarkEnd w:id="69"/>
      <w:bookmarkEnd w:id="70"/>
    </w:p>
    <w:p>
      <w:pPr>
        <w:spacing w:line="360" w:lineRule="auto"/>
        <w:ind w:firstLine="420" w:firstLineChars="200"/>
        <w:rPr>
          <w:rFonts w:hint="eastAsia" w:ascii="宋体" w:hAnsi="宋体"/>
          <w:color w:val="auto"/>
          <w:szCs w:val="21"/>
          <w:highlight w:val="none"/>
        </w:rPr>
      </w:pPr>
      <w:bookmarkStart w:id="71" w:name="_Toc247085676"/>
      <w:bookmarkStart w:id="72" w:name="_Toc152042292"/>
      <w:bookmarkStart w:id="73" w:name="_Toc144974484"/>
      <w:bookmarkStart w:id="74" w:name="_Toc179632532"/>
      <w:bookmarkStart w:id="75" w:name="_Toc507319895"/>
      <w:bookmarkStart w:id="76" w:name="_Toc246996162"/>
      <w:bookmarkStart w:id="77" w:name="_Toc11329217"/>
      <w:bookmarkStart w:id="78" w:name="_Toc152045516"/>
      <w:bookmarkStart w:id="79" w:name="_Toc246996905"/>
      <w:r>
        <w:rPr>
          <w:rFonts w:hint="eastAsia" w:ascii="宋体" w:hAnsi="宋体"/>
          <w:color w:val="auto"/>
          <w:szCs w:val="21"/>
          <w:highlight w:val="none"/>
        </w:rPr>
        <w:t>凡愿意参加的潜在报价人，在</w:t>
      </w:r>
      <w:r>
        <w:rPr>
          <w:rFonts w:hint="eastAsia" w:ascii="宋体" w:hAnsi="宋体"/>
          <w:color w:val="auto"/>
          <w:szCs w:val="21"/>
          <w:highlight w:val="none"/>
          <w:lang w:val="en-US" w:eastAsia="zh-CN"/>
        </w:rPr>
        <w:t>开标截止日</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4</w:t>
      </w:r>
      <w:r>
        <w:rPr>
          <w:rFonts w:hint="eastAsia" w:ascii="宋体" w:hAnsi="宋体"/>
          <w:color w:val="auto"/>
          <w:szCs w:val="21"/>
          <w:highlight w:val="none"/>
        </w:rPr>
        <w:t>年</w:t>
      </w:r>
      <w:r>
        <w:rPr>
          <w:rFonts w:hint="eastAsia" w:ascii="宋体" w:hAnsi="宋体"/>
          <w:color w:val="auto"/>
          <w:szCs w:val="21"/>
          <w:highlight w:val="none"/>
          <w:u w:val="single"/>
          <w:lang w:val="en-US" w:eastAsia="zh-CN"/>
        </w:rPr>
        <w:t>3</w:t>
      </w:r>
      <w:r>
        <w:rPr>
          <w:rFonts w:hint="eastAsia" w:ascii="宋体" w:hAnsi="宋体"/>
          <w:color w:val="auto"/>
          <w:szCs w:val="21"/>
          <w:highlight w:val="none"/>
        </w:rPr>
        <w:t>月</w:t>
      </w:r>
      <w:r>
        <w:rPr>
          <w:rFonts w:hint="eastAsia" w:ascii="宋体" w:hAnsi="宋体"/>
          <w:color w:val="auto"/>
          <w:szCs w:val="21"/>
          <w:highlight w:val="none"/>
          <w:u w:val="single"/>
          <w:lang w:val="en-US" w:eastAsia="zh-CN"/>
        </w:rPr>
        <w:t>19</w:t>
      </w:r>
      <w:r>
        <w:rPr>
          <w:rFonts w:hint="eastAsia" w:ascii="宋体" w:hAnsi="宋体"/>
          <w:color w:val="auto"/>
          <w:szCs w:val="21"/>
          <w:highlight w:val="none"/>
        </w:rPr>
        <w:t>日</w:t>
      </w:r>
      <w:r>
        <w:rPr>
          <w:rFonts w:hint="eastAsia" w:ascii="宋体" w:hAnsi="宋体"/>
          <w:color w:val="auto"/>
          <w:szCs w:val="21"/>
          <w:highlight w:val="none"/>
          <w:lang w:val="en-US" w:eastAsia="zh-CN"/>
        </w:rPr>
        <w:t>上</w:t>
      </w:r>
      <w:r>
        <w:rPr>
          <w:rFonts w:hint="eastAsia" w:ascii="宋体" w:hAnsi="宋体"/>
          <w:color w:val="auto"/>
          <w:szCs w:val="21"/>
          <w:highlight w:val="none"/>
        </w:rPr>
        <w:t>午</w:t>
      </w:r>
      <w:r>
        <w:rPr>
          <w:rFonts w:hint="eastAsia" w:ascii="宋体" w:hAnsi="宋体"/>
          <w:color w:val="auto"/>
          <w:szCs w:val="21"/>
          <w:highlight w:val="none"/>
          <w:lang w:val="en-US" w:eastAsia="zh-CN"/>
        </w:rPr>
        <w:t>10</w:t>
      </w:r>
      <w:r>
        <w:rPr>
          <w:rFonts w:hint="eastAsia" w:ascii="宋体" w:hAnsi="宋体"/>
          <w:color w:val="auto"/>
          <w:szCs w:val="21"/>
          <w:highlight w:val="none"/>
        </w:rPr>
        <w:t>:00前，在重庆高速集团官网（https://www.cegc.com.cn/html/col1810480.html）直接下载获取比选文件等开标前的有关资料。各报价人应随时关注网上发布的竞争性比选文件答疑、补遗、澄清等文件内容，不管报价人是否下载，均视为已知晓竞争性比选文件的全部内容和有关事宜。</w:t>
      </w:r>
    </w:p>
    <w:p>
      <w:pPr>
        <w:pStyle w:val="6"/>
        <w:spacing w:before="120" w:after="0" w:line="400" w:lineRule="exact"/>
        <w:rPr>
          <w:rFonts w:hint="eastAsia" w:ascii="宋体" w:hAnsi="宋体" w:eastAsia="宋体" w:cs="宋体"/>
          <w:color w:val="auto"/>
          <w:highlight w:val="none"/>
        </w:rPr>
      </w:pPr>
      <w:bookmarkStart w:id="80" w:name="_Toc16686"/>
      <w:bookmarkStart w:id="81" w:name="_Toc31493"/>
      <w:bookmarkStart w:id="82" w:name="_Toc4096"/>
      <w:bookmarkStart w:id="83" w:name="_Toc9131"/>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竞争性比选响应文件的递交</w:t>
      </w:r>
      <w:bookmarkEnd w:id="71"/>
      <w:bookmarkEnd w:id="72"/>
      <w:bookmarkEnd w:id="73"/>
      <w:bookmarkEnd w:id="74"/>
      <w:bookmarkEnd w:id="75"/>
      <w:bookmarkEnd w:id="76"/>
      <w:bookmarkEnd w:id="77"/>
      <w:bookmarkEnd w:id="78"/>
      <w:bookmarkEnd w:id="79"/>
      <w:r>
        <w:rPr>
          <w:rFonts w:hint="eastAsia" w:ascii="宋体" w:hAnsi="宋体" w:eastAsia="宋体" w:cs="宋体"/>
          <w:color w:val="auto"/>
          <w:highlight w:val="none"/>
        </w:rPr>
        <w:t>及相关事宜</w:t>
      </w:r>
      <w:bookmarkEnd w:id="80"/>
      <w:bookmarkEnd w:id="81"/>
      <w:bookmarkEnd w:id="82"/>
      <w:bookmarkEnd w:id="83"/>
    </w:p>
    <w:p>
      <w:pPr>
        <w:tabs>
          <w:tab w:val="left" w:pos="360"/>
        </w:tabs>
        <w:spacing w:line="400" w:lineRule="exact"/>
        <w:ind w:firstLine="420" w:firstLineChars="200"/>
        <w:rPr>
          <w:rFonts w:hint="eastAsia" w:ascii="宋体" w:hAnsi="宋体" w:cs="宋体"/>
          <w:color w:val="auto"/>
          <w:szCs w:val="21"/>
          <w:highlight w:val="none"/>
        </w:rPr>
      </w:pPr>
      <w:bookmarkStart w:id="84" w:name="_Toc144974485"/>
      <w:bookmarkStart w:id="85" w:name="_Toc393"/>
      <w:bookmarkStart w:id="86" w:name="_Toc18402"/>
      <w:bookmarkStart w:id="87" w:name="_Toc11820"/>
      <w:bookmarkStart w:id="88" w:name="_Toc11329219"/>
      <w:bookmarkStart w:id="89" w:name="_Toc246996907"/>
      <w:bookmarkStart w:id="90" w:name="_Toc152045517"/>
      <w:bookmarkStart w:id="91" w:name="_Toc507319897"/>
      <w:bookmarkStart w:id="92" w:name="_Toc152042293"/>
      <w:bookmarkStart w:id="93" w:name="_Toc21615"/>
      <w:bookmarkStart w:id="94" w:name="_Toc179632534"/>
      <w:bookmarkStart w:id="95" w:name="_Toc246996164"/>
      <w:bookmarkStart w:id="96" w:name="_Toc247085678"/>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.1报价截止时间和开标时间：</w:t>
      </w:r>
      <w:r>
        <w:rPr>
          <w:rFonts w:hint="eastAsia" w:ascii="宋体" w:hAnsi="宋体" w:cs="Times New Roman"/>
          <w:color w:val="auto"/>
          <w:szCs w:val="21"/>
          <w:highlight w:val="none"/>
          <w:u w:val="single"/>
        </w:rPr>
        <w:t>20</w:t>
      </w:r>
      <w:r>
        <w:rPr>
          <w:rFonts w:hint="eastAsia" w:ascii="宋体" w:hAnsi="宋体" w:cs="Times New Roman"/>
          <w:color w:val="auto"/>
          <w:szCs w:val="21"/>
          <w:highlight w:val="none"/>
          <w:u w:val="single"/>
          <w:lang w:val="en-US" w:eastAsia="zh-CN"/>
        </w:rPr>
        <w:t>24</w:t>
      </w:r>
      <w:r>
        <w:rPr>
          <w:rFonts w:hint="eastAsia" w:ascii="宋体" w:hAnsi="宋体" w:cs="Times New Roman"/>
          <w:color w:val="auto"/>
          <w:szCs w:val="21"/>
          <w:highlight w:val="none"/>
        </w:rPr>
        <w:t>年</w:t>
      </w:r>
      <w:r>
        <w:rPr>
          <w:rFonts w:hint="eastAsia" w:ascii="宋体" w:hAnsi="宋体" w:cs="Times New Roman"/>
          <w:color w:val="auto"/>
          <w:szCs w:val="21"/>
          <w:highlight w:val="none"/>
          <w:u w:val="single"/>
          <w:lang w:val="en-US" w:eastAsia="zh-CN"/>
        </w:rPr>
        <w:t>3</w:t>
      </w:r>
      <w:r>
        <w:rPr>
          <w:rFonts w:hint="eastAsia" w:ascii="宋体" w:hAnsi="宋体" w:cs="Times New Roman"/>
          <w:color w:val="auto"/>
          <w:szCs w:val="21"/>
          <w:highlight w:val="none"/>
        </w:rPr>
        <w:t>月</w:t>
      </w:r>
      <w:r>
        <w:rPr>
          <w:rFonts w:hint="eastAsia" w:ascii="宋体" w:hAnsi="宋体" w:cs="Times New Roman"/>
          <w:color w:val="auto"/>
          <w:szCs w:val="21"/>
          <w:highlight w:val="none"/>
          <w:u w:val="single"/>
          <w:lang w:val="en-US" w:eastAsia="zh-CN"/>
        </w:rPr>
        <w:t>19</w:t>
      </w:r>
      <w:r>
        <w:rPr>
          <w:rFonts w:hint="eastAsia" w:ascii="宋体" w:hAnsi="宋体" w:cs="Times New Roman"/>
          <w:color w:val="auto"/>
          <w:szCs w:val="21"/>
          <w:highlight w:val="none"/>
        </w:rPr>
        <w:t>日</w:t>
      </w:r>
      <w:r>
        <w:rPr>
          <w:rFonts w:hint="eastAsia" w:ascii="宋体" w:hAnsi="宋体" w:cs="Times New Roman"/>
          <w:color w:val="auto"/>
          <w:szCs w:val="21"/>
          <w:highlight w:val="none"/>
          <w:lang w:val="en-US" w:eastAsia="zh-CN"/>
        </w:rPr>
        <w:t>上午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分（北京时间）。</w:t>
      </w:r>
    </w:p>
    <w:p>
      <w:pPr>
        <w:tabs>
          <w:tab w:val="left" w:pos="360"/>
        </w:tabs>
        <w:spacing w:line="40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.2 报价的递交方式：</w:t>
      </w:r>
      <w:r>
        <w:rPr>
          <w:rFonts w:hint="eastAsia" w:ascii="宋体" w:hAnsi="宋体" w:eastAsia="宋体" w:cs="Times New Roman"/>
          <w:b w:val="0"/>
          <w:bCs w:val="0"/>
          <w:kern w:val="2"/>
          <w:sz w:val="21"/>
          <w:szCs w:val="21"/>
          <w:highlight w:val="none"/>
          <w:lang w:val="en-US" w:eastAsia="zh-CN" w:bidi="ar-SA"/>
        </w:rPr>
        <w:t>现场递交或邮寄，若采用现场递交方式须在报价截止当天将文件送达并参与现场开标；若采用邮寄方式需在报价截止时间之前将响应文件邮寄到达递交地址，并按要求进行密封，否则采购人有权拒收，采用邮寄方式的报价人默认认可采购人的开标结果，不得由此提出任何质疑。</w:t>
      </w:r>
    </w:p>
    <w:p>
      <w:pPr>
        <w:tabs>
          <w:tab w:val="left" w:pos="360"/>
        </w:tabs>
        <w:spacing w:line="40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.3 递交地址：重庆市渝北区新南路52号东界龙湖一楼重庆首讯科技股份有限公司。</w:t>
      </w:r>
    </w:p>
    <w:p>
      <w:pPr>
        <w:tabs>
          <w:tab w:val="left" w:pos="360"/>
        </w:tabs>
        <w:spacing w:line="40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.4 逾期送达，或未送达指定地点，或未密封的竞争性比选响应文件，采购人不予受理。</w:t>
      </w:r>
    </w:p>
    <w:p>
      <w:pPr>
        <w:tabs>
          <w:tab w:val="left" w:pos="360"/>
        </w:tabs>
        <w:spacing w:line="400" w:lineRule="exact"/>
        <w:ind w:firstLine="420" w:firstLineChars="200"/>
        <w:rPr>
          <w:rFonts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.5</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采购人不组织现场踏勘，不召开报价预备会。</w:t>
      </w:r>
    </w:p>
    <w:p>
      <w:pPr>
        <w:pStyle w:val="6"/>
        <w:spacing w:before="120" w:after="0" w:line="400" w:lineRule="exact"/>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 联系方式</w:t>
      </w:r>
      <w:bookmarkEnd w:id="84"/>
      <w:bookmarkEnd w:id="85"/>
      <w:bookmarkEnd w:id="86"/>
      <w:bookmarkEnd w:id="87"/>
      <w:bookmarkEnd w:id="88"/>
      <w:bookmarkEnd w:id="89"/>
      <w:bookmarkEnd w:id="90"/>
      <w:bookmarkEnd w:id="91"/>
      <w:bookmarkEnd w:id="92"/>
      <w:bookmarkEnd w:id="93"/>
      <w:bookmarkEnd w:id="94"/>
      <w:bookmarkEnd w:id="95"/>
      <w:bookmarkEnd w:id="96"/>
    </w:p>
    <w:tbl>
      <w:tblPr>
        <w:tblStyle w:val="45"/>
        <w:tblW w:w="9628" w:type="dxa"/>
        <w:tblInd w:w="0" w:type="dxa"/>
        <w:tblLayout w:type="fixed"/>
        <w:tblCellMar>
          <w:top w:w="0" w:type="dxa"/>
          <w:left w:w="108" w:type="dxa"/>
          <w:bottom w:w="0" w:type="dxa"/>
          <w:right w:w="108" w:type="dxa"/>
        </w:tblCellMar>
      </w:tblPr>
      <w:tblGrid>
        <w:gridCol w:w="8213"/>
        <w:gridCol w:w="1415"/>
      </w:tblGrid>
      <w:tr>
        <w:tblPrEx>
          <w:tblCellMar>
            <w:top w:w="0" w:type="dxa"/>
            <w:left w:w="108" w:type="dxa"/>
            <w:bottom w:w="0" w:type="dxa"/>
            <w:right w:w="108" w:type="dxa"/>
          </w:tblCellMar>
        </w:tblPrEx>
        <w:trPr>
          <w:trHeight w:val="470" w:hRule="atLeast"/>
        </w:trPr>
        <w:tc>
          <w:tcPr>
            <w:tcW w:w="8213" w:type="dxa"/>
            <w:vAlign w:val="center"/>
          </w:tcPr>
          <w:p>
            <w:pPr>
              <w:pStyle w:val="104"/>
              <w:spacing w:before="0" w:beforeAutospacing="0" w:after="0" w:afterAutospacing="0" w:line="400" w:lineRule="exact"/>
              <w:ind w:firstLine="420" w:firstLineChars="200"/>
              <w:jc w:val="both"/>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采购人：重庆首讯科技股份有限公司</w:t>
            </w:r>
          </w:p>
        </w:tc>
        <w:tc>
          <w:tcPr>
            <w:tcW w:w="1415" w:type="dxa"/>
            <w:vAlign w:val="center"/>
          </w:tcPr>
          <w:p>
            <w:pPr>
              <w:pStyle w:val="104"/>
              <w:spacing w:before="0" w:beforeAutospacing="0" w:after="0" w:afterAutospacing="0" w:line="400" w:lineRule="exact"/>
              <w:ind w:firstLine="420" w:firstLineChars="200"/>
              <w:jc w:val="both"/>
              <w:rPr>
                <w:rFonts w:hint="eastAsia" w:ascii="宋体" w:hAnsi="宋体" w:cs="宋体"/>
                <w:color w:val="auto"/>
                <w:kern w:val="2"/>
                <w:sz w:val="21"/>
                <w:szCs w:val="21"/>
                <w:highlight w:val="none"/>
              </w:rPr>
            </w:pPr>
          </w:p>
        </w:tc>
      </w:tr>
      <w:tr>
        <w:tblPrEx>
          <w:tblCellMar>
            <w:top w:w="0" w:type="dxa"/>
            <w:left w:w="108" w:type="dxa"/>
            <w:bottom w:w="0" w:type="dxa"/>
            <w:right w:w="108" w:type="dxa"/>
          </w:tblCellMar>
        </w:tblPrEx>
        <w:trPr>
          <w:trHeight w:val="461" w:hRule="atLeast"/>
        </w:trPr>
        <w:tc>
          <w:tcPr>
            <w:tcW w:w="8213" w:type="dxa"/>
            <w:vAlign w:val="center"/>
          </w:tcPr>
          <w:p>
            <w:pPr>
              <w:topLinePunct/>
              <w:spacing w:line="400" w:lineRule="exact"/>
              <w:ind w:left="1050" w:leftChars="200" w:hanging="630" w:hangingChars="300"/>
              <w:rPr>
                <w:rFonts w:hint="eastAsia"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lang w:val="en-US" w:eastAsia="zh-CN"/>
              </w:rPr>
              <w:t>重庆市渝北区新南路52号东界龙湖一楼</w:t>
            </w:r>
          </w:p>
        </w:tc>
        <w:tc>
          <w:tcPr>
            <w:tcW w:w="1415" w:type="dxa"/>
            <w:vAlign w:val="center"/>
          </w:tcPr>
          <w:p>
            <w:pPr>
              <w:spacing w:line="400" w:lineRule="exact"/>
              <w:ind w:firstLine="420" w:firstLineChars="20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70" w:hRule="atLeast"/>
        </w:trPr>
        <w:tc>
          <w:tcPr>
            <w:tcW w:w="8213" w:type="dxa"/>
            <w:vAlign w:val="center"/>
          </w:tcPr>
          <w:p>
            <w:pPr>
              <w:topLinePunct/>
              <w:spacing w:line="400" w:lineRule="exact"/>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 xml:space="preserve">王老师  </w:t>
            </w:r>
            <w:r>
              <w:rPr>
                <w:rFonts w:hint="eastAsia" w:ascii="宋体" w:hAnsi="宋体" w:cs="宋体"/>
                <w:color w:val="auto"/>
                <w:szCs w:val="21"/>
                <w:highlight w:val="none"/>
              </w:rPr>
              <w:t>电 话：</w:t>
            </w:r>
            <w:r>
              <w:rPr>
                <w:rFonts w:hint="eastAsia" w:ascii="宋体" w:hAnsi="宋体" w:cs="宋体"/>
                <w:color w:val="auto"/>
                <w:szCs w:val="21"/>
                <w:highlight w:val="none"/>
                <w:lang w:val="en-US" w:eastAsia="zh-CN"/>
              </w:rPr>
              <w:t>18623328012</w:t>
            </w:r>
          </w:p>
        </w:tc>
        <w:tc>
          <w:tcPr>
            <w:tcW w:w="1415" w:type="dxa"/>
            <w:vAlign w:val="center"/>
          </w:tcPr>
          <w:p>
            <w:pPr>
              <w:spacing w:line="400" w:lineRule="exact"/>
              <w:ind w:firstLine="420" w:firstLineChars="200"/>
              <w:rPr>
                <w:rFonts w:hint="eastAsia" w:ascii="宋体" w:hAnsi="宋体" w:cs="宋体"/>
                <w:color w:val="auto"/>
                <w:szCs w:val="21"/>
                <w:highlight w:val="none"/>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20" w:lineRule="exact"/>
              <w:ind w:firstLine="420" w:firstLineChars="200"/>
              <w:rPr>
                <w:rFonts w:hint="default"/>
                <w:color w:val="auto"/>
                <w:highlight w:val="none"/>
                <w:lang w:val="en-US"/>
              </w:rPr>
            </w:pPr>
            <w:r>
              <w:rPr>
                <w:rFonts w:hint="eastAsia" w:ascii="宋体" w:hAnsi="宋体" w:cs="宋体"/>
                <w:color w:val="auto"/>
                <w:szCs w:val="21"/>
                <w:highlight w:val="none"/>
                <w:lang w:val="en-US" w:eastAsia="zh-CN"/>
              </w:rPr>
              <w:t>商务</w:t>
            </w: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 xml:space="preserve">蒋老师  </w:t>
            </w:r>
            <w:r>
              <w:rPr>
                <w:rFonts w:hint="eastAsia" w:ascii="宋体" w:hAnsi="宋体" w:cs="宋体"/>
                <w:color w:val="auto"/>
                <w:szCs w:val="21"/>
                <w:highlight w:val="none"/>
              </w:rPr>
              <w:t>电 话：</w:t>
            </w:r>
            <w:r>
              <w:rPr>
                <w:rFonts w:hint="eastAsia" w:ascii="宋体" w:hAnsi="宋体" w:cs="宋体"/>
                <w:color w:val="auto"/>
                <w:szCs w:val="21"/>
                <w:highlight w:val="none"/>
                <w:lang w:val="en-US" w:eastAsia="zh-CN"/>
              </w:rPr>
              <w:t>18523055172</w:t>
            </w:r>
          </w:p>
        </w:tc>
        <w:tc>
          <w:tcPr>
            <w:tcW w:w="1415" w:type="dxa"/>
            <w:vAlign w:val="center"/>
          </w:tcPr>
          <w:p>
            <w:pPr>
              <w:spacing w:line="400" w:lineRule="exact"/>
              <w:ind w:firstLine="420" w:firstLineChars="200"/>
              <w:rPr>
                <w:rFonts w:hint="eastAsia" w:ascii="宋体" w:hAnsi="宋体" w:cs="宋体"/>
                <w:color w:val="auto"/>
                <w:szCs w:val="21"/>
                <w:highlight w:val="none"/>
              </w:rPr>
            </w:pPr>
          </w:p>
        </w:tc>
      </w:tr>
    </w:tbl>
    <w:p>
      <w:pPr>
        <w:rPr>
          <w:color w:val="auto"/>
          <w:highlight w:val="none"/>
        </w:rPr>
      </w:pPr>
    </w:p>
    <w:p>
      <w:pPr>
        <w:pStyle w:val="29"/>
        <w:rPr>
          <w:color w:val="auto"/>
          <w:highlight w:val="none"/>
        </w:rPr>
      </w:pPr>
    </w:p>
    <w:p>
      <w:pPr>
        <w:rPr>
          <w:color w:val="auto"/>
          <w:highlight w:val="none"/>
        </w:rPr>
      </w:pPr>
    </w:p>
    <w:p>
      <w:pPr>
        <w:pStyle w:val="29"/>
        <w:rPr>
          <w:color w:val="auto"/>
          <w:highlight w:val="none"/>
        </w:rPr>
      </w:pPr>
    </w:p>
    <w:p>
      <w:pPr>
        <w:pStyle w:val="29"/>
        <w:rPr>
          <w:color w:val="auto"/>
          <w:highlight w:val="none"/>
        </w:rPr>
      </w:pPr>
    </w:p>
    <w:bookmarkEnd w:id="16"/>
    <w:bookmarkEnd w:id="17"/>
    <w:p>
      <w:pPr>
        <w:pStyle w:val="5"/>
        <w:spacing w:before="0" w:after="0" w:line="360" w:lineRule="auto"/>
        <w:jc w:val="center"/>
        <w:rPr>
          <w:rFonts w:hint="eastAsia" w:ascii="宋体" w:hAnsi="宋体" w:cs="宋体"/>
          <w:color w:val="auto"/>
          <w:highlight w:val="none"/>
        </w:rPr>
      </w:pPr>
      <w:bookmarkStart w:id="97" w:name="_Toc152042303"/>
      <w:bookmarkStart w:id="98" w:name="_Toc144974495"/>
      <w:bookmarkStart w:id="99" w:name="_Toc179632544"/>
      <w:bookmarkStart w:id="100" w:name="_Toc246996916"/>
      <w:bookmarkStart w:id="101" w:name="_Toc2000405"/>
      <w:bookmarkStart w:id="102" w:name="_Toc152045527"/>
      <w:bookmarkStart w:id="103" w:name="_Toc246996173"/>
      <w:bookmarkStart w:id="104" w:name="_Toc247085687"/>
      <w:bookmarkStart w:id="105" w:name="_Toc507319898"/>
      <w:r>
        <w:rPr>
          <w:rFonts w:hint="eastAsia" w:ascii="宋体" w:hAnsi="宋体" w:cs="宋体"/>
          <w:color w:val="auto"/>
          <w:highlight w:val="none"/>
        </w:rPr>
        <w:br w:type="page"/>
      </w:r>
      <w:bookmarkStart w:id="106" w:name="_Toc15316"/>
      <w:r>
        <w:rPr>
          <w:rFonts w:hint="eastAsia" w:ascii="宋体" w:hAnsi="宋体" w:cs="宋体"/>
          <w:color w:val="auto"/>
          <w:highlight w:val="none"/>
        </w:rPr>
        <w:t>第二章 报价人须知</w:t>
      </w:r>
      <w:bookmarkEnd w:id="97"/>
      <w:bookmarkEnd w:id="98"/>
      <w:bookmarkEnd w:id="99"/>
      <w:bookmarkEnd w:id="100"/>
      <w:bookmarkEnd w:id="101"/>
      <w:bookmarkEnd w:id="102"/>
      <w:bookmarkEnd w:id="103"/>
      <w:bookmarkEnd w:id="104"/>
      <w:bookmarkEnd w:id="105"/>
      <w:bookmarkEnd w:id="106"/>
    </w:p>
    <w:p>
      <w:pPr>
        <w:rPr>
          <w:rFonts w:hint="eastAsia"/>
          <w:color w:val="auto"/>
          <w:highlight w:val="none"/>
        </w:rPr>
      </w:pPr>
    </w:p>
    <w:tbl>
      <w:tblPr>
        <w:tblStyle w:val="45"/>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106"/>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blHeader/>
          <w:jc w:val="center"/>
        </w:trPr>
        <w:tc>
          <w:tcPr>
            <w:tcW w:w="697" w:type="dxa"/>
            <w:vAlign w:val="center"/>
          </w:tcPr>
          <w:p>
            <w:pPr>
              <w:spacing w:line="400" w:lineRule="exact"/>
              <w:jc w:val="center"/>
              <w:rPr>
                <w:rFonts w:hint="eastAsia" w:ascii="宋体" w:hAnsi="宋体" w:cs="宋体"/>
                <w:b/>
                <w:color w:val="auto"/>
                <w:kern w:val="0"/>
                <w:szCs w:val="21"/>
                <w:highlight w:val="none"/>
              </w:rPr>
            </w:pPr>
            <w:bookmarkStart w:id="107" w:name="_Toc326760840"/>
            <w:r>
              <w:rPr>
                <w:rFonts w:hint="eastAsia" w:ascii="宋体" w:hAnsi="宋体" w:cs="宋体"/>
                <w:b/>
                <w:color w:val="auto"/>
                <w:kern w:val="0"/>
                <w:szCs w:val="21"/>
                <w:highlight w:val="none"/>
                <w:lang w:val="en-US" w:eastAsia="zh-CN"/>
              </w:rPr>
              <w:t>序</w:t>
            </w:r>
            <w:r>
              <w:rPr>
                <w:rFonts w:hint="eastAsia" w:ascii="宋体" w:hAnsi="宋体" w:cs="宋体"/>
                <w:b/>
                <w:color w:val="auto"/>
                <w:kern w:val="0"/>
                <w:szCs w:val="21"/>
                <w:highlight w:val="none"/>
              </w:rPr>
              <w:t>号</w:t>
            </w:r>
          </w:p>
        </w:tc>
        <w:tc>
          <w:tcPr>
            <w:tcW w:w="2106" w:type="dxa"/>
            <w:vAlign w:val="center"/>
          </w:tcPr>
          <w:p>
            <w:pPr>
              <w:spacing w:line="4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条款名称</w:t>
            </w:r>
          </w:p>
        </w:tc>
        <w:tc>
          <w:tcPr>
            <w:tcW w:w="7104" w:type="dxa"/>
            <w:vAlign w:val="center"/>
          </w:tcPr>
          <w:p>
            <w:pPr>
              <w:spacing w:line="400" w:lineRule="exact"/>
              <w:ind w:firstLine="422" w:firstLineChars="200"/>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1</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cs="宋体"/>
                <w:color w:val="auto"/>
                <w:kern w:val="0"/>
                <w:szCs w:val="21"/>
                <w:highlight w:val="none"/>
              </w:rPr>
            </w:pPr>
            <w:r>
              <w:rPr>
                <w:rFonts w:hint="eastAsia" w:ascii="宋体" w:hAnsi="宋体" w:cs="宋体"/>
                <w:szCs w:val="21"/>
                <w:highlight w:val="none"/>
                <w:shd w:val="clear" w:color="auto" w:fill="FFFFFF"/>
              </w:rPr>
              <w:t>采购人</w:t>
            </w:r>
          </w:p>
        </w:tc>
        <w:tc>
          <w:tcPr>
            <w:tcW w:w="7104" w:type="dxa"/>
            <w:vAlign w:val="center"/>
          </w:tcPr>
          <w:p>
            <w:pPr>
              <w:keepNext w:val="0"/>
              <w:keepLines w:val="0"/>
              <w:suppressLineNumbers w:val="0"/>
              <w:spacing w:before="0" w:beforeAutospacing="0" w:after="0" w:afterAutospacing="0"/>
              <w:ind w:left="420" w:right="0"/>
              <w:rPr>
                <w:rFonts w:hint="default" w:ascii="宋体" w:hAnsi="宋体" w:cs="宋体"/>
                <w:szCs w:val="21"/>
                <w:highlight w:val="none"/>
                <w:shd w:val="clear" w:color="auto" w:fill="FFFFFF"/>
              </w:rPr>
            </w:pPr>
            <w:r>
              <w:rPr>
                <w:rFonts w:hint="eastAsia" w:ascii="宋体" w:hAnsi="宋体" w:cs="宋体"/>
                <w:szCs w:val="21"/>
                <w:highlight w:val="none"/>
                <w:shd w:val="clear" w:color="auto" w:fill="FFFFFF"/>
              </w:rPr>
              <w:t>采购人：重庆首讯科技股份有限公司</w:t>
            </w:r>
          </w:p>
          <w:p>
            <w:pPr>
              <w:keepNext w:val="0"/>
              <w:keepLines w:val="0"/>
              <w:suppressLineNumbers w:val="0"/>
              <w:spacing w:before="0" w:beforeAutospacing="0" w:after="0" w:afterAutospacing="0"/>
              <w:ind w:left="420" w:right="0"/>
              <w:rPr>
                <w:rFonts w:hint="default" w:ascii="宋体" w:hAnsi="宋体" w:cs="宋体"/>
                <w:szCs w:val="21"/>
                <w:highlight w:val="none"/>
                <w:shd w:val="clear" w:color="auto" w:fill="FFFFFF"/>
              </w:rPr>
            </w:pPr>
            <w:r>
              <w:rPr>
                <w:rFonts w:hint="eastAsia" w:ascii="宋体" w:hAnsi="宋体" w:cs="宋体"/>
                <w:szCs w:val="21"/>
                <w:highlight w:val="none"/>
                <w:shd w:val="clear" w:color="auto" w:fill="FFFFFF"/>
              </w:rPr>
              <w:t>地  址：重庆市渝北区龙溪街道新南路52号</w:t>
            </w:r>
            <w:r>
              <w:rPr>
                <w:rFonts w:hint="eastAsia" w:ascii="宋体" w:hAnsi="宋体" w:cs="宋体"/>
                <w:szCs w:val="21"/>
                <w:highlight w:val="none"/>
              </w:rPr>
              <w:t>东界龙湖三楼</w:t>
            </w:r>
          </w:p>
          <w:p>
            <w:pPr>
              <w:keepNext w:val="0"/>
              <w:keepLines w:val="0"/>
              <w:suppressLineNumbers w:val="0"/>
              <w:spacing w:before="0" w:beforeAutospacing="0" w:after="0" w:afterAutospacing="0"/>
              <w:ind w:left="420" w:right="0"/>
              <w:rPr>
                <w:rFonts w:hint="default" w:ascii="宋体" w:hAnsi="宋体" w:cs="宋体"/>
                <w:szCs w:val="21"/>
                <w:highlight w:val="none"/>
                <w:shd w:val="clear" w:color="auto" w:fill="FFFFFF"/>
              </w:rPr>
            </w:pPr>
            <w:r>
              <w:rPr>
                <w:rFonts w:hint="eastAsia" w:ascii="宋体" w:hAnsi="宋体" w:cs="宋体"/>
                <w:szCs w:val="21"/>
                <w:highlight w:val="none"/>
                <w:shd w:val="clear" w:color="auto" w:fill="FFFFFF"/>
              </w:rPr>
              <w:t>联系人：</w:t>
            </w:r>
            <w:r>
              <w:rPr>
                <w:rFonts w:hint="eastAsia" w:ascii="宋体" w:hAnsi="宋体" w:cs="宋体"/>
                <w:szCs w:val="21"/>
                <w:highlight w:val="none"/>
                <w:shd w:val="clear" w:color="auto" w:fill="FFFFFF"/>
                <w:lang w:val="en-US" w:eastAsia="zh-CN"/>
              </w:rPr>
              <w:t>蒋</w:t>
            </w:r>
            <w:r>
              <w:rPr>
                <w:rFonts w:hint="eastAsia" w:ascii="宋体" w:hAnsi="宋体" w:cs="宋体"/>
                <w:szCs w:val="21"/>
                <w:highlight w:val="none"/>
                <w:shd w:val="clear" w:color="auto" w:fill="FFFFFF"/>
              </w:rPr>
              <w:t>老师</w:t>
            </w:r>
          </w:p>
          <w:p>
            <w:pPr>
              <w:keepNext w:val="0"/>
              <w:keepLines w:val="0"/>
              <w:suppressLineNumbers w:val="0"/>
              <w:spacing w:before="0" w:beforeAutospacing="0" w:after="0" w:afterAutospacing="0"/>
              <w:ind w:left="420" w:leftChars="0" w:right="0" w:rightChars="0"/>
              <w:rPr>
                <w:rFonts w:hint="default"/>
                <w:color w:val="auto"/>
                <w:highlight w:val="none"/>
                <w:lang w:val="en-US"/>
              </w:rPr>
            </w:pPr>
            <w:r>
              <w:rPr>
                <w:rFonts w:hint="eastAsia" w:ascii="宋体" w:hAnsi="宋体" w:cs="宋体"/>
                <w:szCs w:val="21"/>
                <w:highlight w:val="none"/>
                <w:shd w:val="clear" w:color="auto" w:fill="FFFFFF"/>
              </w:rPr>
              <w:t>电  话：</w:t>
            </w:r>
            <w:r>
              <w:rPr>
                <w:rFonts w:hint="eastAsia" w:ascii="宋体" w:hAnsi="宋体" w:cs="宋体"/>
                <w:szCs w:val="21"/>
                <w:highlight w:val="none"/>
                <w:lang w:val="en-US" w:eastAsia="zh-CN"/>
              </w:rPr>
              <w:t>18523055172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cs="宋体"/>
                <w:color w:val="auto"/>
                <w:kern w:val="0"/>
                <w:szCs w:val="21"/>
                <w:highlight w:val="none"/>
                <w:lang w:val="en-US" w:eastAsia="zh-CN"/>
              </w:rPr>
            </w:pPr>
            <w:r>
              <w:rPr>
                <w:rFonts w:hint="eastAsia" w:ascii="宋体" w:hAnsi="宋体" w:cs="宋体"/>
                <w:kern w:val="0"/>
                <w:szCs w:val="21"/>
                <w:highlight w:val="none"/>
              </w:rPr>
              <w:t>2</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cs="宋体"/>
                <w:szCs w:val="21"/>
                <w:highlight w:val="none"/>
                <w:shd w:val="clear" w:color="auto" w:fill="FFFFFF"/>
              </w:rPr>
            </w:pPr>
            <w:r>
              <w:rPr>
                <w:rFonts w:hint="eastAsia" w:ascii="宋体" w:hAnsi="宋体" w:cs="宋体"/>
                <w:szCs w:val="21"/>
                <w:highlight w:val="none"/>
                <w:shd w:val="clear" w:color="auto" w:fill="FFFFFF"/>
              </w:rPr>
              <w:t>项目名称</w:t>
            </w:r>
          </w:p>
        </w:tc>
        <w:tc>
          <w:tcPr>
            <w:tcW w:w="7104" w:type="dxa"/>
            <w:vAlign w:val="center"/>
          </w:tcPr>
          <w:p>
            <w:pPr>
              <w:keepNext w:val="0"/>
              <w:keepLines w:val="0"/>
              <w:suppressLineNumbers w:val="0"/>
              <w:spacing w:before="0" w:beforeAutospacing="0" w:after="0" w:afterAutospacing="0" w:line="400" w:lineRule="exact"/>
              <w:ind w:left="0" w:leftChars="0" w:right="0" w:rightChars="0" w:firstLine="420" w:firstLineChars="200"/>
              <w:rPr>
                <w:rFonts w:hint="eastAsia" w:ascii="宋体" w:hAnsi="宋体" w:cs="宋体"/>
                <w:szCs w:val="21"/>
                <w:highlight w:val="none"/>
              </w:rPr>
            </w:pPr>
            <w:r>
              <w:rPr>
                <w:rFonts w:hint="eastAsia"/>
                <w:highlight w:val="none"/>
              </w:rPr>
              <w:t>巫溪至开州高速公路项目机电工程工程保险服务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3</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cs="宋体"/>
                <w:color w:val="auto"/>
                <w:kern w:val="0"/>
                <w:szCs w:val="21"/>
                <w:highlight w:val="none"/>
              </w:rPr>
            </w:pPr>
            <w:r>
              <w:rPr>
                <w:rFonts w:hint="eastAsia" w:ascii="宋体" w:hAnsi="宋体" w:cs="宋体"/>
                <w:szCs w:val="21"/>
                <w:highlight w:val="none"/>
                <w:shd w:val="clear" w:color="auto" w:fill="FFFFFF"/>
              </w:rPr>
              <w:t>项目地点</w:t>
            </w:r>
          </w:p>
        </w:tc>
        <w:tc>
          <w:tcPr>
            <w:tcW w:w="7104" w:type="dxa"/>
            <w:vAlign w:val="center"/>
          </w:tcPr>
          <w:p>
            <w:pPr>
              <w:keepNext w:val="0"/>
              <w:keepLines w:val="0"/>
              <w:suppressLineNumbers w:val="0"/>
              <w:spacing w:before="0" w:beforeAutospacing="0" w:after="0" w:afterAutospacing="0" w:line="400" w:lineRule="exact"/>
              <w:ind w:left="0" w:leftChars="0" w:right="0" w:rightChars="0" w:firstLine="420" w:firstLineChars="200"/>
              <w:rPr>
                <w:rFonts w:hint="default" w:ascii="宋体" w:hAnsi="宋体" w:eastAsia="宋体" w:cs="宋体"/>
                <w:color w:val="auto"/>
                <w:szCs w:val="21"/>
                <w:highlight w:val="none"/>
                <w:lang w:val="en-US" w:eastAsia="zh-CN"/>
              </w:rPr>
            </w:pPr>
            <w:r>
              <w:rPr>
                <w:rFonts w:hint="eastAsia" w:ascii="宋体" w:hAnsi="宋体" w:cs="宋体"/>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4</w:t>
            </w:r>
          </w:p>
        </w:tc>
        <w:tc>
          <w:tcPr>
            <w:tcW w:w="2106" w:type="dxa"/>
            <w:vAlign w:val="center"/>
          </w:tcPr>
          <w:p>
            <w:pPr>
              <w:keepNext w:val="0"/>
              <w:keepLines w:val="0"/>
              <w:suppressLineNumbers w:val="0"/>
              <w:spacing w:before="0" w:beforeAutospacing="0" w:after="0" w:afterAutospacing="0"/>
              <w:ind w:left="420" w:leftChars="0" w:right="0" w:rightChars="0"/>
              <w:rPr>
                <w:rFonts w:hint="default" w:ascii="宋体" w:hAnsi="宋体" w:eastAsia="宋体" w:cs="宋体"/>
                <w:color w:val="auto"/>
                <w:kern w:val="0"/>
                <w:szCs w:val="21"/>
                <w:highlight w:val="none"/>
                <w:lang w:val="en-US" w:eastAsia="zh-CN"/>
              </w:rPr>
            </w:pPr>
            <w:r>
              <w:rPr>
                <w:rFonts w:hint="eastAsia" w:ascii="宋体" w:hAnsi="宋体" w:cs="宋体"/>
                <w:szCs w:val="21"/>
                <w:highlight w:val="none"/>
                <w:shd w:val="clear" w:color="auto" w:fill="FFFFFF"/>
              </w:rPr>
              <w:t>比选范围</w:t>
            </w:r>
          </w:p>
        </w:tc>
        <w:tc>
          <w:tcPr>
            <w:tcW w:w="7104" w:type="dxa"/>
            <w:vAlign w:val="center"/>
          </w:tcPr>
          <w:p>
            <w:pPr>
              <w:keepNext w:val="0"/>
              <w:keepLines w:val="0"/>
              <w:suppressLineNumbers w:val="0"/>
              <w:tabs>
                <w:tab w:val="left" w:pos="3000"/>
                <w:tab w:val="left" w:pos="3280"/>
                <w:tab w:val="left" w:pos="6120"/>
                <w:tab w:val="left" w:pos="7540"/>
                <w:tab w:val="left" w:pos="8320"/>
              </w:tabs>
              <w:autoSpaceDE w:val="0"/>
              <w:autoSpaceDN w:val="0"/>
              <w:adjustRightInd w:val="0"/>
              <w:spacing w:before="0" w:beforeAutospacing="0" w:after="0" w:afterAutospacing="0" w:line="400" w:lineRule="exact"/>
              <w:ind w:left="0" w:leftChars="0" w:right="0" w:rightChars="0" w:firstLine="420" w:firstLineChars="200"/>
              <w:rPr>
                <w:rFonts w:hint="eastAsia" w:ascii="宋体" w:hAnsi="宋体" w:cs="宋体"/>
                <w:color w:val="auto"/>
                <w:szCs w:val="21"/>
                <w:highlight w:val="none"/>
              </w:rPr>
            </w:pPr>
            <w:r>
              <w:rPr>
                <w:rFonts w:hint="eastAsia" w:ascii="宋体" w:hAnsi="宋体" w:cs="宋体"/>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5</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cs="宋体"/>
                <w:color w:val="auto"/>
                <w:szCs w:val="21"/>
                <w:highlight w:val="none"/>
              </w:rPr>
            </w:pPr>
            <w:r>
              <w:rPr>
                <w:rFonts w:hint="eastAsia" w:ascii="宋体" w:hAnsi="宋体" w:cs="宋体"/>
                <w:szCs w:val="21"/>
                <w:highlight w:val="none"/>
                <w:shd w:val="clear" w:color="auto" w:fill="FFFFFF"/>
              </w:rPr>
              <w:t>工期要求</w:t>
            </w:r>
          </w:p>
        </w:tc>
        <w:tc>
          <w:tcPr>
            <w:tcW w:w="7104" w:type="dxa"/>
            <w:vAlign w:val="center"/>
          </w:tcPr>
          <w:p>
            <w:pPr>
              <w:keepNext w:val="0"/>
              <w:keepLines w:val="0"/>
              <w:suppressLineNumbers w:val="0"/>
              <w:tabs>
                <w:tab w:val="left" w:pos="3000"/>
                <w:tab w:val="left" w:pos="3280"/>
                <w:tab w:val="left" w:pos="6120"/>
                <w:tab w:val="left" w:pos="7540"/>
                <w:tab w:val="left" w:pos="8320"/>
              </w:tabs>
              <w:autoSpaceDE w:val="0"/>
              <w:autoSpaceDN w:val="0"/>
              <w:adjustRightInd w:val="0"/>
              <w:spacing w:before="0" w:beforeAutospacing="0" w:after="0" w:afterAutospacing="0" w:line="400" w:lineRule="exact"/>
              <w:ind w:left="0" w:leftChars="0" w:right="0" w:rightChars="0" w:firstLine="420" w:firstLineChars="200"/>
              <w:rPr>
                <w:rFonts w:hint="eastAsia" w:ascii="宋体" w:hAnsi="宋体" w:cs="宋体"/>
                <w:color w:val="auto"/>
                <w:szCs w:val="21"/>
                <w:highlight w:val="none"/>
              </w:rPr>
            </w:pPr>
            <w:r>
              <w:rPr>
                <w:rFonts w:hint="eastAsia" w:ascii="宋体" w:hAnsi="宋体" w:cs="宋体"/>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6</w:t>
            </w:r>
          </w:p>
        </w:tc>
        <w:tc>
          <w:tcPr>
            <w:tcW w:w="2106" w:type="dxa"/>
            <w:vAlign w:val="center"/>
          </w:tcPr>
          <w:p>
            <w:pPr>
              <w:keepNext w:val="0"/>
              <w:keepLines w:val="0"/>
              <w:suppressLineNumbers w:val="0"/>
              <w:spacing w:before="0" w:beforeAutospacing="0" w:after="0" w:afterAutospacing="0"/>
              <w:ind w:left="420" w:leftChars="0" w:right="0" w:rightChars="0"/>
              <w:rPr>
                <w:rFonts w:hint="default" w:ascii="宋体" w:hAnsi="宋体" w:eastAsia="宋体" w:cs="宋体"/>
                <w:color w:val="auto"/>
                <w:szCs w:val="21"/>
                <w:highlight w:val="none"/>
                <w:lang w:val="en-US" w:eastAsia="zh-CN"/>
              </w:rPr>
            </w:pPr>
            <w:r>
              <w:rPr>
                <w:rFonts w:hint="eastAsia" w:ascii="宋体" w:hAnsi="宋体" w:cs="宋体"/>
                <w:szCs w:val="21"/>
                <w:highlight w:val="none"/>
                <w:shd w:val="clear" w:color="auto" w:fill="FFFFFF"/>
              </w:rPr>
              <w:t>质量要求</w:t>
            </w:r>
          </w:p>
        </w:tc>
        <w:tc>
          <w:tcPr>
            <w:tcW w:w="7104" w:type="dxa"/>
            <w:vAlign w:val="top"/>
          </w:tcPr>
          <w:p>
            <w:pPr>
              <w:keepNext w:val="0"/>
              <w:keepLines w:val="0"/>
              <w:suppressLineNumbers w:val="0"/>
              <w:spacing w:before="0" w:beforeAutospacing="0" w:after="0" w:afterAutospacing="0" w:line="400" w:lineRule="exact"/>
              <w:ind w:left="0" w:leftChars="0" w:right="0" w:rightChars="0" w:firstLine="420" w:firstLineChars="200"/>
              <w:rPr>
                <w:rFonts w:hint="eastAsia" w:ascii="宋体" w:hAnsi="宋体" w:cs="宋体"/>
                <w:color w:val="auto"/>
                <w:kern w:val="10"/>
                <w:szCs w:val="21"/>
                <w:highlight w:val="none"/>
              </w:rPr>
            </w:pPr>
            <w:r>
              <w:rPr>
                <w:rFonts w:hint="eastAsia" w:ascii="宋体" w:hAnsi="宋体" w:cs="宋体"/>
                <w:szCs w:val="21"/>
                <w:highlight w:val="none"/>
              </w:rPr>
              <w:t>达到国家和地方现行有关质量标准和比选文件第七章技术标准和工作要求。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7</w:t>
            </w:r>
          </w:p>
        </w:tc>
        <w:tc>
          <w:tcPr>
            <w:tcW w:w="2106" w:type="dxa"/>
            <w:vAlign w:val="center"/>
          </w:tcPr>
          <w:p>
            <w:pPr>
              <w:keepNext w:val="0"/>
              <w:keepLines w:val="0"/>
              <w:suppressLineNumbers w:val="0"/>
              <w:spacing w:before="0" w:beforeAutospacing="0" w:after="0" w:afterAutospacing="0"/>
              <w:ind w:left="420" w:leftChars="0" w:right="0" w:rightChars="0"/>
              <w:rPr>
                <w:rFonts w:hint="eastAsia" w:ascii="宋体" w:hAnsi="宋体" w:eastAsia="宋体" w:cs="宋体"/>
                <w:color w:val="auto"/>
                <w:kern w:val="0"/>
                <w:szCs w:val="21"/>
                <w:highlight w:val="none"/>
                <w:lang w:eastAsia="zh-CN"/>
              </w:rPr>
            </w:pPr>
            <w:r>
              <w:rPr>
                <w:rFonts w:hint="eastAsia" w:ascii="宋体" w:hAnsi="宋体" w:cs="宋体"/>
                <w:szCs w:val="21"/>
                <w:highlight w:val="none"/>
                <w:shd w:val="clear" w:color="auto" w:fill="FFFFFF"/>
              </w:rPr>
              <w:t>安全目标</w:t>
            </w:r>
          </w:p>
        </w:tc>
        <w:tc>
          <w:tcPr>
            <w:tcW w:w="7104" w:type="dxa"/>
            <w:vAlign w:val="top"/>
          </w:tcPr>
          <w:p>
            <w:pPr>
              <w:keepNext w:val="0"/>
              <w:keepLines w:val="0"/>
              <w:suppressLineNumbers w:val="0"/>
              <w:spacing w:before="0" w:beforeAutospacing="0" w:after="0" w:afterAutospacing="0" w:line="400" w:lineRule="exact"/>
              <w:ind w:left="0" w:leftChars="0" w:right="0" w:rightChars="0" w:firstLine="420" w:firstLineChars="200"/>
              <w:rPr>
                <w:rFonts w:hint="eastAsia" w:ascii="宋体" w:hAnsi="宋体" w:cs="宋体"/>
                <w:color w:val="auto"/>
                <w:kern w:val="0"/>
                <w:szCs w:val="21"/>
                <w:highlight w:val="none"/>
              </w:rPr>
            </w:pPr>
            <w:r>
              <w:rPr>
                <w:rFonts w:hint="eastAsia" w:ascii="宋体" w:hAnsi="宋体" w:cs="宋体"/>
                <w:szCs w:val="21"/>
                <w:highlight w:val="none"/>
              </w:rPr>
              <w:t>无安全生产责任事故。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2106" w:type="dxa"/>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0"/>
                <w:szCs w:val="21"/>
                <w:highlight w:val="none"/>
                <w:lang w:val="en-US" w:eastAsia="zh-CN"/>
              </w:rPr>
            </w:pPr>
            <w:r>
              <w:rPr>
                <w:rFonts w:hint="eastAsia" w:ascii="宋体" w:hAnsi="宋体" w:cs="宋体"/>
                <w:szCs w:val="21"/>
                <w:highlight w:val="none"/>
                <w:shd w:val="clear" w:color="auto" w:fill="FFFFFF"/>
              </w:rPr>
              <w:t>报价人资质条件、能力与信誉</w:t>
            </w:r>
          </w:p>
        </w:tc>
        <w:tc>
          <w:tcPr>
            <w:tcW w:w="7104" w:type="dxa"/>
            <w:vAlign w:val="center"/>
          </w:tcPr>
          <w:p>
            <w:pPr>
              <w:keepNext w:val="0"/>
              <w:keepLines w:val="0"/>
              <w:numPr>
                <w:ilvl w:val="0"/>
                <w:numId w:val="0"/>
              </w:numPr>
              <w:suppressLineNumbers w:val="0"/>
              <w:spacing w:before="0" w:beforeAutospacing="0" w:after="0" w:afterAutospacing="0" w:line="400" w:lineRule="exact"/>
              <w:ind w:left="0" w:right="0" w:firstLine="420" w:firstLineChars="200"/>
              <w:rPr>
                <w:rFonts w:hint="default"/>
                <w:highlight w:val="none"/>
              </w:rPr>
            </w:pPr>
            <w:r>
              <w:rPr>
                <w:rFonts w:hint="default" w:ascii="Times New Roman" w:hAnsi="Times New Roman" w:eastAsia="宋体" w:cs="Times New Roman"/>
                <w:kern w:val="2"/>
                <w:sz w:val="21"/>
                <w:szCs w:val="24"/>
                <w:highlight w:val="none"/>
                <w:lang w:val="en-US" w:eastAsia="zh-CN" w:bidi="ar-SA"/>
              </w:rPr>
              <w:t>（1）</w:t>
            </w:r>
            <w:r>
              <w:rPr>
                <w:rFonts w:hint="eastAsia" w:ascii="宋体" w:hAnsi="宋体" w:cs="宋体"/>
                <w:szCs w:val="21"/>
                <w:highlight w:val="none"/>
              </w:rPr>
              <w:t>资质条件：见比选公告3.1</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（2）业绩要求：见比选公告3.</w:t>
            </w:r>
            <w:r>
              <w:rPr>
                <w:rFonts w:hint="eastAsia" w:ascii="宋体" w:hAnsi="宋体" w:cs="宋体"/>
                <w:szCs w:val="21"/>
                <w:highlight w:val="none"/>
                <w:lang w:val="en-US" w:eastAsia="zh-CN"/>
              </w:rPr>
              <w:t>2</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）信誉要求：见比选公告3.</w:t>
            </w:r>
            <w:r>
              <w:rPr>
                <w:rFonts w:hint="eastAsia" w:ascii="宋体" w:hAnsi="宋体" w:cs="宋体"/>
                <w:szCs w:val="21"/>
                <w:highlight w:val="none"/>
                <w:lang w:val="en-US" w:eastAsia="zh-CN"/>
              </w:rPr>
              <w:t>3</w:t>
            </w:r>
          </w:p>
          <w:p>
            <w:pPr>
              <w:keepNext w:val="0"/>
              <w:keepLines w:val="0"/>
              <w:suppressLineNumbers w:val="0"/>
              <w:spacing w:before="0" w:beforeAutospacing="0" w:after="0" w:afterAutospacing="0" w:line="400" w:lineRule="exact"/>
              <w:ind w:left="0" w:right="0" w:firstLine="420" w:firstLineChars="200"/>
              <w:rPr>
                <w:rFonts w:hint="default" w:ascii="宋体" w:hAnsi="宋体" w:cs="宋体"/>
                <w:szCs w:val="21"/>
                <w:highlight w:val="none"/>
              </w:rPr>
            </w:pPr>
            <w:r>
              <w:rPr>
                <w:rFonts w:hint="eastAsia" w:ascii="宋体" w:hAnsi="宋体" w:cs="宋体"/>
                <w:szCs w:val="21"/>
                <w:highlight w:val="none"/>
              </w:rPr>
              <w:t>（5）项目主要人员要求：见附录1</w:t>
            </w:r>
          </w:p>
          <w:p>
            <w:pPr>
              <w:keepNext w:val="0"/>
              <w:keepLines w:val="0"/>
              <w:suppressLineNumbers w:val="0"/>
              <w:spacing w:before="0" w:beforeAutospacing="0" w:after="0" w:afterAutospacing="0" w:line="400" w:lineRule="exact"/>
              <w:ind w:left="0" w:leftChars="0" w:right="0" w:rightChars="0" w:firstLine="420" w:firstLineChars="200"/>
              <w:rPr>
                <w:rFonts w:hint="default" w:ascii="宋体" w:hAnsi="宋体" w:eastAsia="宋体" w:cs="宋体"/>
                <w:color w:val="auto"/>
                <w:szCs w:val="21"/>
                <w:highlight w:val="none"/>
                <w:lang w:val="en-US" w:eastAsia="zh-CN"/>
              </w:rPr>
            </w:pPr>
            <w:r>
              <w:rPr>
                <w:rFonts w:hint="eastAsia" w:ascii="宋体" w:hAnsi="宋体" w:cs="宋体"/>
                <w:szCs w:val="21"/>
                <w:highlight w:val="none"/>
              </w:rPr>
              <w:t>（6）其他要求：见附录2、见附录3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2106" w:type="dxa"/>
            <w:vAlign w:val="center"/>
          </w:tcPr>
          <w:p>
            <w:pPr>
              <w:keepNext w:val="0"/>
              <w:keepLines w:val="0"/>
              <w:suppressLineNumbers w:val="0"/>
              <w:spacing w:before="0" w:beforeAutospacing="0" w:after="0" w:afterAutospacing="0"/>
              <w:ind w:left="420" w:right="0"/>
              <w:rPr>
                <w:rFonts w:hint="default" w:ascii="宋体" w:hAnsi="宋体" w:cs="宋体"/>
                <w:szCs w:val="21"/>
                <w:highlight w:val="none"/>
                <w:shd w:val="clear" w:color="auto" w:fill="FFFFFF"/>
              </w:rPr>
            </w:pPr>
            <w:r>
              <w:rPr>
                <w:rFonts w:hint="eastAsia" w:ascii="宋体" w:hAnsi="宋体" w:cs="宋体"/>
                <w:szCs w:val="21"/>
                <w:highlight w:val="none"/>
                <w:shd w:val="clear" w:color="auto" w:fill="FFFFFF"/>
              </w:rPr>
              <w:t>是否接受</w:t>
            </w:r>
          </w:p>
          <w:p>
            <w:pPr>
              <w:keepNext w:val="0"/>
              <w:keepLines w:val="0"/>
              <w:suppressLineNumbers w:val="0"/>
              <w:spacing w:before="0" w:beforeAutospacing="0" w:after="0" w:afterAutospacing="0"/>
              <w:ind w:left="420" w:leftChars="0" w:right="0" w:rightChars="0"/>
              <w:rPr>
                <w:rFonts w:hint="eastAsia" w:ascii="宋体" w:hAnsi="宋体" w:cs="宋体"/>
                <w:color w:val="auto"/>
                <w:kern w:val="0"/>
                <w:szCs w:val="21"/>
                <w:highlight w:val="none"/>
              </w:rPr>
            </w:pPr>
            <w:r>
              <w:rPr>
                <w:rFonts w:hint="eastAsia" w:ascii="宋体" w:hAnsi="宋体" w:cs="宋体"/>
                <w:szCs w:val="21"/>
                <w:highlight w:val="none"/>
                <w:shd w:val="clear" w:color="auto" w:fill="FFFFFF"/>
              </w:rPr>
              <w:t>联合体报价</w:t>
            </w:r>
          </w:p>
        </w:tc>
        <w:tc>
          <w:tcPr>
            <w:tcW w:w="7104" w:type="dxa"/>
            <w:vAlign w:val="center"/>
          </w:tcPr>
          <w:p>
            <w:pPr>
              <w:keepNext w:val="0"/>
              <w:keepLines w:val="0"/>
              <w:suppressLineNumbers w:val="0"/>
              <w:spacing w:before="0" w:beforeAutospacing="0" w:after="0" w:afterAutospacing="0" w:line="400" w:lineRule="exact"/>
              <w:ind w:left="0" w:leftChars="0" w:right="0" w:rightChars="0" w:firstLine="420" w:firstLineChars="200"/>
              <w:rPr>
                <w:rFonts w:hint="eastAsia" w:ascii="宋体" w:hAnsi="宋体" w:cs="宋体"/>
                <w:color w:val="auto"/>
                <w:kern w:val="0"/>
                <w:szCs w:val="21"/>
                <w:highlight w:val="none"/>
              </w:rPr>
            </w:pPr>
            <w:r>
              <w:rPr>
                <w:rFonts w:hint="eastAsia" w:ascii="宋体" w:hAnsi="宋体" w:cs="宋体"/>
                <w:kern w:val="0"/>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2106" w:type="dxa"/>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分包</w:t>
            </w:r>
          </w:p>
        </w:tc>
        <w:tc>
          <w:tcPr>
            <w:tcW w:w="7104" w:type="dxa"/>
            <w:vAlign w:val="center"/>
          </w:tcPr>
          <w:p>
            <w:pPr>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11</w:t>
            </w:r>
          </w:p>
        </w:tc>
        <w:tc>
          <w:tcPr>
            <w:tcW w:w="2106" w:type="dxa"/>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偏差</w:t>
            </w:r>
          </w:p>
        </w:tc>
        <w:tc>
          <w:tcPr>
            <w:tcW w:w="7104" w:type="dxa"/>
            <w:vAlign w:val="center"/>
          </w:tcPr>
          <w:p>
            <w:pPr>
              <w:spacing w:line="400" w:lineRule="exact"/>
              <w:ind w:firstLine="422" w:firstLineChars="200"/>
              <w:rPr>
                <w:rFonts w:hint="eastAsia" w:ascii="宋体" w:hAnsi="宋体" w:cs="宋体"/>
                <w:color w:val="auto"/>
                <w:kern w:val="0"/>
                <w:szCs w:val="21"/>
                <w:highlight w:val="none"/>
              </w:rPr>
            </w:pPr>
            <w:r>
              <w:rPr>
                <w:rFonts w:hint="eastAsia" w:ascii="宋体" w:hAnsi="宋体" w:cs="宋体"/>
                <w:b/>
                <w:color w:val="auto"/>
                <w:kern w:val="0"/>
                <w:szCs w:val="21"/>
                <w:highlight w:val="none"/>
              </w:rPr>
              <w:t>不允许负偏差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12</w:t>
            </w:r>
          </w:p>
        </w:tc>
        <w:tc>
          <w:tcPr>
            <w:tcW w:w="2106" w:type="dxa"/>
            <w:vAlign w:val="center"/>
          </w:tcPr>
          <w:p>
            <w:pPr>
              <w:spacing w:line="440" w:lineRule="exact"/>
              <w:jc w:val="center"/>
              <w:rPr>
                <w:rFonts w:hint="eastAsia" w:ascii="宋体" w:hAnsi="宋体" w:cs="宋体"/>
                <w:color w:val="auto"/>
                <w:kern w:val="0"/>
                <w:szCs w:val="21"/>
                <w:highlight w:val="none"/>
              </w:rPr>
            </w:pPr>
            <w:r>
              <w:rPr>
                <w:rFonts w:hint="eastAsia" w:ascii="宋体" w:hAnsi="宋体" w:cs="宋体"/>
                <w:bCs/>
                <w:color w:val="auto"/>
                <w:szCs w:val="21"/>
                <w:highlight w:val="none"/>
              </w:rPr>
              <w:t>构成比选文件的其他材料</w:t>
            </w:r>
          </w:p>
        </w:tc>
        <w:tc>
          <w:tcPr>
            <w:tcW w:w="7104" w:type="dxa"/>
            <w:vAlign w:val="center"/>
          </w:tcPr>
          <w:p>
            <w:pPr>
              <w:spacing w:line="440" w:lineRule="exact"/>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采购人发布的图纸、补遗书、答疑、澄清、最高限价通知等附件。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13</w:t>
            </w:r>
          </w:p>
        </w:tc>
        <w:tc>
          <w:tcPr>
            <w:tcW w:w="2106" w:type="dxa"/>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szCs w:val="21"/>
                <w:highlight w:val="none"/>
              </w:rPr>
              <w:t>构成竞争性比选响应文件的其他材料</w:t>
            </w:r>
          </w:p>
        </w:tc>
        <w:tc>
          <w:tcPr>
            <w:tcW w:w="7104" w:type="dxa"/>
            <w:vAlign w:val="center"/>
          </w:tcPr>
          <w:p>
            <w:pPr>
              <w:pStyle w:val="151"/>
              <w:spacing w:before="72" w:line="400" w:lineRule="exact"/>
              <w:ind w:firstLine="420" w:firstLineChars="200"/>
              <w:jc w:val="both"/>
              <w:rPr>
                <w:rFonts w:hint="eastAsia" w:ascii="宋体" w:hAnsi="宋体" w:cs="宋体"/>
                <w:color w:val="auto"/>
                <w:szCs w:val="21"/>
                <w:highlight w:val="none"/>
              </w:rPr>
            </w:pPr>
            <w:r>
              <w:rPr>
                <w:rFonts w:hint="eastAsia" w:hAnsi="宋体"/>
                <w:color w:val="auto"/>
                <w:sz w:val="21"/>
                <w:szCs w:val="21"/>
                <w:highlight w:val="none"/>
              </w:rPr>
              <w:t>报价人书面澄清或补正，但不得改变竞争性比选响应文件实质。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97" w:type="dxa"/>
            <w:vAlign w:val="center"/>
          </w:tcPr>
          <w:p>
            <w:pPr>
              <w:spacing w:line="400" w:lineRule="exact"/>
              <w:jc w:val="center"/>
              <w:rPr>
                <w:rFonts w:hint="default" w:ascii="宋体" w:hAnsi="宋体" w:eastAsia="宋体" w:cs="宋体"/>
                <w:color w:val="auto"/>
                <w:kern w:val="0"/>
                <w:szCs w:val="21"/>
                <w:highlight w:val="none"/>
                <w:lang w:val="en-US" w:eastAsia="zh-CN"/>
              </w:rPr>
            </w:pPr>
            <w:bookmarkStart w:id="108" w:name="_Hlt227984024"/>
            <w:bookmarkEnd w:id="108"/>
            <w:r>
              <w:rPr>
                <w:rFonts w:hint="eastAsia" w:ascii="宋体" w:hAnsi="宋体" w:cs="宋体"/>
                <w:color w:val="auto"/>
                <w:kern w:val="0"/>
                <w:szCs w:val="21"/>
                <w:highlight w:val="none"/>
                <w:lang w:val="en-US" w:eastAsia="zh-CN"/>
              </w:rPr>
              <w:t>14</w:t>
            </w:r>
          </w:p>
        </w:tc>
        <w:tc>
          <w:tcPr>
            <w:tcW w:w="2106" w:type="dxa"/>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报价清单</w:t>
            </w:r>
            <w:r>
              <w:rPr>
                <w:rFonts w:hint="eastAsia" w:ascii="宋体" w:hAnsi="宋体" w:cs="宋体"/>
                <w:color w:val="auto"/>
                <w:szCs w:val="21"/>
                <w:highlight w:val="none"/>
              </w:rPr>
              <w:t>的填写方式</w:t>
            </w:r>
          </w:p>
        </w:tc>
        <w:tc>
          <w:tcPr>
            <w:tcW w:w="7104" w:type="dxa"/>
            <w:vAlign w:val="top"/>
          </w:tcPr>
          <w:p>
            <w:pPr>
              <w:spacing w:line="40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highlight w:val="none"/>
              </w:rPr>
              <w:t>报价人按照采购人提供的</w:t>
            </w:r>
            <w:r>
              <w:rPr>
                <w:rFonts w:hint="eastAsia" w:ascii="宋体" w:hAnsi="宋体" w:cs="宋体"/>
                <w:color w:val="auto"/>
                <w:highlight w:val="none"/>
                <w:lang w:val="en-US" w:eastAsia="zh-CN"/>
              </w:rPr>
              <w:t>报价</w:t>
            </w:r>
            <w:r>
              <w:rPr>
                <w:rFonts w:hint="eastAsia" w:ascii="宋体" w:hAnsi="宋体" w:cs="宋体"/>
                <w:color w:val="auto"/>
                <w:highlight w:val="none"/>
              </w:rPr>
              <w:t>清单填写</w:t>
            </w:r>
            <w:r>
              <w:rPr>
                <w:rFonts w:hint="eastAsia" w:ascii="宋体" w:hAnsi="宋体" w:cs="宋体"/>
                <w:color w:val="auto"/>
                <w:highlight w:val="none"/>
                <w:lang w:val="en-US" w:eastAsia="zh-CN"/>
              </w:rPr>
              <w:t>报价。</w:t>
            </w:r>
          </w:p>
          <w:p>
            <w:pPr>
              <w:spacing w:line="40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折扣率</w:t>
            </w:r>
            <w:r>
              <w:rPr>
                <w:rFonts w:hint="eastAsia" w:ascii="宋体" w:hAnsi="宋体" w:cs="宋体"/>
                <w:b/>
                <w:color w:val="auto"/>
                <w:szCs w:val="21"/>
                <w:highlight w:val="none"/>
              </w:rPr>
              <w:t>取小数点后</w:t>
            </w:r>
            <w:r>
              <w:rPr>
                <w:rFonts w:hint="eastAsia" w:ascii="宋体" w:hAnsi="宋体" w:cs="宋体"/>
                <w:b/>
                <w:color w:val="auto"/>
                <w:szCs w:val="21"/>
                <w:highlight w:val="none"/>
                <w:lang w:val="en-US" w:eastAsia="zh-CN"/>
              </w:rPr>
              <w:t>一</w:t>
            </w:r>
            <w:r>
              <w:rPr>
                <w:rFonts w:hint="eastAsia" w:ascii="宋体" w:hAnsi="宋体" w:cs="宋体"/>
                <w:b/>
                <w:color w:val="auto"/>
                <w:szCs w:val="21"/>
                <w:highlight w:val="none"/>
              </w:rPr>
              <w:t>位，小数点后第</w:t>
            </w: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位四舍五入。</w:t>
            </w:r>
          </w:p>
          <w:p>
            <w:pPr>
              <w:spacing w:line="400" w:lineRule="exact"/>
              <w:ind w:firstLine="422" w:firstLineChars="200"/>
              <w:rPr>
                <w:rFonts w:hint="eastAsia" w:hAnsi="宋体"/>
                <w:color w:val="auto"/>
                <w:sz w:val="21"/>
                <w:szCs w:val="21"/>
                <w:highlight w:val="none"/>
              </w:rPr>
            </w:pPr>
            <w:r>
              <w:rPr>
                <w:rFonts w:hint="eastAsia" w:ascii="宋体" w:hAnsi="宋体" w:cs="宋体"/>
                <w:b/>
                <w:bCs/>
                <w:color w:val="auto"/>
                <w:szCs w:val="21"/>
                <w:highlight w:val="none"/>
              </w:rPr>
              <w:t>本项目</w:t>
            </w:r>
            <w:r>
              <w:rPr>
                <w:rFonts w:hint="eastAsia" w:ascii="宋体" w:hAnsi="宋体" w:cs="宋体"/>
                <w:b/>
                <w:bCs/>
                <w:color w:val="auto"/>
                <w:szCs w:val="21"/>
                <w:highlight w:val="none"/>
                <w:lang w:val="en-US" w:eastAsia="zh-CN"/>
              </w:rPr>
              <w:t>报价</w:t>
            </w:r>
            <w:r>
              <w:rPr>
                <w:rFonts w:hint="eastAsia" w:ascii="宋体" w:hAnsi="宋体" w:cs="宋体"/>
                <w:b/>
                <w:bCs/>
                <w:color w:val="auto"/>
                <w:szCs w:val="21"/>
                <w:highlight w:val="none"/>
              </w:rPr>
              <w:t>清单及说明随比选文件一并发布，详见附件。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697" w:type="dxa"/>
            <w:tcBorders>
              <w:bottom w:val="single" w:color="auto" w:sz="4" w:space="0"/>
            </w:tcBorders>
            <w:vAlign w:val="center"/>
          </w:tcPr>
          <w:p>
            <w:pPr>
              <w:spacing w:line="40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15</w:t>
            </w:r>
          </w:p>
        </w:tc>
        <w:tc>
          <w:tcPr>
            <w:tcW w:w="2106" w:type="dxa"/>
            <w:tcBorders>
              <w:bottom w:val="single" w:color="auto" w:sz="4" w:space="0"/>
            </w:tcBorders>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kern w:val="0"/>
                <w:szCs w:val="21"/>
                <w:highlight w:val="none"/>
              </w:rPr>
              <w:t>最高投标限价</w:t>
            </w:r>
          </w:p>
        </w:tc>
        <w:tc>
          <w:tcPr>
            <w:tcW w:w="7104" w:type="dxa"/>
            <w:tcBorders>
              <w:bottom w:val="single" w:color="auto" w:sz="4" w:space="0"/>
            </w:tcBorders>
            <w:vAlign w:val="top"/>
          </w:tcPr>
          <w:p>
            <w:pPr>
              <w:spacing w:line="400" w:lineRule="exact"/>
              <w:ind w:firstLine="422" w:firstLineChars="200"/>
              <w:rPr>
                <w:rFonts w:hint="eastAsia" w:ascii="宋体" w:hAnsi="宋体"/>
                <w:color w:val="auto"/>
                <w:szCs w:val="21"/>
                <w:highlight w:val="none"/>
              </w:rPr>
            </w:pPr>
            <w:r>
              <w:rPr>
                <w:rFonts w:hint="eastAsia" w:ascii="宋体" w:hAnsi="宋体"/>
                <w:b/>
                <w:bCs/>
                <w:color w:val="auto"/>
                <w:szCs w:val="21"/>
                <w:highlight w:val="none"/>
                <w:lang w:val="en-US" w:eastAsia="zh-CN"/>
              </w:rPr>
              <w:t>巫溪至开州高速公路项目机电工程工程保险服务项目</w:t>
            </w:r>
            <w:r>
              <w:rPr>
                <w:rFonts w:hint="eastAsia" w:ascii="宋体" w:hAnsi="宋体"/>
                <w:b/>
                <w:bCs/>
                <w:color w:val="auto"/>
                <w:szCs w:val="21"/>
                <w:highlight w:val="none"/>
              </w:rPr>
              <w:t>最高限价</w:t>
            </w:r>
            <w:r>
              <w:rPr>
                <w:rFonts w:hint="eastAsia" w:ascii="宋体" w:hAnsi="宋体"/>
                <w:b/>
                <w:bCs/>
                <w:color w:val="auto"/>
                <w:szCs w:val="21"/>
                <w:highlight w:val="none"/>
                <w:lang w:eastAsia="zh-CN"/>
              </w:rPr>
              <w:t>：</w:t>
            </w:r>
            <w:r>
              <w:rPr>
                <w:rFonts w:hint="eastAsia" w:ascii="宋体" w:hAnsi="宋体"/>
                <w:b/>
                <w:bCs/>
                <w:color w:val="auto"/>
                <w:szCs w:val="21"/>
                <w:highlight w:val="none"/>
                <w:u w:val="single"/>
              </w:rPr>
              <w:t>1598028.35</w:t>
            </w:r>
            <w:r>
              <w:rPr>
                <w:rFonts w:hint="eastAsia" w:ascii="宋体" w:hAnsi="宋体"/>
                <w:b/>
                <w:bCs/>
                <w:color w:val="auto"/>
                <w:szCs w:val="21"/>
                <w:highlight w:val="none"/>
                <w:u w:val="single"/>
                <w:lang w:val="en-US" w:eastAsia="zh-CN"/>
              </w:rPr>
              <w:t>元</w:t>
            </w:r>
            <w:r>
              <w:rPr>
                <w:rFonts w:hint="eastAsia" w:ascii="宋体" w:hAnsi="宋体"/>
                <w:b/>
                <w:bCs/>
                <w:color w:val="auto"/>
                <w:szCs w:val="21"/>
                <w:highlight w:val="none"/>
                <w:u w:val="single"/>
              </w:rPr>
              <w:t>。</w:t>
            </w:r>
          </w:p>
          <w:p>
            <w:pPr>
              <w:spacing w:line="40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报价人</w:t>
            </w:r>
            <w:r>
              <w:rPr>
                <w:rFonts w:hint="eastAsia" w:ascii="宋体" w:hAnsi="宋体" w:cs="宋体"/>
                <w:b/>
                <w:color w:val="auto"/>
                <w:szCs w:val="21"/>
                <w:highlight w:val="none"/>
                <w:lang w:val="en-US" w:eastAsia="zh-CN"/>
              </w:rPr>
              <w:t>报价</w:t>
            </w:r>
            <w:r>
              <w:rPr>
                <w:rFonts w:hint="eastAsia" w:ascii="宋体" w:hAnsi="宋体" w:cs="宋体"/>
                <w:b/>
                <w:color w:val="auto"/>
                <w:szCs w:val="21"/>
                <w:highlight w:val="none"/>
              </w:rPr>
              <w:t>不得高于采购人发布的最高限价，否则其竞争性比选响应文件视为重大偏差，竞争性比选响应文件将按否决报价处理</w:t>
            </w:r>
            <w:r>
              <w:rPr>
                <w:rFonts w:hint="eastAsia" w:ascii="宋体" w:hAnsi="宋体" w:cs="宋体"/>
                <w:b/>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97" w:type="dxa"/>
            <w:tcBorders>
              <w:bottom w:val="single" w:color="auto" w:sz="4" w:space="0"/>
            </w:tcBorders>
            <w:vAlign w:val="center"/>
          </w:tcPr>
          <w:p>
            <w:pPr>
              <w:spacing w:line="400" w:lineRule="exact"/>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16</w:t>
            </w:r>
          </w:p>
        </w:tc>
        <w:tc>
          <w:tcPr>
            <w:tcW w:w="2106" w:type="dxa"/>
            <w:tcBorders>
              <w:bottom w:val="single" w:color="auto" w:sz="4" w:space="0"/>
            </w:tcBorders>
            <w:vAlign w:val="center"/>
          </w:tcPr>
          <w:p>
            <w:pPr>
              <w:spacing w:line="400" w:lineRule="exact"/>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合同支付办法</w:t>
            </w:r>
          </w:p>
        </w:tc>
        <w:tc>
          <w:tcPr>
            <w:tcW w:w="7104" w:type="dxa"/>
            <w:tcBorders>
              <w:bottom w:val="single" w:color="auto" w:sz="4" w:space="0"/>
            </w:tcBorders>
          </w:tcPr>
          <w:p>
            <w:pPr>
              <w:numPr>
                <w:ilvl w:val="-1"/>
                <w:numId w:val="0"/>
              </w:numPr>
              <w:spacing w:line="400" w:lineRule="exact"/>
              <w:ind w:firstLine="420" w:firstLineChars="200"/>
              <w:rPr>
                <w:rFonts w:hint="default"/>
                <w:color w:val="auto"/>
                <w:highlight w:val="none"/>
                <w:lang w:val="en-US" w:eastAsia="zh-CN"/>
              </w:rPr>
            </w:pPr>
            <w:r>
              <w:rPr>
                <w:rFonts w:hint="eastAsia"/>
                <w:color w:val="auto"/>
                <w:highlight w:val="none"/>
              </w:rPr>
              <w:t>合同签订后30天内一次性支付。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7" w:type="dxa"/>
            <w:vAlign w:val="center"/>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17</w:t>
            </w:r>
          </w:p>
        </w:tc>
        <w:tc>
          <w:tcPr>
            <w:tcW w:w="2106" w:type="dxa"/>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中标候选人的人数</w:t>
            </w:r>
          </w:p>
        </w:tc>
        <w:tc>
          <w:tcPr>
            <w:tcW w:w="7104" w:type="dxa"/>
            <w:vAlign w:val="center"/>
          </w:tcPr>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推荐的中标候选人数：</w:t>
            </w:r>
            <w:r>
              <w:rPr>
                <w:rFonts w:hint="eastAsia" w:ascii="宋体" w:hAnsi="宋体" w:cs="宋体"/>
                <w:color w:val="auto"/>
                <w:highlight w:val="none"/>
                <w:lang w:val="en-US" w:eastAsia="zh-CN"/>
              </w:rPr>
              <w:t>2</w:t>
            </w:r>
            <w:r>
              <w:rPr>
                <w:rFonts w:hint="eastAsia" w:ascii="宋体" w:hAnsi="宋体" w:cs="宋体"/>
                <w:color w:val="auto"/>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697" w:type="dxa"/>
            <w:vAlign w:val="center"/>
          </w:tcPr>
          <w:p>
            <w:pPr>
              <w:pStyle w:val="151"/>
              <w:spacing w:line="400" w:lineRule="exact"/>
              <w:jc w:val="center"/>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18</w:t>
            </w:r>
          </w:p>
        </w:tc>
        <w:tc>
          <w:tcPr>
            <w:tcW w:w="2106" w:type="dxa"/>
            <w:vAlign w:val="center"/>
          </w:tcPr>
          <w:p>
            <w:pPr>
              <w:pStyle w:val="151"/>
              <w:spacing w:line="400" w:lineRule="exact"/>
              <w:jc w:val="center"/>
              <w:rPr>
                <w:rFonts w:hint="eastAsia" w:hAnsi="宋体"/>
                <w:color w:val="auto"/>
                <w:kern w:val="2"/>
                <w:sz w:val="21"/>
                <w:szCs w:val="21"/>
                <w:highlight w:val="none"/>
              </w:rPr>
            </w:pPr>
            <w:r>
              <w:rPr>
                <w:rFonts w:hint="eastAsia" w:hAnsi="宋体"/>
                <w:color w:val="auto"/>
                <w:kern w:val="2"/>
                <w:sz w:val="21"/>
                <w:szCs w:val="21"/>
                <w:highlight w:val="none"/>
                <w:lang w:val="en-US" w:eastAsia="zh-CN"/>
              </w:rPr>
              <w:t>保证金</w:t>
            </w:r>
          </w:p>
        </w:tc>
        <w:tc>
          <w:tcPr>
            <w:tcW w:w="7104" w:type="dxa"/>
            <w:vAlign w:val="center"/>
          </w:tcPr>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一、投标保证金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eastAsia="宋体" w:cs="宋体"/>
                <w:color w:val="000000"/>
                <w:kern w:val="0"/>
                <w:szCs w:val="21"/>
                <w:highlight w:val="none"/>
                <w:lang w:val="en-US" w:eastAsia="zh-CN" w:bidi="ar"/>
              </w:rPr>
            </w:pPr>
            <w:r>
              <w:rPr>
                <w:rFonts w:hint="eastAsia" w:ascii="宋体" w:hAnsi="宋体" w:cs="宋体"/>
                <w:color w:val="000000"/>
                <w:kern w:val="0"/>
                <w:szCs w:val="21"/>
                <w:highlight w:val="none"/>
                <w:lang w:val="en-US" w:eastAsia="zh-CN" w:bidi="ar"/>
              </w:rPr>
              <w:t>报价人是否提供</w:t>
            </w:r>
            <w:r>
              <w:rPr>
                <w:rFonts w:hint="eastAsia" w:ascii="宋体" w:hAnsi="宋体" w:cs="宋体"/>
                <w:color w:val="000000"/>
                <w:kern w:val="0"/>
                <w:szCs w:val="21"/>
                <w:highlight w:val="none"/>
                <w:lang w:bidi="ar"/>
              </w:rPr>
              <w:t>投标保证金</w:t>
            </w:r>
            <w:r>
              <w:rPr>
                <w:rFonts w:hint="eastAsia" w:ascii="宋体" w:hAnsi="宋体" w:cs="宋体"/>
                <w:color w:val="000000"/>
                <w:kern w:val="0"/>
                <w:szCs w:val="21"/>
                <w:highlight w:val="none"/>
                <w:lang w:eastAsia="zh-CN" w:bidi="ar"/>
              </w:rPr>
              <w:t>：</w:t>
            </w:r>
            <w:r>
              <w:rPr>
                <w:rFonts w:hint="eastAsia" w:ascii="宋体" w:hAnsi="宋体" w:cs="宋体"/>
                <w:b/>
                <w:bCs/>
                <w:color w:val="000000"/>
                <w:kern w:val="0"/>
                <w:szCs w:val="21"/>
                <w:highlight w:val="none"/>
                <w:u w:val="single"/>
                <w:lang w:val="en-US" w:eastAsia="zh-CN" w:bidi="ar"/>
              </w:rPr>
              <w:t>是</w:t>
            </w:r>
          </w:p>
          <w:p>
            <w:pPr>
              <w:keepNext w:val="0"/>
              <w:keepLines w:val="0"/>
              <w:numPr>
                <w:ilvl w:val="0"/>
                <w:numId w:val="2"/>
              </w:numPr>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报价人须缴纳投标保证金</w:t>
            </w:r>
            <w:r>
              <w:rPr>
                <w:rFonts w:hint="eastAsia" w:ascii="宋体" w:hAnsi="宋体" w:cs="宋体"/>
                <w:color w:val="000000"/>
                <w:kern w:val="0"/>
                <w:szCs w:val="21"/>
                <w:highlight w:val="none"/>
                <w:u w:val="single"/>
                <w:lang w:eastAsia="zh-CN" w:bidi="ar"/>
              </w:rPr>
              <w:t xml:space="preserve"> </w:t>
            </w:r>
            <w:r>
              <w:rPr>
                <w:rFonts w:hint="eastAsia" w:ascii="宋体" w:hAnsi="宋体" w:cs="宋体"/>
                <w:color w:val="000000"/>
                <w:kern w:val="0"/>
                <w:szCs w:val="21"/>
                <w:highlight w:val="none"/>
                <w:u w:val="single"/>
                <w:lang w:val="en-US" w:eastAsia="zh-CN" w:bidi="ar"/>
              </w:rPr>
              <w:t xml:space="preserve"> 20000.00  </w:t>
            </w:r>
            <w:r>
              <w:rPr>
                <w:rFonts w:hint="eastAsia" w:ascii="宋体" w:hAnsi="宋体" w:cs="宋体"/>
                <w:color w:val="000000"/>
                <w:kern w:val="0"/>
                <w:szCs w:val="21"/>
                <w:highlight w:val="none"/>
                <w:lang w:bidi="ar"/>
              </w:rPr>
              <w:t>元，由报价人从公司基本账户将投标保证金汇至以下指定账户：</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保证金到账截止时间：2024年</w:t>
            </w: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月</w:t>
            </w:r>
            <w:r>
              <w:rPr>
                <w:rFonts w:hint="eastAsia" w:ascii="宋体" w:hAnsi="宋体" w:cs="宋体"/>
                <w:color w:val="000000"/>
                <w:kern w:val="0"/>
                <w:szCs w:val="21"/>
                <w:highlight w:val="none"/>
                <w:lang w:val="en-US" w:eastAsia="zh-CN" w:bidi="ar"/>
              </w:rPr>
              <w:t>19</w:t>
            </w:r>
            <w:r>
              <w:rPr>
                <w:rFonts w:hint="eastAsia" w:ascii="宋体" w:hAnsi="宋体" w:cs="宋体"/>
                <w:color w:val="000000"/>
                <w:kern w:val="0"/>
                <w:szCs w:val="21"/>
                <w:highlight w:val="none"/>
                <w:lang w:bidi="ar"/>
              </w:rPr>
              <w:t>日</w:t>
            </w:r>
            <w:r>
              <w:rPr>
                <w:rFonts w:hint="eastAsia" w:ascii="宋体" w:hAnsi="宋体" w:cs="宋体"/>
                <w:color w:val="000000"/>
                <w:kern w:val="0"/>
                <w:szCs w:val="21"/>
                <w:highlight w:val="none"/>
                <w:lang w:val="en-US" w:eastAsia="zh-CN" w:bidi="ar"/>
              </w:rPr>
              <w:t>上午</w:t>
            </w:r>
            <w:r>
              <w:rPr>
                <w:rFonts w:hint="eastAsia" w:ascii="宋体" w:hAnsi="宋体" w:cs="宋体"/>
                <w:color w:val="000000"/>
                <w:kern w:val="0"/>
                <w:szCs w:val="21"/>
                <w:highlight w:val="none"/>
                <w:lang w:bidi="ar"/>
              </w:rPr>
              <w:t>1</w:t>
            </w:r>
            <w:r>
              <w:rPr>
                <w:rFonts w:hint="eastAsia" w:ascii="宋体" w:hAnsi="宋体" w:cs="宋体"/>
                <w:color w:val="000000"/>
                <w:kern w:val="0"/>
                <w:szCs w:val="21"/>
                <w:highlight w:val="none"/>
                <w:lang w:eastAsia="zh-CN" w:bidi="ar"/>
              </w:rPr>
              <w:t>0</w:t>
            </w:r>
            <w:r>
              <w:rPr>
                <w:rFonts w:hint="eastAsia" w:ascii="宋体" w:hAnsi="宋体" w:cs="宋体"/>
                <w:color w:val="000000"/>
                <w:kern w:val="0"/>
                <w:szCs w:val="21"/>
                <w:highlight w:val="none"/>
                <w:lang w:bidi="ar"/>
              </w:rPr>
              <w:t>时</w:t>
            </w:r>
            <w:r>
              <w:rPr>
                <w:rFonts w:hint="eastAsia" w:ascii="宋体" w:hAnsi="宋体" w:cs="宋体"/>
                <w:color w:val="000000"/>
                <w:kern w:val="0"/>
                <w:szCs w:val="21"/>
                <w:highlight w:val="none"/>
                <w:lang w:eastAsia="zh-CN" w:bidi="ar"/>
              </w:rPr>
              <w:t>0</w:t>
            </w:r>
            <w:r>
              <w:rPr>
                <w:rFonts w:hint="eastAsia" w:ascii="宋体" w:hAnsi="宋体" w:cs="宋体"/>
                <w:color w:val="000000"/>
                <w:kern w:val="0"/>
                <w:szCs w:val="21"/>
                <w:highlight w:val="none"/>
                <w:lang w:bidi="ar"/>
              </w:rPr>
              <w:t>0分前；</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若竞争性比选响应文件内无投标保证金缴纳凭证，采购人有权作废标处理，若投标保证金存在虚假不实情况，采购人有权作废标处理。</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hAnsi="宋体"/>
                <w:color w:val="auto"/>
                <w:kern w:val="2"/>
                <w:sz w:val="21"/>
                <w:szCs w:val="21"/>
                <w:highlight w:val="none"/>
                <w:lang w:val="en-US" w:eastAsia="zh-CN"/>
              </w:rPr>
              <w:t>若缴纳现金的，</w:t>
            </w:r>
            <w:r>
              <w:rPr>
                <w:rFonts w:hint="eastAsia" w:ascii="宋体" w:hAnsi="宋体" w:eastAsia="宋体" w:cs="宋体"/>
                <w:i w:val="0"/>
                <w:caps w:val="0"/>
                <w:color w:val="000000"/>
                <w:spacing w:val="0"/>
                <w:sz w:val="21"/>
                <w:szCs w:val="21"/>
                <w:highlight w:val="none"/>
                <w:lang w:val="en-US" w:eastAsia="zh-CN"/>
              </w:rPr>
              <w:t>则需</w:t>
            </w:r>
            <w:r>
              <w:rPr>
                <w:rFonts w:hint="eastAsia" w:ascii="宋体" w:hAnsi="宋体" w:eastAsia="宋体" w:cs="宋体"/>
                <w:i w:val="0"/>
                <w:caps w:val="0"/>
                <w:color w:val="auto"/>
                <w:spacing w:val="0"/>
                <w:sz w:val="21"/>
                <w:szCs w:val="21"/>
                <w:highlight w:val="none"/>
              </w:rPr>
              <w:t>备注</w:t>
            </w:r>
            <w:r>
              <w:rPr>
                <w:rFonts w:hint="eastAsia" w:ascii="宋体" w:hAnsi="宋体" w:eastAsia="宋体" w:cs="宋体"/>
                <w:i w:val="0"/>
                <w:caps w:val="0"/>
                <w:color w:val="auto"/>
                <w:spacing w:val="0"/>
                <w:sz w:val="21"/>
                <w:szCs w:val="21"/>
                <w:highlight w:val="none"/>
                <w:lang w:eastAsia="zh-CN"/>
              </w:rPr>
              <w:t>，</w:t>
            </w:r>
            <w:r>
              <w:rPr>
                <w:rFonts w:hint="eastAsia" w:ascii="宋体" w:hAnsi="宋体" w:eastAsia="宋体" w:cs="宋体"/>
                <w:i w:val="0"/>
                <w:caps w:val="0"/>
                <w:color w:val="auto"/>
                <w:spacing w:val="0"/>
                <w:sz w:val="21"/>
                <w:szCs w:val="21"/>
                <w:highlight w:val="none"/>
              </w:rPr>
              <w:t>转款备注：</w:t>
            </w:r>
            <w:r>
              <w:rPr>
                <w:rFonts w:hint="eastAsia"/>
                <w:color w:val="auto"/>
                <w:sz w:val="21"/>
                <w:szCs w:val="21"/>
                <w:highlight w:val="none"/>
                <w:lang w:eastAsia="zh-CN"/>
              </w:rPr>
              <w:t>巫溪至开州高速公路项目机电工程收费系统劳务施工</w:t>
            </w:r>
            <w:r>
              <w:rPr>
                <w:rFonts w:hint="eastAsia" w:ascii="宋体" w:hAnsi="宋体" w:cs="宋体"/>
                <w:i w:val="0"/>
                <w:caps w:val="0"/>
                <w:color w:val="auto"/>
                <w:spacing w:val="0"/>
                <w:sz w:val="21"/>
                <w:szCs w:val="21"/>
                <w:highlight w:val="none"/>
                <w:lang w:val="en-US" w:eastAsia="zh-CN"/>
              </w:rPr>
              <w:t>投标</w:t>
            </w:r>
            <w:r>
              <w:rPr>
                <w:rFonts w:hint="eastAsia" w:ascii="宋体" w:hAnsi="宋体" w:eastAsia="宋体" w:cs="宋体"/>
                <w:i w:val="0"/>
                <w:caps w:val="0"/>
                <w:color w:val="auto"/>
                <w:spacing w:val="0"/>
                <w:sz w:val="21"/>
                <w:szCs w:val="21"/>
                <w:highlight w:val="none"/>
              </w:rPr>
              <w:t>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2、投标保证金退还方式</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为便于及时退还，报价人在递交响应文件的同时，递交本项目保证金银行回单和公司的开户许可证复印件。</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未中标报价人的投标保证金，于该项目结果公示期结束后15个工作日内无息退还至报价人基本账户。</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中标人的投标保证金，自合同签订后15个工作日内无息退还至中标人基本账户。</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有下列情形之一的，投标保证金将不予退还：</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（1）</w:t>
            </w:r>
            <w:r>
              <w:rPr>
                <w:rFonts w:hint="eastAsia" w:ascii="宋体" w:hAnsi="宋体" w:cs="宋体"/>
                <w:color w:val="000000"/>
                <w:kern w:val="0"/>
                <w:szCs w:val="21"/>
                <w:highlight w:val="none"/>
                <w:lang w:eastAsia="zh-CN" w:bidi="ar"/>
              </w:rPr>
              <w:t>报价人</w:t>
            </w:r>
            <w:r>
              <w:rPr>
                <w:rFonts w:hint="eastAsia" w:ascii="宋体" w:hAnsi="宋体" w:cs="宋体"/>
                <w:color w:val="000000"/>
                <w:kern w:val="0"/>
                <w:szCs w:val="21"/>
                <w:highlight w:val="none"/>
                <w:lang w:bidi="ar"/>
              </w:rPr>
              <w:t>在投标有效期内撤销投标文件；</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（2）中标人在收到中标通知书后，无正当理由不与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订立合同，在签订合同时向</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提出附加条件，或者不按照招标文件要求提交履约保证金；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（3）中标人（或拟中标人）拒不提供或者不按时提供低价风险担保（适用于经评审的最低投标价法）；</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（4）</w:t>
            </w:r>
            <w:r>
              <w:rPr>
                <w:rFonts w:hint="eastAsia" w:ascii="宋体" w:hAnsi="宋体" w:cs="宋体"/>
                <w:color w:val="000000"/>
                <w:kern w:val="0"/>
                <w:szCs w:val="21"/>
                <w:highlight w:val="none"/>
                <w:lang w:eastAsia="zh-CN" w:bidi="ar"/>
              </w:rPr>
              <w:t>报价人</w:t>
            </w:r>
            <w:r>
              <w:rPr>
                <w:rFonts w:hint="eastAsia" w:ascii="宋体" w:hAnsi="宋体" w:cs="宋体"/>
                <w:color w:val="000000"/>
                <w:kern w:val="0"/>
                <w:szCs w:val="21"/>
                <w:highlight w:val="none"/>
                <w:lang w:bidi="ar"/>
              </w:rPr>
              <w:t>被发现本次投标存在串通投标、弄虚造假、行贿等违法行为的；</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（5）发生</w:t>
            </w:r>
            <w:r>
              <w:rPr>
                <w:rFonts w:hint="eastAsia" w:ascii="宋体" w:hAnsi="宋体" w:cs="宋体"/>
                <w:color w:val="000000"/>
                <w:kern w:val="0"/>
                <w:szCs w:val="21"/>
                <w:highlight w:val="none"/>
                <w:lang w:eastAsia="zh-CN" w:bidi="ar"/>
              </w:rPr>
              <w:t>报价人</w:t>
            </w:r>
            <w:r>
              <w:rPr>
                <w:rFonts w:hint="eastAsia" w:ascii="宋体" w:hAnsi="宋体" w:cs="宋体"/>
                <w:color w:val="000000"/>
                <w:kern w:val="0"/>
                <w:szCs w:val="21"/>
                <w:highlight w:val="none"/>
                <w:lang w:bidi="ar"/>
              </w:rPr>
              <w:t>须知前附表规定的其他可以不予退还投标保证金的情形。</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二、履约保证金</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报价人是否提供履约</w:t>
            </w:r>
            <w:r>
              <w:rPr>
                <w:rFonts w:hint="eastAsia" w:ascii="宋体" w:hAnsi="宋体" w:cs="宋体"/>
                <w:color w:val="000000"/>
                <w:kern w:val="0"/>
                <w:szCs w:val="21"/>
                <w:highlight w:val="none"/>
                <w:lang w:bidi="ar"/>
              </w:rPr>
              <w:t>保证金</w:t>
            </w:r>
            <w:r>
              <w:rPr>
                <w:rFonts w:hint="eastAsia" w:ascii="宋体" w:hAnsi="宋体" w:cs="宋体"/>
                <w:color w:val="000000"/>
                <w:kern w:val="0"/>
                <w:szCs w:val="21"/>
                <w:highlight w:val="none"/>
                <w:lang w:eastAsia="zh-CN" w:bidi="ar"/>
              </w:rPr>
              <w:t>：</w:t>
            </w:r>
            <w:r>
              <w:rPr>
                <w:rFonts w:hint="eastAsia" w:ascii="宋体" w:hAnsi="宋体" w:cs="宋体"/>
                <w:b/>
                <w:bCs/>
                <w:color w:val="000000"/>
                <w:kern w:val="0"/>
                <w:szCs w:val="21"/>
                <w:highlight w:val="none"/>
                <w:u w:val="single"/>
                <w:lang w:val="en-US" w:eastAsia="zh-CN" w:bidi="ar"/>
              </w:rPr>
              <w:t>否</w:t>
            </w:r>
          </w:p>
          <w:p>
            <w:pPr>
              <w:pStyle w:val="151"/>
              <w:keepNext w:val="0"/>
              <w:keepLines w:val="0"/>
              <w:pageBreakBefore w:val="0"/>
              <w:suppressLineNumbers w:val="0"/>
              <w:kinsoku/>
              <w:wordWrap/>
              <w:overflowPunct/>
              <w:topLinePunct w:val="0"/>
              <w:bidi w:val="0"/>
              <w:snapToGrid/>
              <w:spacing w:before="0" w:beforeAutospacing="0" w:after="0" w:afterAutospacing="0" w:line="360" w:lineRule="auto"/>
              <w:ind w:left="0" w:right="0" w:firstLine="420" w:firstLineChars="200"/>
              <w:textAlignment w:val="auto"/>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1、</w:t>
            </w:r>
            <w:r>
              <w:rPr>
                <w:rFonts w:hint="default" w:hAnsi="宋体"/>
                <w:color w:val="auto"/>
                <w:kern w:val="2"/>
                <w:sz w:val="21"/>
                <w:szCs w:val="21"/>
                <w:highlight w:val="none"/>
                <w:lang w:val="en-US" w:eastAsia="zh-CN"/>
              </w:rPr>
              <w:t>履约担保作为本</w:t>
            </w:r>
            <w:r>
              <w:rPr>
                <w:rFonts w:hint="eastAsia" w:hAnsi="宋体"/>
                <w:color w:val="auto"/>
                <w:kern w:val="2"/>
                <w:sz w:val="21"/>
                <w:szCs w:val="21"/>
                <w:highlight w:val="none"/>
                <w:lang w:val="en-US" w:eastAsia="zh-CN"/>
              </w:rPr>
              <w:t>项目</w:t>
            </w:r>
            <w:r>
              <w:rPr>
                <w:rFonts w:hint="default" w:hAnsi="宋体"/>
                <w:color w:val="auto"/>
                <w:kern w:val="2"/>
                <w:sz w:val="21"/>
                <w:szCs w:val="21"/>
                <w:highlight w:val="none"/>
                <w:lang w:val="en-US" w:eastAsia="zh-CN"/>
              </w:rPr>
              <w:t>合同附件</w:t>
            </w:r>
            <w:r>
              <w:rPr>
                <w:rFonts w:hint="eastAsia" w:hAnsi="宋体"/>
                <w:color w:val="auto"/>
                <w:kern w:val="2"/>
                <w:sz w:val="21"/>
                <w:szCs w:val="21"/>
                <w:highlight w:val="none"/>
                <w:lang w:val="en-US" w:eastAsia="zh-CN"/>
              </w:rPr>
              <w:t>。</w:t>
            </w:r>
          </w:p>
          <w:p>
            <w:pPr>
              <w:pStyle w:val="151"/>
              <w:keepNext w:val="0"/>
              <w:keepLines w:val="0"/>
              <w:pageBreakBefore w:val="0"/>
              <w:suppressLineNumbers w:val="0"/>
              <w:kinsoku/>
              <w:wordWrap/>
              <w:overflowPunct/>
              <w:topLinePunct w:val="0"/>
              <w:bidi w:val="0"/>
              <w:snapToGrid/>
              <w:spacing w:before="0" w:beforeAutospacing="0" w:after="0" w:afterAutospacing="0" w:line="360" w:lineRule="auto"/>
              <w:ind w:left="0" w:right="0" w:firstLine="420" w:firstLineChars="200"/>
              <w:textAlignment w:val="auto"/>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2、履约保证金的金额：/。</w:t>
            </w:r>
          </w:p>
          <w:p>
            <w:pPr>
              <w:pStyle w:val="151"/>
              <w:keepNext w:val="0"/>
              <w:keepLines w:val="0"/>
              <w:pageBreakBefore w:val="0"/>
              <w:suppressLineNumbers w:val="0"/>
              <w:kinsoku/>
              <w:wordWrap/>
              <w:overflowPunct/>
              <w:topLinePunct w:val="0"/>
              <w:bidi w:val="0"/>
              <w:snapToGrid/>
              <w:spacing w:before="0" w:beforeAutospacing="0" w:after="0" w:afterAutospacing="0" w:line="360" w:lineRule="auto"/>
              <w:ind w:left="0" w:right="0" w:firstLine="420" w:firstLineChars="200"/>
              <w:textAlignment w:val="auto"/>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3、履约保证金有效期：自双方签订的合同文件生效之日起，至合同约定的工程验收完成止。</w:t>
            </w:r>
          </w:p>
          <w:p>
            <w:pPr>
              <w:pStyle w:val="151"/>
              <w:keepNext w:val="0"/>
              <w:keepLines w:val="0"/>
              <w:pageBreakBefore w:val="0"/>
              <w:suppressLineNumbers w:val="0"/>
              <w:kinsoku/>
              <w:wordWrap/>
              <w:overflowPunct/>
              <w:topLinePunct w:val="0"/>
              <w:bidi w:val="0"/>
              <w:snapToGrid/>
              <w:spacing w:before="0" w:beforeAutospacing="0" w:after="0" w:afterAutospacing="0" w:line="360" w:lineRule="auto"/>
              <w:ind w:left="0" w:right="0" w:firstLine="420" w:firstLineChars="200"/>
              <w:textAlignment w:val="auto"/>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4、履约保证金缴纳方式：现金或保函</w:t>
            </w:r>
          </w:p>
          <w:p>
            <w:pPr>
              <w:pStyle w:val="40"/>
              <w:keepNext w:val="0"/>
              <w:keepLines w:val="0"/>
              <w:pageBreakBefore w:val="0"/>
              <w:widowControl/>
              <w:suppressLineNumbers w:val="0"/>
              <w:kinsoku/>
              <w:wordWrap/>
              <w:overflowPunct/>
              <w:topLinePunct w:val="0"/>
              <w:bidi w:val="0"/>
              <w:snapToGrid/>
              <w:spacing w:before="0" w:beforeAutospacing="0" w:after="0" w:afterAutospacing="0" w:line="360" w:lineRule="auto"/>
              <w:ind w:left="0" w:right="0" w:firstLine="420"/>
              <w:textAlignment w:val="auto"/>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5、履约保证金的提交：在甲方发出中标通知书后5个工作日内，中标人向采购人提供履约保证金</w:t>
            </w:r>
            <w:r>
              <w:rPr>
                <w:rFonts w:hint="default" w:hAnsi="宋体"/>
                <w:color w:val="auto"/>
                <w:kern w:val="2"/>
                <w:sz w:val="21"/>
                <w:szCs w:val="21"/>
                <w:highlight w:val="none"/>
                <w:lang w:val="en-US" w:eastAsia="zh-CN"/>
              </w:rPr>
              <w:t>缴纳凭证</w:t>
            </w:r>
            <w:r>
              <w:rPr>
                <w:rFonts w:hint="eastAsia" w:hAnsi="宋体"/>
                <w:color w:val="auto"/>
                <w:kern w:val="2"/>
                <w:sz w:val="21"/>
                <w:szCs w:val="21"/>
                <w:highlight w:val="none"/>
                <w:lang w:val="en-US" w:eastAsia="zh-CN"/>
              </w:rPr>
              <w:t>。若缴纳现金的，</w:t>
            </w:r>
            <w:r>
              <w:rPr>
                <w:rFonts w:hint="eastAsia" w:ascii="宋体" w:hAnsi="宋体" w:eastAsia="宋体" w:cs="宋体"/>
                <w:i w:val="0"/>
                <w:caps w:val="0"/>
                <w:color w:val="000000"/>
                <w:spacing w:val="0"/>
                <w:sz w:val="21"/>
                <w:szCs w:val="21"/>
                <w:highlight w:val="none"/>
                <w:lang w:val="en-US" w:eastAsia="zh-CN"/>
              </w:rPr>
              <w:t>则需</w:t>
            </w:r>
            <w:r>
              <w:rPr>
                <w:rFonts w:hint="eastAsia" w:ascii="宋体" w:hAnsi="宋体" w:eastAsia="宋体" w:cs="宋体"/>
                <w:i w:val="0"/>
                <w:caps w:val="0"/>
                <w:color w:val="auto"/>
                <w:spacing w:val="0"/>
                <w:sz w:val="21"/>
                <w:szCs w:val="21"/>
                <w:highlight w:val="none"/>
              </w:rPr>
              <w:t>备注</w:t>
            </w:r>
            <w:r>
              <w:rPr>
                <w:rFonts w:hint="eastAsia" w:ascii="宋体" w:hAnsi="宋体" w:eastAsia="宋体" w:cs="宋体"/>
                <w:i w:val="0"/>
                <w:caps w:val="0"/>
                <w:color w:val="auto"/>
                <w:spacing w:val="0"/>
                <w:sz w:val="21"/>
                <w:szCs w:val="21"/>
                <w:highlight w:val="none"/>
                <w:lang w:eastAsia="zh-CN"/>
              </w:rPr>
              <w:t>，</w:t>
            </w:r>
            <w:r>
              <w:rPr>
                <w:rFonts w:hint="eastAsia" w:ascii="宋体" w:hAnsi="宋体" w:eastAsia="宋体" w:cs="宋体"/>
                <w:i w:val="0"/>
                <w:caps w:val="0"/>
                <w:color w:val="auto"/>
                <w:spacing w:val="0"/>
                <w:sz w:val="21"/>
                <w:szCs w:val="21"/>
                <w:highlight w:val="none"/>
              </w:rPr>
              <w:t>转款备注：</w:t>
            </w:r>
            <w:r>
              <w:rPr>
                <w:rFonts w:hint="eastAsia"/>
                <w:color w:val="auto"/>
                <w:sz w:val="21"/>
                <w:szCs w:val="21"/>
                <w:highlight w:val="none"/>
                <w:lang w:eastAsia="zh-CN"/>
              </w:rPr>
              <w:t>巫溪至开州高速公路项目机电工程收费系统劳务施工</w:t>
            </w:r>
            <w:r>
              <w:rPr>
                <w:rFonts w:hint="eastAsia" w:ascii="宋体" w:hAnsi="宋体" w:eastAsia="宋体" w:cs="宋体"/>
                <w:i w:val="0"/>
                <w:caps w:val="0"/>
                <w:color w:val="auto"/>
                <w:spacing w:val="0"/>
                <w:sz w:val="21"/>
                <w:szCs w:val="21"/>
                <w:highlight w:val="none"/>
                <w:lang w:val="en-US" w:eastAsia="zh-CN"/>
              </w:rPr>
              <w:t>履约</w:t>
            </w:r>
            <w:r>
              <w:rPr>
                <w:rFonts w:hint="eastAsia" w:ascii="宋体" w:hAnsi="宋体" w:eastAsia="宋体" w:cs="宋体"/>
                <w:i w:val="0"/>
                <w:caps w:val="0"/>
                <w:color w:val="auto"/>
                <w:spacing w:val="0"/>
                <w:sz w:val="21"/>
                <w:szCs w:val="21"/>
                <w:highlight w:val="none"/>
              </w:rPr>
              <w:t>保证金</w:t>
            </w:r>
          </w:p>
          <w:p>
            <w:pPr>
              <w:keepNext w:val="0"/>
              <w:keepLines w:val="0"/>
              <w:suppressLineNumbers w:val="0"/>
              <w:spacing w:before="0" w:beforeAutospacing="0" w:after="0" w:afterAutospacing="0" w:line="360" w:lineRule="auto"/>
              <w:ind w:left="0" w:right="0"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6、若提供保函的：</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rPr>
              <w:t>保函的开立人应当是具有相应资格的银行、保险机构、融资担保公司，其信用资质、履约能力、担保能力、赔付流程、安全保密等应符合工程保函业务条件</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lang w:eastAsia="zh-CN"/>
              </w:rPr>
              <w:t>保函应合法合规，符合招投标行政监督部门、行业主管部门和金融监管部门的相关规定，满足招标文件约定要求。</w:t>
            </w:r>
            <w:r>
              <w:rPr>
                <w:rFonts w:hint="eastAsia" w:ascii="宋体" w:hAnsi="宋体" w:eastAsia="宋体" w:cs="宋体"/>
                <w:kern w:val="0"/>
                <w:szCs w:val="21"/>
                <w:highlight w:val="none"/>
                <w:lang w:val="en-US" w:eastAsia="zh-CN"/>
              </w:rPr>
              <w:t>报价人对所提交的纸质投标保函的真实性、合法性、有效性负责。</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hAnsi="宋体"/>
                <w:color w:val="auto"/>
                <w:kern w:val="2"/>
                <w:sz w:val="21"/>
                <w:szCs w:val="21"/>
                <w:highlight w:val="none"/>
                <w:lang w:val="en-US" w:eastAsia="zh-CN"/>
              </w:rPr>
              <w:t>7、</w:t>
            </w:r>
            <w:r>
              <w:rPr>
                <w:rFonts w:hint="default" w:ascii="宋体" w:hAnsi="宋体" w:cs="宋体"/>
                <w:color w:val="auto"/>
                <w:kern w:val="2"/>
                <w:sz w:val="21"/>
                <w:szCs w:val="21"/>
                <w:highlight w:val="none"/>
                <w:lang w:val="en-US" w:eastAsia="zh-CN"/>
              </w:rPr>
              <w:t>履约保证金退还：缴纳现金保函的，在完成合同约定的全部工作内容后28天后无息退还剩余部分。</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三、低价保证金</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报价人是否提供</w:t>
            </w:r>
            <w:r>
              <w:rPr>
                <w:rFonts w:hint="eastAsia" w:ascii="宋体" w:hAnsi="宋体" w:cs="宋体"/>
                <w:color w:val="000000"/>
                <w:kern w:val="0"/>
                <w:szCs w:val="21"/>
                <w:highlight w:val="none"/>
                <w:lang w:bidi="ar"/>
              </w:rPr>
              <w:t>低价保证金</w:t>
            </w:r>
            <w:r>
              <w:rPr>
                <w:rFonts w:hint="eastAsia" w:ascii="宋体" w:hAnsi="宋体" w:cs="宋体"/>
                <w:color w:val="000000"/>
                <w:kern w:val="0"/>
                <w:szCs w:val="21"/>
                <w:highlight w:val="none"/>
                <w:lang w:eastAsia="zh-CN" w:bidi="ar"/>
              </w:rPr>
              <w:t>：</w:t>
            </w:r>
            <w:r>
              <w:rPr>
                <w:rFonts w:hint="eastAsia" w:ascii="宋体" w:hAnsi="宋体" w:cs="宋体"/>
                <w:b/>
                <w:bCs/>
                <w:color w:val="000000"/>
                <w:kern w:val="0"/>
                <w:szCs w:val="21"/>
                <w:highlight w:val="none"/>
                <w:u w:val="single"/>
                <w:lang w:val="en-US" w:eastAsia="zh-CN" w:bidi="ar"/>
              </w:rPr>
              <w:t>否</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1．低价风险担保：中标价低于最高限价的85%时提供，如不按时足额提供，视为中标人放弃中标，</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有权不退还其投标保证金。</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2．中标人提供低价风险担保的形式、金额及期限：</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1）低价风险担保的形式：现金或保函或现金+保函的组合；采用保函形式的，保函必须为不可撤销、不可转让且见索即付的独立保函，保函格式详见第四章合同条款及格式附件，中标人出具保函时，不得修改“低价风险担保保函”名称，也不得对低价风险担保保函示范文本中付款条件等实质性内容进行修改，否则视为不符合招标文件规定。</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（2）低价风险担保的金额：（最高限价×85%-中标价）×3，且最高不超过最高限价的85%。</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（3）低价风险担保送达</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的时间：从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 xml:space="preserve">中标通知书送达拟中标人之日起 20 </w:t>
            </w:r>
            <w:r>
              <w:rPr>
                <w:rFonts w:hint="eastAsia" w:ascii="宋体" w:hAnsi="宋体" w:cs="宋体"/>
                <w:color w:val="000000"/>
                <w:kern w:val="0"/>
                <w:szCs w:val="21"/>
                <w:highlight w:val="none"/>
                <w:lang w:val="en-US" w:eastAsia="zh-CN" w:bidi="ar"/>
              </w:rPr>
              <w:t>个</w:t>
            </w:r>
            <w:r>
              <w:rPr>
                <w:rFonts w:hint="eastAsia" w:ascii="宋体" w:hAnsi="宋体" w:cs="宋体"/>
                <w:color w:val="000000"/>
                <w:kern w:val="0"/>
                <w:szCs w:val="21"/>
                <w:highlight w:val="none"/>
                <w:lang w:bidi="ar"/>
              </w:rPr>
              <w:t>工作日内。</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（4）中标人因自身原因未按中标通知书规定的时限与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签订合同的，其以现金形式提交低价风险担保的，</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有权扣除其低价风险担保金并取消其中标资格；以保函形式提交低价风险担保的，</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有权要求保函开立人支付保函担保的与低价风险担保金额等额的款项并取消中标人中标资格；中标人因自身原因未按中标通知书规定的时限与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签订合同，且未提交低价风险担保金或低价风险保函的，</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有权要求中标人承担低价风险担保金等额的损失并取消中标人资格。</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（5）低价风险担保的期限：自低价风险担保生效之日起至合同设备验收证书或验收款支付函签署之日止。</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3.低价风险担保的退还时间：采用现金担保的，在现场工程师确认供货完成后28天内全额退还，合同履行期间允许</w:t>
            </w:r>
            <w:r>
              <w:rPr>
                <w:rFonts w:hint="eastAsia" w:ascii="宋体" w:hAnsi="宋体" w:cs="宋体"/>
                <w:color w:val="000000"/>
                <w:kern w:val="0"/>
                <w:szCs w:val="21"/>
                <w:highlight w:val="none"/>
                <w:lang w:eastAsia="zh-CN" w:bidi="ar"/>
              </w:rPr>
              <w:t>乙方</w:t>
            </w:r>
            <w:r>
              <w:rPr>
                <w:rFonts w:hint="eastAsia" w:ascii="宋体" w:hAnsi="宋体" w:cs="宋体"/>
                <w:color w:val="000000"/>
                <w:kern w:val="0"/>
                <w:szCs w:val="21"/>
                <w:highlight w:val="none"/>
                <w:lang w:bidi="ar"/>
              </w:rPr>
              <w:t>用符合要求的银行保函进行置换；若所供货物完全满足要求，经现场工程师确认后可在供货金额达到合同金额的一半时，可申请退还一半的低价风险担保金，剩余部分在在现场工程师确认供货完成后28天内全额退还。</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（5）低价风险担保的扣减：</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①</w:t>
            </w:r>
            <w:r>
              <w:rPr>
                <w:rFonts w:hint="eastAsia" w:ascii="宋体" w:hAnsi="宋体" w:cs="宋体"/>
                <w:color w:val="000000"/>
                <w:kern w:val="0"/>
                <w:szCs w:val="21"/>
                <w:highlight w:val="none"/>
                <w:lang w:eastAsia="zh-CN" w:bidi="ar"/>
              </w:rPr>
              <w:t>乙方</w:t>
            </w:r>
            <w:r>
              <w:rPr>
                <w:rFonts w:hint="eastAsia" w:ascii="宋体" w:hAnsi="宋体" w:cs="宋体"/>
                <w:color w:val="000000"/>
                <w:kern w:val="0"/>
                <w:szCs w:val="21"/>
                <w:highlight w:val="none"/>
                <w:lang w:bidi="ar"/>
              </w:rPr>
              <w:t>在合同履行期间，以其投标时填报的价格过低为由拒绝</w:t>
            </w:r>
            <w:r>
              <w:rPr>
                <w:rFonts w:hint="eastAsia" w:ascii="宋体" w:hAnsi="宋体" w:cs="宋体"/>
                <w:color w:val="000000"/>
                <w:kern w:val="0"/>
                <w:szCs w:val="21"/>
                <w:highlight w:val="none"/>
                <w:lang w:val="en-US" w:eastAsia="zh-CN" w:bidi="ar"/>
              </w:rPr>
              <w:t>履行合同义务</w:t>
            </w:r>
            <w:r>
              <w:rPr>
                <w:rFonts w:hint="eastAsia" w:ascii="宋体" w:hAnsi="宋体" w:cs="宋体"/>
                <w:color w:val="000000"/>
                <w:kern w:val="0"/>
                <w:szCs w:val="21"/>
                <w:highlight w:val="none"/>
                <w:lang w:bidi="ar"/>
              </w:rPr>
              <w:t>；或因其自身其他原因导致项目暂停等，给</w:t>
            </w:r>
            <w:r>
              <w:rPr>
                <w:rFonts w:hint="eastAsia" w:ascii="宋体" w:hAnsi="宋体" w:cs="宋体"/>
                <w:color w:val="000000"/>
                <w:kern w:val="0"/>
                <w:szCs w:val="21"/>
                <w:highlight w:val="none"/>
                <w:lang w:eastAsia="zh-CN" w:bidi="ar"/>
              </w:rPr>
              <w:t>甲方</w:t>
            </w:r>
            <w:r>
              <w:rPr>
                <w:rFonts w:hint="eastAsia" w:ascii="宋体" w:hAnsi="宋体" w:cs="宋体"/>
                <w:color w:val="000000"/>
                <w:kern w:val="0"/>
                <w:szCs w:val="21"/>
                <w:highlight w:val="none"/>
                <w:lang w:bidi="ar"/>
              </w:rPr>
              <w:t>造成直接经济损失且拒绝承担的，按低价风险担保金额的50～100%扣减，直至解除合同；</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②因</w:t>
            </w:r>
            <w:r>
              <w:rPr>
                <w:rFonts w:hint="eastAsia" w:ascii="宋体" w:hAnsi="宋体" w:cs="宋体"/>
                <w:color w:val="000000"/>
                <w:kern w:val="0"/>
                <w:szCs w:val="21"/>
                <w:highlight w:val="none"/>
                <w:lang w:eastAsia="zh-CN" w:bidi="ar"/>
              </w:rPr>
              <w:t>乙方</w:t>
            </w:r>
            <w:r>
              <w:rPr>
                <w:rFonts w:hint="eastAsia" w:ascii="宋体" w:hAnsi="宋体" w:cs="宋体"/>
                <w:color w:val="000000"/>
                <w:kern w:val="0"/>
                <w:szCs w:val="21"/>
                <w:highlight w:val="none"/>
                <w:lang w:bidi="ar"/>
              </w:rPr>
              <w:t>违约被解除合同的，低价风险担保将全额扣除；</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③因</w:t>
            </w:r>
            <w:r>
              <w:rPr>
                <w:rFonts w:hint="eastAsia" w:ascii="宋体" w:hAnsi="宋体" w:cs="宋体"/>
                <w:color w:val="000000"/>
                <w:kern w:val="0"/>
                <w:szCs w:val="21"/>
                <w:highlight w:val="none"/>
                <w:lang w:eastAsia="zh-CN" w:bidi="ar"/>
              </w:rPr>
              <w:t>乙方</w:t>
            </w:r>
            <w:r>
              <w:rPr>
                <w:rFonts w:hint="eastAsia" w:ascii="宋体" w:hAnsi="宋体" w:cs="宋体"/>
                <w:color w:val="000000"/>
                <w:kern w:val="0"/>
                <w:szCs w:val="21"/>
                <w:highlight w:val="none"/>
                <w:lang w:bidi="ar"/>
              </w:rPr>
              <w:t>原因导致的其他情形。</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4．采用经评审最低投标价法的项目，拟中标人或者中标人放弃中标项目，无正当理由不与</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签订合同，在签订合同时向</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提出附加条件或者更改合同实质性内容，或者拒不按照招标文件规定提交低价风险担保或履约担保的，取消其中标资格，投标保证金以现金形式交纳的不予退还，以保函形式递交的由保函开立人支付保函担保的与投标保证金等额的款项，给</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造成的损失超过投标保证金数额的，拟中标人或中标人应对超过部分予以赔偿。</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备注：当中标人或拟中标人未按时提交低价风险担保，且属于可以延长低价风险担保提交期限的特殊情形时，经</w:t>
            </w:r>
            <w:r>
              <w:rPr>
                <w:rFonts w:hint="eastAsia" w:ascii="宋体" w:hAnsi="宋体" w:cs="宋体"/>
                <w:color w:val="000000"/>
                <w:kern w:val="0"/>
                <w:szCs w:val="21"/>
                <w:highlight w:val="none"/>
                <w:lang w:eastAsia="zh-CN" w:bidi="ar"/>
              </w:rPr>
              <w:t>采购人</w:t>
            </w:r>
            <w:r>
              <w:rPr>
                <w:rFonts w:hint="eastAsia" w:ascii="宋体" w:hAnsi="宋体" w:cs="宋体"/>
                <w:color w:val="000000"/>
                <w:kern w:val="0"/>
                <w:szCs w:val="21"/>
                <w:highlight w:val="none"/>
                <w:lang w:bidi="ar"/>
              </w:rPr>
              <w:t>同意，可适当延长低价风险担保的提交期限。</w:t>
            </w:r>
          </w:p>
          <w:p>
            <w:pPr>
              <w:keepNext w:val="0"/>
              <w:keepLines w:val="0"/>
              <w:suppressLineNumbers w:val="0"/>
              <w:spacing w:before="0" w:beforeAutospacing="0" w:after="0" w:afterAutospacing="0" w:line="360" w:lineRule="auto"/>
              <w:ind w:left="0" w:right="0" w:firstLine="420" w:firstLineChars="200"/>
              <w:rPr>
                <w:rFonts w:hint="default" w:ascii="宋体" w:hAnsi="宋体" w:cs="宋体"/>
                <w:color w:val="000000"/>
                <w:kern w:val="0"/>
                <w:szCs w:val="21"/>
                <w:highlight w:val="none"/>
                <w:lang w:bidi="ar"/>
              </w:rPr>
            </w:pPr>
            <w:r>
              <w:rPr>
                <w:rFonts w:hint="eastAsia" w:ascii="宋体" w:hAnsi="宋体" w:cs="宋体"/>
                <w:color w:val="000000"/>
                <w:kern w:val="0"/>
                <w:szCs w:val="21"/>
                <w:highlight w:val="none"/>
                <w:lang w:bidi="ar"/>
              </w:rPr>
              <w:t>投标总报价低于最高限价85%的，</w:t>
            </w:r>
            <w:r>
              <w:rPr>
                <w:rFonts w:hint="eastAsia" w:ascii="宋体" w:hAnsi="宋体" w:cs="宋体"/>
                <w:color w:val="000000"/>
                <w:kern w:val="0"/>
                <w:szCs w:val="21"/>
                <w:highlight w:val="none"/>
                <w:lang w:eastAsia="zh-CN" w:bidi="ar"/>
              </w:rPr>
              <w:t>报价人</w:t>
            </w:r>
            <w:r>
              <w:rPr>
                <w:rFonts w:hint="eastAsia" w:ascii="宋体" w:hAnsi="宋体" w:cs="宋体"/>
                <w:color w:val="000000"/>
                <w:kern w:val="0"/>
                <w:szCs w:val="21"/>
                <w:highlight w:val="none"/>
                <w:lang w:bidi="ar"/>
              </w:rPr>
              <w:t>应在编制投标文件时，在投标函部分中递交低价风险担保提交承诺书。</w:t>
            </w:r>
            <w:r>
              <w:rPr>
                <w:rFonts w:hint="eastAsia" w:ascii="宋体" w:hAnsi="宋体" w:cs="宋体"/>
                <w:color w:val="000000"/>
                <w:kern w:val="0"/>
                <w:szCs w:val="21"/>
                <w:highlight w:val="none"/>
                <w:lang w:val="en-US" w:eastAsia="zh-CN" w:bidi="ar"/>
              </w:rPr>
              <w:t>格式自拟。</w:t>
            </w:r>
          </w:p>
          <w:p>
            <w:pPr>
              <w:keepNext w:val="0"/>
              <w:keepLines w:val="0"/>
              <w:suppressLineNumbers w:val="0"/>
              <w:spacing w:before="0" w:beforeAutospacing="0" w:after="0" w:afterAutospacing="0" w:line="360" w:lineRule="auto"/>
              <w:ind w:left="0" w:right="0" w:firstLine="420" w:firstLineChars="200"/>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保证金缴纳方式及要求：报价人从企业的基本账户（开户行）在采购人规定时间内，向采购人通过电汇方式直接划付至采购人指定的保证金账户，否则，保证金无效。报价人自行考虑汇入时间风险，如同城汇入、异地汇入、跨行汇入的时间要求。</w:t>
            </w:r>
          </w:p>
          <w:p>
            <w:pPr>
              <w:keepNext w:val="0"/>
              <w:keepLines w:val="0"/>
              <w:suppressLineNumbers w:val="0"/>
              <w:spacing w:before="0" w:beforeAutospacing="0" w:after="0" w:afterAutospacing="0" w:line="360" w:lineRule="auto"/>
              <w:ind w:left="0" w:right="0" w:firstLine="420" w:firstLineChars="200"/>
              <w:rPr>
                <w:rFonts w:hint="default" w:hAnsi="宋体"/>
                <w:color w:val="auto"/>
                <w:kern w:val="2"/>
                <w:sz w:val="21"/>
                <w:szCs w:val="21"/>
                <w:highlight w:val="none"/>
              </w:rPr>
            </w:pPr>
            <w:r>
              <w:rPr>
                <w:rFonts w:hint="eastAsia" w:hAnsi="宋体"/>
                <w:color w:val="auto"/>
                <w:kern w:val="2"/>
                <w:sz w:val="21"/>
                <w:szCs w:val="21"/>
                <w:highlight w:val="none"/>
                <w:lang w:val="en-US" w:eastAsia="zh-CN"/>
              </w:rPr>
              <w:t>四</w:t>
            </w:r>
            <w:r>
              <w:rPr>
                <w:rFonts w:hint="eastAsia" w:hAnsi="宋体"/>
                <w:color w:val="auto"/>
                <w:kern w:val="2"/>
                <w:sz w:val="21"/>
                <w:szCs w:val="21"/>
                <w:highlight w:val="none"/>
              </w:rPr>
              <w:t>、采购人指定的开户银行及账号如下：</w:t>
            </w:r>
          </w:p>
          <w:p>
            <w:pPr>
              <w:pStyle w:val="151"/>
              <w:keepNext w:val="0"/>
              <w:keepLines w:val="0"/>
              <w:suppressLineNumbers w:val="0"/>
              <w:spacing w:before="0" w:beforeAutospacing="0" w:after="0" w:afterAutospacing="0" w:line="360" w:lineRule="auto"/>
              <w:ind w:left="0" w:right="0" w:firstLine="420" w:firstLineChars="200"/>
              <w:rPr>
                <w:rFonts w:hint="default" w:hAnsi="宋体"/>
                <w:color w:val="auto"/>
                <w:kern w:val="2"/>
                <w:sz w:val="21"/>
                <w:szCs w:val="21"/>
                <w:highlight w:val="none"/>
              </w:rPr>
            </w:pPr>
            <w:r>
              <w:rPr>
                <w:rFonts w:hint="eastAsia" w:hAnsi="宋体"/>
                <w:color w:val="auto"/>
                <w:kern w:val="2"/>
                <w:sz w:val="21"/>
                <w:szCs w:val="21"/>
                <w:highlight w:val="none"/>
              </w:rPr>
              <w:t>账户名称：重庆首讯科技股份有限公司</w:t>
            </w:r>
          </w:p>
          <w:p>
            <w:pPr>
              <w:pStyle w:val="151"/>
              <w:keepNext w:val="0"/>
              <w:keepLines w:val="0"/>
              <w:suppressLineNumbers w:val="0"/>
              <w:spacing w:before="0" w:beforeAutospacing="0" w:after="0" w:afterAutospacing="0" w:line="360" w:lineRule="auto"/>
              <w:ind w:left="0" w:right="0" w:firstLine="420" w:firstLineChars="200"/>
              <w:rPr>
                <w:rFonts w:hint="default" w:hAnsi="宋体"/>
                <w:color w:val="auto"/>
                <w:kern w:val="2"/>
                <w:sz w:val="21"/>
                <w:szCs w:val="21"/>
                <w:highlight w:val="none"/>
              </w:rPr>
            </w:pPr>
            <w:r>
              <w:rPr>
                <w:rFonts w:hint="eastAsia" w:hAnsi="宋体"/>
                <w:color w:val="auto"/>
                <w:kern w:val="2"/>
                <w:sz w:val="21"/>
                <w:szCs w:val="21"/>
                <w:highlight w:val="none"/>
              </w:rPr>
              <w:t>开户银行：兴业银行重庆分行营业部</w:t>
            </w:r>
          </w:p>
          <w:p>
            <w:pPr>
              <w:pStyle w:val="151"/>
              <w:keepNext w:val="0"/>
              <w:keepLines w:val="0"/>
              <w:suppressLineNumbers w:val="0"/>
              <w:spacing w:before="0" w:beforeAutospacing="0" w:after="0" w:afterAutospacing="0" w:line="360" w:lineRule="auto"/>
              <w:ind w:left="0" w:right="0" w:firstLine="420" w:firstLineChars="200"/>
              <w:rPr>
                <w:rFonts w:hint="eastAsia" w:hAnsi="宋体"/>
                <w:color w:val="auto"/>
                <w:kern w:val="2"/>
                <w:sz w:val="21"/>
                <w:szCs w:val="21"/>
                <w:highlight w:val="none"/>
              </w:rPr>
            </w:pPr>
            <w:r>
              <w:rPr>
                <w:rFonts w:hint="eastAsia" w:hAnsi="宋体"/>
                <w:color w:val="auto"/>
                <w:kern w:val="2"/>
                <w:sz w:val="21"/>
                <w:szCs w:val="21"/>
                <w:highlight w:val="none"/>
              </w:rPr>
              <w:t>帐    号：3460 1010 0100 4791 14</w:t>
            </w:r>
          </w:p>
          <w:p>
            <w:pPr>
              <w:pStyle w:val="151"/>
              <w:spacing w:line="400" w:lineRule="exact"/>
              <w:ind w:firstLine="422" w:firstLineChars="200"/>
              <w:rPr>
                <w:rFonts w:hint="default" w:hAnsi="宋体" w:cs="宋体"/>
                <w:color w:val="auto"/>
                <w:kern w:val="2"/>
                <w:sz w:val="21"/>
                <w:szCs w:val="24"/>
                <w:highlight w:val="none"/>
                <w:lang w:val="en-US" w:eastAsia="zh-CN" w:bidi="ar-SA"/>
              </w:rPr>
            </w:pPr>
            <w:r>
              <w:rPr>
                <w:rFonts w:hint="eastAsia" w:ascii="宋体" w:hAnsi="宋体" w:eastAsia="宋体" w:cs="宋体"/>
                <w:b/>
                <w:bCs/>
                <w:color w:val="auto"/>
                <w:sz w:val="21"/>
                <w:szCs w:val="18"/>
                <w:highlight w:val="none"/>
                <w:lang w:eastAsia="zh-CN"/>
              </w:rPr>
              <w:t>注：</w:t>
            </w:r>
            <w:r>
              <w:rPr>
                <w:rFonts w:hint="eastAsia" w:ascii="宋体" w:hAnsi="宋体" w:eastAsia="宋体" w:cs="宋体"/>
                <w:b/>
                <w:bCs/>
                <w:color w:val="auto"/>
                <w:sz w:val="21"/>
                <w:szCs w:val="18"/>
                <w:highlight w:val="none"/>
              </w:rPr>
              <w:t>根据</w:t>
            </w:r>
            <w:r>
              <w:rPr>
                <w:rFonts w:hint="eastAsia" w:ascii="宋体" w:hAnsi="宋体" w:eastAsia="宋体" w:cs="宋体"/>
                <w:b/>
                <w:bCs/>
                <w:color w:val="auto"/>
                <w:sz w:val="21"/>
                <w:szCs w:val="18"/>
                <w:highlight w:val="none"/>
                <w:lang w:eastAsia="zh-CN"/>
              </w:rPr>
              <w:t>采购人</w:t>
            </w:r>
            <w:r>
              <w:rPr>
                <w:rFonts w:hint="eastAsia" w:ascii="宋体" w:hAnsi="宋体" w:eastAsia="宋体" w:cs="宋体"/>
                <w:b/>
                <w:bCs/>
                <w:color w:val="auto"/>
                <w:sz w:val="21"/>
                <w:szCs w:val="18"/>
                <w:highlight w:val="none"/>
              </w:rPr>
              <w:t>《合格供方库管理办法》，符合免交投标</w:t>
            </w:r>
            <w:r>
              <w:rPr>
                <w:rFonts w:hint="eastAsia" w:ascii="宋体" w:hAnsi="宋体" w:eastAsia="宋体" w:cs="宋体"/>
                <w:b/>
                <w:bCs/>
                <w:color w:val="auto"/>
                <w:sz w:val="21"/>
                <w:szCs w:val="18"/>
                <w:highlight w:val="none"/>
                <w:lang w:eastAsia="zh-CN"/>
              </w:rPr>
              <w:t>保证金</w:t>
            </w:r>
            <w:r>
              <w:rPr>
                <w:rFonts w:hint="eastAsia" w:ascii="宋体" w:hAnsi="宋体" w:eastAsia="宋体" w:cs="宋体"/>
                <w:b/>
                <w:bCs/>
                <w:color w:val="auto"/>
                <w:sz w:val="21"/>
                <w:szCs w:val="18"/>
                <w:highlight w:val="none"/>
              </w:rPr>
              <w:t>及履约</w:t>
            </w:r>
            <w:r>
              <w:rPr>
                <w:rFonts w:hint="eastAsia" w:ascii="宋体" w:hAnsi="宋体" w:eastAsia="宋体" w:cs="宋体"/>
                <w:b/>
                <w:bCs/>
                <w:color w:val="auto"/>
                <w:sz w:val="21"/>
                <w:szCs w:val="18"/>
                <w:highlight w:val="none"/>
                <w:lang w:eastAsia="zh-CN"/>
              </w:rPr>
              <w:t>保证金</w:t>
            </w:r>
            <w:r>
              <w:rPr>
                <w:rFonts w:hint="eastAsia" w:ascii="宋体" w:hAnsi="宋体" w:eastAsia="宋体" w:cs="宋体"/>
                <w:b/>
                <w:bCs/>
                <w:color w:val="auto"/>
                <w:sz w:val="21"/>
                <w:szCs w:val="18"/>
                <w:highlight w:val="none"/>
              </w:rPr>
              <w:t>资格的</w:t>
            </w:r>
            <w:r>
              <w:rPr>
                <w:rFonts w:hint="eastAsia" w:ascii="宋体" w:hAnsi="宋体" w:eastAsia="宋体" w:cs="宋体"/>
                <w:b/>
                <w:bCs/>
                <w:color w:val="auto"/>
                <w:sz w:val="21"/>
                <w:szCs w:val="18"/>
                <w:highlight w:val="none"/>
                <w:lang w:eastAsia="zh-CN"/>
              </w:rPr>
              <w:t>报价人</w:t>
            </w:r>
            <w:r>
              <w:rPr>
                <w:rFonts w:hint="eastAsia" w:ascii="宋体" w:hAnsi="宋体" w:eastAsia="宋体" w:cs="宋体"/>
                <w:b/>
                <w:bCs/>
                <w:color w:val="auto"/>
                <w:sz w:val="21"/>
                <w:szCs w:val="18"/>
                <w:highlight w:val="none"/>
              </w:rPr>
              <w:t>，可提交经</w:t>
            </w:r>
            <w:r>
              <w:rPr>
                <w:rFonts w:hint="eastAsia" w:ascii="宋体" w:hAnsi="宋体" w:eastAsia="宋体" w:cs="宋体"/>
                <w:b/>
                <w:bCs/>
                <w:color w:val="auto"/>
                <w:sz w:val="21"/>
                <w:szCs w:val="18"/>
                <w:highlight w:val="none"/>
                <w:lang w:eastAsia="zh-CN"/>
              </w:rPr>
              <w:t>采购人</w:t>
            </w:r>
            <w:r>
              <w:rPr>
                <w:rFonts w:hint="eastAsia" w:ascii="宋体" w:hAnsi="宋体" w:eastAsia="宋体" w:cs="宋体"/>
                <w:b/>
                <w:bCs/>
                <w:color w:val="auto"/>
                <w:sz w:val="21"/>
                <w:szCs w:val="18"/>
                <w:highlight w:val="none"/>
              </w:rPr>
              <w:t>审批通过并加盖</w:t>
            </w:r>
            <w:r>
              <w:rPr>
                <w:rFonts w:hint="eastAsia" w:ascii="宋体" w:hAnsi="宋体" w:eastAsia="宋体" w:cs="宋体"/>
                <w:b/>
                <w:bCs/>
                <w:color w:val="auto"/>
                <w:sz w:val="21"/>
                <w:szCs w:val="18"/>
                <w:highlight w:val="none"/>
                <w:lang w:eastAsia="zh-CN"/>
              </w:rPr>
              <w:t>采购人</w:t>
            </w:r>
            <w:r>
              <w:rPr>
                <w:rFonts w:hint="eastAsia" w:ascii="宋体" w:hAnsi="宋体" w:eastAsia="宋体" w:cs="宋体"/>
                <w:b/>
                <w:bCs/>
                <w:color w:val="auto"/>
                <w:sz w:val="21"/>
                <w:szCs w:val="18"/>
                <w:highlight w:val="none"/>
              </w:rPr>
              <w:t>单位公章的《免交投标担保及履约担保审批表》代替相关</w:t>
            </w:r>
            <w:r>
              <w:rPr>
                <w:rFonts w:hint="eastAsia" w:ascii="宋体" w:hAnsi="宋体" w:eastAsia="宋体" w:cs="宋体"/>
                <w:b/>
                <w:bCs/>
                <w:color w:val="auto"/>
                <w:sz w:val="21"/>
                <w:szCs w:val="18"/>
                <w:highlight w:val="none"/>
                <w:lang w:eastAsia="zh-CN"/>
              </w:rPr>
              <w:t>投标（或履约）</w:t>
            </w:r>
            <w:r>
              <w:rPr>
                <w:rFonts w:hint="eastAsia" w:ascii="宋体" w:hAnsi="宋体" w:eastAsia="宋体" w:cs="宋体"/>
                <w:b/>
                <w:bCs/>
                <w:color w:val="auto"/>
                <w:sz w:val="21"/>
                <w:szCs w:val="18"/>
                <w:highlight w:val="none"/>
              </w:rPr>
              <w:t>保证金凭证。《免交投标担保及履约担保审批表》须在有效期内</w:t>
            </w:r>
            <w:r>
              <w:rPr>
                <w:rFonts w:hint="eastAsia" w:ascii="宋体" w:hAnsi="宋体" w:eastAsia="宋体" w:cs="宋体"/>
                <w:b/>
                <w:bCs/>
                <w:color w:val="auto"/>
                <w:sz w:val="21"/>
                <w:szCs w:val="18"/>
                <w:highlight w:val="none"/>
                <w:lang w:eastAsia="zh-CN"/>
              </w:rPr>
              <w:t>，资料复印件</w:t>
            </w:r>
            <w:r>
              <w:rPr>
                <w:rFonts w:hint="eastAsia" w:ascii="宋体" w:hAnsi="宋体" w:eastAsia="宋体" w:cs="宋体"/>
                <w:b/>
                <w:bCs/>
                <w:color w:val="auto"/>
                <w:sz w:val="21"/>
                <w:szCs w:val="18"/>
                <w:highlight w:val="none"/>
              </w:rPr>
              <w:t>加盖投标单位法人章并装入投标文件</w:t>
            </w:r>
            <w:r>
              <w:rPr>
                <w:rFonts w:hint="eastAsia" w:ascii="宋体" w:hAnsi="宋体" w:eastAsia="宋体" w:cs="宋体"/>
                <w:b/>
                <w:bCs/>
                <w:color w:val="auto"/>
                <w:sz w:val="21"/>
                <w:szCs w:val="18"/>
                <w:highlight w:val="none"/>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51"/>
              <w:spacing w:line="400" w:lineRule="exact"/>
              <w:jc w:val="center"/>
              <w:rPr>
                <w:rFonts w:hint="default"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bidi="ar-SA"/>
              </w:rPr>
              <w:t>19</w:t>
            </w:r>
          </w:p>
        </w:tc>
        <w:tc>
          <w:tcPr>
            <w:tcW w:w="2106" w:type="dxa"/>
            <w:vAlign w:val="center"/>
          </w:tcPr>
          <w:p>
            <w:pPr>
              <w:pStyle w:val="151"/>
              <w:spacing w:line="400" w:lineRule="exact"/>
              <w:jc w:val="center"/>
              <w:rPr>
                <w:rFonts w:hint="eastAsia" w:ascii="宋体" w:hAnsi="宋体" w:eastAsia="宋体" w:cs="宋体"/>
                <w:color w:val="auto"/>
                <w:sz w:val="21"/>
                <w:szCs w:val="21"/>
                <w:highlight w:val="none"/>
                <w:lang w:val="en-US" w:eastAsia="zh-CN" w:bidi="ar-SA"/>
              </w:rPr>
            </w:pPr>
            <w:r>
              <w:rPr>
                <w:rFonts w:hint="eastAsia" w:hAnsi="宋体"/>
                <w:color w:val="auto"/>
                <w:kern w:val="2"/>
                <w:sz w:val="21"/>
                <w:szCs w:val="21"/>
                <w:highlight w:val="none"/>
              </w:rPr>
              <w:t>监督部门</w:t>
            </w:r>
          </w:p>
        </w:tc>
        <w:tc>
          <w:tcPr>
            <w:tcW w:w="7104" w:type="dxa"/>
            <w:vAlign w:val="center"/>
          </w:tcPr>
          <w:p>
            <w:pPr>
              <w:pStyle w:val="151"/>
              <w:spacing w:line="400" w:lineRule="exact"/>
              <w:ind w:firstLine="420" w:firstLineChars="200"/>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监督部门：重庆首讯科技股份有限公司合规监管部</w:t>
            </w:r>
          </w:p>
          <w:p>
            <w:pPr>
              <w:pStyle w:val="15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地    址：重庆市渝北区新南路52号东界龙湖三楼</w:t>
            </w:r>
          </w:p>
          <w:p>
            <w:pPr>
              <w:pStyle w:val="151"/>
              <w:spacing w:line="400" w:lineRule="exact"/>
              <w:ind w:firstLine="420" w:firstLineChars="200"/>
              <w:rPr>
                <w:rFonts w:hint="default" w:ascii="宋体" w:hAnsi="宋体" w:eastAsia="宋体" w:cs="宋体"/>
                <w:color w:val="auto"/>
                <w:sz w:val="21"/>
                <w:szCs w:val="21"/>
                <w:highlight w:val="none"/>
                <w:lang w:val="en-US" w:eastAsia="zh-CN" w:bidi="ar-SA"/>
              </w:rPr>
            </w:pPr>
            <w:r>
              <w:rPr>
                <w:rFonts w:hint="eastAsia" w:hAnsi="宋体"/>
                <w:color w:val="auto"/>
                <w:kern w:val="2"/>
                <w:sz w:val="21"/>
                <w:szCs w:val="21"/>
                <w:highlight w:val="none"/>
                <w:lang w:val="en-US" w:eastAsia="zh-CN"/>
              </w:rPr>
              <w:t>电    话：023-63132246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51"/>
              <w:spacing w:line="400" w:lineRule="exact"/>
              <w:jc w:val="center"/>
              <w:rPr>
                <w:rFonts w:hint="default" w:hAnsi="宋体" w:cs="宋体"/>
                <w:color w:val="auto"/>
                <w:sz w:val="21"/>
                <w:szCs w:val="21"/>
                <w:highlight w:val="none"/>
                <w:lang w:val="en-US" w:eastAsia="zh-CN" w:bidi="ar-SA"/>
              </w:rPr>
            </w:pPr>
            <w:r>
              <w:rPr>
                <w:rFonts w:hint="eastAsia" w:hAnsi="宋体" w:cs="宋体"/>
                <w:color w:val="auto"/>
                <w:sz w:val="21"/>
                <w:szCs w:val="21"/>
                <w:highlight w:val="none"/>
                <w:lang w:val="en-US" w:eastAsia="zh-CN" w:bidi="ar-SA"/>
              </w:rPr>
              <w:t>20</w:t>
            </w:r>
          </w:p>
        </w:tc>
        <w:tc>
          <w:tcPr>
            <w:tcW w:w="2106" w:type="dxa"/>
            <w:vAlign w:val="center"/>
          </w:tcPr>
          <w:p>
            <w:pPr>
              <w:pStyle w:val="151"/>
              <w:keepNext w:val="0"/>
              <w:keepLines w:val="0"/>
              <w:suppressLineNumbers w:val="0"/>
              <w:spacing w:before="0" w:beforeAutospacing="0" w:after="0" w:afterAutospacing="0" w:line="400" w:lineRule="exact"/>
              <w:ind w:left="0" w:leftChars="0" w:right="0" w:rightChars="0"/>
              <w:jc w:val="center"/>
              <w:rPr>
                <w:rFonts w:hint="eastAsia" w:hAnsi="宋体" w:eastAsia="宋体"/>
                <w:color w:val="auto"/>
                <w:kern w:val="2"/>
                <w:sz w:val="21"/>
                <w:szCs w:val="21"/>
                <w:highlight w:val="none"/>
                <w:lang w:eastAsia="zh-CN"/>
              </w:rPr>
            </w:pPr>
            <w:r>
              <w:rPr>
                <w:rFonts w:hint="eastAsia" w:hAnsi="宋体"/>
                <w:color w:val="auto"/>
                <w:kern w:val="2"/>
                <w:sz w:val="21"/>
                <w:szCs w:val="21"/>
                <w:highlight w:val="none"/>
              </w:rPr>
              <w:t>竞争性比选响应文件的</w:t>
            </w:r>
            <w:r>
              <w:rPr>
                <w:rFonts w:hint="eastAsia" w:hAnsi="宋体"/>
                <w:color w:val="auto"/>
                <w:kern w:val="2"/>
                <w:sz w:val="21"/>
                <w:szCs w:val="21"/>
                <w:highlight w:val="none"/>
                <w:lang w:val="en-US" w:eastAsia="zh-CN"/>
              </w:rPr>
              <w:t>组成</w:t>
            </w:r>
          </w:p>
        </w:tc>
        <w:tc>
          <w:tcPr>
            <w:tcW w:w="7104" w:type="dxa"/>
            <w:vAlign w:val="center"/>
          </w:tcPr>
          <w:p>
            <w:pPr>
              <w:pStyle w:val="15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1.竞争性比选文件需加盖报价人的公章，竞争性比选响应文件提交</w:t>
            </w:r>
            <w:r>
              <w:rPr>
                <w:rFonts w:hint="eastAsia" w:hAnsi="宋体"/>
                <w:b/>
                <w:bCs/>
                <w:color w:val="auto"/>
                <w:kern w:val="2"/>
                <w:sz w:val="21"/>
                <w:szCs w:val="21"/>
                <w:highlight w:val="none"/>
                <w:lang w:val="en-US" w:eastAsia="zh-CN"/>
              </w:rPr>
              <w:t>正本1份，副本1份，电子文件1份</w:t>
            </w:r>
            <w:r>
              <w:rPr>
                <w:rFonts w:hint="eastAsia" w:hAnsi="宋体"/>
                <w:color w:val="auto"/>
                <w:kern w:val="2"/>
                <w:sz w:val="21"/>
                <w:szCs w:val="21"/>
                <w:highlight w:val="none"/>
                <w:lang w:val="en-US" w:eastAsia="zh-CN"/>
              </w:rPr>
              <w:t>，副本可为正本的复印件，竞争性比选响应文件需装订成册；电子文件1份应提供竞争性比选响应文件（盖章版）扫描版PDF电子版本（U盘1份，电子文件内容须包括竞争性比选响应文件全部内容）。当电子文件与纸质版竞争性比选响应文件不一致时，以纸质版竞争性比选响应文件为准，当正本与副本不一致时，以正本为准。</w:t>
            </w:r>
          </w:p>
          <w:p>
            <w:pPr>
              <w:pStyle w:val="151"/>
              <w:spacing w:line="400" w:lineRule="exact"/>
              <w:ind w:firstLine="420" w:firstLineChars="200"/>
              <w:rPr>
                <w:rFonts w:hint="eastAsia" w:hAnsi="宋体"/>
                <w:color w:val="auto"/>
                <w:kern w:val="2"/>
                <w:sz w:val="21"/>
                <w:szCs w:val="21"/>
                <w:highlight w:val="none"/>
                <w:lang w:val="en-US" w:eastAsia="zh-CN"/>
              </w:rPr>
            </w:pPr>
            <w:r>
              <w:rPr>
                <w:rFonts w:hint="eastAsia" w:hAnsi="宋体"/>
                <w:b w:val="0"/>
                <w:bCs w:val="0"/>
                <w:color w:val="auto"/>
                <w:kern w:val="2"/>
                <w:sz w:val="21"/>
                <w:szCs w:val="21"/>
                <w:highlight w:val="none"/>
                <w:lang w:val="en-US" w:eastAsia="zh-CN"/>
              </w:rPr>
              <w:t>2.竞争性比选响应声明书、报价函、资格要求材料、报价人认为需要提供的其他相关文件（注：以</w:t>
            </w:r>
            <w:r>
              <w:rPr>
                <w:rFonts w:hint="eastAsia" w:hAnsi="宋体"/>
                <w:b/>
                <w:bCs/>
                <w:color w:val="auto"/>
                <w:kern w:val="2"/>
                <w:sz w:val="21"/>
                <w:szCs w:val="21"/>
                <w:highlight w:val="none"/>
                <w:lang w:val="en-US" w:eastAsia="zh-CN"/>
              </w:rPr>
              <w:t>上所有文件均须逐页加盖报价人的公章</w:t>
            </w:r>
            <w:r>
              <w:rPr>
                <w:rFonts w:hint="eastAsia" w:hAnsi="宋体"/>
                <w:b w:val="0"/>
                <w:bCs w:val="0"/>
                <w:color w:val="auto"/>
                <w:kern w:val="2"/>
                <w:sz w:val="21"/>
                <w:szCs w:val="21"/>
                <w:highlight w:val="none"/>
                <w:lang w:val="en-US" w:eastAsia="zh-CN"/>
              </w:rPr>
              <w:t>）</w:t>
            </w:r>
            <w:r>
              <w:rPr>
                <w:rFonts w:hint="eastAsia" w:hAnsi="宋体"/>
                <w:color w:val="auto"/>
                <w:kern w:val="2"/>
                <w:sz w:val="21"/>
                <w:szCs w:val="21"/>
                <w:highlight w:val="none"/>
                <w:lang w:val="en-US" w:eastAsia="zh-CN"/>
              </w:rPr>
              <w:t>。</w:t>
            </w:r>
          </w:p>
          <w:p>
            <w:pPr>
              <w:pStyle w:val="151"/>
              <w:spacing w:line="400" w:lineRule="exact"/>
              <w:ind w:firstLine="422" w:firstLineChars="200"/>
              <w:rPr>
                <w:rFonts w:hint="eastAsia" w:hAnsi="宋体"/>
                <w:b/>
                <w:bCs/>
                <w:color w:val="auto"/>
                <w:kern w:val="2"/>
                <w:sz w:val="21"/>
                <w:szCs w:val="21"/>
                <w:highlight w:val="none"/>
                <w:lang w:val="en-US" w:eastAsia="zh-CN"/>
              </w:rPr>
            </w:pPr>
            <w:r>
              <w:rPr>
                <w:rFonts w:hint="eastAsia" w:hAnsi="宋体"/>
                <w:b/>
                <w:bCs/>
                <w:color w:val="auto"/>
                <w:kern w:val="2"/>
                <w:sz w:val="21"/>
                <w:szCs w:val="21"/>
                <w:highlight w:val="none"/>
                <w:lang w:val="en-US" w:eastAsia="zh-CN"/>
              </w:rPr>
              <w:t>3.密封要求：</w:t>
            </w:r>
          </w:p>
          <w:p>
            <w:pPr>
              <w:pStyle w:val="15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竞争性比选响应文件密封到一个封袋中，在封套上写明：</w:t>
            </w:r>
          </w:p>
          <w:p>
            <w:pPr>
              <w:pStyle w:val="151"/>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u w:val="single"/>
                <w:lang w:val="en-US" w:eastAsia="zh-CN"/>
              </w:rPr>
              <w:t>巫溪至开州高速公路项目机电工程工程保险服务项目竞争性比选响应文件</w:t>
            </w:r>
            <w:r>
              <w:rPr>
                <w:rFonts w:hint="eastAsia" w:hAnsi="宋体"/>
                <w:color w:val="auto"/>
                <w:kern w:val="2"/>
                <w:sz w:val="21"/>
                <w:szCs w:val="21"/>
                <w:highlight w:val="none"/>
                <w:lang w:val="en-US" w:eastAsia="zh-CN"/>
              </w:rPr>
              <w:t>（加盖报价人的公章）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51"/>
              <w:spacing w:line="400" w:lineRule="exact"/>
              <w:jc w:val="center"/>
              <w:rPr>
                <w:rFonts w:hint="default" w:hAnsi="宋体" w:cs="宋体"/>
                <w:color w:val="auto"/>
                <w:sz w:val="21"/>
                <w:szCs w:val="21"/>
                <w:highlight w:val="none"/>
                <w:lang w:val="en-US" w:eastAsia="zh-CN" w:bidi="ar-SA"/>
              </w:rPr>
            </w:pPr>
            <w:r>
              <w:rPr>
                <w:rFonts w:hint="eastAsia" w:hAnsi="宋体" w:cs="宋体"/>
                <w:color w:val="auto"/>
                <w:sz w:val="21"/>
                <w:szCs w:val="21"/>
                <w:highlight w:val="none"/>
                <w:lang w:val="en-US" w:eastAsia="zh-CN" w:bidi="ar-SA"/>
              </w:rPr>
              <w:t>21</w:t>
            </w:r>
          </w:p>
        </w:tc>
        <w:tc>
          <w:tcPr>
            <w:tcW w:w="2106"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hAnsi="宋体"/>
                <w:color w:val="auto"/>
                <w:kern w:val="2"/>
                <w:sz w:val="21"/>
                <w:szCs w:val="21"/>
                <w:highlight w:val="none"/>
              </w:rPr>
            </w:pPr>
            <w:r>
              <w:rPr>
                <w:rFonts w:hint="eastAsia"/>
                <w:color w:val="auto"/>
                <w:highlight w:val="none"/>
              </w:rPr>
              <w:t>中标候选人公示</w:t>
            </w:r>
          </w:p>
        </w:tc>
        <w:tc>
          <w:tcPr>
            <w:tcW w:w="7104" w:type="dxa"/>
            <w:vAlign w:val="center"/>
          </w:tcPr>
          <w:p>
            <w:pPr>
              <w:spacing w:line="400" w:lineRule="exact"/>
              <w:ind w:firstLine="420" w:firstLineChars="200"/>
              <w:rPr>
                <w:rFonts w:hint="eastAsia" w:hAnsi="宋体"/>
                <w:color w:val="auto"/>
                <w:kern w:val="2"/>
                <w:sz w:val="21"/>
                <w:szCs w:val="21"/>
                <w:highlight w:val="none"/>
                <w:lang w:val="en-US" w:eastAsia="zh-CN"/>
              </w:rPr>
            </w:pPr>
            <w:r>
              <w:rPr>
                <w:rFonts w:hint="eastAsia"/>
                <w:color w:val="auto"/>
                <w:highlight w:val="none"/>
              </w:rPr>
              <w:t>评标结果将在重庆高速集团官网（http://www.cegc.com.cn）上进行公示，公示期为3日。公示内容包括中标候选人名称、排序、投标报价；提出异议、投诉的渠道和方式。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51"/>
              <w:spacing w:line="400" w:lineRule="exact"/>
              <w:jc w:val="center"/>
              <w:rPr>
                <w:rFonts w:hint="default" w:hAnsi="宋体" w:cs="宋体"/>
                <w:color w:val="auto"/>
                <w:sz w:val="21"/>
                <w:szCs w:val="21"/>
                <w:highlight w:val="none"/>
                <w:lang w:val="en-US" w:eastAsia="zh-CN" w:bidi="ar-SA"/>
              </w:rPr>
            </w:pPr>
            <w:r>
              <w:rPr>
                <w:rFonts w:hint="eastAsia" w:hAnsi="宋体" w:cs="宋体"/>
                <w:color w:val="auto"/>
                <w:sz w:val="21"/>
                <w:szCs w:val="21"/>
                <w:highlight w:val="none"/>
                <w:lang w:val="en-US" w:eastAsia="zh-CN" w:bidi="ar-SA"/>
              </w:rPr>
              <w:t>22</w:t>
            </w:r>
          </w:p>
        </w:tc>
        <w:tc>
          <w:tcPr>
            <w:tcW w:w="2106"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color w:val="auto"/>
                <w:highlight w:val="none"/>
              </w:rPr>
            </w:pPr>
            <w:r>
              <w:rPr>
                <w:rFonts w:hint="eastAsia" w:ascii="宋体" w:hAnsi="宋体" w:cs="Arial Unicode MS"/>
                <w:color w:val="auto"/>
                <w:kern w:val="0"/>
                <w:szCs w:val="21"/>
                <w:highlight w:val="none"/>
                <w:lang w:val="en-US" w:eastAsia="zh-CN"/>
              </w:rPr>
              <w:t>共保</w:t>
            </w:r>
          </w:p>
        </w:tc>
        <w:tc>
          <w:tcPr>
            <w:tcW w:w="7104" w:type="dxa"/>
            <w:vAlign w:val="center"/>
          </w:tcPr>
          <w:p>
            <w:pPr>
              <w:autoSpaceDE w:val="0"/>
              <w:autoSpaceDN w:val="0"/>
              <w:adjustRightInd w:val="0"/>
              <w:snapToGrid w:val="0"/>
              <w:spacing w:beforeLines="0" w:line="400" w:lineRule="exact"/>
              <w:ind w:firstLine="420" w:firstLineChars="200"/>
              <w:jc w:val="left"/>
              <w:rPr>
                <w:rFonts w:hint="eastAsia" w:ascii="宋体" w:hAnsi="宋体" w:cs="Arial Unicode MS"/>
                <w:color w:val="auto"/>
                <w:kern w:val="0"/>
                <w:szCs w:val="21"/>
                <w:highlight w:val="none"/>
              </w:rPr>
            </w:pPr>
            <w:r>
              <w:rPr>
                <w:rFonts w:hint="eastAsia" w:ascii="宋体" w:hAnsi="宋体" w:cs="Arial Unicode MS"/>
                <w:color w:val="auto"/>
                <w:kern w:val="0"/>
                <w:szCs w:val="21"/>
                <w:highlight w:val="none"/>
              </w:rPr>
              <w:t>一、□不允许</w:t>
            </w:r>
          </w:p>
          <w:p>
            <w:pPr>
              <w:adjustRightInd w:val="0"/>
              <w:snapToGrid w:val="0"/>
              <w:spacing w:beforeLines="0" w:line="400" w:lineRule="exact"/>
              <w:ind w:firstLine="420" w:firstLineChars="200"/>
              <w:jc w:val="left"/>
              <w:rPr>
                <w:rFonts w:ascii="宋体" w:hAnsi="宋体"/>
                <w:color w:val="auto"/>
                <w:szCs w:val="21"/>
                <w:highlight w:val="none"/>
                <w:u w:val="single"/>
              </w:rPr>
            </w:pPr>
            <w:r>
              <w:rPr>
                <w:rFonts w:ascii="宋体" w:hAnsi="宋体" w:cs="Arial Unicode MS"/>
                <w:color w:val="auto"/>
                <w:kern w:val="0"/>
                <w:szCs w:val="21"/>
                <w:highlight w:val="none"/>
              </w:rPr>
              <w:fldChar w:fldCharType="begin"/>
            </w:r>
            <w:r>
              <w:rPr>
                <w:rFonts w:ascii="宋体" w:hAnsi="宋体" w:cs="Arial Unicode MS"/>
                <w:color w:val="auto"/>
                <w:kern w:val="0"/>
                <w:szCs w:val="21"/>
                <w:highlight w:val="none"/>
              </w:rPr>
              <w:instrText xml:space="preserve"> </w:instrText>
            </w:r>
            <w:r>
              <w:rPr>
                <w:rFonts w:hint="eastAsia" w:ascii="宋体" w:hAnsi="宋体" w:cs="Arial Unicode MS"/>
                <w:color w:val="auto"/>
                <w:kern w:val="0"/>
                <w:szCs w:val="21"/>
                <w:highlight w:val="none"/>
              </w:rPr>
              <w:instrText xml:space="preserve">eq \o\ac(□,</w:instrText>
            </w:r>
            <w:r>
              <w:rPr>
                <w:rFonts w:hint="eastAsia" w:ascii="宋体" w:hAnsi="宋体" w:cs="Arial Unicode MS"/>
                <w:color w:val="auto"/>
                <w:kern w:val="0"/>
                <w:position w:val="2"/>
                <w:sz w:val="13"/>
                <w:szCs w:val="21"/>
                <w:highlight w:val="none"/>
              </w:rPr>
              <w:instrText xml:space="preserve">√</w:instrText>
            </w:r>
            <w:r>
              <w:rPr>
                <w:rFonts w:hint="eastAsia" w:ascii="宋体" w:hAnsi="宋体" w:cs="Arial Unicode MS"/>
                <w:color w:val="auto"/>
                <w:kern w:val="0"/>
                <w:szCs w:val="21"/>
                <w:highlight w:val="none"/>
              </w:rPr>
              <w:instrText xml:space="preserve">)</w:instrText>
            </w:r>
            <w:r>
              <w:rPr>
                <w:rFonts w:ascii="宋体" w:hAnsi="宋体" w:cs="Arial Unicode MS"/>
                <w:color w:val="auto"/>
                <w:kern w:val="0"/>
                <w:szCs w:val="21"/>
                <w:highlight w:val="none"/>
              </w:rPr>
              <w:fldChar w:fldCharType="end"/>
            </w:r>
            <w:r>
              <w:rPr>
                <w:rFonts w:hint="eastAsia" w:ascii="宋体" w:hAnsi="宋体" w:cs="Arial Unicode MS"/>
                <w:color w:val="auto"/>
                <w:kern w:val="0"/>
                <w:szCs w:val="21"/>
                <w:highlight w:val="none"/>
              </w:rPr>
              <w:t>允许，</w:t>
            </w:r>
            <w:r>
              <w:rPr>
                <w:rFonts w:hint="eastAsia" w:ascii="宋体" w:hAnsi="宋体"/>
                <w:color w:val="auto"/>
                <w:szCs w:val="21"/>
                <w:highlight w:val="none"/>
                <w:u w:val="single"/>
              </w:rPr>
              <w:t>本项目</w:t>
            </w:r>
            <w:r>
              <w:rPr>
                <w:rFonts w:hint="eastAsia" w:ascii="宋体" w:hAnsi="宋体"/>
                <w:color w:val="auto"/>
                <w:szCs w:val="21"/>
                <w:highlight w:val="none"/>
                <w:u w:val="single"/>
                <w:lang w:eastAsia="zh-CN"/>
              </w:rPr>
              <w:t>建筑、安装工程团体人身意外伤害险</w:t>
            </w:r>
            <w:r>
              <w:rPr>
                <w:rFonts w:hint="eastAsia" w:ascii="宋体" w:hAnsi="宋体"/>
                <w:color w:val="auto"/>
                <w:szCs w:val="21"/>
                <w:highlight w:val="none"/>
                <w:u w:val="single"/>
              </w:rPr>
              <w:t>允许共保方式承保，中标人自行选择</w:t>
            </w:r>
            <w:r>
              <w:rPr>
                <w:rFonts w:hint="eastAsia" w:ascii="宋体" w:hAnsi="宋体"/>
                <w:color w:val="auto"/>
                <w:szCs w:val="21"/>
                <w:highlight w:val="none"/>
                <w:u w:val="single"/>
                <w:lang w:val="en-US" w:eastAsia="zh-CN"/>
              </w:rPr>
              <w:t>有充足偿付能力的</w:t>
            </w:r>
            <w:r>
              <w:rPr>
                <w:rFonts w:hint="eastAsia" w:ascii="宋体" w:hAnsi="宋体"/>
                <w:color w:val="auto"/>
                <w:szCs w:val="21"/>
                <w:highlight w:val="none"/>
                <w:u w:val="single"/>
              </w:rPr>
              <w:t>保险公司作为共保人，中标人需作为首席承保人，首席保险人所占比例不低于50％，共保单位需报</w:t>
            </w:r>
            <w:r>
              <w:rPr>
                <w:rFonts w:hint="eastAsia" w:ascii="宋体" w:hAnsi="宋体"/>
                <w:color w:val="auto"/>
                <w:szCs w:val="21"/>
                <w:highlight w:val="none"/>
                <w:u w:val="single"/>
                <w:lang w:eastAsia="zh-CN"/>
              </w:rPr>
              <w:t>采购人</w:t>
            </w:r>
            <w:r>
              <w:rPr>
                <w:rFonts w:hint="eastAsia" w:ascii="宋体" w:hAnsi="宋体"/>
                <w:color w:val="auto"/>
                <w:szCs w:val="21"/>
                <w:highlight w:val="none"/>
                <w:u w:val="single"/>
              </w:rPr>
              <w:t>审查。</w:t>
            </w:r>
          </w:p>
          <w:p>
            <w:pPr>
              <w:adjustRightInd w:val="0"/>
              <w:snapToGrid w:val="0"/>
              <w:spacing w:beforeLines="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二、中标候选人在非不可抗力下放弃中标，</w:t>
            </w:r>
            <w:r>
              <w:rPr>
                <w:rFonts w:hint="eastAsia" w:ascii="宋体" w:hAnsi="宋体"/>
                <w:color w:val="auto"/>
                <w:szCs w:val="21"/>
                <w:highlight w:val="none"/>
                <w:lang w:eastAsia="zh-CN"/>
              </w:rPr>
              <w:t>采购人</w:t>
            </w:r>
            <w:r>
              <w:rPr>
                <w:rFonts w:hint="eastAsia" w:ascii="宋体" w:hAnsi="宋体"/>
                <w:color w:val="auto"/>
                <w:szCs w:val="21"/>
                <w:highlight w:val="none"/>
              </w:rPr>
              <w:t>有权：</w:t>
            </w:r>
          </w:p>
          <w:p>
            <w:pPr>
              <w:adjustRightInd w:val="0"/>
              <w:snapToGrid w:val="0"/>
              <w:spacing w:beforeLines="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1、向相关行政管理部门进行报告；</w:t>
            </w:r>
          </w:p>
          <w:p>
            <w:pPr>
              <w:adjustRightInd w:val="0"/>
              <w:snapToGrid w:val="0"/>
              <w:spacing w:beforeLines="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2、中标候选人投标保证金不予退还；</w:t>
            </w:r>
          </w:p>
          <w:p>
            <w:pPr>
              <w:adjustRightInd w:val="0"/>
              <w:snapToGrid w:val="0"/>
              <w:spacing w:beforeLines="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3、纳入</w:t>
            </w:r>
            <w:r>
              <w:rPr>
                <w:rFonts w:hint="eastAsia" w:ascii="宋体" w:hAnsi="宋体"/>
                <w:color w:val="auto"/>
                <w:szCs w:val="21"/>
                <w:highlight w:val="none"/>
                <w:lang w:eastAsia="zh-CN"/>
              </w:rPr>
              <w:t>采购人</w:t>
            </w:r>
            <w:r>
              <w:rPr>
                <w:rFonts w:hint="eastAsia" w:ascii="宋体" w:hAnsi="宋体"/>
                <w:color w:val="auto"/>
                <w:szCs w:val="21"/>
                <w:highlight w:val="none"/>
              </w:rPr>
              <w:t>供应商黑名单管理；</w:t>
            </w:r>
          </w:p>
          <w:p>
            <w:pPr>
              <w:adjustRightInd w:val="0"/>
              <w:snapToGrid w:val="0"/>
              <w:spacing w:beforeLines="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4、如因中标候选人放弃中标而造成</w:t>
            </w:r>
            <w:r>
              <w:rPr>
                <w:rFonts w:hint="eastAsia" w:ascii="宋体" w:hAnsi="宋体"/>
                <w:color w:val="auto"/>
                <w:szCs w:val="21"/>
                <w:highlight w:val="none"/>
                <w:lang w:eastAsia="zh-CN"/>
              </w:rPr>
              <w:t>采购人</w:t>
            </w:r>
            <w:r>
              <w:rPr>
                <w:rFonts w:hint="eastAsia" w:ascii="宋体" w:hAnsi="宋体"/>
                <w:color w:val="auto"/>
                <w:szCs w:val="21"/>
                <w:highlight w:val="none"/>
              </w:rPr>
              <w:t>财产损失，</w:t>
            </w:r>
            <w:r>
              <w:rPr>
                <w:rFonts w:hint="eastAsia" w:ascii="宋体" w:hAnsi="宋体"/>
                <w:color w:val="auto"/>
                <w:szCs w:val="21"/>
                <w:highlight w:val="none"/>
                <w:lang w:eastAsia="zh-CN"/>
              </w:rPr>
              <w:t>采购人</w:t>
            </w:r>
            <w:r>
              <w:rPr>
                <w:rFonts w:hint="eastAsia" w:ascii="宋体" w:hAnsi="宋体"/>
                <w:color w:val="auto"/>
                <w:szCs w:val="21"/>
                <w:highlight w:val="none"/>
              </w:rPr>
              <w:t>将对中标候选人进行追偿。</w:t>
            </w:r>
          </w:p>
          <w:p>
            <w:pPr>
              <w:adjustRightInd w:val="0"/>
              <w:snapToGrid w:val="0"/>
              <w:spacing w:beforeLines="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三、共保人必须无条件接受首席承保人的中标价格（费率）、承保方案和理赔方案等，并与首席保险人签订共保协议书。</w:t>
            </w:r>
          </w:p>
          <w:p>
            <w:pPr>
              <w:spacing w:line="400" w:lineRule="exact"/>
              <w:ind w:firstLine="420" w:firstLineChars="200"/>
              <w:rPr>
                <w:rFonts w:hint="eastAsia" w:eastAsia="宋体"/>
                <w:color w:val="auto"/>
                <w:highlight w:val="none"/>
                <w:lang w:val="en-US" w:eastAsia="zh-CN"/>
              </w:rPr>
            </w:pPr>
            <w:r>
              <w:rPr>
                <w:rFonts w:hint="eastAsia" w:ascii="宋体" w:hAnsi="宋体"/>
                <w:color w:val="auto"/>
                <w:szCs w:val="21"/>
                <w:highlight w:val="none"/>
                <w:lang w:val="en-US" w:eastAsia="zh-CN"/>
              </w:rPr>
              <w:t>报价</w:t>
            </w:r>
            <w:r>
              <w:rPr>
                <w:rFonts w:hint="eastAsia" w:ascii="宋体" w:hAnsi="宋体"/>
                <w:color w:val="auto"/>
                <w:szCs w:val="21"/>
                <w:highlight w:val="none"/>
              </w:rPr>
              <w:t>人须在投标文件中对上述事项作出书面承诺</w:t>
            </w:r>
            <w:r>
              <w:rPr>
                <w:rFonts w:hint="eastAsia" w:ascii="宋体" w:hAnsi="宋体"/>
                <w:color w:val="auto"/>
                <w:szCs w:val="21"/>
                <w:highlight w:val="none"/>
                <w:lang w:eastAsia="zh-CN"/>
              </w:rPr>
              <w:t>，</w:t>
            </w:r>
            <w:r>
              <w:rPr>
                <w:rFonts w:hint="eastAsia" w:ascii="宋体" w:hAnsi="宋体"/>
                <w:color w:val="auto"/>
                <w:szCs w:val="21"/>
                <w:highlight w:val="none"/>
              </w:rPr>
              <w:t>格式自拟，否则视为不实质性响应而被否决投标</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151"/>
              <w:spacing w:line="400" w:lineRule="exact"/>
              <w:jc w:val="center"/>
              <w:rPr>
                <w:rFonts w:hint="default" w:hAnsi="宋体" w:eastAsia="宋体"/>
                <w:color w:val="auto"/>
                <w:kern w:val="2"/>
                <w:sz w:val="21"/>
                <w:szCs w:val="21"/>
                <w:highlight w:val="none"/>
                <w:lang w:val="en-US" w:eastAsia="zh-CN"/>
              </w:rPr>
            </w:pPr>
            <w:r>
              <w:rPr>
                <w:rFonts w:hint="eastAsia" w:hAnsi="宋体"/>
                <w:color w:val="auto"/>
                <w:kern w:val="2"/>
                <w:sz w:val="21"/>
                <w:szCs w:val="21"/>
                <w:highlight w:val="none"/>
                <w:lang w:val="en-US" w:eastAsia="zh-CN"/>
              </w:rPr>
              <w:t>22</w:t>
            </w:r>
          </w:p>
        </w:tc>
        <w:tc>
          <w:tcPr>
            <w:tcW w:w="9210" w:type="dxa"/>
            <w:gridSpan w:val="2"/>
            <w:vAlign w:val="center"/>
          </w:tcPr>
          <w:p>
            <w:pPr>
              <w:pStyle w:val="151"/>
              <w:spacing w:line="400" w:lineRule="exact"/>
              <w:ind w:firstLine="482" w:firstLineChars="200"/>
              <w:jc w:val="center"/>
              <w:rPr>
                <w:rFonts w:hint="eastAsia" w:hAnsi="宋体"/>
                <w:color w:val="auto"/>
                <w:kern w:val="2"/>
                <w:sz w:val="21"/>
                <w:szCs w:val="21"/>
                <w:highlight w:val="none"/>
              </w:rPr>
            </w:pPr>
            <w:r>
              <w:rPr>
                <w:rFonts w:hAnsi="宋体"/>
                <w:b/>
                <w:bCs/>
                <w:color w:val="auto"/>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151"/>
              <w:spacing w:line="400" w:lineRule="exact"/>
              <w:jc w:val="center"/>
              <w:rPr>
                <w:rFonts w:hint="eastAsia" w:hAnsi="宋体"/>
                <w:color w:val="auto"/>
                <w:kern w:val="2"/>
                <w:sz w:val="21"/>
                <w:szCs w:val="21"/>
                <w:highlight w:val="none"/>
              </w:rPr>
            </w:pPr>
            <w:r>
              <w:rPr>
                <w:rFonts w:hint="eastAsia" w:hAnsi="宋体"/>
                <w:color w:val="auto"/>
                <w:kern w:val="2"/>
                <w:sz w:val="21"/>
                <w:szCs w:val="21"/>
                <w:highlight w:val="none"/>
                <w:lang w:val="en-US" w:eastAsia="zh-CN"/>
              </w:rPr>
              <w:t>22</w:t>
            </w:r>
            <w:r>
              <w:rPr>
                <w:rFonts w:hint="eastAsia" w:hAnsi="宋体"/>
                <w:color w:val="auto"/>
                <w:kern w:val="2"/>
                <w:sz w:val="21"/>
                <w:szCs w:val="21"/>
                <w:highlight w:val="none"/>
              </w:rPr>
              <w:t>.1</w:t>
            </w:r>
          </w:p>
        </w:tc>
        <w:tc>
          <w:tcPr>
            <w:tcW w:w="9210" w:type="dxa"/>
            <w:gridSpan w:val="2"/>
            <w:vAlign w:val="center"/>
          </w:tcPr>
          <w:p>
            <w:pPr>
              <w:pStyle w:val="151"/>
              <w:spacing w:line="400" w:lineRule="exact"/>
              <w:ind w:firstLine="420" w:firstLineChars="200"/>
              <w:rPr>
                <w:rFonts w:hAnsi="宋体"/>
                <w:b/>
                <w:bCs/>
                <w:color w:val="auto"/>
                <w:szCs w:val="21"/>
                <w:highlight w:val="none"/>
              </w:rPr>
            </w:pPr>
            <w:r>
              <w:rPr>
                <w:rFonts w:hint="eastAsia" w:hAnsi="宋体"/>
                <w:color w:val="auto"/>
                <w:sz w:val="21"/>
                <w:szCs w:val="21"/>
                <w:highlight w:val="none"/>
              </w:rPr>
              <w:t>截止竞争性比选响应文件递交时间，递交竞争性比选响应文件不足3家的不得开启竞争性比选文件。重新招标后</w:t>
            </w:r>
            <w:r>
              <w:rPr>
                <w:rFonts w:hint="eastAsia" w:hAnsi="宋体"/>
                <w:color w:val="auto"/>
                <w:sz w:val="21"/>
                <w:szCs w:val="21"/>
                <w:highlight w:val="none"/>
                <w:lang w:eastAsia="zh-CN"/>
              </w:rPr>
              <w:t>报价人</w:t>
            </w:r>
            <w:r>
              <w:rPr>
                <w:rFonts w:hint="eastAsia" w:hAnsi="宋体"/>
                <w:color w:val="auto"/>
                <w:sz w:val="21"/>
                <w:szCs w:val="21"/>
                <w:highlight w:val="none"/>
              </w:rPr>
              <w:t>仍少于3个，按法定程序开标和评标，确定中标人。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151"/>
              <w:spacing w:line="400" w:lineRule="exact"/>
              <w:jc w:val="center"/>
              <w:rPr>
                <w:rFonts w:hint="default" w:hAnsi="宋体"/>
                <w:color w:val="auto"/>
                <w:kern w:val="2"/>
                <w:sz w:val="21"/>
                <w:szCs w:val="21"/>
                <w:highlight w:val="none"/>
                <w:lang w:val="en-US" w:eastAsia="zh-CN"/>
              </w:rPr>
            </w:pPr>
            <w:bookmarkStart w:id="109" w:name="_Toc224103317"/>
            <w:r>
              <w:rPr>
                <w:rFonts w:hint="eastAsia" w:hAnsi="宋体"/>
                <w:color w:val="auto"/>
                <w:kern w:val="2"/>
                <w:sz w:val="21"/>
                <w:szCs w:val="21"/>
                <w:highlight w:val="none"/>
                <w:lang w:val="en-US" w:eastAsia="zh-CN"/>
              </w:rPr>
              <w:t>22.2</w:t>
            </w:r>
          </w:p>
        </w:tc>
        <w:tc>
          <w:tcPr>
            <w:tcW w:w="9210" w:type="dxa"/>
            <w:gridSpan w:val="2"/>
            <w:vAlign w:val="center"/>
          </w:tcPr>
          <w:p>
            <w:pPr>
              <w:pStyle w:val="151"/>
              <w:spacing w:line="400" w:lineRule="exact"/>
              <w:ind w:firstLine="420" w:firstLineChars="200"/>
              <w:rPr>
                <w:rFonts w:hint="eastAsia" w:hAnsi="宋体"/>
                <w:color w:val="auto"/>
                <w:sz w:val="21"/>
                <w:szCs w:val="21"/>
                <w:highlight w:val="none"/>
              </w:rPr>
            </w:pPr>
            <w:r>
              <w:rPr>
                <w:rFonts w:hint="eastAsia" w:hAnsi="宋体"/>
                <w:sz w:val="21"/>
                <w:szCs w:val="21"/>
                <w:highlight w:val="none"/>
                <w:lang w:eastAsia="zh-CN"/>
              </w:rPr>
              <w:t>报价人</w:t>
            </w:r>
            <w:r>
              <w:rPr>
                <w:rFonts w:hint="eastAsia" w:hAnsi="宋体"/>
                <w:sz w:val="21"/>
                <w:szCs w:val="21"/>
                <w:highlight w:val="none"/>
              </w:rPr>
              <w:t>的各项报价不得为负数。</w:t>
            </w:r>
            <w:r>
              <w:rPr>
                <w:rFonts w:hint="eastAsia" w:hAnsi="宋体"/>
                <w:sz w:val="21"/>
                <w:szCs w:val="21"/>
                <w:highlight w:val="none"/>
                <w:lang w:eastAsia="zh-CN"/>
              </w:rPr>
              <w:t>采购人</w:t>
            </w:r>
            <w:r>
              <w:rPr>
                <w:rFonts w:hint="eastAsia" w:hAnsi="宋体"/>
                <w:sz w:val="21"/>
                <w:szCs w:val="21"/>
                <w:highlight w:val="none"/>
              </w:rPr>
              <w:t>在发出中标通知书前将对中标人的各项报价进行复核，若发现中标人各项报价中存在负数报价的情形，</w:t>
            </w:r>
            <w:r>
              <w:rPr>
                <w:rFonts w:hint="eastAsia" w:hAnsi="宋体"/>
                <w:sz w:val="21"/>
                <w:szCs w:val="21"/>
                <w:highlight w:val="none"/>
                <w:lang w:eastAsia="zh-CN"/>
              </w:rPr>
              <w:t>采购人</w:t>
            </w:r>
            <w:r>
              <w:rPr>
                <w:rFonts w:hint="eastAsia" w:hAnsi="宋体"/>
                <w:sz w:val="21"/>
                <w:szCs w:val="21"/>
                <w:highlight w:val="none"/>
              </w:rPr>
              <w:t>按相关规定取消其中标资格，其投标保证金不予退还，中标人承担因此造成的相关责任并赔偿相应损失。</w:t>
            </w:r>
          </w:p>
        </w:tc>
      </w:tr>
      <w:bookmarkEnd w:id="107"/>
    </w:tbl>
    <w:p>
      <w:pPr>
        <w:pStyle w:val="6"/>
        <w:widowControl/>
        <w:spacing w:before="0" w:beforeAutospacing="0" w:after="0" w:afterAutospacing="0" w:line="300" w:lineRule="exact"/>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报价人须知正文部分：</w:t>
      </w:r>
      <w:bookmarkEnd w:id="109"/>
    </w:p>
    <w:p>
      <w:pPr>
        <w:pStyle w:val="6"/>
        <w:widowControl/>
        <w:spacing w:before="0" w:beforeAutospacing="0" w:after="0" w:afterAutospacing="0" w:line="300" w:lineRule="exact"/>
        <w:rPr>
          <w:rFonts w:hint="eastAsia" w:ascii="宋体" w:hAnsi="宋体" w:eastAsia="黑体" w:cs="Times New Roman"/>
          <w:b/>
          <w:kern w:val="0"/>
          <w:sz w:val="21"/>
          <w:szCs w:val="21"/>
          <w:highlight w:val="none"/>
        </w:rPr>
      </w:pPr>
      <w:bookmarkStart w:id="110" w:name="_Toc5673"/>
      <w:bookmarkEnd w:id="110"/>
      <w:bookmarkStart w:id="111" w:name="_Toc17808"/>
      <w:bookmarkEnd w:id="111"/>
      <w:bookmarkStart w:id="112" w:name="_Toc9035"/>
      <w:bookmarkEnd w:id="112"/>
      <w:bookmarkStart w:id="113" w:name="_Toc28401"/>
      <w:bookmarkStart w:id="114" w:name="_Toc26326763"/>
      <w:r>
        <w:rPr>
          <w:rFonts w:hint="eastAsia" w:ascii="黑体" w:hAnsi="宋体" w:eastAsia="黑体" w:cs="黑体"/>
          <w:b/>
          <w:kern w:val="0"/>
          <w:sz w:val="21"/>
          <w:szCs w:val="21"/>
          <w:highlight w:val="none"/>
        </w:rPr>
        <w:t xml:space="preserve">1.  </w:t>
      </w:r>
      <w:bookmarkEnd w:id="113"/>
      <w:r>
        <w:rPr>
          <w:rFonts w:hint="eastAsia" w:ascii="黑体" w:hAnsi="宋体" w:eastAsia="黑体" w:cs="黑体"/>
          <w:b/>
          <w:kern w:val="0"/>
          <w:sz w:val="21"/>
          <w:szCs w:val="21"/>
          <w:highlight w:val="none"/>
        </w:rPr>
        <w:t>总则</w:t>
      </w:r>
      <w:bookmarkEnd w:id="114"/>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15" w:name="_Toc287607747"/>
      <w:bookmarkEnd w:id="115"/>
      <w:bookmarkStart w:id="116" w:name="_Toc4661671"/>
      <w:bookmarkEnd w:id="116"/>
      <w:bookmarkStart w:id="117" w:name="_Toc40455273"/>
      <w:bookmarkEnd w:id="117"/>
      <w:bookmarkStart w:id="118" w:name="_Toc11657"/>
      <w:bookmarkEnd w:id="118"/>
      <w:bookmarkStart w:id="119" w:name="_Toc4661907"/>
      <w:bookmarkEnd w:id="119"/>
      <w:bookmarkStart w:id="120" w:name="_Toc4661429"/>
      <w:bookmarkEnd w:id="120"/>
      <w:bookmarkStart w:id="121" w:name="_Toc224103318"/>
      <w:bookmarkEnd w:id="121"/>
      <w:bookmarkStart w:id="122" w:name="_Toc200513127"/>
      <w:bookmarkEnd w:id="122"/>
      <w:bookmarkStart w:id="123" w:name="_Toc277082553"/>
      <w:bookmarkEnd w:id="123"/>
      <w:bookmarkStart w:id="124" w:name="_Toc4662143"/>
      <w:bookmarkEnd w:id="124"/>
      <w:bookmarkStart w:id="125" w:name="_Toc40455646"/>
      <w:bookmarkEnd w:id="125"/>
      <w:bookmarkStart w:id="126" w:name="_Toc40780255"/>
      <w:r>
        <w:rPr>
          <w:rFonts w:hint="eastAsia" w:ascii="宋体" w:hAnsi="宋体" w:eastAsia="宋体" w:cs="Times New Roman"/>
          <w:b/>
          <w:kern w:val="2"/>
          <w:sz w:val="21"/>
          <w:szCs w:val="21"/>
          <w:highlight w:val="none"/>
        </w:rPr>
        <w:t xml:space="preserve">1.1  </w:t>
      </w:r>
      <w:bookmarkEnd w:id="126"/>
      <w:r>
        <w:rPr>
          <w:rFonts w:hint="eastAsia" w:ascii="宋体" w:hAnsi="宋体" w:eastAsia="宋体" w:cs="宋体"/>
          <w:b/>
          <w:kern w:val="2"/>
          <w:sz w:val="21"/>
          <w:szCs w:val="21"/>
          <w:highlight w:val="none"/>
        </w:rPr>
        <w:t>项目概况</w:t>
      </w:r>
    </w:p>
    <w:p>
      <w:pPr>
        <w:keepNext w:val="0"/>
        <w:keepLines w:val="0"/>
        <w:widowControl w:val="0"/>
        <w:suppressLineNumbers w:val="0"/>
        <w:autoSpaceDE w:val="0"/>
        <w:autoSpaceDN w:val="0"/>
        <w:adjustRightInd w:val="0"/>
        <w:spacing w:before="0" w:beforeAutospacing="0" w:after="0" w:afterAutospacing="0" w:line="300" w:lineRule="exact"/>
        <w:ind w:left="0" w:right="0" w:firstLine="354" w:firstLineChars="169"/>
        <w:jc w:val="left"/>
        <w:rPr>
          <w:rFonts w:hint="eastAsia" w:ascii="宋体" w:hAnsi="宋体" w:eastAsia="宋体" w:cs="Calibri"/>
          <w:kern w:val="0"/>
          <w:sz w:val="21"/>
          <w:szCs w:val="21"/>
          <w:highlight w:val="none"/>
        </w:rPr>
      </w:pPr>
      <w:r>
        <w:rPr>
          <w:rFonts w:hint="eastAsia" w:ascii="宋体" w:hAnsi="宋体" w:eastAsia="宋体" w:cs="Calibri"/>
          <w:kern w:val="0"/>
          <w:sz w:val="21"/>
          <w:szCs w:val="21"/>
          <w:highlight w:val="none"/>
          <w:lang w:val="en-US" w:eastAsia="zh-CN" w:bidi="ar"/>
        </w:rPr>
        <w:t xml:space="preserve">1.1.1  </w:t>
      </w:r>
      <w:r>
        <w:rPr>
          <w:rFonts w:hint="eastAsia" w:ascii="宋体" w:hAnsi="宋体" w:eastAsia="宋体" w:cs="宋体"/>
          <w:kern w:val="0"/>
          <w:sz w:val="21"/>
          <w:szCs w:val="21"/>
          <w:highlight w:val="none"/>
          <w:lang w:val="en-US" w:eastAsia="zh-CN" w:bidi="ar"/>
        </w:rPr>
        <w:t>根据</w:t>
      </w:r>
      <w:r>
        <w:rPr>
          <w:rFonts w:hint="eastAsia" w:ascii="宋体" w:hAnsi="宋体" w:cs="宋体"/>
          <w:kern w:val="0"/>
          <w:sz w:val="21"/>
          <w:szCs w:val="21"/>
          <w:highlight w:val="none"/>
          <w:lang w:val="en-US" w:eastAsia="zh-CN" w:bidi="ar"/>
        </w:rPr>
        <w:t>国家</w:t>
      </w:r>
      <w:r>
        <w:rPr>
          <w:rFonts w:hint="eastAsia" w:ascii="宋体" w:hAnsi="宋体" w:eastAsia="宋体" w:cs="宋体"/>
          <w:kern w:val="0"/>
          <w:sz w:val="21"/>
          <w:szCs w:val="21"/>
          <w:highlight w:val="none"/>
          <w:lang w:val="en-US" w:eastAsia="zh-CN" w:bidi="ar"/>
        </w:rPr>
        <w:t>有关法律、法规和规章的规定，本</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项目已具备</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条件，现对本项目进行</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354" w:firstLineChars="169"/>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1.1.2  </w:t>
      </w:r>
      <w:r>
        <w:rPr>
          <w:rFonts w:hint="eastAsia" w:ascii="宋体" w:hAnsi="宋体" w:eastAsia="宋体" w:cs="宋体"/>
          <w:kern w:val="0"/>
          <w:sz w:val="21"/>
          <w:szCs w:val="21"/>
          <w:highlight w:val="none"/>
          <w:lang w:val="en-US" w:eastAsia="zh-CN" w:bidi="ar"/>
        </w:rPr>
        <w:t>本</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项目</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1.1.</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 </w:t>
      </w:r>
      <w:r>
        <w:rPr>
          <w:rFonts w:hint="default" w:ascii="宋体" w:hAnsi="宋体" w:cs="Calibri"/>
          <w:kern w:val="0"/>
          <w:sz w:val="21"/>
          <w:szCs w:val="21"/>
          <w:highlight w:val="none"/>
          <w:lang w:eastAsia="zh-CN" w:bidi="ar"/>
        </w:rPr>
        <w:t xml:space="preserve"> </w:t>
      </w:r>
      <w:r>
        <w:rPr>
          <w:rFonts w:hint="eastAsia" w:ascii="宋体" w:hAnsi="宋体" w:eastAsia="宋体" w:cs="宋体"/>
          <w:kern w:val="0"/>
          <w:sz w:val="21"/>
          <w:szCs w:val="21"/>
          <w:highlight w:val="none"/>
          <w:lang w:val="en-US" w:eastAsia="zh-CN" w:bidi="ar"/>
        </w:rPr>
        <w:t>本</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项目名称：见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1.1.</w:t>
      </w:r>
      <w:r>
        <w:rPr>
          <w:rFonts w:hint="eastAsia" w:ascii="宋体" w:hAnsi="宋体" w:cs="Calibri"/>
          <w:kern w:val="0"/>
          <w:sz w:val="21"/>
          <w:szCs w:val="21"/>
          <w:highlight w:val="none"/>
          <w:lang w:val="en-US" w:eastAsia="zh-CN" w:bidi="ar"/>
        </w:rPr>
        <w:t>4</w:t>
      </w:r>
      <w:r>
        <w:rPr>
          <w:rFonts w:hint="eastAsia" w:ascii="宋体" w:hAnsi="宋体" w:eastAsia="宋体" w:cs="Calibri"/>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本项目建设地点：见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27" w:name="_Toc40455647"/>
      <w:bookmarkEnd w:id="127"/>
      <w:bookmarkStart w:id="128" w:name="_Toc4661908"/>
      <w:bookmarkEnd w:id="128"/>
      <w:bookmarkStart w:id="129" w:name="_Toc287607748"/>
      <w:bookmarkEnd w:id="129"/>
      <w:bookmarkStart w:id="130" w:name="_Toc40780256"/>
      <w:bookmarkEnd w:id="130"/>
      <w:bookmarkStart w:id="131" w:name="_Toc4662144"/>
      <w:bookmarkEnd w:id="131"/>
      <w:bookmarkStart w:id="132" w:name="_Toc224103319"/>
      <w:bookmarkEnd w:id="132"/>
      <w:bookmarkStart w:id="133" w:name="_Toc40455274"/>
      <w:bookmarkEnd w:id="133"/>
      <w:bookmarkStart w:id="134" w:name="_Toc4661430"/>
      <w:bookmarkEnd w:id="134"/>
      <w:bookmarkStart w:id="135" w:name="_Toc21776"/>
      <w:bookmarkEnd w:id="135"/>
      <w:bookmarkStart w:id="136" w:name="_Toc200513128"/>
      <w:bookmarkEnd w:id="136"/>
      <w:bookmarkStart w:id="137" w:name="_Toc4661672"/>
      <w:bookmarkEnd w:id="137"/>
      <w:bookmarkStart w:id="138" w:name="_Toc277082554"/>
      <w:r>
        <w:rPr>
          <w:rFonts w:hint="eastAsia" w:ascii="宋体" w:hAnsi="宋体" w:eastAsia="宋体" w:cs="Times New Roman"/>
          <w:b/>
          <w:kern w:val="2"/>
          <w:sz w:val="21"/>
          <w:szCs w:val="21"/>
          <w:highlight w:val="none"/>
        </w:rPr>
        <w:t xml:space="preserve">1.2  </w:t>
      </w:r>
      <w:bookmarkEnd w:id="138"/>
      <w:r>
        <w:rPr>
          <w:rFonts w:hint="eastAsia" w:ascii="宋体" w:hAnsi="宋体" w:cs="宋体"/>
          <w:b/>
          <w:kern w:val="2"/>
          <w:sz w:val="21"/>
          <w:szCs w:val="21"/>
          <w:highlight w:val="none"/>
          <w:lang w:eastAsia="zh-CN"/>
        </w:rPr>
        <w:t>竞争性比选</w:t>
      </w:r>
      <w:r>
        <w:rPr>
          <w:rFonts w:hint="eastAsia" w:ascii="宋体" w:hAnsi="宋体" w:eastAsia="宋体" w:cs="宋体"/>
          <w:b/>
          <w:kern w:val="2"/>
          <w:sz w:val="21"/>
          <w:szCs w:val="21"/>
          <w:highlight w:val="none"/>
        </w:rPr>
        <w:t>范围、</w:t>
      </w:r>
      <w:r>
        <w:rPr>
          <w:rFonts w:hint="eastAsia" w:ascii="宋体" w:hAnsi="宋体" w:cs="宋体"/>
          <w:b/>
          <w:kern w:val="2"/>
          <w:sz w:val="21"/>
          <w:szCs w:val="21"/>
          <w:highlight w:val="none"/>
          <w:lang w:val="en-US" w:eastAsia="zh-CN"/>
        </w:rPr>
        <w:t>工期</w:t>
      </w:r>
      <w:r>
        <w:rPr>
          <w:rFonts w:hint="eastAsia" w:ascii="宋体" w:hAnsi="宋体" w:eastAsia="宋体" w:cs="宋体"/>
          <w:b/>
          <w:kern w:val="2"/>
          <w:sz w:val="21"/>
          <w:szCs w:val="21"/>
          <w:highlight w:val="none"/>
        </w:rPr>
        <w:t>和质量要求</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1.3.1  </w:t>
      </w:r>
      <w:r>
        <w:rPr>
          <w:rFonts w:hint="eastAsia" w:ascii="宋体" w:hAnsi="宋体" w:eastAsia="宋体" w:cs="宋体"/>
          <w:kern w:val="0"/>
          <w:sz w:val="21"/>
          <w:szCs w:val="21"/>
          <w:highlight w:val="none"/>
          <w:lang w:val="en-US" w:eastAsia="zh-CN" w:bidi="ar"/>
        </w:rPr>
        <w:t>本次</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范围：见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1.3.2  </w:t>
      </w:r>
      <w:r>
        <w:rPr>
          <w:rFonts w:hint="eastAsia" w:ascii="宋体" w:hAnsi="宋体" w:eastAsia="宋体" w:cs="宋体"/>
          <w:kern w:val="0"/>
          <w:sz w:val="21"/>
          <w:szCs w:val="21"/>
          <w:highlight w:val="none"/>
          <w:lang w:val="en-US" w:eastAsia="zh-CN" w:bidi="ar"/>
        </w:rPr>
        <w:t>本项目的</w:t>
      </w:r>
      <w:r>
        <w:rPr>
          <w:rFonts w:hint="eastAsia" w:ascii="宋体" w:hAnsi="宋体" w:cs="宋体"/>
          <w:kern w:val="0"/>
          <w:sz w:val="21"/>
          <w:szCs w:val="21"/>
          <w:highlight w:val="none"/>
          <w:lang w:val="en-US" w:eastAsia="zh-CN" w:bidi="ar"/>
        </w:rPr>
        <w:t>计划工期</w:t>
      </w:r>
      <w:r>
        <w:rPr>
          <w:rFonts w:hint="eastAsia" w:ascii="宋体" w:hAnsi="宋体" w:eastAsia="宋体" w:cs="宋体"/>
          <w:kern w:val="0"/>
          <w:sz w:val="21"/>
          <w:szCs w:val="21"/>
          <w:highlight w:val="none"/>
          <w:lang w:val="en-US" w:eastAsia="zh-CN" w:bidi="ar"/>
        </w:rPr>
        <w:t>：见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宋体"/>
          <w:kern w:val="0"/>
          <w:sz w:val="21"/>
          <w:szCs w:val="21"/>
          <w:highlight w:val="none"/>
          <w:lang w:val="en-US" w:eastAsia="zh-CN" w:bidi="ar"/>
        </w:rPr>
      </w:pPr>
      <w:r>
        <w:rPr>
          <w:rFonts w:hint="eastAsia" w:ascii="宋体" w:hAnsi="宋体" w:eastAsia="宋体" w:cs="Calibri"/>
          <w:kern w:val="0"/>
          <w:sz w:val="21"/>
          <w:szCs w:val="21"/>
          <w:highlight w:val="none"/>
          <w:lang w:val="en-US" w:eastAsia="zh-CN" w:bidi="ar"/>
        </w:rPr>
        <w:t xml:space="preserve">1.3.3  </w:t>
      </w:r>
      <w:r>
        <w:rPr>
          <w:rFonts w:hint="eastAsia" w:ascii="宋体" w:hAnsi="宋体" w:eastAsia="宋体" w:cs="宋体"/>
          <w:kern w:val="0"/>
          <w:sz w:val="21"/>
          <w:szCs w:val="21"/>
          <w:highlight w:val="none"/>
          <w:lang w:val="en-US" w:eastAsia="zh-CN" w:bidi="ar"/>
        </w:rPr>
        <w:t>本项目的质量要求：见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default"/>
          <w:highlight w:val="none"/>
          <w:lang w:val="en-US"/>
        </w:rPr>
      </w:pPr>
      <w:r>
        <w:rPr>
          <w:rFonts w:hint="eastAsia" w:ascii="宋体" w:hAnsi="宋体" w:eastAsia="宋体" w:cs="Calibri"/>
          <w:kern w:val="0"/>
          <w:sz w:val="21"/>
          <w:szCs w:val="21"/>
          <w:highlight w:val="none"/>
          <w:lang w:val="en-US" w:eastAsia="zh-CN" w:bidi="ar"/>
        </w:rPr>
        <w:t>1.3.</w:t>
      </w:r>
      <w:r>
        <w:rPr>
          <w:rFonts w:hint="eastAsia" w:ascii="宋体" w:hAnsi="宋体" w:cs="Calibri"/>
          <w:kern w:val="0"/>
          <w:sz w:val="21"/>
          <w:szCs w:val="21"/>
          <w:highlight w:val="none"/>
          <w:lang w:val="en-US" w:eastAsia="zh-CN" w:bidi="ar"/>
        </w:rPr>
        <w:t>4</w:t>
      </w:r>
      <w:r>
        <w:rPr>
          <w:rFonts w:hint="eastAsia" w:ascii="宋体" w:hAnsi="宋体" w:eastAsia="宋体" w:cs="Calibri"/>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本项目的</w:t>
      </w:r>
      <w:r>
        <w:rPr>
          <w:rFonts w:hint="eastAsia" w:ascii="宋体" w:hAnsi="宋体" w:cs="宋体"/>
          <w:kern w:val="0"/>
          <w:sz w:val="21"/>
          <w:szCs w:val="21"/>
          <w:highlight w:val="none"/>
          <w:lang w:val="en-US" w:eastAsia="zh-CN" w:bidi="ar"/>
        </w:rPr>
        <w:t>安全目标</w:t>
      </w:r>
      <w:r>
        <w:rPr>
          <w:rFonts w:hint="eastAsia" w:ascii="宋体" w:hAnsi="宋体" w:eastAsia="宋体" w:cs="宋体"/>
          <w:kern w:val="0"/>
          <w:sz w:val="21"/>
          <w:szCs w:val="21"/>
          <w:highlight w:val="none"/>
          <w:lang w:val="en-US" w:eastAsia="zh-CN" w:bidi="ar"/>
        </w:rPr>
        <w:t>：见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39" w:name="_Toc40455276"/>
      <w:bookmarkEnd w:id="139"/>
      <w:bookmarkStart w:id="140" w:name="_Toc40780258"/>
      <w:bookmarkEnd w:id="140"/>
      <w:bookmarkStart w:id="141" w:name="_Toc287607751"/>
      <w:bookmarkEnd w:id="141"/>
      <w:bookmarkStart w:id="142" w:name="_Toc15725"/>
      <w:bookmarkEnd w:id="142"/>
      <w:bookmarkStart w:id="143" w:name="_Toc40455649"/>
      <w:bookmarkEnd w:id="143"/>
      <w:bookmarkStart w:id="144" w:name="_Toc200513131"/>
      <w:bookmarkEnd w:id="144"/>
      <w:bookmarkStart w:id="145" w:name="_Toc4661910"/>
      <w:bookmarkEnd w:id="145"/>
      <w:bookmarkStart w:id="146" w:name="_Toc4661674"/>
      <w:bookmarkEnd w:id="146"/>
      <w:bookmarkStart w:id="147" w:name="_Toc4662146"/>
      <w:bookmarkEnd w:id="147"/>
      <w:bookmarkStart w:id="148" w:name="_Toc4661432"/>
      <w:bookmarkEnd w:id="148"/>
      <w:bookmarkStart w:id="149" w:name="_Toc224103322"/>
      <w:bookmarkEnd w:id="149"/>
      <w:bookmarkStart w:id="150" w:name="_Toc277082557"/>
      <w:r>
        <w:rPr>
          <w:rFonts w:hint="eastAsia" w:ascii="宋体" w:hAnsi="宋体" w:eastAsia="宋体" w:cs="Times New Roman"/>
          <w:b/>
          <w:kern w:val="2"/>
          <w:sz w:val="21"/>
          <w:szCs w:val="21"/>
          <w:highlight w:val="none"/>
        </w:rPr>
        <w:t xml:space="preserve">1.4  </w:t>
      </w:r>
      <w:bookmarkEnd w:id="150"/>
      <w:r>
        <w:rPr>
          <w:rFonts w:hint="eastAsia" w:ascii="宋体" w:hAnsi="宋体" w:cs="宋体"/>
          <w:b/>
          <w:kern w:val="2"/>
          <w:sz w:val="21"/>
          <w:szCs w:val="21"/>
          <w:highlight w:val="none"/>
          <w:lang w:eastAsia="zh-CN"/>
        </w:rPr>
        <w:t>报价人</w:t>
      </w:r>
      <w:r>
        <w:rPr>
          <w:rFonts w:hint="eastAsia" w:ascii="宋体" w:hAnsi="宋体" w:eastAsia="宋体" w:cs="宋体"/>
          <w:b/>
          <w:kern w:val="2"/>
          <w:sz w:val="21"/>
          <w:szCs w:val="21"/>
          <w:highlight w:val="none"/>
        </w:rPr>
        <w:t>资格要求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1.4.1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应具备承担本项目的资质条件、能力和信誉。</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1</w:t>
      </w:r>
      <w:r>
        <w:rPr>
          <w:rFonts w:hint="eastAsia" w:ascii="宋体" w:hAnsi="宋体" w:eastAsia="宋体" w:cs="宋体"/>
          <w:kern w:val="0"/>
          <w:sz w:val="21"/>
          <w:szCs w:val="21"/>
          <w:highlight w:val="none"/>
          <w:lang w:val="en-US" w:eastAsia="zh-CN" w:bidi="ar"/>
        </w:rPr>
        <w:t>）</w:t>
      </w:r>
      <w:r>
        <w:rPr>
          <w:rFonts w:hint="eastAsia" w:ascii="宋体" w:hAnsi="宋体" w:eastAsia="宋体" w:cs="宋体"/>
          <w:kern w:val="2"/>
          <w:sz w:val="21"/>
          <w:szCs w:val="21"/>
          <w:highlight w:val="none"/>
          <w:lang w:val="en-US" w:eastAsia="zh-CN" w:bidi="ar"/>
        </w:rPr>
        <w:t>营业执照、资质要求</w:t>
      </w:r>
      <w:r>
        <w:rPr>
          <w:rFonts w:hint="eastAsia" w:ascii="宋体" w:hAnsi="宋体" w:eastAsia="宋体" w:cs="宋体"/>
          <w:kern w:val="0"/>
          <w:sz w:val="21"/>
          <w:szCs w:val="21"/>
          <w:highlight w:val="none"/>
          <w:lang w:val="en-US" w:eastAsia="zh-CN" w:bidi="ar"/>
        </w:rPr>
        <w:t>：见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2</w:t>
      </w:r>
      <w:r>
        <w:rPr>
          <w:rFonts w:hint="eastAsia" w:ascii="宋体" w:hAnsi="宋体" w:eastAsia="宋体" w:cs="宋体"/>
          <w:kern w:val="0"/>
          <w:sz w:val="21"/>
          <w:szCs w:val="21"/>
          <w:highlight w:val="none"/>
          <w:lang w:val="en-US" w:eastAsia="zh-CN" w:bidi="ar"/>
        </w:rPr>
        <w:t>）业绩要求：见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Calibri"/>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）项目主要人员要求：见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w:t>
      </w:r>
      <w:r>
        <w:rPr>
          <w:rFonts w:hint="default" w:ascii="宋体" w:hAnsi="宋体" w:cs="宋体"/>
          <w:kern w:val="0"/>
          <w:sz w:val="21"/>
          <w:szCs w:val="21"/>
          <w:highlight w:val="none"/>
          <w:lang w:eastAsia="zh-CN" w:bidi="ar"/>
        </w:rPr>
        <w:t>4</w:t>
      </w:r>
      <w:r>
        <w:rPr>
          <w:rFonts w:hint="eastAsia" w:ascii="宋体" w:hAnsi="宋体" w:eastAsia="宋体" w:cs="宋体"/>
          <w:kern w:val="0"/>
          <w:sz w:val="21"/>
          <w:szCs w:val="21"/>
          <w:highlight w:val="none"/>
          <w:lang w:val="en-US" w:eastAsia="zh-CN" w:bidi="ar"/>
        </w:rPr>
        <w:t>）</w:t>
      </w:r>
      <w:r>
        <w:rPr>
          <w:rFonts w:hint="eastAsia" w:ascii="宋体" w:hAnsi="宋体" w:cs="宋体"/>
          <w:kern w:val="0"/>
          <w:sz w:val="21"/>
          <w:szCs w:val="21"/>
          <w:highlight w:val="none"/>
          <w:lang w:val="en-US" w:eastAsia="zh-CN" w:bidi="ar"/>
        </w:rPr>
        <w:t>信誉</w:t>
      </w:r>
      <w:r>
        <w:rPr>
          <w:rFonts w:hint="eastAsia" w:ascii="宋体" w:hAnsi="宋体" w:eastAsia="宋体" w:cs="宋体"/>
          <w:kern w:val="0"/>
          <w:sz w:val="21"/>
          <w:szCs w:val="21"/>
          <w:highlight w:val="none"/>
          <w:lang w:val="en-US" w:eastAsia="zh-CN" w:bidi="ar"/>
        </w:rPr>
        <w:t>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highlight w:val="none"/>
        </w:rPr>
      </w:pPr>
      <w:r>
        <w:rPr>
          <w:rFonts w:hint="eastAsia" w:ascii="宋体" w:hAnsi="宋体" w:eastAsia="宋体" w:cs="宋体"/>
          <w:kern w:val="0"/>
          <w:sz w:val="21"/>
          <w:szCs w:val="21"/>
          <w:highlight w:val="none"/>
          <w:lang w:val="en-US" w:eastAsia="zh-CN" w:bidi="ar"/>
        </w:rPr>
        <w:t>（</w:t>
      </w:r>
      <w:r>
        <w:rPr>
          <w:rFonts w:hint="default" w:ascii="宋体" w:hAnsi="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）其他要求：见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1.4.2  </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前附表规定接受联合体投标的，除应符合本章第</w:t>
      </w:r>
      <w:r>
        <w:rPr>
          <w:rFonts w:hint="eastAsia" w:ascii="宋体" w:hAnsi="宋体" w:eastAsia="宋体" w:cs="Calibri"/>
          <w:kern w:val="0"/>
          <w:sz w:val="21"/>
          <w:szCs w:val="21"/>
          <w:highlight w:val="none"/>
          <w:lang w:val="en-US" w:eastAsia="zh-CN" w:bidi="ar"/>
        </w:rPr>
        <w:t>1.4.1</w:t>
      </w:r>
      <w:r>
        <w:rPr>
          <w:rFonts w:hint="eastAsia" w:ascii="宋体" w:hAnsi="宋体" w:eastAsia="宋体" w:cs="宋体"/>
          <w:kern w:val="0"/>
          <w:sz w:val="21"/>
          <w:szCs w:val="21"/>
          <w:highlight w:val="none"/>
          <w:lang w:val="en-US" w:eastAsia="zh-CN" w:bidi="ar"/>
        </w:rPr>
        <w:t>项和</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前附表的要求外，还应遵守以下规定：</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1</w:t>
      </w:r>
      <w:r>
        <w:rPr>
          <w:rFonts w:hint="eastAsia" w:ascii="宋体" w:hAnsi="宋体" w:eastAsia="宋体" w:cs="宋体"/>
          <w:kern w:val="0"/>
          <w:sz w:val="21"/>
          <w:szCs w:val="21"/>
          <w:highlight w:val="none"/>
          <w:lang w:val="en-US" w:eastAsia="zh-CN" w:bidi="ar"/>
        </w:rPr>
        <w:t>）联合体各方应按</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文件提供的格式签订联合体协议书，明确联合体牵头人和各方权利义务；</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2</w:t>
      </w:r>
      <w:r>
        <w:rPr>
          <w:rFonts w:hint="eastAsia" w:ascii="宋体" w:hAnsi="宋体" w:eastAsia="宋体" w:cs="宋体"/>
          <w:kern w:val="0"/>
          <w:sz w:val="21"/>
          <w:szCs w:val="21"/>
          <w:highlight w:val="none"/>
          <w:lang w:val="en-US" w:eastAsia="zh-CN" w:bidi="ar"/>
        </w:rPr>
        <w:t>）由同一专业的单位组成的联合体，按照资质等级较低的单位确定资质等级；</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）联合体各方不得再以自己名义单独或参加其他联合体在同一项目中投标。</w:t>
      </w:r>
    </w:p>
    <w:p>
      <w:pPr>
        <w:keepNext w:val="0"/>
        <w:keepLines w:val="0"/>
        <w:widowControl w:val="0"/>
        <w:suppressLineNumbers w:val="0"/>
        <w:autoSpaceDE w:val="0"/>
        <w:autoSpaceDN w:val="0"/>
        <w:adjustRightInd w:val="0"/>
        <w:spacing w:before="0" w:beforeAutospacing="0" w:after="0" w:afterAutospacing="0" w:line="300" w:lineRule="exact"/>
        <w:ind w:left="0" w:right="0" w:firstLine="357" w:firstLineChars="17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1.4.3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不得存在下列情形之一：</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与本</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项目的其他</w:t>
      </w:r>
      <w:r>
        <w:rPr>
          <w:rFonts w:hint="eastAsia" w:ascii="宋体" w:hAnsi="宋体" w:cs="MingLiU"/>
          <w:kern w:val="0"/>
          <w:sz w:val="21"/>
          <w:szCs w:val="21"/>
          <w:highlight w:val="none"/>
          <w:lang w:val="en-US" w:eastAsia="zh-CN" w:bidi="ar"/>
        </w:rPr>
        <w:t>报价人</w:t>
      </w:r>
      <w:r>
        <w:rPr>
          <w:rFonts w:hint="eastAsia" w:ascii="宋体" w:hAnsi="宋体" w:eastAsia="宋体" w:cs="MingLiU"/>
          <w:kern w:val="0"/>
          <w:sz w:val="21"/>
          <w:szCs w:val="21"/>
          <w:highlight w:val="none"/>
          <w:lang w:val="en-US" w:eastAsia="zh-CN" w:bidi="ar"/>
        </w:rPr>
        <w:t>为同一个单位负责人；</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与本</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项目的其他</w:t>
      </w:r>
      <w:r>
        <w:rPr>
          <w:rFonts w:hint="eastAsia" w:ascii="宋体" w:hAnsi="宋体" w:cs="MingLiU"/>
          <w:kern w:val="0"/>
          <w:sz w:val="21"/>
          <w:szCs w:val="21"/>
          <w:highlight w:val="none"/>
          <w:lang w:val="en-US" w:eastAsia="zh-CN" w:bidi="ar"/>
        </w:rPr>
        <w:t>报价人</w:t>
      </w:r>
      <w:r>
        <w:rPr>
          <w:rFonts w:hint="eastAsia" w:ascii="宋体" w:hAnsi="宋体" w:eastAsia="宋体" w:cs="MingLiU"/>
          <w:kern w:val="0"/>
          <w:sz w:val="21"/>
          <w:szCs w:val="21"/>
          <w:highlight w:val="none"/>
          <w:lang w:val="en-US" w:eastAsia="zh-CN" w:bidi="ar"/>
        </w:rPr>
        <w:t>存在控股、管理关系；</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被依法暂停或者取消投标资格；</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被责令停产停业、暂扣或者吊销许可证、暂扣或者吊销执照；</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进入清算程序，或被宣告破产，或其他丧失履约能力的情形；</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在最近三年内发生重大产品质量问题；</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被工商行政管理机关在全国企业信用信息公示系统中列入严重违法失信企业名单；</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在“信用中国”网站（www.creditchina.gov.cn）中被列入失信惩戒对象名单；</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在国家企业信用信息公示系统（http://www.gsxt.gov.cn/）中被列入严重违法失信企业名单；</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2018年1月1日至</w:t>
      </w:r>
      <w:r>
        <w:rPr>
          <w:rFonts w:hint="default" w:ascii="宋体" w:hAnsi="宋体" w:cs="MingLiU"/>
          <w:kern w:val="0"/>
          <w:sz w:val="21"/>
          <w:szCs w:val="21"/>
          <w:highlight w:val="none"/>
          <w:lang w:eastAsia="zh-CN" w:bidi="ar"/>
        </w:rPr>
        <w:t>报价截止</w:t>
      </w:r>
      <w:r>
        <w:rPr>
          <w:rFonts w:hint="eastAsia" w:ascii="宋体" w:hAnsi="宋体" w:eastAsia="宋体" w:cs="MingLiU"/>
          <w:kern w:val="0"/>
          <w:sz w:val="21"/>
          <w:szCs w:val="21"/>
          <w:highlight w:val="none"/>
          <w:lang w:val="en-US" w:eastAsia="zh-CN" w:bidi="ar"/>
        </w:rPr>
        <w:t>日止</w:t>
      </w:r>
      <w:r>
        <w:rPr>
          <w:rFonts w:hint="eastAsia" w:ascii="宋体" w:hAnsi="宋体" w:cs="MingLiU"/>
          <w:kern w:val="0"/>
          <w:sz w:val="21"/>
          <w:szCs w:val="21"/>
          <w:highlight w:val="none"/>
          <w:lang w:val="en-US" w:eastAsia="zh-CN" w:bidi="ar"/>
        </w:rPr>
        <w:t>报价人</w:t>
      </w:r>
      <w:r>
        <w:rPr>
          <w:rFonts w:hint="eastAsia" w:ascii="宋体" w:hAnsi="宋体" w:eastAsia="宋体" w:cs="MingLiU"/>
          <w:kern w:val="0"/>
          <w:sz w:val="21"/>
          <w:szCs w:val="21"/>
          <w:highlight w:val="none"/>
          <w:lang w:val="en-US" w:eastAsia="zh-CN" w:bidi="ar"/>
        </w:rPr>
        <w:t>或其法定代表人有行贿犯罪行为的；</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有过以他人名义投标或以其他方式弄虚作假，骗取中标行为；</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财产被重组、接管、查封、扣押或冻结的；</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被国家、重庆市（含市</w:t>
      </w:r>
      <w:r>
        <w:rPr>
          <w:rFonts w:hint="default" w:ascii="宋体" w:hAnsi="宋体" w:cs="MingLiU"/>
          <w:kern w:val="0"/>
          <w:sz w:val="21"/>
          <w:szCs w:val="21"/>
          <w:highlight w:val="none"/>
          <w:lang w:eastAsia="zh-CN" w:bidi="ar"/>
        </w:rPr>
        <w:t>区</w:t>
      </w:r>
      <w:r>
        <w:rPr>
          <w:rFonts w:hint="eastAsia" w:ascii="宋体" w:hAnsi="宋体" w:eastAsia="宋体" w:cs="MingLiU"/>
          <w:kern w:val="0"/>
          <w:sz w:val="21"/>
          <w:szCs w:val="21"/>
          <w:highlight w:val="none"/>
          <w:lang w:val="en-US" w:eastAsia="zh-CN" w:bidi="ar"/>
        </w:rPr>
        <w:t>或任意区县）有关行政部门处以暂停投标资格行政处罚，且在处罚期限内；</w:t>
      </w:r>
    </w:p>
    <w:p>
      <w:pPr>
        <w:keepNext w:val="0"/>
        <w:keepLines w:val="0"/>
        <w:widowControl w:val="0"/>
        <w:numPr>
          <w:ilvl w:val="0"/>
          <w:numId w:val="3"/>
        </w:numPr>
        <w:suppressLineNumbers w:val="0"/>
        <w:autoSpaceDE w:val="0"/>
        <w:autoSpaceDN w:val="0"/>
        <w:adjustRightInd w:val="0"/>
        <w:spacing w:before="0" w:beforeAutospacing="0" w:after="0" w:afterAutospacing="0" w:line="300" w:lineRule="exact"/>
        <w:ind w:left="845" w:leftChars="200" w:right="0" w:hanging="425"/>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法律法规或</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前附表规定的其他情形。</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1.5  费用承担</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准备和参加</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活动发生的费用自理。</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51" w:name="_Toc4661676"/>
      <w:bookmarkEnd w:id="151"/>
      <w:bookmarkStart w:id="152" w:name="_Toc40455278"/>
      <w:bookmarkEnd w:id="152"/>
      <w:bookmarkStart w:id="153" w:name="_Toc287607753"/>
      <w:bookmarkEnd w:id="153"/>
      <w:bookmarkStart w:id="154" w:name="_Toc277082559"/>
      <w:bookmarkEnd w:id="154"/>
      <w:bookmarkStart w:id="155" w:name="_Toc40455651"/>
      <w:bookmarkEnd w:id="155"/>
      <w:bookmarkStart w:id="156" w:name="_Toc224103324"/>
      <w:bookmarkEnd w:id="156"/>
      <w:bookmarkStart w:id="157" w:name="_Toc4661434"/>
      <w:bookmarkEnd w:id="157"/>
      <w:bookmarkStart w:id="158" w:name="_Toc4662148"/>
      <w:bookmarkEnd w:id="158"/>
      <w:bookmarkStart w:id="159" w:name="_Toc706"/>
      <w:bookmarkEnd w:id="159"/>
      <w:bookmarkStart w:id="160" w:name="_Toc4661912"/>
      <w:bookmarkEnd w:id="160"/>
      <w:bookmarkStart w:id="161" w:name="_Toc200513133"/>
      <w:bookmarkEnd w:id="161"/>
      <w:bookmarkStart w:id="162" w:name="_Toc40780260"/>
      <w:r>
        <w:rPr>
          <w:rFonts w:hint="eastAsia" w:ascii="宋体" w:hAnsi="宋体" w:eastAsia="宋体" w:cs="Times New Roman"/>
          <w:b/>
          <w:kern w:val="2"/>
          <w:sz w:val="21"/>
          <w:szCs w:val="21"/>
          <w:highlight w:val="none"/>
        </w:rPr>
        <w:t xml:space="preserve">1.6  </w:t>
      </w:r>
      <w:bookmarkEnd w:id="162"/>
      <w:r>
        <w:rPr>
          <w:rFonts w:hint="eastAsia" w:ascii="宋体" w:hAnsi="宋体" w:eastAsia="宋体" w:cs="宋体"/>
          <w:b/>
          <w:kern w:val="2"/>
          <w:sz w:val="21"/>
          <w:szCs w:val="21"/>
          <w:highlight w:val="none"/>
        </w:rPr>
        <w:t>保密</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参与</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投标活动的各方应对</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文件和</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中的商业和技术等秘密保密，违者应对由此造成的后果承担法律责任。</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63" w:name="_Toc4264"/>
      <w:bookmarkEnd w:id="163"/>
      <w:bookmarkStart w:id="164" w:name="_Toc4661913"/>
      <w:bookmarkEnd w:id="164"/>
      <w:bookmarkStart w:id="165" w:name="_Toc4661677"/>
      <w:bookmarkEnd w:id="165"/>
      <w:bookmarkStart w:id="166" w:name="_Toc40455279"/>
      <w:bookmarkEnd w:id="166"/>
      <w:bookmarkStart w:id="167" w:name="_Toc4661435"/>
      <w:bookmarkEnd w:id="167"/>
      <w:bookmarkStart w:id="168" w:name="_Toc200513134"/>
      <w:bookmarkEnd w:id="168"/>
      <w:bookmarkStart w:id="169" w:name="_Toc224103325"/>
      <w:bookmarkEnd w:id="169"/>
      <w:bookmarkStart w:id="170" w:name="_Toc287607754"/>
      <w:bookmarkEnd w:id="170"/>
      <w:bookmarkStart w:id="171" w:name="_Toc40455652"/>
      <w:bookmarkEnd w:id="171"/>
      <w:bookmarkStart w:id="172" w:name="_Toc277082560"/>
      <w:bookmarkEnd w:id="172"/>
      <w:bookmarkStart w:id="173" w:name="_Toc40780261"/>
      <w:bookmarkEnd w:id="173"/>
      <w:bookmarkStart w:id="174" w:name="_Toc4662149"/>
      <w:r>
        <w:rPr>
          <w:rFonts w:hint="eastAsia" w:ascii="宋体" w:hAnsi="宋体" w:eastAsia="宋体" w:cs="Times New Roman"/>
          <w:b/>
          <w:kern w:val="2"/>
          <w:sz w:val="21"/>
          <w:szCs w:val="21"/>
          <w:highlight w:val="none"/>
        </w:rPr>
        <w:t xml:space="preserve">1.7  </w:t>
      </w:r>
      <w:bookmarkEnd w:id="174"/>
      <w:r>
        <w:rPr>
          <w:rFonts w:hint="eastAsia" w:ascii="宋体" w:hAnsi="宋体" w:eastAsia="宋体" w:cs="宋体"/>
          <w:b/>
          <w:kern w:val="2"/>
          <w:sz w:val="21"/>
          <w:szCs w:val="21"/>
          <w:highlight w:val="none"/>
        </w:rPr>
        <w:t>语言文字</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除专用术语外，与</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投标有关的语言均使用中文。必要时专用术语应附有中文注释。</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75" w:name="_Toc200513135"/>
      <w:bookmarkEnd w:id="175"/>
      <w:bookmarkStart w:id="176" w:name="_Toc40780262"/>
      <w:bookmarkEnd w:id="176"/>
      <w:bookmarkStart w:id="177" w:name="_Toc224103326"/>
      <w:bookmarkEnd w:id="177"/>
      <w:bookmarkStart w:id="178" w:name="_Toc277082561"/>
      <w:bookmarkEnd w:id="178"/>
      <w:bookmarkStart w:id="179" w:name="_Toc287607755"/>
      <w:bookmarkEnd w:id="179"/>
      <w:bookmarkStart w:id="180" w:name="_Toc40455280"/>
      <w:bookmarkEnd w:id="180"/>
      <w:bookmarkStart w:id="181" w:name="_Toc4662150"/>
      <w:bookmarkEnd w:id="181"/>
      <w:bookmarkStart w:id="182" w:name="_Toc4661678"/>
      <w:bookmarkEnd w:id="182"/>
      <w:bookmarkStart w:id="183" w:name="_Toc4661436"/>
      <w:bookmarkEnd w:id="183"/>
      <w:bookmarkStart w:id="184" w:name="_Toc934"/>
      <w:bookmarkEnd w:id="184"/>
      <w:bookmarkStart w:id="185" w:name="_Toc40455653"/>
      <w:bookmarkEnd w:id="185"/>
      <w:bookmarkStart w:id="186" w:name="_Toc4661914"/>
      <w:r>
        <w:rPr>
          <w:rFonts w:hint="eastAsia" w:ascii="宋体" w:hAnsi="宋体" w:eastAsia="宋体" w:cs="Times New Roman"/>
          <w:b/>
          <w:kern w:val="2"/>
          <w:sz w:val="21"/>
          <w:szCs w:val="21"/>
          <w:highlight w:val="none"/>
        </w:rPr>
        <w:t xml:space="preserve">1.8  </w:t>
      </w:r>
      <w:bookmarkEnd w:id="186"/>
      <w:r>
        <w:rPr>
          <w:rFonts w:hint="eastAsia" w:ascii="宋体" w:hAnsi="宋体" w:eastAsia="宋体" w:cs="宋体"/>
          <w:b/>
          <w:kern w:val="2"/>
          <w:sz w:val="21"/>
          <w:szCs w:val="21"/>
          <w:highlight w:val="none"/>
        </w:rPr>
        <w:t>计量单位</w:t>
      </w:r>
    </w:p>
    <w:p>
      <w:pPr>
        <w:keepNext w:val="0"/>
        <w:keepLines w:val="0"/>
        <w:widowControl w:val="0"/>
        <w:suppressLineNumbers w:val="0"/>
        <w:autoSpaceDE w:val="0"/>
        <w:autoSpaceDN w:val="0"/>
        <w:adjustRightInd w:val="0"/>
        <w:spacing w:before="0" w:beforeAutospacing="0" w:after="0" w:afterAutospacing="0" w:line="300" w:lineRule="exact"/>
        <w:ind w:left="0" w:right="0" w:firstLine="424" w:firstLineChars="202"/>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所有计量均采用中华人民共和国法定计量单位。</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87" w:name="_Toc287607756"/>
      <w:bookmarkEnd w:id="187"/>
      <w:bookmarkStart w:id="188" w:name="_Toc200513136"/>
      <w:bookmarkEnd w:id="188"/>
      <w:bookmarkStart w:id="189" w:name="_Toc224103327"/>
      <w:bookmarkEnd w:id="189"/>
      <w:bookmarkStart w:id="190" w:name="_Toc40455281"/>
      <w:bookmarkEnd w:id="190"/>
      <w:bookmarkStart w:id="191" w:name="_Toc4661437"/>
      <w:bookmarkEnd w:id="191"/>
      <w:bookmarkStart w:id="192" w:name="_Toc4661915"/>
      <w:bookmarkEnd w:id="192"/>
      <w:bookmarkStart w:id="193" w:name="_Toc14666"/>
      <w:bookmarkEnd w:id="193"/>
      <w:bookmarkStart w:id="194" w:name="_Toc40455654"/>
      <w:bookmarkEnd w:id="194"/>
      <w:bookmarkStart w:id="195" w:name="_Toc4661679"/>
      <w:bookmarkEnd w:id="195"/>
      <w:bookmarkStart w:id="196" w:name="_Toc4662151"/>
      <w:bookmarkEnd w:id="196"/>
      <w:bookmarkStart w:id="197" w:name="_Toc277082562"/>
      <w:bookmarkEnd w:id="197"/>
      <w:bookmarkStart w:id="198" w:name="_Toc40780263"/>
      <w:r>
        <w:rPr>
          <w:rFonts w:hint="eastAsia" w:ascii="宋体" w:hAnsi="宋体" w:eastAsia="宋体" w:cs="Times New Roman"/>
          <w:b/>
          <w:kern w:val="2"/>
          <w:sz w:val="21"/>
          <w:szCs w:val="21"/>
          <w:highlight w:val="none"/>
        </w:rPr>
        <w:t xml:space="preserve">1.9  </w:t>
      </w:r>
      <w:bookmarkEnd w:id="198"/>
      <w:r>
        <w:rPr>
          <w:rFonts w:hint="eastAsia" w:ascii="宋体" w:hAnsi="宋体" w:eastAsia="宋体" w:cs="宋体"/>
          <w:b/>
          <w:kern w:val="2"/>
          <w:sz w:val="21"/>
          <w:szCs w:val="21"/>
          <w:highlight w:val="none"/>
        </w:rPr>
        <w:t>踏勘现场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1.9.1  </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前附表规定组织踏勘现场的，</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w:t>
      </w:r>
      <w:r>
        <w:rPr>
          <w:rFonts w:hint="eastAsia" w:ascii="宋体" w:hAnsi="宋体" w:eastAsia="宋体" w:cs="MingLiU"/>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地点组织</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踏勘项目现场。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1.9.2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踏勘现场发生的费用自理。</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1.9.3  </w:t>
      </w:r>
      <w:r>
        <w:rPr>
          <w:rFonts w:hint="eastAsia" w:ascii="宋体" w:hAnsi="宋体" w:eastAsia="宋体" w:cs="宋体"/>
          <w:kern w:val="0"/>
          <w:sz w:val="21"/>
          <w:szCs w:val="21"/>
          <w:highlight w:val="none"/>
          <w:lang w:val="en-US" w:eastAsia="zh-CN" w:bidi="ar"/>
        </w:rPr>
        <w:t>除</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的原因外，</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自行负责在踏勘现场中所发生的人员伤亡和财产损失。</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1.9.4  </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在踏勘现场中介绍的工程场地和相关的周边环境情况，供</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在编制</w:t>
      </w:r>
      <w:r>
        <w:rPr>
          <w:rFonts w:hint="default" w:ascii="宋体" w:hAnsi="宋体" w:cs="宋体"/>
          <w:kern w:val="0"/>
          <w:sz w:val="21"/>
          <w:szCs w:val="21"/>
          <w:highlight w:val="none"/>
          <w:lang w:eastAsia="zh-CN" w:bidi="ar"/>
        </w:rPr>
        <w:t>比选响应</w:t>
      </w:r>
      <w:r>
        <w:rPr>
          <w:rFonts w:hint="eastAsia" w:ascii="宋体" w:hAnsi="宋体" w:eastAsia="宋体" w:cs="宋体"/>
          <w:kern w:val="0"/>
          <w:sz w:val="21"/>
          <w:szCs w:val="21"/>
          <w:highlight w:val="none"/>
          <w:lang w:val="en-US" w:eastAsia="zh-CN" w:bidi="ar"/>
        </w:rPr>
        <w:t>文件时参考，</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不对</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据此做出的判断和决策负责。</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199" w:name="_Toc40780264"/>
      <w:bookmarkEnd w:id="199"/>
      <w:bookmarkStart w:id="200" w:name="_Toc4661680"/>
      <w:bookmarkEnd w:id="200"/>
      <w:bookmarkStart w:id="201" w:name="_Toc4662152"/>
      <w:bookmarkEnd w:id="201"/>
      <w:bookmarkStart w:id="202" w:name="_Toc200513137"/>
      <w:bookmarkEnd w:id="202"/>
      <w:bookmarkStart w:id="203" w:name="_Toc32378"/>
      <w:bookmarkEnd w:id="203"/>
      <w:bookmarkStart w:id="204" w:name="_Toc224103328"/>
      <w:bookmarkEnd w:id="204"/>
      <w:bookmarkStart w:id="205" w:name="_Toc287607757"/>
      <w:bookmarkEnd w:id="205"/>
      <w:bookmarkStart w:id="206" w:name="_Toc40455282"/>
      <w:bookmarkEnd w:id="206"/>
      <w:bookmarkStart w:id="207" w:name="_Toc4661916"/>
      <w:bookmarkEnd w:id="207"/>
      <w:bookmarkStart w:id="208" w:name="_Toc277082563"/>
      <w:bookmarkEnd w:id="208"/>
      <w:bookmarkStart w:id="209" w:name="_Toc4661438"/>
      <w:bookmarkEnd w:id="209"/>
      <w:bookmarkStart w:id="210" w:name="_Toc40455655"/>
      <w:r>
        <w:rPr>
          <w:rFonts w:hint="eastAsia" w:ascii="宋体" w:hAnsi="宋体" w:eastAsia="宋体" w:cs="Times New Roman"/>
          <w:b/>
          <w:kern w:val="2"/>
          <w:sz w:val="21"/>
          <w:szCs w:val="21"/>
          <w:highlight w:val="none"/>
        </w:rPr>
        <w:t xml:space="preserve">1.10  </w:t>
      </w:r>
      <w:bookmarkEnd w:id="210"/>
      <w:r>
        <w:rPr>
          <w:rFonts w:hint="eastAsia" w:ascii="宋体" w:hAnsi="宋体" w:eastAsia="宋体" w:cs="宋体"/>
          <w:b/>
          <w:kern w:val="2"/>
          <w:sz w:val="21"/>
          <w:szCs w:val="21"/>
          <w:highlight w:val="none"/>
        </w:rPr>
        <w:t>投标预备会</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1.10.1  </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前附表规定召开投标预备会的，</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前附表规定的时间和地点召开投标预备会，澄清</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提出的问题。</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1.10.2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应在</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前附表规定的时间前，以书面形式将提出的问题送达</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，以便</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在会议期间澄清。</w:t>
      </w:r>
    </w:p>
    <w:p>
      <w:pPr>
        <w:keepNext w:val="0"/>
        <w:keepLines w:val="0"/>
        <w:widowControl w:val="0"/>
        <w:suppressLineNumbers w:val="0"/>
        <w:autoSpaceDE w:val="0"/>
        <w:autoSpaceDN w:val="0"/>
        <w:adjustRightInd w:val="0"/>
        <w:spacing w:before="0" w:beforeAutospacing="0" w:after="0" w:afterAutospacing="0" w:line="300" w:lineRule="exact"/>
        <w:ind w:left="0" w:right="0" w:firstLine="424" w:firstLineChars="202"/>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1.10.3  </w:t>
      </w:r>
      <w:r>
        <w:rPr>
          <w:rFonts w:hint="eastAsia" w:ascii="宋体" w:hAnsi="宋体" w:eastAsia="宋体" w:cs="宋体"/>
          <w:kern w:val="0"/>
          <w:sz w:val="21"/>
          <w:szCs w:val="21"/>
          <w:highlight w:val="none"/>
          <w:lang w:val="en-US" w:eastAsia="zh-CN" w:bidi="ar"/>
        </w:rPr>
        <w:t>投标预备会后，</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在</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前附表规定的时间内，将对</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所提问题</w:t>
      </w:r>
      <w:r>
        <w:rPr>
          <w:rFonts w:hint="eastAsia" w:ascii="宋体" w:hAnsi="宋体" w:eastAsia="宋体" w:cs="宋体"/>
          <w:kern w:val="0"/>
          <w:position w:val="-2"/>
          <w:sz w:val="21"/>
          <w:szCs w:val="21"/>
          <w:highlight w:val="none"/>
          <w:lang w:val="en-US" w:eastAsia="zh-CN" w:bidi="ar"/>
        </w:rPr>
        <w:t>的澄清，以书面方式通知所有购买</w:t>
      </w:r>
      <w:r>
        <w:rPr>
          <w:rFonts w:hint="eastAsia" w:ascii="宋体" w:hAnsi="宋体" w:cs="宋体"/>
          <w:kern w:val="0"/>
          <w:position w:val="-2"/>
          <w:sz w:val="21"/>
          <w:szCs w:val="21"/>
          <w:highlight w:val="none"/>
          <w:lang w:val="en-US" w:eastAsia="zh-CN" w:bidi="ar"/>
        </w:rPr>
        <w:t>竞争性比选</w:t>
      </w:r>
      <w:r>
        <w:rPr>
          <w:rFonts w:hint="eastAsia" w:ascii="宋体" w:hAnsi="宋体" w:eastAsia="宋体" w:cs="宋体"/>
          <w:kern w:val="0"/>
          <w:position w:val="-2"/>
          <w:sz w:val="21"/>
          <w:szCs w:val="21"/>
          <w:highlight w:val="none"/>
          <w:lang w:val="en-US" w:eastAsia="zh-CN" w:bidi="ar"/>
        </w:rPr>
        <w:t>文件的</w:t>
      </w:r>
      <w:r>
        <w:rPr>
          <w:rFonts w:hint="eastAsia" w:ascii="宋体" w:hAnsi="宋体" w:cs="宋体"/>
          <w:kern w:val="0"/>
          <w:position w:val="-2"/>
          <w:sz w:val="21"/>
          <w:szCs w:val="21"/>
          <w:highlight w:val="none"/>
          <w:lang w:val="en-US" w:eastAsia="zh-CN" w:bidi="ar"/>
        </w:rPr>
        <w:t>报价人</w:t>
      </w:r>
      <w:r>
        <w:rPr>
          <w:rFonts w:hint="eastAsia" w:ascii="宋体" w:hAnsi="宋体" w:eastAsia="宋体" w:cs="宋体"/>
          <w:kern w:val="0"/>
          <w:position w:val="-2"/>
          <w:sz w:val="21"/>
          <w:szCs w:val="21"/>
          <w:highlight w:val="none"/>
          <w:lang w:val="en-US" w:eastAsia="zh-CN" w:bidi="ar"/>
        </w:rPr>
        <w:t>。该澄清内容为</w:t>
      </w:r>
      <w:r>
        <w:rPr>
          <w:rFonts w:hint="eastAsia" w:ascii="宋体" w:hAnsi="宋体" w:cs="宋体"/>
          <w:kern w:val="0"/>
          <w:position w:val="-2"/>
          <w:sz w:val="21"/>
          <w:szCs w:val="21"/>
          <w:highlight w:val="none"/>
          <w:lang w:val="en-US" w:eastAsia="zh-CN" w:bidi="ar"/>
        </w:rPr>
        <w:t>竞争性比选</w:t>
      </w:r>
      <w:r>
        <w:rPr>
          <w:rFonts w:hint="eastAsia" w:ascii="宋体" w:hAnsi="宋体" w:eastAsia="宋体" w:cs="宋体"/>
          <w:kern w:val="0"/>
          <w:position w:val="-2"/>
          <w:sz w:val="21"/>
          <w:szCs w:val="21"/>
          <w:highlight w:val="none"/>
          <w:lang w:val="en-US" w:eastAsia="zh-CN" w:bidi="ar"/>
        </w:rPr>
        <w:t>文件的组成部分。</w:t>
      </w:r>
    </w:p>
    <w:p>
      <w:pPr>
        <w:pStyle w:val="7"/>
        <w:widowControl/>
        <w:spacing w:before="0" w:beforeAutospacing="0" w:after="0" w:afterAutospacing="0" w:line="300" w:lineRule="exact"/>
        <w:rPr>
          <w:rFonts w:hint="eastAsia" w:ascii="宋体" w:hAnsi="宋体" w:eastAsia="宋体" w:cs="MingLiU"/>
          <w:b w:val="0"/>
          <w:kern w:val="0"/>
          <w:sz w:val="21"/>
          <w:szCs w:val="21"/>
          <w:highlight w:val="none"/>
        </w:rPr>
      </w:pPr>
      <w:bookmarkStart w:id="211" w:name="_Toc287607758"/>
      <w:bookmarkEnd w:id="211"/>
      <w:bookmarkStart w:id="212" w:name="_Toc4661439"/>
      <w:bookmarkEnd w:id="212"/>
      <w:bookmarkStart w:id="213" w:name="_Toc40455656"/>
      <w:bookmarkEnd w:id="213"/>
      <w:bookmarkStart w:id="214" w:name="_Toc277082564"/>
      <w:bookmarkEnd w:id="214"/>
      <w:bookmarkStart w:id="215" w:name="_Toc40455283"/>
      <w:bookmarkEnd w:id="215"/>
      <w:bookmarkStart w:id="216" w:name="_Toc4662153"/>
      <w:bookmarkEnd w:id="216"/>
      <w:bookmarkStart w:id="217" w:name="_Toc1732"/>
      <w:bookmarkEnd w:id="217"/>
      <w:bookmarkStart w:id="218" w:name="_Toc40780265"/>
      <w:bookmarkEnd w:id="218"/>
      <w:bookmarkStart w:id="219" w:name="_Toc4661917"/>
      <w:bookmarkEnd w:id="219"/>
      <w:bookmarkStart w:id="220" w:name="_Toc224103329"/>
      <w:bookmarkEnd w:id="220"/>
      <w:bookmarkStart w:id="221" w:name="_Toc4661681"/>
      <w:bookmarkEnd w:id="221"/>
      <w:bookmarkStart w:id="222" w:name="_Toc200513138"/>
      <w:r>
        <w:rPr>
          <w:rFonts w:hint="eastAsia" w:ascii="宋体" w:hAnsi="宋体" w:eastAsia="宋体" w:cs="Times New Roman"/>
          <w:b/>
          <w:kern w:val="2"/>
          <w:sz w:val="21"/>
          <w:szCs w:val="21"/>
          <w:highlight w:val="none"/>
        </w:rPr>
        <w:t xml:space="preserve">1.11  </w:t>
      </w:r>
      <w:bookmarkEnd w:id="222"/>
      <w:r>
        <w:rPr>
          <w:rFonts w:hint="eastAsia" w:ascii="宋体" w:hAnsi="宋体" w:eastAsia="宋体" w:cs="宋体"/>
          <w:b/>
          <w:kern w:val="2"/>
          <w:sz w:val="21"/>
          <w:szCs w:val="21"/>
          <w:highlight w:val="none"/>
        </w:rPr>
        <w:t>分包</w:t>
      </w:r>
    </w:p>
    <w:p>
      <w:pPr>
        <w:keepNext w:val="0"/>
        <w:keepLines w:val="0"/>
        <w:widowControl w:val="0"/>
        <w:autoSpaceDE w:val="0"/>
        <w:autoSpaceDN w:val="0"/>
        <w:adjustRightInd w:val="0"/>
        <w:spacing w:before="0" w:beforeAutospacing="0" w:after="0" w:afterAutospacing="0" w:line="300" w:lineRule="exact"/>
        <w:ind w:firstLine="424" w:firstLineChars="202"/>
        <w:jc w:val="left"/>
        <w:rPr>
          <w:rFonts w:hint="eastAsia" w:ascii="宋体" w:hAnsi="宋体" w:eastAsia="宋体" w:cs="MingLiU"/>
          <w:b w:val="0"/>
          <w:kern w:val="0"/>
          <w:sz w:val="21"/>
          <w:szCs w:val="21"/>
          <w:highlight w:val="none"/>
        </w:rPr>
      </w:pPr>
      <w:bookmarkStart w:id="223" w:name="_Toc200513139"/>
      <w:bookmarkEnd w:id="223"/>
      <w:bookmarkStart w:id="224" w:name="_Toc4661918"/>
      <w:bookmarkEnd w:id="224"/>
      <w:bookmarkStart w:id="225" w:name="_Toc1991"/>
      <w:bookmarkEnd w:id="225"/>
      <w:bookmarkStart w:id="226" w:name="_Toc40455284"/>
      <w:bookmarkEnd w:id="226"/>
      <w:bookmarkStart w:id="227" w:name="_Toc40780266"/>
      <w:bookmarkEnd w:id="227"/>
      <w:bookmarkStart w:id="228" w:name="_Toc277082565"/>
      <w:bookmarkEnd w:id="228"/>
      <w:bookmarkStart w:id="229" w:name="_Toc287607759"/>
      <w:bookmarkEnd w:id="229"/>
      <w:bookmarkStart w:id="230" w:name="_Toc40455657"/>
      <w:bookmarkEnd w:id="230"/>
      <w:bookmarkStart w:id="231" w:name="_Toc4661440"/>
      <w:bookmarkEnd w:id="231"/>
      <w:bookmarkStart w:id="232" w:name="_Toc4661682"/>
      <w:bookmarkEnd w:id="232"/>
      <w:bookmarkStart w:id="233" w:name="_Toc4662154"/>
      <w:bookmarkEnd w:id="233"/>
      <w:bookmarkStart w:id="234" w:name="_Toc224103330"/>
      <w:r>
        <w:rPr>
          <w:rFonts w:hint="eastAsia" w:ascii="宋体" w:hAnsi="宋体" w:eastAsia="宋体" w:cs="MingLiU"/>
          <w:b w:val="0"/>
          <w:kern w:val="0"/>
          <w:sz w:val="21"/>
          <w:szCs w:val="21"/>
          <w:highlight w:val="none"/>
        </w:rPr>
        <w:t>1.11.1</w:t>
      </w:r>
      <w:r>
        <w:rPr>
          <w:rFonts w:hint="eastAsia" w:ascii="宋体" w:hAnsi="宋体" w:eastAsia="宋体" w:cs="Calibri"/>
          <w:kern w:val="0"/>
          <w:sz w:val="21"/>
          <w:szCs w:val="21"/>
          <w:highlight w:val="none"/>
          <w:lang w:val="en-US" w:eastAsia="zh-CN" w:bidi="ar"/>
        </w:rPr>
        <w:t xml:space="preserve">  </w:t>
      </w:r>
      <w:r>
        <w:rPr>
          <w:rFonts w:hint="eastAsia" w:ascii="宋体" w:hAnsi="宋体" w:eastAsia="宋体" w:cs="MingLiU"/>
          <w:b w:val="0"/>
          <w:kern w:val="0"/>
          <w:sz w:val="21"/>
          <w:szCs w:val="21"/>
          <w:highlight w:val="none"/>
        </w:rPr>
        <w:t>本项目</w:t>
      </w:r>
      <w:r>
        <w:rPr>
          <w:rFonts w:hint="eastAsia" w:ascii="宋体" w:hAnsi="宋体" w:eastAsia="宋体" w:cs="MingLiU"/>
          <w:b w:val="0"/>
          <w:kern w:val="0"/>
          <w:sz w:val="21"/>
          <w:szCs w:val="21"/>
          <w:highlight w:val="none"/>
          <w:lang w:eastAsia="zh-CN"/>
        </w:rPr>
        <w:t>竞争性比选</w:t>
      </w:r>
      <w:r>
        <w:rPr>
          <w:rFonts w:hint="eastAsia" w:ascii="宋体" w:hAnsi="宋体" w:eastAsia="宋体" w:cs="MingLiU"/>
          <w:b w:val="0"/>
          <w:kern w:val="0"/>
          <w:sz w:val="21"/>
          <w:szCs w:val="21"/>
          <w:highlight w:val="none"/>
        </w:rPr>
        <w:t>范围内的内容如需分包，分包单位的确定须</w:t>
      </w:r>
      <w:r>
        <w:rPr>
          <w:rFonts w:hint="eastAsia" w:ascii="宋体" w:hAnsi="宋体" w:eastAsia="宋体" w:cs="MingLiU"/>
          <w:b w:val="0"/>
          <w:kern w:val="0"/>
          <w:sz w:val="21"/>
          <w:szCs w:val="21"/>
          <w:highlight w:val="none"/>
          <w:lang w:eastAsia="zh-CN"/>
        </w:rPr>
        <w:t>采购人</w:t>
      </w:r>
      <w:r>
        <w:rPr>
          <w:rFonts w:hint="eastAsia" w:ascii="宋体" w:hAnsi="宋体" w:eastAsia="宋体" w:cs="MingLiU"/>
          <w:b w:val="0"/>
          <w:kern w:val="0"/>
          <w:sz w:val="21"/>
          <w:szCs w:val="21"/>
          <w:highlight w:val="none"/>
        </w:rPr>
        <w:t>书面批准同意。否则</w:t>
      </w:r>
      <w:r>
        <w:rPr>
          <w:rFonts w:hint="eastAsia" w:ascii="宋体" w:hAnsi="宋体" w:eastAsia="宋体" w:cs="MingLiU"/>
          <w:b w:val="0"/>
          <w:kern w:val="0"/>
          <w:sz w:val="21"/>
          <w:szCs w:val="21"/>
          <w:highlight w:val="none"/>
          <w:lang w:eastAsia="zh-CN"/>
        </w:rPr>
        <w:t>采购人</w:t>
      </w:r>
      <w:r>
        <w:rPr>
          <w:rFonts w:hint="eastAsia" w:ascii="宋体" w:hAnsi="宋体" w:eastAsia="宋体" w:cs="MingLiU"/>
          <w:b w:val="0"/>
          <w:kern w:val="0"/>
          <w:sz w:val="21"/>
          <w:szCs w:val="21"/>
          <w:highlight w:val="none"/>
        </w:rPr>
        <w:t>均有权取消中标人资格。</w:t>
      </w:r>
      <w:bookmarkEnd w:id="234"/>
    </w:p>
    <w:p>
      <w:pPr>
        <w:keepNext w:val="0"/>
        <w:keepLines w:val="0"/>
        <w:widowControl w:val="0"/>
        <w:autoSpaceDE w:val="0"/>
        <w:autoSpaceDN w:val="0"/>
        <w:adjustRightInd w:val="0"/>
        <w:spacing w:before="0" w:beforeAutospacing="0" w:after="0" w:afterAutospacing="0" w:line="300" w:lineRule="exact"/>
        <w:ind w:firstLine="424" w:firstLineChars="202"/>
        <w:jc w:val="left"/>
        <w:rPr>
          <w:rFonts w:hint="eastAsia" w:ascii="宋体" w:hAnsi="宋体" w:eastAsia="宋体" w:cs="MingLiU"/>
          <w:b w:val="0"/>
          <w:kern w:val="0"/>
          <w:sz w:val="21"/>
          <w:szCs w:val="21"/>
          <w:highlight w:val="none"/>
        </w:rPr>
      </w:pPr>
      <w:r>
        <w:rPr>
          <w:rFonts w:hint="eastAsia" w:ascii="宋体" w:hAnsi="宋体" w:eastAsia="宋体" w:cs="MingLiU"/>
          <w:b w:val="0"/>
          <w:kern w:val="0"/>
          <w:sz w:val="21"/>
          <w:szCs w:val="21"/>
          <w:highlight w:val="none"/>
        </w:rPr>
        <w:t>1.11.2</w:t>
      </w:r>
      <w:r>
        <w:rPr>
          <w:rFonts w:hint="default" w:ascii="宋体" w:hAnsi="宋体" w:cs="MingLiU"/>
          <w:b w:val="0"/>
          <w:kern w:val="0"/>
          <w:sz w:val="21"/>
          <w:szCs w:val="21"/>
          <w:highlight w:val="none"/>
        </w:rPr>
        <w:t xml:space="preserve">  </w:t>
      </w:r>
      <w:r>
        <w:rPr>
          <w:rFonts w:hint="eastAsia" w:ascii="宋体" w:hAnsi="宋体" w:eastAsia="宋体" w:cs="MingLiU"/>
          <w:b w:val="0"/>
          <w:kern w:val="0"/>
          <w:sz w:val="21"/>
          <w:szCs w:val="21"/>
          <w:highlight w:val="none"/>
        </w:rPr>
        <w:t>严禁转包、转让中标项目，也不得将中标项目肢解后分别转包、转让，否则</w:t>
      </w:r>
      <w:r>
        <w:rPr>
          <w:rFonts w:hint="eastAsia" w:ascii="宋体" w:hAnsi="宋体" w:cs="MingLiU"/>
          <w:b w:val="0"/>
          <w:kern w:val="0"/>
          <w:sz w:val="21"/>
          <w:szCs w:val="21"/>
          <w:highlight w:val="none"/>
          <w:lang w:eastAsia="zh-CN"/>
        </w:rPr>
        <w:t>采购人</w:t>
      </w:r>
      <w:r>
        <w:rPr>
          <w:rFonts w:hint="eastAsia" w:ascii="宋体" w:hAnsi="宋体" w:eastAsia="宋体" w:cs="MingLiU"/>
          <w:b w:val="0"/>
          <w:kern w:val="0"/>
          <w:sz w:val="21"/>
          <w:szCs w:val="21"/>
          <w:highlight w:val="none"/>
        </w:rPr>
        <w:t>有权取消中标人资格。</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r>
        <w:rPr>
          <w:rFonts w:hint="eastAsia" w:ascii="宋体" w:hAnsi="宋体" w:eastAsia="宋体" w:cs="Times New Roman"/>
          <w:b/>
          <w:kern w:val="2"/>
          <w:sz w:val="21"/>
          <w:szCs w:val="21"/>
          <w:highlight w:val="none"/>
        </w:rPr>
        <w:t>1.12  偏离</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前附表允许</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偏离</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文件某些要求的，偏离应当符合</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文件规定的偏离范围和幅度。</w:t>
      </w:r>
    </w:p>
    <w:p>
      <w:pPr>
        <w:pStyle w:val="6"/>
        <w:widowControl/>
        <w:spacing w:before="0" w:beforeAutospacing="0" w:after="0" w:afterAutospacing="0" w:line="300" w:lineRule="exact"/>
        <w:rPr>
          <w:rFonts w:hint="eastAsia" w:ascii="宋体" w:hAnsi="宋体" w:eastAsia="黑体" w:cs="Times New Roman"/>
          <w:b/>
          <w:kern w:val="0"/>
          <w:sz w:val="21"/>
          <w:szCs w:val="21"/>
          <w:highlight w:val="none"/>
        </w:rPr>
      </w:pPr>
      <w:bookmarkStart w:id="235" w:name="_Toc277082566"/>
      <w:bookmarkEnd w:id="235"/>
      <w:bookmarkStart w:id="236" w:name="_Toc4661683"/>
      <w:bookmarkEnd w:id="236"/>
      <w:bookmarkStart w:id="237" w:name="_Toc4661919"/>
      <w:bookmarkEnd w:id="237"/>
      <w:bookmarkStart w:id="238" w:name="_Toc287607760"/>
      <w:bookmarkEnd w:id="238"/>
      <w:bookmarkStart w:id="239" w:name="_Toc4662155"/>
      <w:bookmarkEnd w:id="239"/>
      <w:bookmarkStart w:id="240" w:name="_Toc200513140"/>
      <w:bookmarkEnd w:id="240"/>
      <w:bookmarkStart w:id="241" w:name="_Toc30989"/>
      <w:bookmarkEnd w:id="241"/>
      <w:bookmarkStart w:id="242" w:name="_Toc40455658"/>
      <w:bookmarkEnd w:id="242"/>
      <w:bookmarkStart w:id="243" w:name="_Toc4806"/>
      <w:bookmarkEnd w:id="243"/>
      <w:bookmarkStart w:id="244" w:name="_Toc27390"/>
      <w:bookmarkEnd w:id="244"/>
      <w:bookmarkStart w:id="245" w:name="_Toc40455285"/>
      <w:bookmarkEnd w:id="245"/>
      <w:bookmarkStart w:id="246" w:name="_Toc4661441"/>
      <w:bookmarkEnd w:id="246"/>
      <w:bookmarkStart w:id="247" w:name="_Toc143"/>
      <w:bookmarkEnd w:id="247"/>
      <w:bookmarkStart w:id="248" w:name="_Toc25763"/>
      <w:bookmarkEnd w:id="248"/>
      <w:bookmarkStart w:id="249" w:name="_Toc224103331"/>
      <w:bookmarkEnd w:id="249"/>
      <w:bookmarkStart w:id="250" w:name="_Toc24734"/>
      <w:bookmarkStart w:id="251" w:name="_Toc1321001590"/>
      <w:r>
        <w:rPr>
          <w:rFonts w:hint="eastAsia" w:ascii="宋体" w:hAnsi="宋体" w:eastAsia="黑体" w:cs="Times New Roman"/>
          <w:b/>
          <w:kern w:val="0"/>
          <w:sz w:val="21"/>
          <w:szCs w:val="21"/>
          <w:highlight w:val="none"/>
        </w:rPr>
        <w:t xml:space="preserve">2.  </w:t>
      </w:r>
      <w:bookmarkEnd w:id="250"/>
      <w:r>
        <w:rPr>
          <w:rFonts w:hint="eastAsia" w:ascii="黑体" w:hAnsi="宋体" w:cs="黑体"/>
          <w:b/>
          <w:kern w:val="0"/>
          <w:sz w:val="21"/>
          <w:szCs w:val="21"/>
          <w:highlight w:val="none"/>
          <w:lang w:eastAsia="zh-CN"/>
        </w:rPr>
        <w:t>竞争性比选</w:t>
      </w:r>
      <w:r>
        <w:rPr>
          <w:rFonts w:hint="eastAsia" w:ascii="黑体" w:hAnsi="宋体" w:eastAsia="黑体" w:cs="黑体"/>
          <w:b/>
          <w:kern w:val="0"/>
          <w:sz w:val="21"/>
          <w:szCs w:val="21"/>
          <w:highlight w:val="none"/>
        </w:rPr>
        <w:t>文件</w:t>
      </w:r>
      <w:bookmarkEnd w:id="251"/>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252" w:name="_Toc4662156"/>
      <w:bookmarkEnd w:id="252"/>
      <w:bookmarkStart w:id="253" w:name="_Toc40455286"/>
      <w:bookmarkEnd w:id="253"/>
      <w:bookmarkStart w:id="254" w:name="_Toc200513141"/>
      <w:bookmarkEnd w:id="254"/>
      <w:bookmarkStart w:id="255" w:name="_Toc224103332"/>
      <w:bookmarkEnd w:id="255"/>
      <w:bookmarkStart w:id="256" w:name="_Toc29861"/>
      <w:bookmarkEnd w:id="256"/>
      <w:bookmarkStart w:id="257" w:name="_Toc40455659"/>
      <w:bookmarkEnd w:id="257"/>
      <w:bookmarkStart w:id="258" w:name="_Toc4661920"/>
      <w:bookmarkEnd w:id="258"/>
      <w:bookmarkStart w:id="259" w:name="_Toc277082567"/>
      <w:bookmarkEnd w:id="259"/>
      <w:bookmarkStart w:id="260" w:name="_Toc4661684"/>
      <w:bookmarkEnd w:id="260"/>
      <w:bookmarkStart w:id="261" w:name="_Toc287607761"/>
      <w:bookmarkEnd w:id="261"/>
      <w:bookmarkStart w:id="262" w:name="_Toc40780268"/>
      <w:bookmarkEnd w:id="262"/>
      <w:bookmarkStart w:id="263" w:name="_Toc4661442"/>
      <w:r>
        <w:rPr>
          <w:rFonts w:hint="eastAsia" w:ascii="宋体" w:hAnsi="宋体" w:eastAsia="宋体" w:cs="Times New Roman"/>
          <w:b/>
          <w:kern w:val="2"/>
          <w:sz w:val="21"/>
          <w:szCs w:val="21"/>
          <w:highlight w:val="none"/>
        </w:rPr>
        <w:t xml:space="preserve">2.1  </w:t>
      </w:r>
      <w:bookmarkEnd w:id="263"/>
      <w:r>
        <w:rPr>
          <w:rFonts w:hint="eastAsia" w:ascii="宋体" w:hAnsi="宋体" w:cs="宋体"/>
          <w:b/>
          <w:kern w:val="2"/>
          <w:sz w:val="21"/>
          <w:szCs w:val="21"/>
          <w:highlight w:val="none"/>
          <w:lang w:eastAsia="zh-CN"/>
        </w:rPr>
        <w:t>竞争性比选</w:t>
      </w:r>
      <w:r>
        <w:rPr>
          <w:rFonts w:hint="eastAsia" w:ascii="宋体" w:hAnsi="宋体" w:eastAsia="宋体" w:cs="宋体"/>
          <w:b/>
          <w:kern w:val="2"/>
          <w:sz w:val="21"/>
          <w:szCs w:val="21"/>
          <w:highlight w:val="none"/>
        </w:rPr>
        <w:t>文件的组成</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本</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文件包括：</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宋体"/>
          <w:kern w:val="0"/>
          <w:sz w:val="21"/>
          <w:szCs w:val="21"/>
          <w:highlight w:val="none"/>
          <w:lang w:val="en-US" w:eastAsia="zh-CN" w:bidi="ar"/>
        </w:rPr>
      </w:pP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公告；</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评标办法；</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default" w:ascii="宋体" w:hAnsi="宋体" w:cs="MingLiU"/>
          <w:kern w:val="0"/>
          <w:sz w:val="21"/>
          <w:szCs w:val="21"/>
          <w:highlight w:val="none"/>
        </w:rPr>
        <w:t>报价说明；</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default" w:ascii="宋体" w:hAnsi="宋体" w:eastAsia="宋体" w:cs="宋体"/>
          <w:kern w:val="0"/>
          <w:sz w:val="21"/>
          <w:szCs w:val="21"/>
          <w:highlight w:val="none"/>
          <w:lang w:eastAsia="zh-CN" w:bidi="ar"/>
        </w:rPr>
        <w:t>工程量清单；</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default" w:ascii="宋体" w:hAnsi="宋体" w:cs="宋体"/>
          <w:kern w:val="0"/>
          <w:sz w:val="21"/>
          <w:szCs w:val="21"/>
          <w:highlight w:val="none"/>
          <w:lang w:eastAsia="zh-CN" w:bidi="ar"/>
        </w:rPr>
        <w:t>图纸；</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技术标准和要求；</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合同条款及格式；</w:t>
      </w:r>
    </w:p>
    <w:p>
      <w:pPr>
        <w:keepNext w:val="0"/>
        <w:keepLines w:val="0"/>
        <w:widowControl w:val="0"/>
        <w:numPr>
          <w:ilvl w:val="0"/>
          <w:numId w:val="4"/>
        </w:numPr>
        <w:suppressLineNumbers w:val="0"/>
        <w:autoSpaceDE w:val="0"/>
        <w:autoSpaceDN w:val="0"/>
        <w:adjustRightInd w:val="0"/>
        <w:spacing w:before="0" w:beforeAutospacing="0" w:after="0" w:afterAutospacing="0" w:line="300" w:lineRule="exact"/>
        <w:ind w:left="0" w:leftChars="0" w:right="0" w:firstLine="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格式；</w:t>
      </w:r>
    </w:p>
    <w:p>
      <w:pPr>
        <w:widowControl w:val="0"/>
        <w:numPr>
          <w:ilvl w:val="0"/>
          <w:numId w:val="4"/>
        </w:numPr>
        <w:autoSpaceDE w:val="0"/>
        <w:autoSpaceDN w:val="0"/>
        <w:spacing w:line="300" w:lineRule="exact"/>
        <w:ind w:left="0" w:leftChars="0" w:firstLine="0"/>
        <w:jc w:val="left"/>
        <w:rPr>
          <w:rFonts w:hint="eastAsia" w:ascii="宋体" w:hAnsi="宋体" w:eastAsia="宋体" w:cs="Calibri"/>
          <w:spacing w:val="11"/>
          <w:kern w:val="0"/>
          <w:sz w:val="24"/>
          <w:szCs w:val="24"/>
          <w:highlight w:val="none"/>
        </w:rPr>
      </w:pPr>
      <w:r>
        <w:rPr>
          <w:rFonts w:hint="eastAsia" w:cs="MingLiU"/>
          <w:spacing w:val="0"/>
          <w:kern w:val="0"/>
          <w:sz w:val="21"/>
          <w:szCs w:val="21"/>
          <w:highlight w:val="none"/>
          <w:lang w:eastAsia="zh-CN"/>
        </w:rPr>
        <w:t>报价人须知</w:t>
      </w:r>
      <w:r>
        <w:rPr>
          <w:rFonts w:hint="eastAsia" w:ascii="宋体" w:hAnsi="宋体" w:eastAsia="宋体" w:cs="MingLiU"/>
          <w:spacing w:val="0"/>
          <w:kern w:val="0"/>
          <w:sz w:val="21"/>
          <w:szCs w:val="21"/>
          <w:highlight w:val="none"/>
        </w:rPr>
        <w:t>前附表规定的其他材料。</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根据本章第</w:t>
      </w:r>
      <w:r>
        <w:rPr>
          <w:rFonts w:hint="eastAsia" w:ascii="宋体" w:hAnsi="宋体" w:eastAsia="宋体" w:cs="Calibri"/>
          <w:kern w:val="0"/>
          <w:sz w:val="21"/>
          <w:szCs w:val="21"/>
          <w:highlight w:val="none"/>
          <w:lang w:val="en-US" w:eastAsia="zh-CN" w:bidi="ar"/>
        </w:rPr>
        <w:t>1.10</w:t>
      </w:r>
      <w:r>
        <w:rPr>
          <w:rFonts w:hint="eastAsia" w:ascii="宋体" w:hAnsi="宋体" w:eastAsia="宋体" w:cs="宋体"/>
          <w:kern w:val="0"/>
          <w:sz w:val="21"/>
          <w:szCs w:val="21"/>
          <w:highlight w:val="none"/>
          <w:lang w:val="en-US" w:eastAsia="zh-CN" w:bidi="ar"/>
        </w:rPr>
        <w:t>款、第</w:t>
      </w:r>
      <w:r>
        <w:rPr>
          <w:rFonts w:hint="eastAsia" w:ascii="宋体" w:hAnsi="宋体" w:eastAsia="宋体" w:cs="Calibri"/>
          <w:kern w:val="0"/>
          <w:sz w:val="21"/>
          <w:szCs w:val="21"/>
          <w:highlight w:val="none"/>
          <w:lang w:val="en-US" w:eastAsia="zh-CN" w:bidi="ar"/>
        </w:rPr>
        <w:t>2.2</w:t>
      </w:r>
      <w:r>
        <w:rPr>
          <w:rFonts w:hint="eastAsia" w:ascii="宋体" w:hAnsi="宋体" w:eastAsia="宋体" w:cs="宋体"/>
          <w:kern w:val="0"/>
          <w:sz w:val="21"/>
          <w:szCs w:val="21"/>
          <w:highlight w:val="none"/>
          <w:lang w:val="en-US" w:eastAsia="zh-CN" w:bidi="ar"/>
        </w:rPr>
        <w:t>款和第</w:t>
      </w:r>
      <w:r>
        <w:rPr>
          <w:rFonts w:hint="eastAsia" w:ascii="宋体" w:hAnsi="宋体" w:eastAsia="宋体" w:cs="Calibri"/>
          <w:kern w:val="0"/>
          <w:sz w:val="21"/>
          <w:szCs w:val="21"/>
          <w:highlight w:val="none"/>
          <w:lang w:val="en-US" w:eastAsia="zh-CN" w:bidi="ar"/>
        </w:rPr>
        <w:t>2.3</w:t>
      </w:r>
      <w:r>
        <w:rPr>
          <w:rFonts w:hint="eastAsia" w:ascii="宋体" w:hAnsi="宋体" w:eastAsia="宋体" w:cs="宋体"/>
          <w:kern w:val="0"/>
          <w:sz w:val="21"/>
          <w:szCs w:val="21"/>
          <w:highlight w:val="none"/>
          <w:lang w:val="en-US" w:eastAsia="zh-CN" w:bidi="ar"/>
        </w:rPr>
        <w:t>款对</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文件所作的澄清、修改，构成</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文件的组成部分。</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264" w:name="_Toc40780269"/>
      <w:bookmarkEnd w:id="264"/>
      <w:bookmarkStart w:id="265" w:name="_Toc4662157"/>
      <w:bookmarkEnd w:id="265"/>
      <w:bookmarkStart w:id="266" w:name="_Toc200513142"/>
      <w:bookmarkEnd w:id="266"/>
      <w:bookmarkStart w:id="267" w:name="_Toc287607762"/>
      <w:bookmarkEnd w:id="267"/>
      <w:bookmarkStart w:id="268" w:name="_Toc4661443"/>
      <w:bookmarkEnd w:id="268"/>
      <w:bookmarkStart w:id="269" w:name="_Toc4661921"/>
      <w:bookmarkEnd w:id="269"/>
      <w:bookmarkStart w:id="270" w:name="_Toc224103333"/>
      <w:bookmarkEnd w:id="270"/>
      <w:bookmarkStart w:id="271" w:name="_Toc277082568"/>
      <w:bookmarkEnd w:id="271"/>
      <w:bookmarkStart w:id="272" w:name="_Toc40455660"/>
      <w:bookmarkEnd w:id="272"/>
      <w:bookmarkStart w:id="273" w:name="_Toc32674"/>
      <w:bookmarkEnd w:id="273"/>
      <w:bookmarkStart w:id="274" w:name="_Toc40455287"/>
      <w:bookmarkEnd w:id="274"/>
      <w:bookmarkStart w:id="275" w:name="_Toc4661685"/>
      <w:r>
        <w:rPr>
          <w:rFonts w:hint="eastAsia" w:ascii="宋体" w:hAnsi="宋体" w:eastAsia="宋体" w:cs="Times New Roman"/>
          <w:b/>
          <w:kern w:val="2"/>
          <w:sz w:val="21"/>
          <w:szCs w:val="21"/>
          <w:highlight w:val="none"/>
        </w:rPr>
        <w:t xml:space="preserve">2.2  </w:t>
      </w:r>
      <w:bookmarkEnd w:id="275"/>
      <w:r>
        <w:rPr>
          <w:rFonts w:hint="eastAsia" w:ascii="宋体" w:hAnsi="宋体" w:cs="宋体"/>
          <w:b/>
          <w:kern w:val="2"/>
          <w:sz w:val="21"/>
          <w:szCs w:val="21"/>
          <w:highlight w:val="none"/>
          <w:lang w:eastAsia="zh-CN"/>
        </w:rPr>
        <w:t>竞争性比选</w:t>
      </w:r>
      <w:r>
        <w:rPr>
          <w:rFonts w:hint="eastAsia" w:ascii="宋体" w:hAnsi="宋体" w:eastAsia="宋体" w:cs="宋体"/>
          <w:b/>
          <w:kern w:val="2"/>
          <w:sz w:val="21"/>
          <w:szCs w:val="21"/>
          <w:highlight w:val="none"/>
        </w:rPr>
        <w:t>文件的澄清</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2.2.1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应仔细阅读和检查</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文件的全部内容。如发现缺页或附件不全，应及时向</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提出，以便补齐。如有疑问，应在</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前附表规定的时间前提交质疑，要求</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对</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文件予以澄清。</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2.2.2  </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文件的澄清将在</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w:t>
      </w:r>
      <w:r>
        <w:rPr>
          <w:rFonts w:hint="default" w:ascii="宋体" w:hAnsi="宋体" w:cs="宋体"/>
          <w:kern w:val="0"/>
          <w:sz w:val="21"/>
          <w:szCs w:val="21"/>
          <w:highlight w:val="none"/>
          <w:lang w:eastAsia="zh-CN" w:bidi="ar"/>
        </w:rPr>
        <w:t>3</w:t>
      </w:r>
      <w:r>
        <w:rPr>
          <w:rFonts w:hint="eastAsia" w:ascii="宋体" w:hAnsi="宋体" w:eastAsia="宋体" w:cs="宋体"/>
          <w:kern w:val="0"/>
          <w:sz w:val="21"/>
          <w:szCs w:val="21"/>
          <w:highlight w:val="none"/>
          <w:lang w:val="en-US" w:eastAsia="zh-CN" w:bidi="ar"/>
        </w:rPr>
        <w:t>天前在重庆</w:t>
      </w:r>
      <w:r>
        <w:rPr>
          <w:rFonts w:hint="default" w:ascii="宋体" w:hAnsi="宋体" w:cs="宋体"/>
          <w:kern w:val="0"/>
          <w:sz w:val="21"/>
          <w:szCs w:val="21"/>
          <w:highlight w:val="none"/>
          <w:lang w:eastAsia="zh-CN" w:bidi="ar"/>
        </w:rPr>
        <w:t>高速集团官方网站</w:t>
      </w:r>
      <w:r>
        <w:rPr>
          <w:rFonts w:hint="eastAsia" w:ascii="宋体" w:hAnsi="宋体" w:eastAsia="宋体" w:cs="宋体"/>
          <w:kern w:val="0"/>
          <w:sz w:val="21"/>
          <w:szCs w:val="21"/>
          <w:highlight w:val="none"/>
          <w:lang w:val="en-US" w:eastAsia="zh-CN" w:bidi="ar"/>
        </w:rPr>
        <w:t>发布答疑，但不指明澄清问题的来源。如果澄清发出的时间距</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时间不足</w:t>
      </w:r>
      <w:r>
        <w:rPr>
          <w:rFonts w:hint="default" w:ascii="宋体" w:hAnsi="宋体" w:cs="宋体"/>
          <w:kern w:val="0"/>
          <w:sz w:val="21"/>
          <w:szCs w:val="21"/>
          <w:highlight w:val="none"/>
          <w:lang w:eastAsia="zh-CN" w:bidi="ar"/>
        </w:rPr>
        <w:t>3</w:t>
      </w:r>
      <w:r>
        <w:rPr>
          <w:rFonts w:hint="eastAsia" w:ascii="宋体" w:hAnsi="宋体" w:eastAsia="宋体" w:cs="宋体"/>
          <w:kern w:val="0"/>
          <w:sz w:val="21"/>
          <w:szCs w:val="21"/>
          <w:highlight w:val="none"/>
          <w:lang w:val="en-US" w:eastAsia="zh-CN" w:bidi="ar"/>
        </w:rPr>
        <w:t>天，相应延长</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Calibri"/>
          <w:kern w:val="0"/>
          <w:position w:val="-2"/>
          <w:sz w:val="21"/>
          <w:szCs w:val="21"/>
          <w:highlight w:val="none"/>
          <w:lang w:val="en-US" w:eastAsia="zh-CN" w:bidi="ar"/>
        </w:rPr>
        <w:t xml:space="preserve">2.2.3  </w:t>
      </w:r>
      <w:r>
        <w:rPr>
          <w:rFonts w:hint="eastAsia" w:ascii="宋体" w:hAnsi="宋体" w:eastAsia="宋体" w:cs="宋体"/>
          <w:kern w:val="0"/>
          <w:sz w:val="21"/>
          <w:szCs w:val="21"/>
          <w:highlight w:val="none"/>
          <w:lang w:val="en-US" w:eastAsia="zh-CN" w:bidi="ar"/>
        </w:rPr>
        <w:t>补遗内容可能影响</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编制的，须在</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w:t>
      </w:r>
      <w:r>
        <w:rPr>
          <w:rFonts w:hint="default" w:ascii="宋体" w:hAnsi="宋体" w:cs="宋体"/>
          <w:kern w:val="0"/>
          <w:sz w:val="21"/>
          <w:szCs w:val="21"/>
          <w:highlight w:val="none"/>
          <w:lang w:eastAsia="zh-CN" w:bidi="ar"/>
        </w:rPr>
        <w:t>3</w:t>
      </w:r>
      <w:r>
        <w:rPr>
          <w:rFonts w:hint="eastAsia" w:ascii="宋体" w:hAnsi="宋体" w:eastAsia="宋体" w:cs="MingLiU"/>
          <w:kern w:val="0"/>
          <w:sz w:val="21"/>
          <w:szCs w:val="21"/>
          <w:highlight w:val="none"/>
          <w:lang w:val="en-US" w:eastAsia="zh-CN" w:bidi="ar"/>
        </w:rPr>
        <w:t>日前发布，发布时间至</w:t>
      </w:r>
      <w:r>
        <w:rPr>
          <w:rFonts w:hint="default" w:ascii="宋体" w:hAnsi="宋体" w:cs="MingLiU"/>
          <w:kern w:val="0"/>
          <w:sz w:val="21"/>
          <w:szCs w:val="21"/>
          <w:highlight w:val="none"/>
          <w:lang w:eastAsia="zh-CN" w:bidi="ar"/>
        </w:rPr>
        <w:t>报价截止</w:t>
      </w:r>
      <w:r>
        <w:rPr>
          <w:rFonts w:hint="eastAsia" w:ascii="宋体" w:hAnsi="宋体" w:eastAsia="宋体" w:cs="MingLiU"/>
          <w:kern w:val="0"/>
          <w:sz w:val="21"/>
          <w:szCs w:val="21"/>
          <w:highlight w:val="none"/>
          <w:lang w:val="en-US" w:eastAsia="zh-CN" w:bidi="ar"/>
        </w:rPr>
        <w:t>时间不足</w:t>
      </w:r>
      <w:r>
        <w:rPr>
          <w:rFonts w:hint="default" w:ascii="宋体" w:hAnsi="宋体" w:cs="MingLiU"/>
          <w:kern w:val="0"/>
          <w:sz w:val="21"/>
          <w:szCs w:val="21"/>
          <w:highlight w:val="none"/>
          <w:lang w:eastAsia="zh-CN" w:bidi="ar"/>
        </w:rPr>
        <w:t>3</w:t>
      </w:r>
      <w:r>
        <w:rPr>
          <w:rFonts w:hint="eastAsia" w:ascii="宋体" w:hAnsi="宋体" w:eastAsia="宋体" w:cs="MingLiU"/>
          <w:kern w:val="0"/>
          <w:sz w:val="21"/>
          <w:szCs w:val="21"/>
          <w:highlight w:val="none"/>
          <w:lang w:val="en-US" w:eastAsia="zh-CN" w:bidi="ar"/>
        </w:rPr>
        <w:t>日的，须相应延后</w:t>
      </w:r>
      <w:r>
        <w:rPr>
          <w:rFonts w:hint="default" w:ascii="宋体" w:hAnsi="宋体" w:cs="MingLiU"/>
          <w:kern w:val="0"/>
          <w:sz w:val="21"/>
          <w:szCs w:val="21"/>
          <w:highlight w:val="none"/>
          <w:lang w:eastAsia="zh-CN" w:bidi="ar"/>
        </w:rPr>
        <w:t>报价截止</w:t>
      </w:r>
      <w:r>
        <w:rPr>
          <w:rFonts w:hint="eastAsia" w:ascii="宋体" w:hAnsi="宋体" w:eastAsia="宋体" w:cs="MingLiU"/>
          <w:kern w:val="0"/>
          <w:sz w:val="21"/>
          <w:szCs w:val="21"/>
          <w:highlight w:val="none"/>
          <w:lang w:val="en-US" w:eastAsia="zh-CN" w:bidi="ar"/>
        </w:rPr>
        <w:t>时间。</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276" w:name="_Toc24909"/>
      <w:bookmarkEnd w:id="276"/>
      <w:bookmarkStart w:id="277" w:name="_Toc4661444"/>
      <w:bookmarkEnd w:id="277"/>
      <w:bookmarkStart w:id="278" w:name="_Toc200513143"/>
      <w:bookmarkEnd w:id="278"/>
      <w:bookmarkStart w:id="279" w:name="_Toc4661686"/>
      <w:bookmarkEnd w:id="279"/>
      <w:bookmarkStart w:id="280" w:name="_Toc40780270"/>
      <w:bookmarkEnd w:id="280"/>
      <w:bookmarkStart w:id="281" w:name="_Toc4662158"/>
      <w:bookmarkEnd w:id="281"/>
      <w:bookmarkStart w:id="282" w:name="_Toc287607763"/>
      <w:bookmarkEnd w:id="282"/>
      <w:bookmarkStart w:id="283" w:name="_Toc40455288"/>
      <w:bookmarkEnd w:id="283"/>
      <w:bookmarkStart w:id="284" w:name="_Toc224103334"/>
      <w:bookmarkEnd w:id="284"/>
      <w:bookmarkStart w:id="285" w:name="_Toc277082569"/>
      <w:bookmarkEnd w:id="285"/>
      <w:bookmarkStart w:id="286" w:name="_Toc4661922"/>
      <w:bookmarkEnd w:id="286"/>
      <w:bookmarkStart w:id="287" w:name="_Toc40455661"/>
      <w:r>
        <w:rPr>
          <w:rFonts w:hint="eastAsia" w:ascii="宋体" w:hAnsi="宋体" w:eastAsia="宋体" w:cs="Times New Roman"/>
          <w:b/>
          <w:kern w:val="2"/>
          <w:sz w:val="21"/>
          <w:szCs w:val="21"/>
          <w:highlight w:val="none"/>
        </w:rPr>
        <w:t xml:space="preserve">2.3  </w:t>
      </w:r>
      <w:bookmarkEnd w:id="287"/>
      <w:r>
        <w:rPr>
          <w:rFonts w:hint="default" w:ascii="宋体" w:hAnsi="宋体" w:cs="Times New Roman"/>
          <w:b/>
          <w:kern w:val="2"/>
          <w:sz w:val="21"/>
          <w:szCs w:val="21"/>
          <w:highlight w:val="none"/>
        </w:rPr>
        <w:t>报价</w:t>
      </w:r>
      <w:r>
        <w:rPr>
          <w:rFonts w:hint="eastAsia" w:ascii="宋体" w:hAnsi="宋体" w:eastAsia="宋体" w:cs="宋体"/>
          <w:b/>
          <w:kern w:val="2"/>
          <w:sz w:val="21"/>
          <w:szCs w:val="21"/>
          <w:highlight w:val="none"/>
        </w:rPr>
        <w:t>截止时间</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详见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6"/>
        <w:widowControl/>
        <w:spacing w:before="0" w:beforeAutospacing="0" w:after="0" w:afterAutospacing="0" w:line="300" w:lineRule="exact"/>
        <w:rPr>
          <w:rFonts w:hint="eastAsia" w:ascii="宋体" w:hAnsi="宋体" w:eastAsia="黑体" w:cs="Times New Roman"/>
          <w:b/>
          <w:kern w:val="0"/>
          <w:sz w:val="21"/>
          <w:szCs w:val="21"/>
          <w:highlight w:val="none"/>
          <w:lang w:eastAsia="zh-CN"/>
        </w:rPr>
      </w:pPr>
      <w:bookmarkStart w:id="288" w:name="_Toc22553"/>
      <w:bookmarkEnd w:id="288"/>
      <w:bookmarkStart w:id="289" w:name="_Toc200513144"/>
      <w:bookmarkEnd w:id="289"/>
      <w:bookmarkStart w:id="290" w:name="_Toc6118"/>
      <w:bookmarkEnd w:id="290"/>
      <w:bookmarkStart w:id="291" w:name="_Toc277082570"/>
      <w:bookmarkEnd w:id="291"/>
      <w:bookmarkStart w:id="292" w:name="_Toc4661923"/>
      <w:bookmarkEnd w:id="292"/>
      <w:bookmarkStart w:id="293" w:name="_Toc9348"/>
      <w:bookmarkEnd w:id="293"/>
      <w:bookmarkStart w:id="294" w:name="_Toc6279"/>
      <w:bookmarkEnd w:id="294"/>
      <w:bookmarkStart w:id="295" w:name="_Toc4661687"/>
      <w:bookmarkEnd w:id="295"/>
      <w:bookmarkStart w:id="296" w:name="_Toc4661445"/>
      <w:bookmarkEnd w:id="296"/>
      <w:bookmarkStart w:id="297" w:name="_Toc14104"/>
      <w:bookmarkEnd w:id="297"/>
      <w:bookmarkStart w:id="298" w:name="_Toc287607764"/>
      <w:bookmarkEnd w:id="298"/>
      <w:bookmarkStart w:id="299" w:name="_Toc40455662"/>
      <w:bookmarkEnd w:id="299"/>
      <w:bookmarkStart w:id="300" w:name="_Toc40455289"/>
      <w:bookmarkEnd w:id="300"/>
      <w:bookmarkStart w:id="301" w:name="_Toc4662159"/>
      <w:bookmarkEnd w:id="301"/>
      <w:bookmarkStart w:id="302" w:name="_Toc224103335"/>
      <w:bookmarkEnd w:id="302"/>
      <w:bookmarkStart w:id="303" w:name="_Toc26853"/>
      <w:bookmarkStart w:id="304" w:name="_Toc228431514"/>
      <w:r>
        <w:rPr>
          <w:rFonts w:hint="eastAsia" w:ascii="宋体" w:hAnsi="宋体" w:eastAsia="黑体" w:cs="Times New Roman"/>
          <w:b/>
          <w:kern w:val="0"/>
          <w:sz w:val="21"/>
          <w:szCs w:val="21"/>
          <w:highlight w:val="none"/>
        </w:rPr>
        <w:t xml:space="preserve">3.  </w:t>
      </w:r>
      <w:bookmarkEnd w:id="303"/>
      <w:r>
        <w:rPr>
          <w:rFonts w:hint="eastAsia" w:ascii="黑体" w:hAnsi="宋体" w:cs="黑体"/>
          <w:b/>
          <w:kern w:val="0"/>
          <w:sz w:val="21"/>
          <w:szCs w:val="21"/>
          <w:highlight w:val="none"/>
          <w:lang w:eastAsia="zh-CN"/>
        </w:rPr>
        <w:t>比选响应文件</w:t>
      </w:r>
      <w:bookmarkEnd w:id="304"/>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05" w:name="_Toc277082571"/>
      <w:bookmarkEnd w:id="305"/>
      <w:bookmarkStart w:id="306" w:name="_Toc287607765"/>
      <w:bookmarkEnd w:id="306"/>
      <w:bookmarkStart w:id="307" w:name="_Toc40455663"/>
      <w:bookmarkEnd w:id="307"/>
      <w:bookmarkStart w:id="308" w:name="_Toc40780272"/>
      <w:bookmarkEnd w:id="308"/>
      <w:bookmarkStart w:id="309" w:name="_Toc4662160"/>
      <w:bookmarkEnd w:id="309"/>
      <w:bookmarkStart w:id="310" w:name="_Toc40455290"/>
      <w:bookmarkEnd w:id="310"/>
      <w:bookmarkStart w:id="311" w:name="_Toc200513145"/>
      <w:bookmarkEnd w:id="311"/>
      <w:bookmarkStart w:id="312" w:name="_Toc4661688"/>
      <w:bookmarkEnd w:id="312"/>
      <w:bookmarkStart w:id="313" w:name="_Toc4661446"/>
      <w:bookmarkEnd w:id="313"/>
      <w:bookmarkStart w:id="314" w:name="_Toc32064"/>
      <w:bookmarkEnd w:id="314"/>
      <w:bookmarkStart w:id="315" w:name="_Toc224103336"/>
      <w:bookmarkEnd w:id="315"/>
      <w:bookmarkStart w:id="316" w:name="_Toc4661924"/>
      <w:r>
        <w:rPr>
          <w:rFonts w:hint="eastAsia" w:ascii="宋体" w:hAnsi="宋体" w:eastAsia="宋体" w:cs="Times New Roman"/>
          <w:b/>
          <w:kern w:val="2"/>
          <w:sz w:val="21"/>
          <w:szCs w:val="21"/>
          <w:highlight w:val="none"/>
        </w:rPr>
        <w:t xml:space="preserve">3.1  </w:t>
      </w:r>
      <w:bookmarkEnd w:id="316"/>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的组成</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3.1.1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应包括下列内容：</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 xml:space="preserve">3.1.1.1 </w:t>
      </w:r>
      <w:r>
        <w:rPr>
          <w:rFonts w:hint="eastAsia" w:ascii="宋体" w:hAnsi="宋体" w:cs="宋体"/>
          <w:kern w:val="2"/>
          <w:sz w:val="21"/>
          <w:szCs w:val="21"/>
          <w:highlight w:val="none"/>
          <w:lang w:val="en-US" w:eastAsia="zh-CN" w:bidi="ar"/>
        </w:rPr>
        <w:t>比选响应文件</w:t>
      </w:r>
      <w:r>
        <w:rPr>
          <w:rFonts w:hint="eastAsia" w:ascii="宋体" w:hAnsi="宋体" w:eastAsia="宋体" w:cs="宋体"/>
          <w:kern w:val="2"/>
          <w:sz w:val="21"/>
          <w:szCs w:val="21"/>
          <w:highlight w:val="none"/>
          <w:lang w:val="en-US" w:eastAsia="zh-CN" w:bidi="ar"/>
        </w:rPr>
        <w:t>及</w:t>
      </w:r>
      <w:r>
        <w:rPr>
          <w:rFonts w:hint="eastAsia" w:ascii="宋体" w:hAnsi="宋体" w:cs="宋体"/>
          <w:kern w:val="2"/>
          <w:sz w:val="21"/>
          <w:szCs w:val="21"/>
          <w:highlight w:val="none"/>
          <w:lang w:val="en-US" w:eastAsia="zh-CN" w:bidi="ar"/>
        </w:rPr>
        <w:t>报价人</w:t>
      </w:r>
      <w:r>
        <w:rPr>
          <w:rFonts w:hint="eastAsia" w:ascii="宋体" w:hAnsi="宋体" w:eastAsia="宋体" w:cs="宋体"/>
          <w:kern w:val="2"/>
          <w:sz w:val="21"/>
          <w:szCs w:val="21"/>
          <w:highlight w:val="none"/>
          <w:lang w:val="en-US" w:eastAsia="zh-CN" w:bidi="ar"/>
        </w:rPr>
        <w:t>与</w:t>
      </w:r>
      <w:r>
        <w:rPr>
          <w:rFonts w:hint="eastAsia" w:ascii="宋体" w:hAnsi="宋体" w:cs="宋体"/>
          <w:kern w:val="2"/>
          <w:sz w:val="21"/>
          <w:szCs w:val="21"/>
          <w:highlight w:val="none"/>
          <w:lang w:val="en-US" w:eastAsia="zh-CN" w:bidi="ar"/>
        </w:rPr>
        <w:t>采购人</w:t>
      </w:r>
      <w:r>
        <w:rPr>
          <w:rFonts w:hint="eastAsia" w:ascii="宋体" w:hAnsi="宋体" w:eastAsia="宋体" w:cs="宋体"/>
          <w:kern w:val="2"/>
          <w:sz w:val="21"/>
          <w:szCs w:val="21"/>
          <w:highlight w:val="none"/>
          <w:lang w:val="en-US" w:eastAsia="zh-CN" w:bidi="ar"/>
        </w:rPr>
        <w:t>之间与</w:t>
      </w:r>
      <w:r>
        <w:rPr>
          <w:rFonts w:hint="default" w:ascii="宋体" w:hAnsi="宋体" w:cs="宋体"/>
          <w:kern w:val="2"/>
          <w:sz w:val="21"/>
          <w:szCs w:val="21"/>
          <w:highlight w:val="none"/>
          <w:lang w:eastAsia="zh-CN" w:bidi="ar"/>
        </w:rPr>
        <w:t>报价</w:t>
      </w:r>
      <w:r>
        <w:rPr>
          <w:rFonts w:hint="eastAsia" w:ascii="宋体" w:hAnsi="宋体" w:eastAsia="宋体" w:cs="宋体"/>
          <w:kern w:val="2"/>
          <w:sz w:val="21"/>
          <w:szCs w:val="21"/>
          <w:highlight w:val="none"/>
          <w:lang w:val="en-US" w:eastAsia="zh-CN" w:bidi="ar"/>
        </w:rPr>
        <w:t>有关的来往通知、函件和文件均应使用中文。</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3.1.1.2</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由以下内容组成：</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详见第</w:t>
      </w:r>
      <w:r>
        <w:rPr>
          <w:rFonts w:hint="eastAsia" w:ascii="宋体" w:hAnsi="宋体" w:cs="宋体"/>
          <w:kern w:val="2"/>
          <w:sz w:val="21"/>
          <w:szCs w:val="21"/>
          <w:highlight w:val="none"/>
          <w:lang w:val="en-US" w:eastAsia="zh-CN" w:bidi="ar"/>
        </w:rPr>
        <w:t>九</w:t>
      </w:r>
      <w:r>
        <w:rPr>
          <w:rFonts w:hint="eastAsia" w:ascii="宋体" w:hAnsi="宋体" w:eastAsia="宋体" w:cs="宋体"/>
          <w:kern w:val="2"/>
          <w:sz w:val="21"/>
          <w:szCs w:val="21"/>
          <w:highlight w:val="none"/>
          <w:lang w:val="en-US" w:eastAsia="zh-CN" w:bidi="ar"/>
        </w:rPr>
        <w:t>章</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17" w:name="_Toc200513146"/>
      <w:bookmarkEnd w:id="317"/>
      <w:bookmarkStart w:id="318" w:name="_Toc4661689"/>
      <w:bookmarkEnd w:id="318"/>
      <w:bookmarkStart w:id="319" w:name="_Toc40455291"/>
      <w:bookmarkEnd w:id="319"/>
      <w:bookmarkStart w:id="320" w:name="_Toc27743"/>
      <w:bookmarkEnd w:id="320"/>
      <w:bookmarkStart w:id="321" w:name="_Toc4661447"/>
      <w:bookmarkEnd w:id="321"/>
      <w:bookmarkStart w:id="322" w:name="_Toc40780273"/>
      <w:bookmarkEnd w:id="322"/>
      <w:bookmarkStart w:id="323" w:name="_Toc224103337"/>
      <w:bookmarkEnd w:id="323"/>
      <w:bookmarkStart w:id="324" w:name="_Toc4661925"/>
      <w:bookmarkEnd w:id="324"/>
      <w:bookmarkStart w:id="325" w:name="_Toc277082572"/>
      <w:bookmarkEnd w:id="325"/>
      <w:bookmarkStart w:id="326" w:name="_Toc40455664"/>
      <w:bookmarkEnd w:id="326"/>
      <w:bookmarkStart w:id="327" w:name="_Toc287607766"/>
      <w:bookmarkEnd w:id="327"/>
      <w:bookmarkStart w:id="328" w:name="_Toc4662161"/>
      <w:r>
        <w:rPr>
          <w:rFonts w:hint="eastAsia" w:ascii="宋体" w:hAnsi="宋体" w:eastAsia="宋体" w:cs="Times New Roman"/>
          <w:b/>
          <w:kern w:val="2"/>
          <w:sz w:val="21"/>
          <w:szCs w:val="21"/>
          <w:highlight w:val="none"/>
        </w:rPr>
        <w:t xml:space="preserve">3.2  </w:t>
      </w:r>
      <w:bookmarkEnd w:id="328"/>
      <w:r>
        <w:rPr>
          <w:rFonts w:hint="eastAsia" w:ascii="宋体" w:hAnsi="宋体" w:eastAsia="宋体" w:cs="宋体"/>
          <w:b/>
          <w:kern w:val="2"/>
          <w:sz w:val="21"/>
          <w:szCs w:val="21"/>
          <w:highlight w:val="none"/>
        </w:rPr>
        <w:t>报价</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见本章</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bookmarkStart w:id="329" w:name="_Toc4661926"/>
      <w:bookmarkEnd w:id="329"/>
      <w:bookmarkStart w:id="330" w:name="_Toc4661690"/>
      <w:bookmarkEnd w:id="330"/>
      <w:bookmarkStart w:id="331" w:name="_Toc200513147"/>
      <w:bookmarkEnd w:id="331"/>
      <w:bookmarkStart w:id="332" w:name="_Toc224103338"/>
      <w:bookmarkEnd w:id="332"/>
      <w:bookmarkStart w:id="333" w:name="_Toc40455665"/>
      <w:bookmarkEnd w:id="333"/>
      <w:bookmarkStart w:id="334" w:name="_Toc4662162"/>
      <w:bookmarkEnd w:id="334"/>
      <w:bookmarkStart w:id="335" w:name="_Toc40780274"/>
      <w:bookmarkEnd w:id="335"/>
      <w:bookmarkStart w:id="336" w:name="_Toc20908"/>
      <w:bookmarkEnd w:id="336"/>
      <w:bookmarkStart w:id="337" w:name="_Toc4661448"/>
      <w:bookmarkEnd w:id="337"/>
      <w:bookmarkStart w:id="338" w:name="_Toc277082573"/>
      <w:bookmarkEnd w:id="338"/>
      <w:bookmarkStart w:id="339" w:name="_Toc287607767"/>
      <w:bookmarkEnd w:id="339"/>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40" w:name="_Toc4661449"/>
      <w:bookmarkEnd w:id="340"/>
      <w:bookmarkStart w:id="341" w:name="_Toc200513148"/>
      <w:bookmarkEnd w:id="341"/>
      <w:bookmarkStart w:id="342" w:name="_Toc224103339"/>
      <w:bookmarkEnd w:id="342"/>
      <w:bookmarkStart w:id="343" w:name="_Toc40455666"/>
      <w:bookmarkEnd w:id="343"/>
      <w:bookmarkStart w:id="344" w:name="_Toc287607768"/>
      <w:bookmarkEnd w:id="344"/>
      <w:bookmarkStart w:id="345" w:name="_Toc4661691"/>
      <w:bookmarkEnd w:id="345"/>
      <w:bookmarkStart w:id="346" w:name="_Toc40455293"/>
      <w:bookmarkEnd w:id="346"/>
      <w:bookmarkStart w:id="347" w:name="_Toc4662163"/>
      <w:bookmarkEnd w:id="347"/>
      <w:bookmarkStart w:id="348" w:name="_Toc40780275"/>
      <w:bookmarkEnd w:id="348"/>
      <w:bookmarkStart w:id="349" w:name="_Toc277082574"/>
      <w:bookmarkEnd w:id="349"/>
      <w:bookmarkStart w:id="350" w:name="_Toc4661927"/>
      <w:bookmarkEnd w:id="350"/>
      <w:bookmarkStart w:id="351" w:name="_Toc25463"/>
      <w:r>
        <w:rPr>
          <w:rFonts w:hint="eastAsia" w:ascii="宋体" w:hAnsi="宋体" w:eastAsia="宋体" w:cs="Times New Roman"/>
          <w:b/>
          <w:kern w:val="2"/>
          <w:sz w:val="21"/>
          <w:szCs w:val="21"/>
          <w:highlight w:val="none"/>
        </w:rPr>
        <w:t>3.</w:t>
      </w:r>
      <w:r>
        <w:rPr>
          <w:rFonts w:hint="eastAsia" w:ascii="宋体" w:hAnsi="宋体" w:cs="Times New Roman"/>
          <w:b/>
          <w:kern w:val="2"/>
          <w:sz w:val="21"/>
          <w:szCs w:val="21"/>
          <w:highlight w:val="none"/>
          <w:lang w:val="en-US" w:eastAsia="zh-CN"/>
        </w:rPr>
        <w:t>3</w:t>
      </w:r>
      <w:r>
        <w:rPr>
          <w:rFonts w:hint="eastAsia" w:ascii="宋体" w:hAnsi="宋体" w:eastAsia="宋体" w:cs="Times New Roman"/>
          <w:b/>
          <w:kern w:val="2"/>
          <w:sz w:val="21"/>
          <w:szCs w:val="21"/>
          <w:highlight w:val="none"/>
        </w:rPr>
        <w:t xml:space="preserve">  </w:t>
      </w:r>
      <w:bookmarkEnd w:id="351"/>
      <w:r>
        <w:rPr>
          <w:rFonts w:hint="eastAsia" w:ascii="宋体" w:hAnsi="宋体" w:eastAsia="宋体" w:cs="宋体"/>
          <w:b/>
          <w:kern w:val="2"/>
          <w:sz w:val="21"/>
          <w:szCs w:val="21"/>
          <w:highlight w:val="none"/>
        </w:rPr>
        <w:t>保证金</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.1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在递交</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的同时，应按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前附表规定的金额、担保形式递交投标保证金，并作为其</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的组成部分。联合体</w:t>
      </w:r>
      <w:r>
        <w:rPr>
          <w:rFonts w:hint="default" w:ascii="宋体" w:hAnsi="宋体" w:cs="宋体"/>
          <w:kern w:val="0"/>
          <w:sz w:val="21"/>
          <w:szCs w:val="21"/>
          <w:highlight w:val="none"/>
          <w:lang w:eastAsia="zh-CN" w:bidi="ar"/>
        </w:rPr>
        <w:t>报价</w:t>
      </w:r>
      <w:r>
        <w:rPr>
          <w:rFonts w:hint="eastAsia" w:ascii="宋体" w:hAnsi="宋体" w:eastAsia="宋体" w:cs="宋体"/>
          <w:kern w:val="0"/>
          <w:sz w:val="21"/>
          <w:szCs w:val="21"/>
          <w:highlight w:val="none"/>
          <w:lang w:val="en-US" w:eastAsia="zh-CN" w:bidi="ar"/>
        </w:rPr>
        <w:t>的，其投标保证金由牵头人递交，并应符合</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前附表的规定。</w:t>
      </w:r>
    </w:p>
    <w:p>
      <w:pPr>
        <w:keepNext w:val="0"/>
        <w:keepLines w:val="0"/>
        <w:widowControl w:val="0"/>
        <w:suppressLineNumbers w:val="0"/>
        <w:autoSpaceDE w:val="0"/>
        <w:autoSpaceDN w:val="0"/>
        <w:adjustRightInd w:val="0"/>
        <w:spacing w:before="0" w:beforeAutospacing="0" w:after="0" w:afterAutospacing="0" w:line="300" w:lineRule="exact"/>
        <w:ind w:left="13" w:leftChars="6" w:right="0" w:firstLine="403" w:firstLineChars="192"/>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不按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前附表要求提交投标保证金的，其</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作否决</w:t>
      </w:r>
      <w:r>
        <w:rPr>
          <w:rFonts w:hint="default" w:ascii="宋体" w:hAnsi="宋体" w:cs="宋体"/>
          <w:kern w:val="0"/>
          <w:sz w:val="21"/>
          <w:szCs w:val="21"/>
          <w:highlight w:val="none"/>
          <w:lang w:eastAsia="zh-CN" w:bidi="ar"/>
        </w:rPr>
        <w:t>报价</w:t>
      </w:r>
      <w:r>
        <w:rPr>
          <w:rFonts w:hint="eastAsia" w:ascii="宋体" w:hAnsi="宋体" w:eastAsia="宋体" w:cs="宋体"/>
          <w:kern w:val="0"/>
          <w:sz w:val="21"/>
          <w:szCs w:val="21"/>
          <w:highlight w:val="none"/>
          <w:lang w:val="en-US" w:eastAsia="zh-CN" w:bidi="ar"/>
        </w:rPr>
        <w:t>处理。</w:t>
      </w:r>
    </w:p>
    <w:p>
      <w:pPr>
        <w:keepNext w:val="0"/>
        <w:keepLines w:val="0"/>
        <w:widowControl w:val="0"/>
        <w:suppressLineNumbers w:val="0"/>
        <w:autoSpaceDE w:val="0"/>
        <w:autoSpaceDN w:val="0"/>
        <w:adjustRightInd w:val="0"/>
        <w:spacing w:before="0" w:beforeAutospacing="0" w:after="0" w:afterAutospacing="0" w:line="300" w:lineRule="exact"/>
        <w:ind w:left="13" w:leftChars="6" w:right="0" w:firstLine="403" w:firstLineChars="192"/>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.3  </w:t>
      </w:r>
      <w:r>
        <w:rPr>
          <w:rFonts w:hint="eastAsia" w:ascii="宋体" w:hAnsi="宋体" w:eastAsia="宋体" w:cs="宋体"/>
          <w:kern w:val="0"/>
          <w:sz w:val="21"/>
          <w:szCs w:val="21"/>
          <w:highlight w:val="none"/>
          <w:lang w:val="en-US" w:eastAsia="zh-CN" w:bidi="ar"/>
        </w:rPr>
        <w:t>投标</w:t>
      </w:r>
      <w:r>
        <w:rPr>
          <w:rFonts w:hint="eastAsia" w:ascii="宋体" w:hAnsi="宋体" w:eastAsia="宋体" w:cs="宋体"/>
          <w:kern w:val="0"/>
          <w:position w:val="-2"/>
          <w:sz w:val="21"/>
          <w:szCs w:val="21"/>
          <w:highlight w:val="none"/>
          <w:lang w:val="en-US" w:eastAsia="zh-CN" w:bidi="ar"/>
        </w:rPr>
        <w:t>保证金</w:t>
      </w:r>
      <w:r>
        <w:rPr>
          <w:rFonts w:hint="eastAsia" w:ascii="宋体" w:hAnsi="宋体" w:eastAsia="宋体" w:cs="宋体"/>
          <w:kern w:val="0"/>
          <w:sz w:val="21"/>
          <w:szCs w:val="21"/>
          <w:highlight w:val="none"/>
          <w:lang w:val="en-US" w:eastAsia="zh-CN" w:bidi="ar"/>
        </w:rPr>
        <w:t>退还：见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r>
        <w:rPr>
          <w:rFonts w:hint="eastAsia" w:ascii="宋体" w:hAnsi="宋体" w:eastAsia="宋体" w:cs="宋体"/>
          <w:kern w:val="0"/>
          <w:position w:val="-2"/>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3</w:t>
      </w:r>
      <w:r>
        <w:rPr>
          <w:rFonts w:hint="eastAsia" w:ascii="宋体" w:hAnsi="宋体" w:eastAsia="宋体" w:cs="Calibri"/>
          <w:kern w:val="0"/>
          <w:sz w:val="21"/>
          <w:szCs w:val="21"/>
          <w:highlight w:val="none"/>
          <w:lang w:val="en-US" w:eastAsia="zh-CN" w:bidi="ar"/>
        </w:rPr>
        <w:t xml:space="preserve">.4  </w:t>
      </w:r>
      <w:r>
        <w:rPr>
          <w:rFonts w:hint="eastAsia" w:ascii="宋体" w:hAnsi="宋体" w:eastAsia="宋体" w:cs="宋体"/>
          <w:kern w:val="0"/>
          <w:sz w:val="21"/>
          <w:szCs w:val="21"/>
          <w:highlight w:val="none"/>
          <w:lang w:val="en-US" w:eastAsia="zh-CN" w:bidi="ar"/>
        </w:rPr>
        <w:t>有下列情形之一的，投标保证金将不予退还：</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1</w:t>
      </w:r>
      <w:r>
        <w:rPr>
          <w:rFonts w:hint="eastAsia" w:ascii="宋体" w:hAnsi="宋体" w:eastAsia="宋体" w:cs="宋体"/>
          <w:kern w:val="0"/>
          <w:sz w:val="21"/>
          <w:szCs w:val="21"/>
          <w:highlight w:val="none"/>
          <w:lang w:val="en-US" w:eastAsia="zh-CN" w:bidi="ar"/>
        </w:rPr>
        <w:t>）</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在规定的投标有效期内撤销或修改其</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Calibri"/>
          <w:kern w:val="0"/>
          <w:sz w:val="21"/>
          <w:szCs w:val="21"/>
          <w:highlight w:val="none"/>
          <w:lang w:val="en-US" w:eastAsia="zh-CN" w:bidi="ar"/>
        </w:rPr>
        <w:t>2</w:t>
      </w:r>
      <w:r>
        <w:rPr>
          <w:rFonts w:hint="eastAsia" w:ascii="宋体" w:hAnsi="宋体" w:eastAsia="宋体" w:cs="宋体"/>
          <w:kern w:val="0"/>
          <w:sz w:val="21"/>
          <w:szCs w:val="21"/>
          <w:highlight w:val="none"/>
          <w:lang w:val="en-US" w:eastAsia="zh-CN" w:bidi="ar"/>
        </w:rPr>
        <w:t>）中标人在收到中标通知书后，无正当理由拒签合同协议书或未按</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文件规定提交履约担保；</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eastAsia="宋体" w:cs="MingLiU"/>
          <w:kern w:val="0"/>
          <w:sz w:val="21"/>
          <w:szCs w:val="21"/>
          <w:highlight w:val="none"/>
          <w:lang w:val="en-US" w:eastAsia="zh-CN" w:bidi="ar"/>
        </w:rPr>
        <w:t>3）法律法规和本</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文件规定的其他情形。</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52" w:name="_Toc4661928"/>
      <w:bookmarkEnd w:id="352"/>
      <w:bookmarkStart w:id="353" w:name="_Toc40455294"/>
      <w:bookmarkEnd w:id="353"/>
      <w:bookmarkStart w:id="354" w:name="_Toc4661692"/>
      <w:bookmarkEnd w:id="354"/>
      <w:bookmarkStart w:id="355" w:name="_Toc40455667"/>
      <w:bookmarkEnd w:id="355"/>
      <w:bookmarkStart w:id="356" w:name="_Toc7158"/>
      <w:bookmarkEnd w:id="356"/>
      <w:bookmarkStart w:id="357" w:name="_Toc224103341"/>
      <w:bookmarkEnd w:id="357"/>
      <w:bookmarkStart w:id="358" w:name="_Toc277082576"/>
      <w:bookmarkEnd w:id="358"/>
      <w:bookmarkStart w:id="359" w:name="_Toc287607770"/>
      <w:bookmarkEnd w:id="359"/>
      <w:bookmarkStart w:id="360" w:name="_Toc200513150"/>
      <w:bookmarkEnd w:id="360"/>
      <w:bookmarkStart w:id="361" w:name="_Toc40780276"/>
      <w:bookmarkEnd w:id="361"/>
      <w:bookmarkStart w:id="362" w:name="_Toc4662164"/>
      <w:bookmarkEnd w:id="362"/>
      <w:bookmarkStart w:id="363" w:name="_Toc4661450"/>
      <w:r>
        <w:rPr>
          <w:rFonts w:hint="eastAsia" w:ascii="宋体" w:hAnsi="宋体" w:eastAsia="宋体" w:cs="Times New Roman"/>
          <w:b/>
          <w:kern w:val="2"/>
          <w:sz w:val="21"/>
          <w:szCs w:val="21"/>
          <w:highlight w:val="none"/>
        </w:rPr>
        <w:t>3.</w:t>
      </w:r>
      <w:r>
        <w:rPr>
          <w:rFonts w:hint="eastAsia" w:ascii="宋体" w:hAnsi="宋体" w:cs="Times New Roman"/>
          <w:b/>
          <w:kern w:val="2"/>
          <w:sz w:val="21"/>
          <w:szCs w:val="21"/>
          <w:highlight w:val="none"/>
          <w:lang w:val="en-US" w:eastAsia="zh-CN"/>
        </w:rPr>
        <w:t>4</w:t>
      </w:r>
      <w:r>
        <w:rPr>
          <w:rFonts w:hint="eastAsia" w:ascii="宋体" w:hAnsi="宋体" w:eastAsia="宋体" w:cs="Times New Roman"/>
          <w:b/>
          <w:kern w:val="2"/>
          <w:sz w:val="21"/>
          <w:szCs w:val="21"/>
          <w:highlight w:val="none"/>
        </w:rPr>
        <w:t xml:space="preserve">  </w:t>
      </w:r>
      <w:bookmarkEnd w:id="363"/>
      <w:r>
        <w:rPr>
          <w:rFonts w:hint="eastAsia" w:ascii="宋体" w:hAnsi="宋体" w:eastAsia="宋体" w:cs="宋体"/>
          <w:b/>
          <w:kern w:val="2"/>
          <w:sz w:val="21"/>
          <w:szCs w:val="21"/>
          <w:highlight w:val="none"/>
        </w:rPr>
        <w:t>资格审查资料</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详见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64" w:name="_Toc4662165"/>
      <w:bookmarkEnd w:id="364"/>
      <w:bookmarkStart w:id="365" w:name="_Toc287607771"/>
      <w:bookmarkEnd w:id="365"/>
      <w:bookmarkStart w:id="366" w:name="_Toc40780277"/>
      <w:bookmarkEnd w:id="366"/>
      <w:bookmarkStart w:id="367" w:name="_Toc20488"/>
      <w:bookmarkEnd w:id="367"/>
      <w:bookmarkStart w:id="368" w:name="_Toc277082577"/>
      <w:bookmarkEnd w:id="368"/>
      <w:bookmarkStart w:id="369" w:name="_Toc40455668"/>
      <w:bookmarkEnd w:id="369"/>
      <w:bookmarkStart w:id="370" w:name="_Toc4661451"/>
      <w:bookmarkEnd w:id="370"/>
      <w:bookmarkStart w:id="371" w:name="_Toc200513151"/>
      <w:bookmarkEnd w:id="371"/>
      <w:bookmarkStart w:id="372" w:name="_Toc40455295"/>
      <w:bookmarkEnd w:id="372"/>
      <w:bookmarkStart w:id="373" w:name="_Toc4661693"/>
      <w:bookmarkEnd w:id="373"/>
      <w:bookmarkStart w:id="374" w:name="_Toc224103342"/>
      <w:bookmarkEnd w:id="374"/>
      <w:bookmarkStart w:id="375" w:name="_Toc4661929"/>
      <w:r>
        <w:rPr>
          <w:rFonts w:hint="eastAsia" w:ascii="宋体" w:hAnsi="宋体" w:eastAsia="宋体" w:cs="Times New Roman"/>
          <w:b/>
          <w:kern w:val="2"/>
          <w:sz w:val="21"/>
          <w:szCs w:val="21"/>
          <w:highlight w:val="none"/>
        </w:rPr>
        <w:t>3.</w:t>
      </w:r>
      <w:r>
        <w:rPr>
          <w:rFonts w:hint="eastAsia" w:ascii="宋体" w:hAnsi="宋体" w:cs="Times New Roman"/>
          <w:b/>
          <w:kern w:val="2"/>
          <w:sz w:val="21"/>
          <w:szCs w:val="21"/>
          <w:highlight w:val="none"/>
          <w:lang w:val="en-US" w:eastAsia="zh-CN"/>
        </w:rPr>
        <w:t>5</w:t>
      </w:r>
      <w:r>
        <w:rPr>
          <w:rFonts w:hint="eastAsia" w:ascii="宋体" w:hAnsi="宋体" w:eastAsia="宋体" w:cs="Times New Roman"/>
          <w:b/>
          <w:kern w:val="2"/>
          <w:sz w:val="21"/>
          <w:szCs w:val="21"/>
          <w:highlight w:val="none"/>
        </w:rPr>
        <w:t xml:space="preserve"> </w:t>
      </w:r>
      <w:bookmarkEnd w:id="375"/>
      <w:r>
        <w:rPr>
          <w:rFonts w:hint="eastAsia" w:ascii="宋体" w:hAnsi="宋体" w:eastAsia="宋体" w:cs="宋体"/>
          <w:b/>
          <w:kern w:val="2"/>
          <w:sz w:val="21"/>
          <w:szCs w:val="21"/>
          <w:highlight w:val="none"/>
        </w:rPr>
        <w:t>备选</w:t>
      </w:r>
      <w:r>
        <w:rPr>
          <w:rFonts w:hint="default" w:ascii="宋体" w:hAnsi="宋体" w:cs="宋体"/>
          <w:b/>
          <w:kern w:val="2"/>
          <w:sz w:val="21"/>
          <w:szCs w:val="21"/>
          <w:highlight w:val="none"/>
        </w:rPr>
        <w:t>报价</w:t>
      </w:r>
      <w:r>
        <w:rPr>
          <w:rFonts w:hint="eastAsia" w:ascii="宋体" w:hAnsi="宋体" w:eastAsia="宋体" w:cs="宋体"/>
          <w:b/>
          <w:kern w:val="2"/>
          <w:sz w:val="21"/>
          <w:szCs w:val="21"/>
          <w:highlight w:val="none"/>
        </w:rPr>
        <w:t>方案</w:t>
      </w:r>
    </w:p>
    <w:p>
      <w:pPr>
        <w:keepNext w:val="0"/>
        <w:keepLines w:val="0"/>
        <w:widowControl w:val="0"/>
        <w:suppressLineNumbers w:val="0"/>
        <w:autoSpaceDE w:val="0"/>
        <w:autoSpaceDN w:val="0"/>
        <w:adjustRightInd w:val="0"/>
        <w:spacing w:before="0" w:beforeAutospacing="0" w:after="0" w:afterAutospacing="0" w:line="300" w:lineRule="exact"/>
        <w:ind w:left="120" w:right="-109" w:firstLine="420"/>
        <w:jc w:val="left"/>
        <w:rPr>
          <w:rFonts w:hint="eastAsia" w:ascii="宋体" w:hAnsi="宋体" w:eastAsia="宋体" w:cs="黑体"/>
          <w:kern w:val="0"/>
          <w:sz w:val="21"/>
          <w:szCs w:val="21"/>
          <w:highlight w:val="none"/>
        </w:rPr>
      </w:pPr>
      <w:bookmarkStart w:id="376" w:name="_Toc200513152"/>
      <w:bookmarkEnd w:id="376"/>
      <w:bookmarkStart w:id="377" w:name="_Toc224103343"/>
      <w:bookmarkEnd w:id="377"/>
      <w:bookmarkStart w:id="378" w:name="_Toc277082578"/>
      <w:bookmarkEnd w:id="378"/>
      <w:bookmarkStart w:id="379" w:name="_Toc287607772"/>
      <w:bookmarkEnd w:id="379"/>
      <w:bookmarkStart w:id="380" w:name="_Toc4661930"/>
      <w:bookmarkEnd w:id="380"/>
      <w:bookmarkStart w:id="381" w:name="_Toc4661452"/>
      <w:bookmarkEnd w:id="381"/>
      <w:bookmarkStart w:id="382" w:name="_Toc4661694"/>
      <w:bookmarkEnd w:id="382"/>
      <w:bookmarkStart w:id="383" w:name="_Toc4662166"/>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不接受</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的备选</w:t>
      </w:r>
      <w:r>
        <w:rPr>
          <w:rFonts w:hint="default" w:ascii="宋体" w:hAnsi="宋体" w:cs="宋体"/>
          <w:kern w:val="0"/>
          <w:sz w:val="21"/>
          <w:szCs w:val="21"/>
          <w:highlight w:val="none"/>
          <w:lang w:eastAsia="zh-CN" w:bidi="ar"/>
        </w:rPr>
        <w:t>报价</w:t>
      </w:r>
      <w:r>
        <w:rPr>
          <w:rFonts w:hint="eastAsia" w:ascii="宋体" w:hAnsi="宋体" w:eastAsia="宋体" w:cs="宋体"/>
          <w:kern w:val="0"/>
          <w:sz w:val="21"/>
          <w:szCs w:val="21"/>
          <w:highlight w:val="none"/>
          <w:lang w:val="en-US" w:eastAsia="zh-CN" w:bidi="ar"/>
        </w:rPr>
        <w:t>方案。</w:t>
      </w:r>
      <w:bookmarkEnd w:id="383"/>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384" w:name="_Toc40455669"/>
      <w:bookmarkEnd w:id="384"/>
      <w:bookmarkStart w:id="385" w:name="_Toc26001"/>
      <w:bookmarkEnd w:id="385"/>
      <w:bookmarkStart w:id="386" w:name="_Toc40780278"/>
      <w:bookmarkEnd w:id="386"/>
      <w:bookmarkStart w:id="387" w:name="_Toc40455296"/>
      <w:r>
        <w:rPr>
          <w:rFonts w:hint="eastAsia" w:ascii="宋体" w:hAnsi="宋体" w:eastAsia="宋体" w:cs="Times New Roman"/>
          <w:b/>
          <w:kern w:val="2"/>
          <w:sz w:val="21"/>
          <w:szCs w:val="21"/>
          <w:highlight w:val="none"/>
        </w:rPr>
        <w:t>3</w:t>
      </w:r>
      <w:bookmarkEnd w:id="387"/>
      <w:r>
        <w:rPr>
          <w:rFonts w:hint="eastAsia" w:ascii="宋体" w:hAnsi="宋体" w:eastAsia="宋体" w:cs="Times New Roman"/>
          <w:b/>
          <w:kern w:val="2"/>
          <w:sz w:val="21"/>
          <w:szCs w:val="21"/>
          <w:highlight w:val="none"/>
        </w:rPr>
        <w:t>.</w:t>
      </w:r>
      <w:r>
        <w:rPr>
          <w:rFonts w:hint="eastAsia" w:ascii="宋体" w:hAnsi="宋体" w:cs="Times New Roman"/>
          <w:b/>
          <w:kern w:val="2"/>
          <w:sz w:val="21"/>
          <w:szCs w:val="21"/>
          <w:highlight w:val="none"/>
          <w:lang w:val="en-US" w:eastAsia="zh-CN"/>
        </w:rPr>
        <w:t>6</w:t>
      </w:r>
      <w:r>
        <w:rPr>
          <w:rFonts w:hint="eastAsia" w:ascii="宋体" w:hAnsi="宋体" w:eastAsia="宋体" w:cs="Times New Roman"/>
          <w:b/>
          <w:kern w:val="2"/>
          <w:sz w:val="21"/>
          <w:szCs w:val="21"/>
          <w:highlight w:val="none"/>
        </w:rPr>
        <w:t xml:space="preserve">  </w:t>
      </w:r>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的编制</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6</w:t>
      </w:r>
      <w:r>
        <w:rPr>
          <w:rFonts w:hint="eastAsia" w:ascii="宋体" w:hAnsi="宋体" w:eastAsia="宋体" w:cs="Calibri"/>
          <w:kern w:val="0"/>
          <w:sz w:val="21"/>
          <w:szCs w:val="21"/>
          <w:highlight w:val="none"/>
          <w:lang w:val="en-US" w:eastAsia="zh-CN" w:bidi="ar"/>
        </w:rPr>
        <w:t xml:space="preserve">.1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应按第</w:t>
      </w:r>
      <w:r>
        <w:rPr>
          <w:rFonts w:hint="eastAsia" w:ascii="宋体" w:hAnsi="宋体" w:cs="宋体"/>
          <w:kern w:val="0"/>
          <w:sz w:val="21"/>
          <w:szCs w:val="21"/>
          <w:highlight w:val="none"/>
          <w:lang w:val="en-US" w:eastAsia="zh-CN" w:bidi="ar"/>
        </w:rPr>
        <w:t>九</w:t>
      </w:r>
      <w:r>
        <w:rPr>
          <w:rFonts w:hint="eastAsia" w:ascii="宋体" w:hAnsi="宋体" w:eastAsia="宋体" w:cs="宋体"/>
          <w:kern w:val="0"/>
          <w:sz w:val="21"/>
          <w:szCs w:val="21"/>
          <w:highlight w:val="none"/>
          <w:lang w:val="en-US" w:eastAsia="zh-CN" w:bidi="ar"/>
        </w:rPr>
        <w:t>章</w:t>
      </w:r>
      <w:r>
        <w:rPr>
          <w:rFonts w:hint="eastAsia" w:ascii="宋体" w:hAnsi="宋体" w:eastAsia="宋体" w:cs="MingLiU"/>
          <w:kern w:val="0"/>
          <w:sz w:val="21"/>
          <w:szCs w:val="21"/>
          <w:highlight w:val="none"/>
          <w:lang w:val="en-US" w:eastAsia="zh-CN" w:bidi="ar"/>
        </w:rPr>
        <w:t>“</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格式”进行编写，如有必要，可以增加附页，作为</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的组成部分。</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6</w:t>
      </w:r>
      <w:r>
        <w:rPr>
          <w:rFonts w:hint="eastAsia" w:ascii="宋体" w:hAnsi="宋体" w:eastAsia="宋体" w:cs="Calibri"/>
          <w:kern w:val="0"/>
          <w:sz w:val="21"/>
          <w:szCs w:val="21"/>
          <w:highlight w:val="none"/>
          <w:lang w:val="en-US" w:eastAsia="zh-CN" w:bidi="ar"/>
        </w:rPr>
        <w:t xml:space="preserve">.2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应当对</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文件有关工期、投标有效期、质量要求、技术标准和要求、服务要求、</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范围等实质性内容做出响应。</w:t>
      </w:r>
    </w:p>
    <w:p>
      <w:pPr>
        <w:keepNext w:val="0"/>
        <w:keepLines w:val="0"/>
        <w:widowControl w:val="0"/>
        <w:suppressLineNumbers w:val="0"/>
        <w:autoSpaceDE w:val="0"/>
        <w:autoSpaceDN w:val="0"/>
        <w:adjustRightInd w:val="0"/>
        <w:spacing w:before="0" w:beforeAutospacing="0" w:after="0" w:afterAutospacing="0" w:line="300" w:lineRule="exact"/>
        <w:ind w:left="0" w:right="0" w:firstLine="424" w:firstLineChars="202"/>
        <w:jc w:val="left"/>
        <w:rPr>
          <w:rFonts w:hint="eastAsia" w:ascii="宋体" w:hAnsi="宋体" w:eastAsia="宋体" w:cs="MingLiU"/>
          <w:kern w:val="0"/>
          <w:sz w:val="21"/>
          <w:szCs w:val="21"/>
          <w:highlight w:val="none"/>
        </w:rPr>
      </w:pPr>
      <w:r>
        <w:rPr>
          <w:rFonts w:hint="eastAsia" w:ascii="宋体" w:hAnsi="宋体" w:eastAsia="宋体" w:cs="Calibri"/>
          <w:kern w:val="0"/>
          <w:position w:val="-2"/>
          <w:sz w:val="21"/>
          <w:szCs w:val="21"/>
          <w:highlight w:val="none"/>
          <w:lang w:val="en-US" w:eastAsia="zh-CN" w:bidi="ar"/>
        </w:rPr>
        <w:t>3.</w:t>
      </w:r>
      <w:r>
        <w:rPr>
          <w:rFonts w:hint="eastAsia" w:ascii="宋体" w:hAnsi="宋体" w:cs="Calibri"/>
          <w:kern w:val="0"/>
          <w:position w:val="-2"/>
          <w:sz w:val="21"/>
          <w:szCs w:val="21"/>
          <w:highlight w:val="none"/>
          <w:lang w:val="en-US" w:eastAsia="zh-CN" w:bidi="ar"/>
        </w:rPr>
        <w:t>6</w:t>
      </w:r>
      <w:r>
        <w:rPr>
          <w:rFonts w:hint="eastAsia" w:ascii="宋体" w:hAnsi="宋体" w:eastAsia="宋体" w:cs="Calibri"/>
          <w:kern w:val="0"/>
          <w:position w:val="-2"/>
          <w:sz w:val="21"/>
          <w:szCs w:val="21"/>
          <w:highlight w:val="none"/>
          <w:lang w:val="en-US" w:eastAsia="zh-CN" w:bidi="ar"/>
        </w:rPr>
        <w:t xml:space="preserve">.3  </w:t>
      </w:r>
      <w:r>
        <w:rPr>
          <w:rFonts w:hint="eastAsia" w:ascii="宋体" w:hAnsi="宋体" w:cs="宋体"/>
          <w:kern w:val="0"/>
          <w:position w:val="-2"/>
          <w:sz w:val="21"/>
          <w:szCs w:val="21"/>
          <w:highlight w:val="none"/>
          <w:lang w:val="en-US" w:eastAsia="zh-CN" w:bidi="ar"/>
        </w:rPr>
        <w:t>比选响应文件</w:t>
      </w:r>
      <w:r>
        <w:rPr>
          <w:rFonts w:hint="eastAsia" w:ascii="宋体" w:hAnsi="宋体" w:eastAsia="宋体" w:cs="宋体"/>
          <w:kern w:val="0"/>
          <w:position w:val="-2"/>
          <w:sz w:val="21"/>
          <w:szCs w:val="21"/>
          <w:highlight w:val="none"/>
          <w:lang w:val="en-US" w:eastAsia="zh-CN" w:bidi="ar"/>
        </w:rPr>
        <w:t>应用不褪色的材料书写或打印，并由</w:t>
      </w:r>
      <w:r>
        <w:rPr>
          <w:rFonts w:hint="eastAsia" w:ascii="宋体" w:hAnsi="宋体" w:cs="宋体"/>
          <w:kern w:val="0"/>
          <w:position w:val="-2"/>
          <w:sz w:val="21"/>
          <w:szCs w:val="21"/>
          <w:highlight w:val="none"/>
          <w:lang w:val="en-US" w:eastAsia="zh-CN" w:bidi="ar"/>
        </w:rPr>
        <w:t>报价人</w:t>
      </w:r>
      <w:r>
        <w:rPr>
          <w:rFonts w:hint="eastAsia" w:ascii="宋体" w:hAnsi="宋体" w:eastAsia="宋体" w:cs="宋体"/>
          <w:kern w:val="0"/>
          <w:position w:val="-2"/>
          <w:sz w:val="21"/>
          <w:szCs w:val="21"/>
          <w:highlight w:val="none"/>
          <w:lang w:val="en-US" w:eastAsia="zh-CN" w:bidi="ar"/>
        </w:rPr>
        <w:t>的法定代表人或其委托代理</w:t>
      </w:r>
      <w:r>
        <w:rPr>
          <w:rFonts w:hint="eastAsia" w:ascii="宋体" w:hAnsi="宋体" w:eastAsia="宋体" w:cs="宋体"/>
          <w:kern w:val="0"/>
          <w:sz w:val="21"/>
          <w:szCs w:val="21"/>
          <w:highlight w:val="none"/>
          <w:lang w:val="en-US" w:eastAsia="zh-CN" w:bidi="ar"/>
        </w:rPr>
        <w:t>人签字、盖单位公章。委托代理人签字的，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应附法定代表人签署的授权委托书。</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应尽量避免涂改、行间插字或删除。如果出现上述情况，改动之处应加盖单位公章或由</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的法定代表人或其授权的代理人签字确认。签字或盖章的具体要求见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0" w:right="-164" w:firstLine="426"/>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6</w:t>
      </w:r>
      <w:r>
        <w:rPr>
          <w:rFonts w:hint="eastAsia" w:ascii="宋体" w:hAnsi="宋体" w:eastAsia="宋体" w:cs="Calibri"/>
          <w:kern w:val="0"/>
          <w:sz w:val="21"/>
          <w:szCs w:val="21"/>
          <w:highlight w:val="none"/>
          <w:lang w:val="en-US" w:eastAsia="zh-CN" w:bidi="ar"/>
        </w:rPr>
        <w:t xml:space="preserve">.4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正本一份，副本份数见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前附表。正本和副本的封面上应清楚地标记</w:t>
      </w:r>
      <w:r>
        <w:rPr>
          <w:rFonts w:hint="eastAsia" w:ascii="宋体" w:hAnsi="宋体" w:eastAsia="宋体" w:cs="MingLiU"/>
          <w:kern w:val="0"/>
          <w:sz w:val="21"/>
          <w:szCs w:val="21"/>
          <w:highlight w:val="none"/>
          <w:lang w:val="en-US" w:eastAsia="zh-CN" w:bidi="ar"/>
        </w:rPr>
        <w:t>“正本”或“副本”的字样，正本和副本封面均须加盖单位公章（鲜章）。当副本和正本不一致时，以正本为准。</w:t>
      </w:r>
    </w:p>
    <w:p>
      <w:pPr>
        <w:keepNext w:val="0"/>
        <w:keepLines w:val="0"/>
        <w:widowControl w:val="0"/>
        <w:suppressLineNumbers w:val="0"/>
        <w:autoSpaceDE w:val="0"/>
        <w:autoSpaceDN w:val="0"/>
        <w:adjustRightInd w:val="0"/>
        <w:spacing w:before="0" w:beforeAutospacing="0" w:after="0" w:afterAutospacing="0" w:line="300" w:lineRule="exact"/>
        <w:ind w:left="0" w:right="-109" w:firstLine="426"/>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3.</w:t>
      </w:r>
      <w:r>
        <w:rPr>
          <w:rFonts w:hint="eastAsia" w:ascii="宋体" w:hAnsi="宋体" w:cs="Calibri"/>
          <w:kern w:val="0"/>
          <w:sz w:val="21"/>
          <w:szCs w:val="21"/>
          <w:highlight w:val="none"/>
          <w:lang w:val="en-US" w:eastAsia="zh-CN" w:bidi="ar"/>
        </w:rPr>
        <w:t>6</w:t>
      </w:r>
      <w:r>
        <w:rPr>
          <w:rFonts w:hint="eastAsia" w:ascii="宋体" w:hAnsi="宋体" w:eastAsia="宋体" w:cs="Calibri"/>
          <w:kern w:val="0"/>
          <w:sz w:val="21"/>
          <w:szCs w:val="21"/>
          <w:highlight w:val="none"/>
          <w:lang w:val="en-US" w:eastAsia="zh-CN" w:bidi="ar"/>
        </w:rPr>
        <w:t xml:space="preserve">.5  </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的正本与副本应分别装订成册，并编制目录，具体装订要求见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w:t>
      </w:r>
    </w:p>
    <w:p>
      <w:pPr>
        <w:pStyle w:val="6"/>
        <w:widowControl/>
        <w:spacing w:before="0" w:beforeAutospacing="0" w:after="0" w:afterAutospacing="0" w:line="300" w:lineRule="exact"/>
        <w:rPr>
          <w:rFonts w:hint="eastAsia" w:ascii="宋体" w:hAnsi="宋体" w:eastAsia="黑体" w:cs="Times New Roman"/>
          <w:b/>
          <w:kern w:val="0"/>
          <w:sz w:val="21"/>
          <w:szCs w:val="21"/>
          <w:highlight w:val="none"/>
        </w:rPr>
      </w:pPr>
      <w:bookmarkStart w:id="388" w:name="_Toc4661931"/>
      <w:bookmarkEnd w:id="388"/>
      <w:bookmarkStart w:id="389" w:name="_Toc28775"/>
      <w:bookmarkEnd w:id="389"/>
      <w:bookmarkStart w:id="390" w:name="_Toc224103344"/>
      <w:bookmarkEnd w:id="390"/>
      <w:bookmarkStart w:id="391" w:name="_Toc277082579"/>
      <w:bookmarkEnd w:id="391"/>
      <w:bookmarkStart w:id="392" w:name="_Toc4661453"/>
      <w:bookmarkEnd w:id="392"/>
      <w:bookmarkStart w:id="393" w:name="_Toc40455297"/>
      <w:bookmarkEnd w:id="393"/>
      <w:bookmarkStart w:id="394" w:name="_Toc16777"/>
      <w:bookmarkEnd w:id="394"/>
      <w:bookmarkStart w:id="395" w:name="_Toc7095"/>
      <w:bookmarkEnd w:id="395"/>
      <w:bookmarkStart w:id="396" w:name="_Toc778"/>
      <w:bookmarkEnd w:id="396"/>
      <w:bookmarkStart w:id="397" w:name="_Toc4661695"/>
      <w:bookmarkEnd w:id="397"/>
      <w:bookmarkStart w:id="398" w:name="_Toc40455670"/>
      <w:bookmarkEnd w:id="398"/>
      <w:bookmarkStart w:id="399" w:name="_Toc30351"/>
      <w:bookmarkEnd w:id="399"/>
      <w:bookmarkStart w:id="400" w:name="_Toc4662167"/>
      <w:bookmarkEnd w:id="400"/>
      <w:bookmarkStart w:id="401" w:name="_Toc287607773"/>
      <w:bookmarkEnd w:id="401"/>
      <w:bookmarkStart w:id="402" w:name="_Toc200513153"/>
      <w:bookmarkEnd w:id="402"/>
      <w:bookmarkStart w:id="403" w:name="_Toc4633"/>
      <w:r>
        <w:rPr>
          <w:rFonts w:hint="eastAsia" w:ascii="宋体" w:hAnsi="宋体" w:eastAsia="黑体" w:cs="Times New Roman"/>
          <w:b/>
          <w:kern w:val="0"/>
          <w:sz w:val="21"/>
          <w:szCs w:val="21"/>
          <w:highlight w:val="none"/>
        </w:rPr>
        <w:t xml:space="preserve">4.  </w:t>
      </w:r>
      <w:bookmarkEnd w:id="403"/>
      <w:r>
        <w:rPr>
          <w:rFonts w:hint="default" w:ascii="宋体" w:hAnsi="宋体" w:cs="Times New Roman"/>
          <w:b/>
          <w:kern w:val="0"/>
          <w:sz w:val="21"/>
          <w:szCs w:val="21"/>
          <w:highlight w:val="none"/>
        </w:rPr>
        <w:t>报价</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04" w:name="_Toc4661932"/>
      <w:bookmarkEnd w:id="404"/>
      <w:bookmarkStart w:id="405" w:name="_Toc200513154"/>
      <w:bookmarkEnd w:id="405"/>
      <w:bookmarkStart w:id="406" w:name="_Toc40455298"/>
      <w:bookmarkEnd w:id="406"/>
      <w:bookmarkStart w:id="407" w:name="_Toc4661454"/>
      <w:bookmarkEnd w:id="407"/>
      <w:bookmarkStart w:id="408" w:name="_Toc287607774"/>
      <w:bookmarkEnd w:id="408"/>
      <w:bookmarkStart w:id="409" w:name="_Toc277082580"/>
      <w:bookmarkEnd w:id="409"/>
      <w:bookmarkStart w:id="410" w:name="_Toc4661696"/>
      <w:bookmarkEnd w:id="410"/>
      <w:bookmarkStart w:id="411" w:name="_Toc40780280"/>
      <w:bookmarkEnd w:id="411"/>
      <w:bookmarkStart w:id="412" w:name="_Toc4662168"/>
      <w:bookmarkEnd w:id="412"/>
      <w:bookmarkStart w:id="413" w:name="_Toc40455671"/>
      <w:bookmarkEnd w:id="413"/>
      <w:bookmarkStart w:id="414" w:name="_Toc2952"/>
      <w:bookmarkEnd w:id="414"/>
      <w:bookmarkStart w:id="415" w:name="_Toc224103345"/>
      <w:r>
        <w:rPr>
          <w:rFonts w:hint="eastAsia" w:ascii="宋体" w:hAnsi="宋体" w:eastAsia="宋体" w:cs="Times New Roman"/>
          <w:b/>
          <w:kern w:val="2"/>
          <w:sz w:val="21"/>
          <w:szCs w:val="21"/>
          <w:highlight w:val="none"/>
        </w:rPr>
        <w:t xml:space="preserve">4.1  </w:t>
      </w:r>
      <w:bookmarkEnd w:id="415"/>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的密封和标记</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bookmarkStart w:id="416" w:name="_Toc200513155"/>
      <w:bookmarkEnd w:id="416"/>
      <w:r>
        <w:rPr>
          <w:rFonts w:hint="eastAsia" w:ascii="宋体" w:hAnsi="宋体" w:eastAsia="宋体" w:cs="MingLiU"/>
          <w:kern w:val="0"/>
          <w:sz w:val="21"/>
          <w:szCs w:val="21"/>
          <w:highlight w:val="none"/>
          <w:lang w:val="en-US" w:eastAsia="zh-CN" w:bidi="ar"/>
        </w:rPr>
        <w:t xml:space="preserve">4.1.1  </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的正本与副本密封见</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4.1.2  </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的封套上应写明的内容见</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17" w:name="_Toc28009"/>
      <w:bookmarkEnd w:id="417"/>
      <w:bookmarkStart w:id="418" w:name="_Toc4661697"/>
      <w:bookmarkEnd w:id="418"/>
      <w:bookmarkStart w:id="419" w:name="_Toc40455672"/>
      <w:bookmarkEnd w:id="419"/>
      <w:bookmarkStart w:id="420" w:name="_Toc224103346"/>
      <w:bookmarkEnd w:id="420"/>
      <w:bookmarkStart w:id="421" w:name="_Toc277082581"/>
      <w:bookmarkEnd w:id="421"/>
      <w:bookmarkStart w:id="422" w:name="_Toc40455299"/>
      <w:bookmarkEnd w:id="422"/>
      <w:bookmarkStart w:id="423" w:name="_Toc4662169"/>
      <w:bookmarkEnd w:id="423"/>
      <w:bookmarkStart w:id="424" w:name="_Toc4661933"/>
      <w:bookmarkEnd w:id="424"/>
      <w:bookmarkStart w:id="425" w:name="_Toc4661455"/>
      <w:bookmarkEnd w:id="425"/>
      <w:bookmarkStart w:id="426" w:name="_Toc40780281"/>
      <w:bookmarkEnd w:id="426"/>
      <w:bookmarkStart w:id="427" w:name="_Toc287607775"/>
      <w:r>
        <w:rPr>
          <w:rFonts w:hint="eastAsia" w:ascii="宋体" w:hAnsi="宋体" w:eastAsia="宋体" w:cs="Times New Roman"/>
          <w:b/>
          <w:kern w:val="2"/>
          <w:sz w:val="21"/>
          <w:szCs w:val="21"/>
          <w:highlight w:val="none"/>
        </w:rPr>
        <w:t xml:space="preserve">4.2  </w:t>
      </w:r>
      <w:bookmarkEnd w:id="427"/>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的递交</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4.2.1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应在本章第</w:t>
      </w:r>
      <w:r>
        <w:rPr>
          <w:rFonts w:hint="eastAsia" w:ascii="宋体" w:hAnsi="宋体" w:eastAsia="宋体" w:cs="Calibri"/>
          <w:kern w:val="0"/>
          <w:sz w:val="21"/>
          <w:szCs w:val="21"/>
          <w:highlight w:val="none"/>
          <w:lang w:val="en-US" w:eastAsia="zh-CN" w:bidi="ar"/>
        </w:rPr>
        <w:t xml:space="preserve"> 2.2.2 </w:t>
      </w:r>
      <w:r>
        <w:rPr>
          <w:rFonts w:hint="eastAsia" w:ascii="宋体" w:hAnsi="宋体" w:eastAsia="宋体" w:cs="宋体"/>
          <w:kern w:val="0"/>
          <w:sz w:val="21"/>
          <w:szCs w:val="21"/>
          <w:highlight w:val="none"/>
          <w:lang w:val="en-US" w:eastAsia="zh-CN" w:bidi="ar"/>
        </w:rPr>
        <w:t>项规定的</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时间前递交</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递交</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的地点：见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4.2.3  </w:t>
      </w:r>
      <w:r>
        <w:rPr>
          <w:rFonts w:hint="eastAsia" w:ascii="宋体" w:hAnsi="宋体" w:eastAsia="宋体" w:cs="宋体"/>
          <w:kern w:val="0"/>
          <w:sz w:val="21"/>
          <w:szCs w:val="21"/>
          <w:highlight w:val="none"/>
          <w:lang w:val="en-US" w:eastAsia="zh-CN" w:bidi="ar"/>
        </w:rPr>
        <w:t>除</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前附表另有规定外，</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所递交的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不予退还。</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4.2.4  </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收到</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后，向</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出具签收凭证。</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4.2.5  </w:t>
      </w:r>
      <w:r>
        <w:rPr>
          <w:rFonts w:hint="eastAsia" w:ascii="宋体" w:hAnsi="宋体" w:eastAsia="宋体" w:cs="宋体"/>
          <w:kern w:val="0"/>
          <w:sz w:val="21"/>
          <w:szCs w:val="21"/>
          <w:highlight w:val="none"/>
          <w:lang w:val="en-US" w:eastAsia="zh-CN" w:bidi="ar"/>
        </w:rPr>
        <w:t>逾期送达的或者未送达指定地点的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不予受理。</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28" w:name="_Toc40780282"/>
      <w:bookmarkEnd w:id="428"/>
      <w:bookmarkStart w:id="429" w:name="_Toc4661698"/>
      <w:bookmarkEnd w:id="429"/>
      <w:bookmarkStart w:id="430" w:name="_Toc287607776"/>
      <w:bookmarkEnd w:id="430"/>
      <w:bookmarkStart w:id="431" w:name="_Toc224103347"/>
      <w:bookmarkEnd w:id="431"/>
      <w:bookmarkStart w:id="432" w:name="_Toc15210"/>
      <w:bookmarkEnd w:id="432"/>
      <w:bookmarkStart w:id="433" w:name="_Toc4661456"/>
      <w:bookmarkEnd w:id="433"/>
      <w:bookmarkStart w:id="434" w:name="_Toc40455300"/>
      <w:bookmarkEnd w:id="434"/>
      <w:bookmarkStart w:id="435" w:name="_Toc277082582"/>
      <w:bookmarkEnd w:id="435"/>
      <w:bookmarkStart w:id="436" w:name="_Toc4661934"/>
      <w:bookmarkEnd w:id="436"/>
      <w:bookmarkStart w:id="437" w:name="_Toc200513156"/>
      <w:bookmarkEnd w:id="437"/>
      <w:bookmarkStart w:id="438" w:name="_Toc40455673"/>
      <w:bookmarkEnd w:id="438"/>
      <w:bookmarkStart w:id="439" w:name="_Toc4662170"/>
      <w:r>
        <w:rPr>
          <w:rFonts w:hint="eastAsia" w:ascii="宋体" w:hAnsi="宋体" w:eastAsia="宋体" w:cs="Times New Roman"/>
          <w:b/>
          <w:kern w:val="2"/>
          <w:sz w:val="21"/>
          <w:szCs w:val="21"/>
          <w:highlight w:val="none"/>
        </w:rPr>
        <w:t xml:space="preserve">4.3  </w:t>
      </w:r>
      <w:bookmarkEnd w:id="439"/>
      <w:r>
        <w:rPr>
          <w:rFonts w:hint="eastAsia" w:ascii="宋体" w:hAnsi="宋体" w:cs="宋体"/>
          <w:b/>
          <w:kern w:val="2"/>
          <w:sz w:val="21"/>
          <w:szCs w:val="21"/>
          <w:highlight w:val="none"/>
          <w:lang w:eastAsia="zh-CN"/>
        </w:rPr>
        <w:t>比选响应文件</w:t>
      </w:r>
      <w:r>
        <w:rPr>
          <w:rFonts w:hint="eastAsia" w:ascii="宋体" w:hAnsi="宋体" w:eastAsia="宋体" w:cs="宋体"/>
          <w:b/>
          <w:kern w:val="2"/>
          <w:sz w:val="21"/>
          <w:szCs w:val="21"/>
          <w:highlight w:val="none"/>
        </w:rPr>
        <w:t>的修改与撤回</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4.3.1  </w:t>
      </w:r>
      <w:r>
        <w:rPr>
          <w:rFonts w:hint="eastAsia" w:ascii="宋体" w:hAnsi="宋体" w:eastAsia="宋体" w:cs="宋体"/>
          <w:kern w:val="0"/>
          <w:sz w:val="21"/>
          <w:szCs w:val="21"/>
          <w:highlight w:val="none"/>
          <w:lang w:val="en-US" w:eastAsia="zh-CN" w:bidi="ar"/>
        </w:rPr>
        <w:t>在本章第</w:t>
      </w:r>
      <w:r>
        <w:rPr>
          <w:rFonts w:hint="eastAsia" w:ascii="宋体" w:hAnsi="宋体" w:eastAsia="宋体" w:cs="Calibri"/>
          <w:kern w:val="0"/>
          <w:sz w:val="21"/>
          <w:szCs w:val="21"/>
          <w:highlight w:val="none"/>
          <w:lang w:val="en-US" w:eastAsia="zh-CN" w:bidi="ar"/>
        </w:rPr>
        <w:t>2.2.2</w:t>
      </w:r>
      <w:r>
        <w:rPr>
          <w:rFonts w:hint="eastAsia" w:ascii="宋体" w:hAnsi="宋体" w:eastAsia="宋体" w:cs="宋体"/>
          <w:kern w:val="0"/>
          <w:sz w:val="21"/>
          <w:szCs w:val="21"/>
          <w:highlight w:val="none"/>
          <w:lang w:val="en-US" w:eastAsia="zh-CN" w:bidi="ar"/>
        </w:rPr>
        <w:t>项规定的</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时间前，</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可以修改或撤回已递交的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，但应以书面形式通知</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4.3.2  </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修改或撤回已递交</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的书面通知应按照本章第</w:t>
      </w:r>
      <w:r>
        <w:rPr>
          <w:rFonts w:hint="eastAsia" w:ascii="宋体" w:hAnsi="宋体" w:eastAsia="宋体" w:cs="Calibri"/>
          <w:kern w:val="0"/>
          <w:sz w:val="21"/>
          <w:szCs w:val="21"/>
          <w:highlight w:val="none"/>
          <w:lang w:val="en-US" w:eastAsia="zh-CN" w:bidi="ar"/>
        </w:rPr>
        <w:t>3.7.3</w:t>
      </w:r>
      <w:r>
        <w:rPr>
          <w:rFonts w:hint="eastAsia" w:ascii="宋体" w:hAnsi="宋体" w:eastAsia="宋体" w:cs="宋体"/>
          <w:kern w:val="0"/>
          <w:sz w:val="21"/>
          <w:szCs w:val="21"/>
          <w:highlight w:val="none"/>
          <w:lang w:val="en-US" w:eastAsia="zh-CN" w:bidi="ar"/>
        </w:rPr>
        <w:t>项的要求签字或盖章。</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收到书面通知后，向</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出具签收凭证。</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4.3.3  </w:t>
      </w:r>
      <w:r>
        <w:rPr>
          <w:rFonts w:hint="eastAsia" w:ascii="宋体" w:hAnsi="宋体" w:eastAsia="宋体" w:cs="宋体"/>
          <w:kern w:val="0"/>
          <w:sz w:val="21"/>
          <w:szCs w:val="21"/>
          <w:highlight w:val="none"/>
          <w:lang w:val="en-US" w:eastAsia="zh-CN" w:bidi="ar"/>
        </w:rPr>
        <w:t>修改的内容为</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的组成部分。修改的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应按照本章第</w:t>
      </w:r>
      <w:r>
        <w:rPr>
          <w:rFonts w:hint="eastAsia" w:ascii="宋体" w:hAnsi="宋体" w:eastAsia="宋体" w:cs="Calibri"/>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条、第</w:t>
      </w:r>
      <w:r>
        <w:rPr>
          <w:rFonts w:hint="eastAsia" w:ascii="宋体" w:hAnsi="宋体" w:eastAsia="宋体" w:cs="Calibri"/>
          <w:kern w:val="0"/>
          <w:sz w:val="21"/>
          <w:szCs w:val="21"/>
          <w:highlight w:val="none"/>
          <w:lang w:val="en-US" w:eastAsia="zh-CN" w:bidi="ar"/>
        </w:rPr>
        <w:t>4</w:t>
      </w:r>
      <w:r>
        <w:rPr>
          <w:rFonts w:hint="eastAsia" w:ascii="宋体" w:hAnsi="宋体" w:eastAsia="宋体" w:cs="宋体"/>
          <w:kern w:val="0"/>
          <w:sz w:val="21"/>
          <w:szCs w:val="21"/>
          <w:highlight w:val="none"/>
          <w:lang w:val="en-US" w:eastAsia="zh-CN" w:bidi="ar"/>
        </w:rPr>
        <w:t>条规定进行编制、密封、标记和递交，并标明</w:t>
      </w:r>
      <w:r>
        <w:rPr>
          <w:rFonts w:hint="eastAsia" w:ascii="宋体" w:hAnsi="宋体" w:eastAsia="宋体" w:cs="MingLiU"/>
          <w:kern w:val="0"/>
          <w:sz w:val="21"/>
          <w:szCs w:val="21"/>
          <w:highlight w:val="none"/>
          <w:lang w:val="en-US" w:eastAsia="zh-CN" w:bidi="ar"/>
        </w:rPr>
        <w:t>“修改”字样。</w:t>
      </w:r>
    </w:p>
    <w:p>
      <w:pPr>
        <w:pStyle w:val="6"/>
        <w:widowControl/>
        <w:spacing w:before="0" w:beforeAutospacing="0" w:after="0" w:afterAutospacing="0" w:line="300" w:lineRule="exact"/>
        <w:rPr>
          <w:rFonts w:hint="eastAsia" w:ascii="宋体" w:hAnsi="宋体" w:eastAsia="黑体" w:cs="Times New Roman"/>
          <w:b/>
          <w:kern w:val="0"/>
          <w:sz w:val="21"/>
          <w:szCs w:val="21"/>
          <w:highlight w:val="none"/>
        </w:rPr>
      </w:pPr>
      <w:bookmarkStart w:id="440" w:name="_Toc26569"/>
      <w:bookmarkEnd w:id="440"/>
      <w:bookmarkStart w:id="441" w:name="_Toc3631"/>
      <w:bookmarkEnd w:id="441"/>
      <w:bookmarkStart w:id="442" w:name="_Toc4661457"/>
      <w:bookmarkEnd w:id="442"/>
      <w:bookmarkStart w:id="443" w:name="_Toc200513157"/>
      <w:bookmarkEnd w:id="443"/>
      <w:bookmarkStart w:id="444" w:name="_Toc4661935"/>
      <w:bookmarkEnd w:id="444"/>
      <w:bookmarkStart w:id="445" w:name="_Toc4661699"/>
      <w:bookmarkEnd w:id="445"/>
      <w:bookmarkStart w:id="446" w:name="_Toc277082583"/>
      <w:bookmarkEnd w:id="446"/>
      <w:bookmarkStart w:id="447" w:name="_Toc2667"/>
      <w:bookmarkEnd w:id="447"/>
      <w:bookmarkStart w:id="448" w:name="_Toc224103348"/>
      <w:bookmarkEnd w:id="448"/>
      <w:bookmarkStart w:id="449" w:name="_Toc40455301"/>
      <w:bookmarkEnd w:id="449"/>
      <w:bookmarkStart w:id="450" w:name="_Toc4662171"/>
      <w:bookmarkEnd w:id="450"/>
      <w:bookmarkStart w:id="451" w:name="_Toc40455674"/>
      <w:bookmarkEnd w:id="451"/>
      <w:bookmarkStart w:id="452" w:name="_Toc287607777"/>
      <w:bookmarkEnd w:id="452"/>
      <w:bookmarkStart w:id="453" w:name="_Toc27819"/>
      <w:bookmarkEnd w:id="453"/>
      <w:bookmarkStart w:id="454" w:name="_Toc13110"/>
      <w:bookmarkEnd w:id="454"/>
      <w:bookmarkStart w:id="455" w:name="_Toc665"/>
      <w:bookmarkStart w:id="456" w:name="_Toc1034437832"/>
      <w:r>
        <w:rPr>
          <w:rFonts w:hint="eastAsia" w:ascii="宋体" w:hAnsi="宋体" w:eastAsia="黑体" w:cs="Times New Roman"/>
          <w:b/>
          <w:kern w:val="0"/>
          <w:sz w:val="21"/>
          <w:szCs w:val="21"/>
          <w:highlight w:val="none"/>
        </w:rPr>
        <w:t xml:space="preserve">5.  </w:t>
      </w:r>
      <w:bookmarkEnd w:id="455"/>
      <w:r>
        <w:rPr>
          <w:rFonts w:hint="eastAsia" w:ascii="黑体" w:hAnsi="宋体" w:eastAsia="黑体" w:cs="黑体"/>
          <w:b/>
          <w:kern w:val="0"/>
          <w:sz w:val="21"/>
          <w:szCs w:val="21"/>
          <w:highlight w:val="none"/>
        </w:rPr>
        <w:t>开标</w:t>
      </w:r>
      <w:bookmarkEnd w:id="456"/>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57" w:name="_Toc22642"/>
      <w:bookmarkEnd w:id="457"/>
      <w:bookmarkStart w:id="458" w:name="_Toc40780284"/>
      <w:bookmarkEnd w:id="458"/>
      <w:bookmarkStart w:id="459" w:name="_Toc287607778"/>
      <w:bookmarkEnd w:id="459"/>
      <w:bookmarkStart w:id="460" w:name="_Toc40455302"/>
      <w:bookmarkEnd w:id="460"/>
      <w:bookmarkStart w:id="461" w:name="_Toc200513158"/>
      <w:bookmarkEnd w:id="461"/>
      <w:bookmarkStart w:id="462" w:name="_Toc277082584"/>
      <w:bookmarkEnd w:id="462"/>
      <w:bookmarkStart w:id="463" w:name="_Toc224103349"/>
      <w:bookmarkEnd w:id="463"/>
      <w:bookmarkStart w:id="464" w:name="_Toc4662172"/>
      <w:bookmarkEnd w:id="464"/>
      <w:bookmarkStart w:id="465" w:name="_Toc4661700"/>
      <w:bookmarkEnd w:id="465"/>
      <w:bookmarkStart w:id="466" w:name="_Toc4661458"/>
      <w:bookmarkEnd w:id="466"/>
      <w:bookmarkStart w:id="467" w:name="_Toc40455675"/>
      <w:bookmarkEnd w:id="467"/>
      <w:bookmarkStart w:id="468" w:name="_Toc4661936"/>
      <w:r>
        <w:rPr>
          <w:rFonts w:hint="eastAsia" w:ascii="宋体" w:hAnsi="宋体" w:eastAsia="宋体" w:cs="Times New Roman"/>
          <w:b/>
          <w:kern w:val="2"/>
          <w:sz w:val="21"/>
          <w:szCs w:val="21"/>
          <w:highlight w:val="none"/>
        </w:rPr>
        <w:t>5.1  开标时间和地点</w:t>
      </w:r>
      <w:bookmarkEnd w:id="468"/>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在本章第</w:t>
      </w:r>
      <w:r>
        <w:rPr>
          <w:rFonts w:hint="eastAsia" w:ascii="宋体" w:hAnsi="宋体" w:eastAsia="宋体" w:cs="Calibri"/>
          <w:kern w:val="0"/>
          <w:sz w:val="21"/>
          <w:szCs w:val="21"/>
          <w:highlight w:val="none"/>
          <w:lang w:val="en-US" w:eastAsia="zh-CN" w:bidi="ar"/>
        </w:rPr>
        <w:t xml:space="preserve"> 2.2</w:t>
      </w:r>
      <w:r>
        <w:rPr>
          <w:rFonts w:hint="eastAsia" w:ascii="宋体" w:hAnsi="宋体" w:eastAsia="宋体" w:cs="宋体"/>
          <w:kern w:val="0"/>
          <w:sz w:val="21"/>
          <w:szCs w:val="21"/>
          <w:highlight w:val="none"/>
          <w:lang w:val="en-US" w:eastAsia="zh-CN" w:bidi="ar"/>
        </w:rPr>
        <w:t>项规定的</w:t>
      </w:r>
      <w:r>
        <w:rPr>
          <w:rFonts w:hint="default" w:ascii="宋体" w:hAnsi="宋体" w:cs="宋体"/>
          <w:kern w:val="0"/>
          <w:sz w:val="21"/>
          <w:szCs w:val="21"/>
          <w:highlight w:val="none"/>
          <w:lang w:eastAsia="zh-CN" w:bidi="ar"/>
        </w:rPr>
        <w:t>报价截止</w:t>
      </w:r>
      <w:r>
        <w:rPr>
          <w:rFonts w:hint="eastAsia" w:ascii="宋体" w:hAnsi="宋体" w:eastAsia="宋体" w:cs="宋体"/>
          <w:kern w:val="0"/>
          <w:sz w:val="21"/>
          <w:szCs w:val="21"/>
          <w:highlight w:val="none"/>
          <w:lang w:val="en-US" w:eastAsia="zh-CN" w:bidi="ar"/>
        </w:rPr>
        <w:t>时间（开标时间）和</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w:t>
      </w:r>
      <w:r>
        <w:rPr>
          <w:rFonts w:hint="eastAsia" w:ascii="宋体" w:hAnsi="宋体" w:cs="宋体"/>
          <w:kern w:val="0"/>
          <w:sz w:val="21"/>
          <w:szCs w:val="21"/>
          <w:highlight w:val="none"/>
          <w:lang w:val="en-US" w:eastAsia="zh-CN" w:bidi="ar"/>
        </w:rPr>
        <w:t>情况进行开标</w:t>
      </w:r>
      <w:r>
        <w:rPr>
          <w:rFonts w:hint="eastAsia" w:ascii="宋体" w:hAnsi="宋体" w:eastAsia="宋体" w:cs="宋体"/>
          <w:kern w:val="0"/>
          <w:sz w:val="21"/>
          <w:szCs w:val="21"/>
          <w:highlight w:val="none"/>
          <w:lang w:val="en-US" w:eastAsia="zh-CN" w:bidi="ar"/>
        </w:rPr>
        <w:t>。</w:t>
      </w:r>
    </w:p>
    <w:p>
      <w:pPr>
        <w:pStyle w:val="6"/>
        <w:widowControl/>
        <w:spacing w:before="0" w:beforeAutospacing="0" w:after="0" w:afterAutospacing="0" w:line="300" w:lineRule="exact"/>
        <w:rPr>
          <w:rFonts w:hint="eastAsia" w:ascii="宋体" w:hAnsi="宋体" w:eastAsia="黑体" w:cs="Times New Roman"/>
          <w:b/>
          <w:kern w:val="0"/>
          <w:sz w:val="21"/>
          <w:szCs w:val="21"/>
          <w:highlight w:val="none"/>
        </w:rPr>
      </w:pPr>
      <w:bookmarkStart w:id="469" w:name="_Toc40455304"/>
      <w:bookmarkEnd w:id="469"/>
      <w:bookmarkStart w:id="470" w:name="_Toc4904"/>
      <w:bookmarkEnd w:id="470"/>
      <w:bookmarkStart w:id="471" w:name="_Toc40455677"/>
      <w:bookmarkEnd w:id="471"/>
      <w:bookmarkStart w:id="472" w:name="_Toc4661702"/>
      <w:bookmarkEnd w:id="472"/>
      <w:bookmarkStart w:id="473" w:name="_Toc4661460"/>
      <w:bookmarkEnd w:id="473"/>
      <w:bookmarkStart w:id="474" w:name="_Toc5895"/>
      <w:bookmarkEnd w:id="474"/>
      <w:bookmarkStart w:id="475" w:name="_Toc29816"/>
      <w:bookmarkEnd w:id="475"/>
      <w:bookmarkStart w:id="476" w:name="_Toc4661938"/>
      <w:bookmarkEnd w:id="476"/>
      <w:bookmarkStart w:id="477" w:name="_Toc6592"/>
      <w:bookmarkEnd w:id="477"/>
      <w:bookmarkStart w:id="478" w:name="_Toc26714"/>
      <w:bookmarkEnd w:id="478"/>
      <w:bookmarkStart w:id="479" w:name="_Toc4662174"/>
      <w:bookmarkEnd w:id="479"/>
      <w:bookmarkStart w:id="480" w:name="_Toc5685"/>
      <w:bookmarkStart w:id="481" w:name="_Toc1701692102"/>
      <w:r>
        <w:rPr>
          <w:rFonts w:hint="eastAsia" w:ascii="宋体" w:hAnsi="宋体" w:eastAsia="黑体" w:cs="Times New Roman"/>
          <w:b/>
          <w:kern w:val="0"/>
          <w:sz w:val="21"/>
          <w:szCs w:val="21"/>
          <w:highlight w:val="none"/>
        </w:rPr>
        <w:t xml:space="preserve">6.  </w:t>
      </w:r>
      <w:bookmarkEnd w:id="480"/>
      <w:r>
        <w:rPr>
          <w:rFonts w:hint="eastAsia" w:ascii="黑体" w:hAnsi="宋体" w:eastAsia="黑体" w:cs="黑体"/>
          <w:b/>
          <w:kern w:val="0"/>
          <w:sz w:val="21"/>
          <w:szCs w:val="21"/>
          <w:highlight w:val="none"/>
        </w:rPr>
        <w:t>评标</w:t>
      </w:r>
      <w:bookmarkEnd w:id="481"/>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82" w:name="_Toc40455305"/>
      <w:bookmarkEnd w:id="482"/>
      <w:bookmarkStart w:id="483" w:name="_Toc40780287"/>
      <w:bookmarkEnd w:id="483"/>
      <w:bookmarkStart w:id="484" w:name="_Toc200513161"/>
      <w:bookmarkEnd w:id="484"/>
      <w:bookmarkStart w:id="485" w:name="_Toc9614"/>
      <w:bookmarkEnd w:id="485"/>
      <w:bookmarkStart w:id="486" w:name="_Toc287607781"/>
      <w:bookmarkEnd w:id="486"/>
      <w:bookmarkStart w:id="487" w:name="_Toc40455678"/>
      <w:bookmarkEnd w:id="487"/>
      <w:bookmarkStart w:id="488" w:name="_Toc4661703"/>
      <w:bookmarkEnd w:id="488"/>
      <w:bookmarkStart w:id="489" w:name="_Toc4661461"/>
      <w:bookmarkEnd w:id="489"/>
      <w:bookmarkStart w:id="490" w:name="_Toc277082587"/>
      <w:bookmarkEnd w:id="490"/>
      <w:bookmarkStart w:id="491" w:name="_Toc224103352"/>
      <w:bookmarkEnd w:id="491"/>
      <w:bookmarkStart w:id="492" w:name="_Toc4662175"/>
      <w:bookmarkEnd w:id="492"/>
      <w:bookmarkStart w:id="493" w:name="_Toc4661939"/>
      <w:r>
        <w:rPr>
          <w:rFonts w:hint="eastAsia" w:ascii="宋体" w:hAnsi="宋体" w:eastAsia="宋体" w:cs="Times New Roman"/>
          <w:b/>
          <w:kern w:val="2"/>
          <w:sz w:val="21"/>
          <w:szCs w:val="21"/>
          <w:highlight w:val="none"/>
        </w:rPr>
        <w:t xml:space="preserve">6.1  </w:t>
      </w:r>
      <w:bookmarkEnd w:id="493"/>
      <w:r>
        <w:rPr>
          <w:rFonts w:hint="eastAsia" w:ascii="宋体" w:hAnsi="宋体" w:eastAsia="宋体" w:cs="宋体"/>
          <w:b/>
          <w:kern w:val="2"/>
          <w:sz w:val="21"/>
          <w:szCs w:val="21"/>
          <w:highlight w:val="none"/>
        </w:rPr>
        <w:t>评标委员会</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6.1.1  </w:t>
      </w:r>
      <w:r>
        <w:rPr>
          <w:rFonts w:hint="eastAsia" w:ascii="宋体" w:hAnsi="宋体" w:eastAsia="宋体" w:cs="宋体"/>
          <w:kern w:val="0"/>
          <w:sz w:val="21"/>
          <w:szCs w:val="21"/>
          <w:highlight w:val="none"/>
          <w:lang w:val="en-US" w:eastAsia="zh-CN" w:bidi="ar"/>
        </w:rPr>
        <w:t>评标由</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依法组建的评标委员会负责。评标委员会由</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或其委托的</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代理机构熟悉相关业务的代表，以及有关技术、经济等方面的专家组成。</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firstLineChars="20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6.1.2  </w:t>
      </w:r>
      <w:r>
        <w:rPr>
          <w:rFonts w:hint="eastAsia" w:ascii="宋体" w:hAnsi="宋体" w:eastAsia="宋体" w:cs="宋体"/>
          <w:kern w:val="0"/>
          <w:sz w:val="21"/>
          <w:szCs w:val="21"/>
          <w:highlight w:val="none"/>
          <w:lang w:val="en-US" w:eastAsia="zh-CN" w:bidi="ar"/>
        </w:rPr>
        <w:t>评标委员会成员有下列情形之一的，应当回避：</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cs="MingLiU"/>
          <w:kern w:val="0"/>
          <w:sz w:val="21"/>
          <w:szCs w:val="21"/>
          <w:highlight w:val="none"/>
          <w:lang w:val="en-US" w:eastAsia="zh-CN" w:bidi="ar"/>
        </w:rPr>
        <w:t>1</w:t>
      </w:r>
      <w:r>
        <w:rPr>
          <w:rFonts w:hint="eastAsia" w:ascii="宋体" w:hAnsi="宋体" w:eastAsia="宋体" w:cs="MingLiU"/>
          <w:kern w:val="0"/>
          <w:sz w:val="21"/>
          <w:szCs w:val="21"/>
          <w:highlight w:val="none"/>
          <w:lang w:val="en-US" w:eastAsia="zh-CN" w:bidi="ar"/>
        </w:rPr>
        <w:t>）</w:t>
      </w:r>
      <w:r>
        <w:rPr>
          <w:rFonts w:hint="eastAsia" w:ascii="宋体" w:hAnsi="宋体" w:cs="MingLiU"/>
          <w:kern w:val="0"/>
          <w:sz w:val="21"/>
          <w:szCs w:val="21"/>
          <w:highlight w:val="none"/>
          <w:lang w:val="en-US" w:eastAsia="zh-CN" w:bidi="ar"/>
        </w:rPr>
        <w:t>采购人</w:t>
      </w:r>
      <w:r>
        <w:rPr>
          <w:rFonts w:hint="eastAsia" w:ascii="宋体" w:hAnsi="宋体" w:eastAsia="宋体" w:cs="MingLiU"/>
          <w:kern w:val="0"/>
          <w:sz w:val="21"/>
          <w:szCs w:val="21"/>
          <w:highlight w:val="none"/>
          <w:lang w:val="en-US" w:eastAsia="zh-CN" w:bidi="ar"/>
        </w:rPr>
        <w:t>或</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代理机构主要负责人的近亲属，或与</w:t>
      </w:r>
      <w:r>
        <w:rPr>
          <w:rFonts w:hint="eastAsia" w:ascii="宋体" w:hAnsi="宋体" w:cs="MingLiU"/>
          <w:kern w:val="0"/>
          <w:sz w:val="21"/>
          <w:szCs w:val="21"/>
          <w:highlight w:val="none"/>
          <w:lang w:val="en-US" w:eastAsia="zh-CN" w:bidi="ar"/>
        </w:rPr>
        <w:t>报价人</w:t>
      </w:r>
      <w:r>
        <w:rPr>
          <w:rFonts w:hint="eastAsia" w:ascii="宋体" w:hAnsi="宋体" w:eastAsia="宋体" w:cs="MingLiU"/>
          <w:kern w:val="0"/>
          <w:sz w:val="21"/>
          <w:szCs w:val="21"/>
          <w:highlight w:val="none"/>
          <w:lang w:val="en-US" w:eastAsia="zh-CN" w:bidi="ar"/>
        </w:rPr>
        <w:t>法定代表人或其委托代理人有近亲属关系；</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cs="MingLiU"/>
          <w:kern w:val="0"/>
          <w:sz w:val="21"/>
          <w:szCs w:val="21"/>
          <w:highlight w:val="none"/>
          <w:lang w:val="en-US" w:eastAsia="zh-CN" w:bidi="ar"/>
        </w:rPr>
        <w:t>2</w:t>
      </w:r>
      <w:r>
        <w:rPr>
          <w:rFonts w:hint="eastAsia" w:ascii="宋体" w:hAnsi="宋体" w:eastAsia="宋体" w:cs="宋体"/>
          <w:kern w:val="0"/>
          <w:sz w:val="21"/>
          <w:szCs w:val="21"/>
          <w:highlight w:val="none"/>
          <w:lang w:val="en-US" w:eastAsia="zh-CN" w:bidi="ar"/>
        </w:rPr>
        <w:t>）为</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的工作人员或退休人员；</w:t>
      </w:r>
    </w:p>
    <w:p>
      <w:pPr>
        <w:keepNext w:val="0"/>
        <w:keepLines w:val="0"/>
        <w:widowControl w:val="0"/>
        <w:suppressLineNumbers w:val="0"/>
        <w:autoSpaceDE w:val="0"/>
        <w:autoSpaceDN w:val="0"/>
        <w:adjustRightInd w:val="0"/>
        <w:spacing w:before="0" w:beforeAutospacing="0" w:after="0" w:afterAutospacing="0" w:line="300" w:lineRule="exact"/>
        <w:ind w:left="359" w:leftChars="171" w:right="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cs="MingLiU"/>
          <w:kern w:val="0"/>
          <w:sz w:val="21"/>
          <w:szCs w:val="21"/>
          <w:highlight w:val="none"/>
          <w:lang w:val="en-US" w:eastAsia="zh-CN" w:bidi="ar"/>
        </w:rPr>
        <w:t>3</w:t>
      </w:r>
      <w:r>
        <w:rPr>
          <w:rFonts w:hint="eastAsia" w:ascii="宋体" w:hAnsi="宋体" w:eastAsia="宋体" w:cs="宋体"/>
          <w:kern w:val="0"/>
          <w:sz w:val="21"/>
          <w:szCs w:val="21"/>
          <w:highlight w:val="none"/>
          <w:lang w:val="en-US" w:eastAsia="zh-CN" w:bidi="ar"/>
        </w:rPr>
        <w:t>）与</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有其他利害关系，可能影响评标活动公正性；</w:t>
      </w:r>
    </w:p>
    <w:p>
      <w:pPr>
        <w:keepNext w:val="0"/>
        <w:keepLines w:val="0"/>
        <w:widowControl w:val="0"/>
        <w:suppressLineNumbers w:val="0"/>
        <w:autoSpaceDE w:val="0"/>
        <w:autoSpaceDN w:val="0"/>
        <w:adjustRightInd w:val="0"/>
        <w:spacing w:before="0" w:beforeAutospacing="0" w:after="0" w:afterAutospacing="0" w:line="300" w:lineRule="exact"/>
        <w:ind w:left="0" w:right="0" w:firstLine="361" w:firstLineChars="172"/>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w:t>
      </w:r>
      <w:r>
        <w:rPr>
          <w:rFonts w:hint="eastAsia" w:ascii="宋体" w:hAnsi="宋体" w:cs="MingLiU"/>
          <w:kern w:val="0"/>
          <w:sz w:val="21"/>
          <w:szCs w:val="21"/>
          <w:highlight w:val="none"/>
          <w:lang w:val="en-US" w:eastAsia="zh-CN" w:bidi="ar"/>
        </w:rPr>
        <w:t>4</w:t>
      </w:r>
      <w:r>
        <w:rPr>
          <w:rFonts w:hint="eastAsia" w:ascii="宋体" w:hAnsi="宋体" w:eastAsia="宋体" w:cs="MingLiU"/>
          <w:kern w:val="0"/>
          <w:sz w:val="21"/>
          <w:szCs w:val="21"/>
          <w:highlight w:val="none"/>
          <w:lang w:val="en-US" w:eastAsia="zh-CN" w:bidi="ar"/>
        </w:rPr>
        <w:t>）在与</w:t>
      </w:r>
      <w:r>
        <w:rPr>
          <w:rFonts w:hint="eastAsia" w:ascii="宋体" w:hAnsi="宋体" w:cs="MingLiU"/>
          <w:kern w:val="0"/>
          <w:sz w:val="21"/>
          <w:szCs w:val="21"/>
          <w:highlight w:val="none"/>
          <w:lang w:val="en-US" w:eastAsia="zh-CN" w:bidi="ar"/>
        </w:rPr>
        <w:t>竞争性比选</w:t>
      </w:r>
      <w:r>
        <w:rPr>
          <w:rFonts w:hint="eastAsia" w:ascii="宋体" w:hAnsi="宋体" w:eastAsia="宋体" w:cs="MingLiU"/>
          <w:kern w:val="0"/>
          <w:sz w:val="21"/>
          <w:szCs w:val="21"/>
          <w:highlight w:val="none"/>
          <w:lang w:val="en-US" w:eastAsia="zh-CN" w:bidi="ar"/>
        </w:rPr>
        <w:t>投标有关的活动中有过违法违规行为、曾受过行政处罚或刑事处罚；</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494" w:name="_Toc277082588"/>
      <w:bookmarkEnd w:id="494"/>
      <w:bookmarkStart w:id="495" w:name="_Toc224103353"/>
      <w:bookmarkEnd w:id="495"/>
      <w:bookmarkStart w:id="496" w:name="_Toc4661940"/>
      <w:bookmarkEnd w:id="496"/>
      <w:bookmarkStart w:id="497" w:name="_Toc200513162"/>
      <w:bookmarkEnd w:id="497"/>
      <w:bookmarkStart w:id="498" w:name="_Toc40455679"/>
      <w:bookmarkEnd w:id="498"/>
      <w:bookmarkStart w:id="499" w:name="_Toc40780288"/>
      <w:bookmarkEnd w:id="499"/>
      <w:bookmarkStart w:id="500" w:name="_Toc4661704"/>
      <w:bookmarkEnd w:id="500"/>
      <w:bookmarkStart w:id="501" w:name="_Toc4661462"/>
      <w:bookmarkEnd w:id="501"/>
      <w:bookmarkStart w:id="502" w:name="_Toc4662176"/>
      <w:bookmarkEnd w:id="502"/>
      <w:bookmarkStart w:id="503" w:name="_Toc287607782"/>
      <w:bookmarkEnd w:id="503"/>
      <w:bookmarkStart w:id="504" w:name="_Toc40455306"/>
      <w:bookmarkEnd w:id="504"/>
      <w:bookmarkStart w:id="505" w:name="_Toc3788"/>
      <w:r>
        <w:rPr>
          <w:rFonts w:hint="eastAsia" w:ascii="宋体" w:hAnsi="宋体" w:eastAsia="宋体" w:cs="Times New Roman"/>
          <w:b/>
          <w:kern w:val="2"/>
          <w:sz w:val="21"/>
          <w:szCs w:val="21"/>
          <w:highlight w:val="none"/>
        </w:rPr>
        <w:t xml:space="preserve">6.2  </w:t>
      </w:r>
      <w:bookmarkEnd w:id="505"/>
      <w:r>
        <w:rPr>
          <w:rFonts w:hint="eastAsia" w:ascii="宋体" w:hAnsi="宋体" w:eastAsia="宋体" w:cs="宋体"/>
          <w:b/>
          <w:kern w:val="2"/>
          <w:sz w:val="21"/>
          <w:szCs w:val="21"/>
          <w:highlight w:val="none"/>
        </w:rPr>
        <w:t>评标原则</w:t>
      </w:r>
    </w:p>
    <w:p>
      <w:pPr>
        <w:keepNext w:val="0"/>
        <w:keepLines w:val="0"/>
        <w:widowControl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评标活动遵循公平、公正、科学和择优的原则。</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06" w:name="_Toc4661463"/>
      <w:bookmarkEnd w:id="506"/>
      <w:bookmarkStart w:id="507" w:name="_Toc287607783"/>
      <w:bookmarkEnd w:id="507"/>
      <w:bookmarkStart w:id="508" w:name="_Toc40780289"/>
      <w:bookmarkEnd w:id="508"/>
      <w:bookmarkStart w:id="509" w:name="_Toc40455307"/>
      <w:bookmarkEnd w:id="509"/>
      <w:bookmarkStart w:id="510" w:name="_Toc26101"/>
      <w:bookmarkEnd w:id="510"/>
      <w:bookmarkStart w:id="511" w:name="_Toc277082589"/>
      <w:bookmarkEnd w:id="511"/>
      <w:bookmarkStart w:id="512" w:name="_Toc224103354"/>
      <w:bookmarkEnd w:id="512"/>
      <w:bookmarkStart w:id="513" w:name="_Toc200513163"/>
      <w:bookmarkEnd w:id="513"/>
      <w:bookmarkStart w:id="514" w:name="_Toc40455680"/>
      <w:bookmarkEnd w:id="514"/>
      <w:bookmarkStart w:id="515" w:name="_Toc4661705"/>
      <w:bookmarkEnd w:id="515"/>
      <w:bookmarkStart w:id="516" w:name="_Toc4661941"/>
      <w:bookmarkEnd w:id="516"/>
      <w:bookmarkStart w:id="517" w:name="_Toc4662177"/>
      <w:r>
        <w:rPr>
          <w:rFonts w:hint="eastAsia" w:ascii="宋体" w:hAnsi="宋体" w:eastAsia="宋体" w:cs="Times New Roman"/>
          <w:b/>
          <w:kern w:val="2"/>
          <w:sz w:val="21"/>
          <w:szCs w:val="21"/>
          <w:highlight w:val="none"/>
        </w:rPr>
        <w:t xml:space="preserve">6.3  </w:t>
      </w:r>
      <w:bookmarkEnd w:id="517"/>
      <w:r>
        <w:rPr>
          <w:rFonts w:hint="eastAsia" w:ascii="宋体" w:hAnsi="宋体" w:eastAsia="宋体" w:cs="宋体"/>
          <w:b/>
          <w:kern w:val="2"/>
          <w:sz w:val="21"/>
          <w:szCs w:val="21"/>
          <w:highlight w:val="none"/>
        </w:rPr>
        <w:t>评标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6.3.1评标委员会按照第三章“评标办法”规定的方法、评审因素、标准和程序对</w:t>
      </w:r>
      <w:r>
        <w:rPr>
          <w:rFonts w:hint="eastAsia" w:ascii="宋体" w:hAnsi="宋体" w:cs="MingLiU"/>
          <w:kern w:val="0"/>
          <w:sz w:val="21"/>
          <w:szCs w:val="21"/>
          <w:highlight w:val="none"/>
          <w:lang w:val="en-US" w:eastAsia="zh-CN" w:bidi="ar"/>
        </w:rPr>
        <w:t>比选响应文件</w:t>
      </w:r>
      <w:r>
        <w:rPr>
          <w:rFonts w:hint="eastAsia" w:ascii="宋体" w:hAnsi="宋体" w:eastAsia="宋体" w:cs="MingLiU"/>
          <w:kern w:val="0"/>
          <w:sz w:val="21"/>
          <w:szCs w:val="21"/>
          <w:highlight w:val="none"/>
          <w:lang w:val="en-US" w:eastAsia="zh-CN" w:bidi="ar"/>
        </w:rPr>
        <w:t>进行评审。第三章“评标办法”没有规定的方法、评审因素和标准，不得作为评标依据。</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MingLiU"/>
          <w:kern w:val="0"/>
          <w:sz w:val="21"/>
          <w:szCs w:val="21"/>
          <w:highlight w:val="none"/>
          <w:lang w:val="en-US" w:eastAsia="zh-CN" w:bidi="ar"/>
        </w:rPr>
        <w:t>6.3.2评标完成后，评标委员会应向</w:t>
      </w:r>
      <w:r>
        <w:rPr>
          <w:rFonts w:hint="eastAsia" w:ascii="宋体" w:hAnsi="宋体" w:cs="MingLiU"/>
          <w:kern w:val="0"/>
          <w:sz w:val="21"/>
          <w:szCs w:val="21"/>
          <w:highlight w:val="none"/>
          <w:lang w:val="en-US" w:eastAsia="zh-CN" w:bidi="ar"/>
        </w:rPr>
        <w:t>采购人</w:t>
      </w:r>
      <w:r>
        <w:rPr>
          <w:rFonts w:hint="eastAsia" w:ascii="宋体" w:hAnsi="宋体" w:eastAsia="宋体" w:cs="MingLiU"/>
          <w:kern w:val="0"/>
          <w:sz w:val="21"/>
          <w:szCs w:val="21"/>
          <w:highlight w:val="none"/>
          <w:lang w:val="en-US" w:eastAsia="zh-CN" w:bidi="ar"/>
        </w:rPr>
        <w:t>提交书面评标报告和中标候选人名单。评标委员会推荐中标候选人的人数见</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w:t>
      </w:r>
    </w:p>
    <w:p>
      <w:pPr>
        <w:pStyle w:val="6"/>
        <w:widowControl/>
        <w:spacing w:before="0" w:beforeAutospacing="0" w:after="0" w:afterAutospacing="0" w:line="300" w:lineRule="exact"/>
        <w:rPr>
          <w:rFonts w:hint="eastAsia" w:ascii="宋体" w:hAnsi="宋体" w:eastAsia="黑体" w:cs="Times New Roman"/>
          <w:b/>
          <w:kern w:val="0"/>
          <w:sz w:val="21"/>
          <w:szCs w:val="21"/>
          <w:highlight w:val="none"/>
        </w:rPr>
      </w:pPr>
      <w:bookmarkStart w:id="518" w:name="_Toc4661464"/>
      <w:bookmarkEnd w:id="518"/>
      <w:bookmarkStart w:id="519" w:name="_Toc2883"/>
      <w:bookmarkEnd w:id="519"/>
      <w:bookmarkStart w:id="520" w:name="_Toc40455308"/>
      <w:bookmarkEnd w:id="520"/>
      <w:bookmarkStart w:id="521" w:name="_Toc287607784"/>
      <w:bookmarkEnd w:id="521"/>
      <w:bookmarkStart w:id="522" w:name="_Toc20858"/>
      <w:bookmarkEnd w:id="522"/>
      <w:bookmarkStart w:id="523" w:name="_Toc4661706"/>
      <w:bookmarkEnd w:id="523"/>
      <w:bookmarkStart w:id="524" w:name="_Toc13060"/>
      <w:bookmarkEnd w:id="524"/>
      <w:bookmarkStart w:id="525" w:name="_Toc4662178"/>
      <w:bookmarkEnd w:id="525"/>
      <w:bookmarkStart w:id="526" w:name="_Toc4661942"/>
      <w:bookmarkEnd w:id="526"/>
      <w:bookmarkStart w:id="527" w:name="_Toc28253"/>
      <w:bookmarkEnd w:id="527"/>
      <w:bookmarkStart w:id="528" w:name="_Toc224103355"/>
      <w:bookmarkEnd w:id="528"/>
      <w:bookmarkStart w:id="529" w:name="_Toc40455681"/>
      <w:bookmarkEnd w:id="529"/>
      <w:bookmarkStart w:id="530" w:name="_Toc6853"/>
      <w:bookmarkEnd w:id="530"/>
      <w:bookmarkStart w:id="531" w:name="_Toc277082590"/>
      <w:bookmarkEnd w:id="531"/>
      <w:bookmarkStart w:id="532" w:name="_Toc200513164"/>
      <w:bookmarkEnd w:id="532"/>
      <w:bookmarkStart w:id="533" w:name="_Toc28602"/>
      <w:bookmarkStart w:id="534" w:name="_Toc678157388"/>
      <w:r>
        <w:rPr>
          <w:rFonts w:hint="eastAsia" w:ascii="宋体" w:hAnsi="宋体" w:eastAsia="黑体" w:cs="Times New Roman"/>
          <w:b/>
          <w:kern w:val="0"/>
          <w:sz w:val="21"/>
          <w:szCs w:val="21"/>
          <w:highlight w:val="none"/>
        </w:rPr>
        <w:t xml:space="preserve">7.  </w:t>
      </w:r>
      <w:bookmarkEnd w:id="533"/>
      <w:r>
        <w:rPr>
          <w:rFonts w:hint="eastAsia" w:ascii="宋体" w:hAnsi="宋体" w:eastAsia="宋体" w:cs="宋体"/>
          <w:b/>
          <w:kern w:val="2"/>
          <w:sz w:val="21"/>
          <w:szCs w:val="21"/>
          <w:highlight w:val="none"/>
        </w:rPr>
        <w:t>合同授予</w:t>
      </w:r>
      <w:bookmarkEnd w:id="534"/>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35" w:name="_Toc40455309"/>
      <w:bookmarkEnd w:id="535"/>
      <w:bookmarkStart w:id="536" w:name="_Toc277082591"/>
      <w:bookmarkEnd w:id="536"/>
      <w:bookmarkStart w:id="537" w:name="_Toc40455682"/>
      <w:bookmarkEnd w:id="537"/>
      <w:bookmarkStart w:id="538" w:name="_Toc4662179"/>
      <w:bookmarkEnd w:id="538"/>
      <w:bookmarkStart w:id="539" w:name="_Toc200513165"/>
      <w:bookmarkEnd w:id="539"/>
      <w:bookmarkStart w:id="540" w:name="_Toc4661465"/>
      <w:bookmarkEnd w:id="540"/>
      <w:bookmarkStart w:id="541" w:name="_Toc224103356"/>
      <w:bookmarkEnd w:id="541"/>
      <w:bookmarkStart w:id="542" w:name="_Toc12458"/>
      <w:bookmarkEnd w:id="542"/>
      <w:bookmarkStart w:id="543" w:name="_Toc287607785"/>
      <w:bookmarkEnd w:id="543"/>
      <w:bookmarkStart w:id="544" w:name="_Toc4661707"/>
      <w:bookmarkEnd w:id="544"/>
      <w:bookmarkStart w:id="545" w:name="_Toc4661943"/>
      <w:bookmarkEnd w:id="545"/>
      <w:bookmarkStart w:id="546" w:name="_Toc40780291"/>
      <w:r>
        <w:rPr>
          <w:rFonts w:hint="eastAsia" w:ascii="宋体" w:hAnsi="宋体" w:eastAsia="宋体" w:cs="Times New Roman"/>
          <w:b/>
          <w:kern w:val="2"/>
          <w:sz w:val="21"/>
          <w:szCs w:val="21"/>
          <w:highlight w:val="none"/>
        </w:rPr>
        <w:t xml:space="preserve">7.1  </w:t>
      </w:r>
      <w:bookmarkEnd w:id="546"/>
      <w:r>
        <w:rPr>
          <w:rFonts w:hint="eastAsia" w:ascii="宋体" w:hAnsi="宋体" w:eastAsia="宋体" w:cs="宋体"/>
          <w:b/>
          <w:kern w:val="2"/>
          <w:sz w:val="21"/>
          <w:szCs w:val="21"/>
          <w:highlight w:val="none"/>
        </w:rPr>
        <w:t>定标方式</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除</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前附表规定评标委员会直接确定中标人外，</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依据评标委员会推荐的中标候选人中的第一名综合得分者为中标人，评标委员会推荐中标候选人的人数见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47" w:name="_Toc4661944"/>
      <w:bookmarkEnd w:id="547"/>
      <w:bookmarkStart w:id="548" w:name="_Toc287607786"/>
      <w:bookmarkEnd w:id="548"/>
      <w:bookmarkStart w:id="549" w:name="_Toc32622"/>
      <w:bookmarkEnd w:id="549"/>
      <w:bookmarkStart w:id="550" w:name="_Toc40780292"/>
      <w:bookmarkEnd w:id="550"/>
      <w:bookmarkStart w:id="551" w:name="_Toc277082592"/>
      <w:bookmarkEnd w:id="551"/>
      <w:bookmarkStart w:id="552" w:name="_Toc40455683"/>
      <w:bookmarkEnd w:id="552"/>
      <w:bookmarkStart w:id="553" w:name="_Toc4661466"/>
      <w:bookmarkEnd w:id="553"/>
      <w:bookmarkStart w:id="554" w:name="_Toc200513166"/>
      <w:bookmarkEnd w:id="554"/>
      <w:bookmarkStart w:id="555" w:name="_Toc40455310"/>
      <w:bookmarkEnd w:id="555"/>
      <w:bookmarkStart w:id="556" w:name="_Toc4661708"/>
      <w:bookmarkEnd w:id="556"/>
      <w:bookmarkStart w:id="557" w:name="_Toc4662180"/>
      <w:bookmarkEnd w:id="557"/>
      <w:bookmarkStart w:id="558" w:name="_Toc224103357"/>
      <w:r>
        <w:rPr>
          <w:rFonts w:hint="eastAsia" w:ascii="宋体" w:hAnsi="宋体" w:eastAsia="宋体" w:cs="Times New Roman"/>
          <w:b/>
          <w:kern w:val="2"/>
          <w:sz w:val="21"/>
          <w:szCs w:val="21"/>
          <w:highlight w:val="none"/>
        </w:rPr>
        <w:t xml:space="preserve">7.2  </w:t>
      </w:r>
      <w:bookmarkEnd w:id="558"/>
      <w:r>
        <w:rPr>
          <w:rFonts w:hint="eastAsia" w:ascii="宋体" w:hAnsi="宋体" w:eastAsia="宋体" w:cs="宋体"/>
          <w:b/>
          <w:kern w:val="2"/>
          <w:sz w:val="21"/>
          <w:szCs w:val="21"/>
          <w:highlight w:val="none"/>
        </w:rPr>
        <w:t>中标通知</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以书面形式向中标人发出中标通知书，同时将中标结果通知未中标的</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59" w:name="_Toc40780293"/>
      <w:bookmarkEnd w:id="559"/>
      <w:bookmarkStart w:id="560" w:name="_Toc4661945"/>
      <w:bookmarkEnd w:id="560"/>
      <w:bookmarkStart w:id="561" w:name="_Toc277082593"/>
      <w:bookmarkEnd w:id="561"/>
      <w:bookmarkStart w:id="562" w:name="_Toc4661709"/>
      <w:bookmarkEnd w:id="562"/>
      <w:bookmarkStart w:id="563" w:name="_Toc224103358"/>
      <w:bookmarkEnd w:id="563"/>
      <w:bookmarkStart w:id="564" w:name="_Toc40455684"/>
      <w:bookmarkEnd w:id="564"/>
      <w:bookmarkStart w:id="565" w:name="_Toc40455311"/>
      <w:bookmarkEnd w:id="565"/>
      <w:bookmarkStart w:id="566" w:name="_Toc6509"/>
      <w:bookmarkEnd w:id="566"/>
      <w:bookmarkStart w:id="567" w:name="_Toc200513167"/>
      <w:bookmarkEnd w:id="567"/>
      <w:bookmarkStart w:id="568" w:name="_Toc287607787"/>
      <w:bookmarkEnd w:id="568"/>
      <w:bookmarkStart w:id="569" w:name="_Toc4661467"/>
      <w:bookmarkEnd w:id="569"/>
      <w:bookmarkStart w:id="570" w:name="_Toc4662181"/>
      <w:r>
        <w:rPr>
          <w:rFonts w:hint="eastAsia" w:ascii="宋体" w:hAnsi="宋体" w:eastAsia="宋体" w:cs="Times New Roman"/>
          <w:b/>
          <w:kern w:val="2"/>
          <w:sz w:val="21"/>
          <w:szCs w:val="21"/>
          <w:highlight w:val="none"/>
        </w:rPr>
        <w:t xml:space="preserve">7.3  </w:t>
      </w:r>
      <w:bookmarkEnd w:id="570"/>
      <w:r>
        <w:rPr>
          <w:rFonts w:hint="eastAsia" w:ascii="宋体" w:hAnsi="宋体" w:eastAsia="宋体" w:cs="宋体"/>
          <w:b/>
          <w:kern w:val="2"/>
          <w:sz w:val="21"/>
          <w:szCs w:val="21"/>
          <w:highlight w:val="none"/>
        </w:rPr>
        <w:t>履约担保</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7.3.1  </w:t>
      </w:r>
      <w:r>
        <w:rPr>
          <w:rFonts w:hint="eastAsia" w:ascii="宋体" w:hAnsi="宋体" w:eastAsia="宋体" w:cs="宋体"/>
          <w:kern w:val="0"/>
          <w:sz w:val="21"/>
          <w:szCs w:val="21"/>
          <w:highlight w:val="none"/>
          <w:lang w:val="en-US" w:eastAsia="zh-CN" w:bidi="ar"/>
        </w:rPr>
        <w:t>在签订合同前，中标人应按</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前附表规定的金额、担保形式和</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w:t>
      </w:r>
      <w:r>
        <w:rPr>
          <w:rFonts w:hint="eastAsia" w:ascii="宋体" w:hAnsi="宋体" w:eastAsia="宋体" w:cs="Calibri"/>
          <w:kern w:val="0"/>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第</w:t>
      </w:r>
      <w:r>
        <w:rPr>
          <w:rFonts w:hint="default" w:ascii="宋体" w:hAnsi="宋体" w:cs="宋体"/>
          <w:kern w:val="0"/>
          <w:sz w:val="21"/>
          <w:szCs w:val="21"/>
          <w:highlight w:val="none"/>
          <w:lang w:eastAsia="zh-CN" w:bidi="ar"/>
        </w:rPr>
        <w:t>八</w:t>
      </w:r>
      <w:r>
        <w:rPr>
          <w:rFonts w:hint="eastAsia" w:ascii="宋体" w:hAnsi="宋体" w:eastAsia="宋体" w:cs="宋体"/>
          <w:kern w:val="0"/>
          <w:sz w:val="21"/>
          <w:szCs w:val="21"/>
          <w:highlight w:val="none"/>
          <w:lang w:val="en-US" w:eastAsia="zh-CN" w:bidi="ar"/>
        </w:rPr>
        <w:t>章</w:t>
      </w:r>
      <w:r>
        <w:rPr>
          <w:rFonts w:hint="eastAsia" w:ascii="宋体" w:hAnsi="宋体" w:eastAsia="宋体" w:cs="MingLiU"/>
          <w:kern w:val="0"/>
          <w:sz w:val="21"/>
          <w:szCs w:val="21"/>
          <w:highlight w:val="none"/>
          <w:lang w:val="en-US" w:eastAsia="zh-CN" w:bidi="ar"/>
        </w:rPr>
        <w:t>“合同条款及格式”规定的履约担保格式向</w:t>
      </w:r>
      <w:r>
        <w:rPr>
          <w:rFonts w:hint="eastAsia" w:ascii="宋体" w:hAnsi="宋体" w:cs="MingLiU"/>
          <w:kern w:val="0"/>
          <w:sz w:val="21"/>
          <w:szCs w:val="21"/>
          <w:highlight w:val="none"/>
          <w:lang w:val="en-US" w:eastAsia="zh-CN" w:bidi="ar"/>
        </w:rPr>
        <w:t>采购人</w:t>
      </w:r>
      <w:r>
        <w:rPr>
          <w:rFonts w:hint="eastAsia" w:ascii="宋体" w:hAnsi="宋体" w:eastAsia="宋体" w:cs="MingLiU"/>
          <w:kern w:val="0"/>
          <w:sz w:val="21"/>
          <w:szCs w:val="21"/>
          <w:highlight w:val="none"/>
          <w:lang w:val="en-US" w:eastAsia="zh-CN" w:bidi="ar"/>
        </w:rPr>
        <w:t>提交履约担保。联合体中标的，其履约担保由牵头人递交，并应符合</w:t>
      </w:r>
      <w:r>
        <w:rPr>
          <w:rFonts w:hint="eastAsia" w:ascii="宋体" w:hAnsi="宋体" w:cs="MingLiU"/>
          <w:kern w:val="0"/>
          <w:sz w:val="21"/>
          <w:szCs w:val="21"/>
          <w:highlight w:val="none"/>
          <w:lang w:val="en-US" w:eastAsia="zh-CN" w:bidi="ar"/>
        </w:rPr>
        <w:t>报价人须知</w:t>
      </w:r>
      <w:r>
        <w:rPr>
          <w:rFonts w:hint="eastAsia" w:ascii="宋体" w:hAnsi="宋体" w:eastAsia="宋体" w:cs="MingLiU"/>
          <w:kern w:val="0"/>
          <w:sz w:val="21"/>
          <w:szCs w:val="21"/>
          <w:highlight w:val="none"/>
          <w:lang w:val="en-US" w:eastAsia="zh-CN" w:bidi="ar"/>
        </w:rPr>
        <w:t>前附表规定的金额、担保形式</w:t>
      </w:r>
      <w:r>
        <w:rPr>
          <w:rFonts w:hint="eastAsia" w:ascii="宋体" w:hAnsi="宋体" w:cs="MingLiU"/>
          <w:kern w:val="0"/>
          <w:sz w:val="21"/>
          <w:szCs w:val="21"/>
          <w:highlight w:val="none"/>
          <w:lang w:val="en-US" w:eastAsia="zh-CN" w:bidi="ar"/>
        </w:rPr>
        <w:t>等缴纳履约保证金</w:t>
      </w:r>
      <w:r>
        <w:rPr>
          <w:rFonts w:hint="eastAsia" w:ascii="宋体" w:hAnsi="宋体" w:eastAsia="宋体" w:cs="MingLiU"/>
          <w:kern w:val="0"/>
          <w:sz w:val="21"/>
          <w:szCs w:val="21"/>
          <w:highlight w:val="none"/>
          <w:lang w:val="en-US" w:eastAsia="zh-CN" w:bidi="ar"/>
        </w:rPr>
        <w:t>。</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7.3.2  </w:t>
      </w:r>
      <w:r>
        <w:rPr>
          <w:rFonts w:hint="eastAsia" w:ascii="宋体" w:hAnsi="宋体" w:eastAsia="宋体" w:cs="宋体"/>
          <w:kern w:val="0"/>
          <w:sz w:val="21"/>
          <w:szCs w:val="21"/>
          <w:highlight w:val="none"/>
          <w:lang w:val="en-US" w:eastAsia="zh-CN" w:bidi="ar"/>
        </w:rPr>
        <w:t>中标人不能按本章第</w:t>
      </w:r>
      <w:r>
        <w:rPr>
          <w:rFonts w:hint="eastAsia" w:ascii="宋体" w:hAnsi="宋体" w:eastAsia="宋体" w:cs="Calibri"/>
          <w:kern w:val="0"/>
          <w:sz w:val="21"/>
          <w:szCs w:val="21"/>
          <w:highlight w:val="none"/>
          <w:lang w:val="en-US" w:eastAsia="zh-CN" w:bidi="ar"/>
        </w:rPr>
        <w:t xml:space="preserve"> 7.3.1 </w:t>
      </w:r>
      <w:r>
        <w:rPr>
          <w:rFonts w:hint="eastAsia" w:ascii="宋体" w:hAnsi="宋体" w:eastAsia="宋体" w:cs="宋体"/>
          <w:kern w:val="0"/>
          <w:sz w:val="21"/>
          <w:szCs w:val="21"/>
          <w:highlight w:val="none"/>
          <w:lang w:val="en-US" w:eastAsia="zh-CN" w:bidi="ar"/>
        </w:rPr>
        <w:t>项要求提交履约担保的，视为放弃中标，其投标保证金不予退还，给</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造成的损失超过投标保证金数额的，中标人还应当对超过部分予以赔偿。</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571" w:name="_Toc40455685"/>
      <w:bookmarkEnd w:id="571"/>
      <w:bookmarkStart w:id="572" w:name="_Toc40455312"/>
      <w:bookmarkEnd w:id="572"/>
      <w:bookmarkStart w:id="573" w:name="_Toc4661468"/>
      <w:bookmarkEnd w:id="573"/>
      <w:bookmarkStart w:id="574" w:name="_Toc40780294"/>
      <w:bookmarkEnd w:id="574"/>
      <w:bookmarkStart w:id="575" w:name="_Toc12031"/>
      <w:bookmarkEnd w:id="575"/>
      <w:bookmarkStart w:id="576" w:name="_Toc4661710"/>
      <w:bookmarkEnd w:id="576"/>
      <w:bookmarkStart w:id="577" w:name="_Toc4662182"/>
      <w:bookmarkEnd w:id="577"/>
      <w:bookmarkStart w:id="578" w:name="_Toc4661946"/>
      <w:bookmarkEnd w:id="578"/>
      <w:bookmarkStart w:id="579" w:name="_Toc224103359"/>
      <w:bookmarkEnd w:id="579"/>
      <w:bookmarkStart w:id="580" w:name="_Toc277082594"/>
      <w:bookmarkEnd w:id="580"/>
      <w:bookmarkStart w:id="581" w:name="_Toc200513168"/>
      <w:bookmarkEnd w:id="581"/>
      <w:bookmarkStart w:id="582" w:name="_Toc287607788"/>
      <w:r>
        <w:rPr>
          <w:rFonts w:hint="eastAsia" w:ascii="宋体" w:hAnsi="宋体" w:eastAsia="宋体" w:cs="Times New Roman"/>
          <w:b/>
          <w:kern w:val="2"/>
          <w:sz w:val="21"/>
          <w:szCs w:val="21"/>
          <w:highlight w:val="none"/>
        </w:rPr>
        <w:t xml:space="preserve">7.4  </w:t>
      </w:r>
      <w:bookmarkEnd w:id="582"/>
      <w:r>
        <w:rPr>
          <w:rFonts w:hint="eastAsia" w:ascii="宋体" w:hAnsi="宋体" w:eastAsia="宋体" w:cs="宋体"/>
          <w:b/>
          <w:kern w:val="2"/>
          <w:sz w:val="21"/>
          <w:szCs w:val="21"/>
          <w:highlight w:val="none"/>
        </w:rPr>
        <w:t>签订合同</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7.4.1 </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和中标人应当自中标通知书发出之日起</w:t>
      </w:r>
      <w:r>
        <w:rPr>
          <w:rFonts w:hint="eastAsia" w:ascii="宋体" w:hAnsi="宋体" w:eastAsia="宋体" w:cs="Calibri"/>
          <w:kern w:val="0"/>
          <w:sz w:val="21"/>
          <w:szCs w:val="21"/>
          <w:highlight w:val="none"/>
          <w:lang w:val="en-US" w:eastAsia="zh-CN" w:bidi="ar"/>
        </w:rPr>
        <w:t xml:space="preserve"> 30 </w:t>
      </w:r>
      <w:r>
        <w:rPr>
          <w:rFonts w:hint="eastAsia" w:ascii="宋体" w:hAnsi="宋体" w:eastAsia="宋体" w:cs="宋体"/>
          <w:kern w:val="0"/>
          <w:sz w:val="21"/>
          <w:szCs w:val="21"/>
          <w:highlight w:val="none"/>
          <w:lang w:val="en-US" w:eastAsia="zh-CN" w:bidi="ar"/>
        </w:rPr>
        <w:t>天内，根据</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文件和中标人的</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订立书面合同。中标人无正当理由拒签合同的，</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取消其中标资格，其投标保证金不予退还；给</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造成的损失超过投标保证金数额的，中标人还应当对超过部分予以赔偿。</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eastAsia="宋体" w:cs="Calibri"/>
          <w:kern w:val="0"/>
          <w:sz w:val="21"/>
          <w:szCs w:val="21"/>
          <w:highlight w:val="none"/>
          <w:lang w:val="en-US" w:eastAsia="zh-CN" w:bidi="ar"/>
        </w:rPr>
        <w:t xml:space="preserve">7.4.2  </w:t>
      </w:r>
      <w:r>
        <w:rPr>
          <w:rFonts w:hint="eastAsia" w:ascii="宋体" w:hAnsi="宋体" w:eastAsia="宋体" w:cs="宋体"/>
          <w:kern w:val="0"/>
          <w:sz w:val="21"/>
          <w:szCs w:val="21"/>
          <w:highlight w:val="none"/>
          <w:lang w:val="en-US" w:eastAsia="zh-CN" w:bidi="ar"/>
        </w:rPr>
        <w:t>发出中标通知书后，</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无正当理由拒签合同的，</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向中标人退还投标保证金；</w:t>
      </w:r>
    </w:p>
    <w:p>
      <w:pPr>
        <w:keepNext w:val="0"/>
        <w:keepLines w:val="0"/>
        <w:widowControl w:val="0"/>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Times New Roman"/>
          <w:b/>
          <w:kern w:val="2"/>
          <w:sz w:val="21"/>
          <w:szCs w:val="21"/>
          <w:highlight w:val="none"/>
        </w:rPr>
      </w:pPr>
      <w:bookmarkStart w:id="583" w:name="_Toc40455313"/>
      <w:bookmarkEnd w:id="583"/>
      <w:bookmarkStart w:id="584" w:name="_Toc4661947"/>
      <w:bookmarkEnd w:id="584"/>
      <w:bookmarkStart w:id="585" w:name="_Toc287607789"/>
      <w:bookmarkEnd w:id="585"/>
      <w:bookmarkStart w:id="586" w:name="_Toc4661711"/>
      <w:bookmarkEnd w:id="586"/>
      <w:bookmarkStart w:id="587" w:name="_Toc4662183"/>
      <w:bookmarkEnd w:id="587"/>
      <w:bookmarkStart w:id="588" w:name="_Toc224103360"/>
      <w:bookmarkEnd w:id="588"/>
      <w:bookmarkStart w:id="589" w:name="_Toc4661469"/>
      <w:bookmarkEnd w:id="589"/>
      <w:bookmarkStart w:id="590" w:name="_Toc40455686"/>
      <w:bookmarkEnd w:id="590"/>
      <w:bookmarkStart w:id="591" w:name="_Toc277082595"/>
      <w:bookmarkEnd w:id="591"/>
      <w:bookmarkStart w:id="592" w:name="_Toc200513169"/>
      <w:bookmarkEnd w:id="592"/>
      <w:bookmarkStart w:id="593" w:name="_Toc8265"/>
      <w:bookmarkEnd w:id="593"/>
      <w:bookmarkStart w:id="594" w:name="_Toc14976"/>
      <w:r>
        <w:rPr>
          <w:rFonts w:hint="eastAsia" w:ascii="宋体" w:hAnsi="宋体" w:eastAsia="宋体" w:cs="Times New Roman"/>
          <w:b/>
          <w:kern w:val="2"/>
          <w:sz w:val="21"/>
          <w:szCs w:val="21"/>
          <w:highlight w:val="none"/>
          <w:lang w:val="en-US" w:eastAsia="zh-CN" w:bidi="ar"/>
        </w:rPr>
        <w:t xml:space="preserve">8.  </w:t>
      </w:r>
      <w:bookmarkEnd w:id="594"/>
      <w:bookmarkStart w:id="595" w:name="_Toc14831"/>
      <w:bookmarkEnd w:id="595"/>
      <w:bookmarkStart w:id="596" w:name="_Toc224103363"/>
      <w:bookmarkEnd w:id="596"/>
      <w:bookmarkStart w:id="597" w:name="_Toc277082598"/>
      <w:bookmarkEnd w:id="597"/>
      <w:bookmarkStart w:id="598" w:name="_Toc287607792"/>
      <w:bookmarkEnd w:id="598"/>
      <w:bookmarkStart w:id="599" w:name="_Toc40455316"/>
      <w:bookmarkEnd w:id="599"/>
      <w:bookmarkStart w:id="600" w:name="_Toc4661472"/>
      <w:bookmarkEnd w:id="600"/>
      <w:bookmarkStart w:id="601" w:name="_Toc200513172"/>
      <w:bookmarkEnd w:id="601"/>
      <w:bookmarkStart w:id="602" w:name="_Toc4661950"/>
      <w:bookmarkEnd w:id="602"/>
      <w:bookmarkStart w:id="603" w:name="_Toc40455689"/>
      <w:bookmarkEnd w:id="603"/>
      <w:bookmarkStart w:id="604" w:name="_Toc4661714"/>
      <w:bookmarkEnd w:id="604"/>
      <w:bookmarkStart w:id="605" w:name="_Toc4662186"/>
      <w:bookmarkEnd w:id="605"/>
      <w:bookmarkStart w:id="606" w:name="_Toc31835"/>
      <w:bookmarkEnd w:id="606"/>
      <w:r>
        <w:rPr>
          <w:rFonts w:hint="eastAsia" w:ascii="宋体" w:hAnsi="宋体" w:eastAsia="宋体" w:cs="Times New Roman"/>
          <w:b/>
          <w:kern w:val="2"/>
          <w:sz w:val="21"/>
          <w:szCs w:val="21"/>
          <w:highlight w:val="none"/>
          <w:lang w:val="en-US" w:eastAsia="zh-CN" w:bidi="ar"/>
        </w:rPr>
        <w:t xml:space="preserve"> </w:t>
      </w:r>
      <w:r>
        <w:rPr>
          <w:rFonts w:hint="eastAsia" w:ascii="宋体" w:hAnsi="宋体" w:eastAsia="宋体" w:cs="宋体"/>
          <w:b/>
          <w:kern w:val="2"/>
          <w:sz w:val="21"/>
          <w:szCs w:val="21"/>
          <w:highlight w:val="none"/>
          <w:lang w:val="en-US" w:eastAsia="zh-CN" w:bidi="ar"/>
        </w:rPr>
        <w:t>纪律和监督</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07" w:name="_Toc224103364"/>
      <w:bookmarkEnd w:id="607"/>
      <w:bookmarkStart w:id="608" w:name="_Toc4662187"/>
      <w:bookmarkEnd w:id="608"/>
      <w:bookmarkStart w:id="609" w:name="_Toc200513173"/>
      <w:bookmarkEnd w:id="609"/>
      <w:bookmarkStart w:id="610" w:name="_Toc40455690"/>
      <w:bookmarkEnd w:id="610"/>
      <w:bookmarkStart w:id="611" w:name="_Toc40455317"/>
      <w:bookmarkEnd w:id="611"/>
      <w:bookmarkStart w:id="612" w:name="_Toc40780299"/>
      <w:bookmarkEnd w:id="612"/>
      <w:bookmarkStart w:id="613" w:name="_Toc4661715"/>
      <w:bookmarkEnd w:id="613"/>
      <w:bookmarkStart w:id="614" w:name="_Toc277082599"/>
      <w:bookmarkEnd w:id="614"/>
      <w:bookmarkStart w:id="615" w:name="_Toc287607793"/>
      <w:bookmarkEnd w:id="615"/>
      <w:bookmarkStart w:id="616" w:name="_Toc8515"/>
      <w:bookmarkEnd w:id="616"/>
      <w:bookmarkStart w:id="617" w:name="_Toc4661473"/>
      <w:bookmarkEnd w:id="617"/>
      <w:bookmarkStart w:id="618" w:name="_Toc4661951"/>
      <w:r>
        <w:rPr>
          <w:rFonts w:hint="eastAsia" w:ascii="宋体" w:hAnsi="宋体" w:eastAsia="宋体" w:cs="Times New Roman"/>
          <w:b/>
          <w:kern w:val="2"/>
          <w:sz w:val="21"/>
          <w:szCs w:val="21"/>
          <w:highlight w:val="none"/>
        </w:rPr>
        <w:t>8</w:t>
      </w:r>
      <w:bookmarkEnd w:id="618"/>
      <w:r>
        <w:rPr>
          <w:rFonts w:hint="eastAsia" w:ascii="宋体" w:hAnsi="宋体" w:eastAsia="宋体" w:cs="Times New Roman"/>
          <w:b/>
          <w:kern w:val="2"/>
          <w:sz w:val="21"/>
          <w:szCs w:val="21"/>
          <w:highlight w:val="none"/>
        </w:rPr>
        <w:t xml:space="preserve">.1  </w:t>
      </w:r>
      <w:r>
        <w:rPr>
          <w:rFonts w:hint="eastAsia" w:ascii="宋体" w:hAnsi="宋体" w:eastAsia="宋体" w:cs="宋体"/>
          <w:b/>
          <w:kern w:val="2"/>
          <w:sz w:val="21"/>
          <w:szCs w:val="21"/>
          <w:highlight w:val="none"/>
        </w:rPr>
        <w:t>对</w:t>
      </w:r>
      <w:r>
        <w:rPr>
          <w:rFonts w:hint="eastAsia" w:ascii="宋体" w:hAnsi="宋体" w:cs="宋体"/>
          <w:b/>
          <w:kern w:val="2"/>
          <w:sz w:val="21"/>
          <w:szCs w:val="21"/>
          <w:highlight w:val="none"/>
          <w:lang w:eastAsia="zh-CN"/>
        </w:rPr>
        <w:t>采购人</w:t>
      </w:r>
      <w:r>
        <w:rPr>
          <w:rFonts w:hint="eastAsia" w:ascii="宋体" w:hAnsi="宋体" w:eastAsia="宋体" w:cs="宋体"/>
          <w:b/>
          <w:kern w:val="2"/>
          <w:sz w:val="21"/>
          <w:szCs w:val="21"/>
          <w:highlight w:val="none"/>
        </w:rPr>
        <w:t>的纪律要求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不得泄漏</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投标活动中应当保密的情况和资料，不得与</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串通损害国家利益、社会公共利益或者他人合法权益，</w:t>
      </w:r>
      <w:r>
        <w:rPr>
          <w:rFonts w:hint="eastAsia" w:ascii="宋体" w:hAnsi="宋体" w:eastAsia="宋体" w:cs="宋体"/>
          <w:kern w:val="2"/>
          <w:sz w:val="21"/>
          <w:szCs w:val="21"/>
          <w:highlight w:val="none"/>
          <w:lang w:val="en-US" w:eastAsia="zh-CN" w:bidi="ar"/>
        </w:rPr>
        <w:t>禁止</w:t>
      </w:r>
      <w:r>
        <w:rPr>
          <w:rFonts w:hint="eastAsia" w:ascii="宋体" w:hAnsi="宋体" w:cs="宋体"/>
          <w:kern w:val="2"/>
          <w:sz w:val="21"/>
          <w:szCs w:val="21"/>
          <w:highlight w:val="none"/>
          <w:lang w:val="en-US" w:eastAsia="zh-CN" w:bidi="ar"/>
        </w:rPr>
        <w:t>采购人</w:t>
      </w:r>
      <w:r>
        <w:rPr>
          <w:rFonts w:hint="eastAsia" w:ascii="宋体" w:hAnsi="宋体" w:eastAsia="宋体" w:cs="宋体"/>
          <w:kern w:val="2"/>
          <w:sz w:val="21"/>
          <w:szCs w:val="21"/>
          <w:highlight w:val="none"/>
          <w:lang w:val="en-US" w:eastAsia="zh-CN" w:bidi="ar"/>
        </w:rPr>
        <w:t>与</w:t>
      </w:r>
      <w:r>
        <w:rPr>
          <w:rFonts w:hint="eastAsia" w:ascii="宋体" w:hAnsi="宋体" w:cs="宋体"/>
          <w:kern w:val="2"/>
          <w:sz w:val="21"/>
          <w:szCs w:val="21"/>
          <w:highlight w:val="none"/>
          <w:lang w:val="en-US" w:eastAsia="zh-CN" w:bidi="ar"/>
        </w:rPr>
        <w:t>报价人</w:t>
      </w:r>
      <w:r>
        <w:rPr>
          <w:rFonts w:hint="eastAsia" w:ascii="宋体" w:hAnsi="宋体" w:eastAsia="宋体" w:cs="宋体"/>
          <w:kern w:val="2"/>
          <w:sz w:val="21"/>
          <w:szCs w:val="21"/>
          <w:highlight w:val="none"/>
          <w:lang w:val="en-US" w:eastAsia="zh-CN" w:bidi="ar"/>
        </w:rPr>
        <w:t>串通投标。</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有下列情形之一的，属于</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与</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串通投标：</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（1）</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在开标前开启</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并将有关信息泄露给其他</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（2）</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直接或者间接向</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泄露标底、评标委员会成员等信息；</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（3）</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明示或者暗示</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压低或者抬高投标报价；</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（4）</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授意</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撤换、修改</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（5）</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明示或者暗示</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为特定</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中标提供方便；</w:t>
      </w:r>
      <w:r>
        <w:rPr>
          <w:rFonts w:hint="eastAsia" w:ascii="宋体" w:hAnsi="宋体" w:eastAsia="宋体" w:cs="Calibri"/>
          <w:kern w:val="2"/>
          <w:sz w:val="21"/>
          <w:szCs w:val="21"/>
          <w:highlight w:val="none"/>
          <w:lang w:val="en-US" w:eastAsia="zh-CN" w:bidi="ar"/>
        </w:rPr>
        <w:br w:type="textWrapping"/>
      </w:r>
      <w:r>
        <w:rPr>
          <w:rFonts w:hint="eastAsia" w:ascii="宋体" w:hAnsi="宋体" w:eastAsia="宋体" w:cs="Calibri"/>
          <w:kern w:val="2"/>
          <w:sz w:val="21"/>
          <w:szCs w:val="21"/>
          <w:highlight w:val="none"/>
          <w:lang w:val="en-US" w:eastAsia="zh-CN" w:bidi="ar"/>
        </w:rPr>
        <w:t xml:space="preserve">  （6）</w:t>
      </w:r>
      <w:r>
        <w:rPr>
          <w:rFonts w:hint="eastAsia" w:ascii="宋体" w:hAnsi="宋体" w:cs="Calibri"/>
          <w:kern w:val="2"/>
          <w:sz w:val="21"/>
          <w:szCs w:val="21"/>
          <w:highlight w:val="none"/>
          <w:lang w:val="en-US" w:eastAsia="zh-CN" w:bidi="ar"/>
        </w:rPr>
        <w:t>采购人</w:t>
      </w:r>
      <w:r>
        <w:rPr>
          <w:rFonts w:hint="eastAsia" w:ascii="宋体" w:hAnsi="宋体" w:eastAsia="宋体" w:cs="Calibri"/>
          <w:kern w:val="2"/>
          <w:sz w:val="21"/>
          <w:szCs w:val="21"/>
          <w:highlight w:val="none"/>
          <w:lang w:val="en-US" w:eastAsia="zh-CN" w:bidi="ar"/>
        </w:rPr>
        <w:t>与</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为谋求特定</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中标而采取的其他串通行为。</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19" w:name="_Toc200513174"/>
      <w:bookmarkEnd w:id="619"/>
      <w:bookmarkStart w:id="620" w:name="_Toc224103365"/>
      <w:bookmarkEnd w:id="620"/>
      <w:bookmarkStart w:id="621" w:name="_Toc4661952"/>
      <w:bookmarkEnd w:id="621"/>
      <w:bookmarkStart w:id="622" w:name="_Toc40455691"/>
      <w:bookmarkEnd w:id="622"/>
      <w:bookmarkStart w:id="623" w:name="_Toc4661716"/>
      <w:bookmarkEnd w:id="623"/>
      <w:bookmarkStart w:id="624" w:name="_Toc287607794"/>
      <w:bookmarkEnd w:id="624"/>
      <w:bookmarkStart w:id="625" w:name="_Toc40455318"/>
      <w:bookmarkEnd w:id="625"/>
      <w:bookmarkStart w:id="626" w:name="_Toc40780300"/>
      <w:bookmarkEnd w:id="626"/>
      <w:bookmarkStart w:id="627" w:name="_Toc4661474"/>
      <w:bookmarkEnd w:id="627"/>
      <w:bookmarkStart w:id="628" w:name="_Toc19536"/>
      <w:bookmarkEnd w:id="628"/>
      <w:bookmarkStart w:id="629" w:name="_Toc4662188"/>
      <w:bookmarkEnd w:id="629"/>
      <w:bookmarkStart w:id="630" w:name="_Toc277082600"/>
      <w:r>
        <w:rPr>
          <w:rFonts w:hint="eastAsia" w:ascii="宋体" w:hAnsi="宋体" w:eastAsia="宋体" w:cs="Times New Roman"/>
          <w:b/>
          <w:kern w:val="2"/>
          <w:sz w:val="21"/>
          <w:szCs w:val="21"/>
          <w:highlight w:val="none"/>
        </w:rPr>
        <w:t>8</w:t>
      </w:r>
      <w:bookmarkEnd w:id="630"/>
      <w:r>
        <w:rPr>
          <w:rFonts w:hint="eastAsia" w:ascii="宋体" w:hAnsi="宋体" w:eastAsia="宋体" w:cs="Times New Roman"/>
          <w:b/>
          <w:kern w:val="2"/>
          <w:sz w:val="21"/>
          <w:szCs w:val="21"/>
          <w:highlight w:val="none"/>
        </w:rPr>
        <w:t xml:space="preserve">.2  </w:t>
      </w:r>
      <w:r>
        <w:rPr>
          <w:rFonts w:hint="eastAsia" w:ascii="宋体" w:hAnsi="宋体" w:eastAsia="宋体" w:cs="宋体"/>
          <w:b/>
          <w:kern w:val="2"/>
          <w:sz w:val="21"/>
          <w:szCs w:val="21"/>
          <w:highlight w:val="none"/>
        </w:rPr>
        <w:t>对</w:t>
      </w:r>
      <w:r>
        <w:rPr>
          <w:rFonts w:hint="eastAsia" w:ascii="宋体" w:hAnsi="宋体" w:cs="宋体"/>
          <w:b/>
          <w:kern w:val="2"/>
          <w:sz w:val="21"/>
          <w:szCs w:val="21"/>
          <w:highlight w:val="none"/>
          <w:lang w:eastAsia="zh-CN"/>
        </w:rPr>
        <w:t>报价人</w:t>
      </w:r>
      <w:r>
        <w:rPr>
          <w:rFonts w:hint="eastAsia" w:ascii="宋体" w:hAnsi="宋体" w:eastAsia="宋体" w:cs="宋体"/>
          <w:b/>
          <w:kern w:val="2"/>
          <w:sz w:val="21"/>
          <w:szCs w:val="21"/>
          <w:highlight w:val="none"/>
        </w:rPr>
        <w:t>的纪律要求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不得相互串通投标或者与</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串通投标，不得向</w:t>
      </w:r>
      <w:r>
        <w:rPr>
          <w:rFonts w:hint="eastAsia" w:ascii="宋体" w:hAnsi="宋体" w:cs="宋体"/>
          <w:kern w:val="0"/>
          <w:sz w:val="21"/>
          <w:szCs w:val="21"/>
          <w:highlight w:val="none"/>
          <w:lang w:val="en-US" w:eastAsia="zh-CN" w:bidi="ar"/>
        </w:rPr>
        <w:t>采购人</w:t>
      </w:r>
      <w:r>
        <w:rPr>
          <w:rFonts w:hint="eastAsia" w:ascii="宋体" w:hAnsi="宋体" w:eastAsia="宋体" w:cs="宋体"/>
          <w:kern w:val="0"/>
          <w:sz w:val="21"/>
          <w:szCs w:val="21"/>
          <w:highlight w:val="none"/>
          <w:lang w:val="en-US" w:eastAsia="zh-CN" w:bidi="ar"/>
        </w:rPr>
        <w:t>或者评标委员会成员行贿谋取中标，不得以他人名义投标或者以其他方式弄虚作假骗取中标；</w:t>
      </w: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不得以任何方式干扰、影响评标工作。</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8.2.1有下列情形之一的，属于</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相互串通投标：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1）</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之间协商投标报价等</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的实质性内容；</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2）</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之间约定中标人；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3）</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之间约定部分</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放弃投标或者中标；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4）</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之间为谋取中标或者排斥特定</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而采取的其他联合行动。</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8.2.2有下列情形之一的，视为</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相互串通投标：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1）不同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由同一单位或者个人编制；</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2）不同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委托同一单位或者个人办理投标事宜；</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3）不同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载明的项目管理成员为同一人；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4）不同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异常一致或者投标报价呈规律性差异；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5）不同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w:t>
      </w:r>
      <w:r>
        <w:rPr>
          <w:rFonts w:hint="eastAsia" w:ascii="宋体" w:hAnsi="宋体" w:cs="Calibri"/>
          <w:kern w:val="2"/>
          <w:sz w:val="21"/>
          <w:szCs w:val="21"/>
          <w:highlight w:val="none"/>
          <w:lang w:val="en-US" w:eastAsia="zh-CN" w:bidi="ar"/>
        </w:rPr>
        <w:t>比选响应文件</w:t>
      </w:r>
      <w:r>
        <w:rPr>
          <w:rFonts w:hint="eastAsia" w:ascii="宋体" w:hAnsi="宋体" w:eastAsia="宋体" w:cs="Calibri"/>
          <w:kern w:val="2"/>
          <w:sz w:val="21"/>
          <w:szCs w:val="21"/>
          <w:highlight w:val="none"/>
          <w:lang w:val="en-US" w:eastAsia="zh-CN" w:bidi="ar"/>
        </w:rPr>
        <w:t>相互混装；</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6）不同</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的投标保证金从同一单位或者个人的账户转出。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8.2.3使用通过受让或者租借等方式获取的资格、资质证书投标的，属于以他人名义投标。</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Calibri"/>
          <w:kern w:val="2"/>
          <w:sz w:val="21"/>
          <w:szCs w:val="21"/>
          <w:highlight w:val="none"/>
          <w:lang w:val="en-US" w:eastAsia="zh-CN" w:bidi="ar"/>
        </w:rPr>
        <w:t>8.2.4</w:t>
      </w:r>
      <w:r>
        <w:rPr>
          <w:rFonts w:hint="eastAsia" w:ascii="宋体" w:hAnsi="宋体" w:cs="Calibri"/>
          <w:kern w:val="2"/>
          <w:sz w:val="21"/>
          <w:szCs w:val="21"/>
          <w:highlight w:val="none"/>
          <w:lang w:val="en-US" w:eastAsia="zh-CN" w:bidi="ar"/>
        </w:rPr>
        <w:t>报价人</w:t>
      </w:r>
      <w:r>
        <w:rPr>
          <w:rFonts w:hint="eastAsia" w:ascii="宋体" w:hAnsi="宋体" w:eastAsia="宋体" w:cs="Calibri"/>
          <w:kern w:val="2"/>
          <w:sz w:val="21"/>
          <w:szCs w:val="21"/>
          <w:highlight w:val="none"/>
          <w:lang w:val="en-US" w:eastAsia="zh-CN" w:bidi="ar"/>
        </w:rPr>
        <w:t>有下列情形之一的，属于以其他方式弄虚作假的行为：</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1）使用伪造、变造的许可证件；</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2）提供虚假的财务状况或者业绩；</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3）提供虚假的项目负责人或者主要技术人员简历、劳动关系证明；</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Calibri"/>
          <w:kern w:val="2"/>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4）提供虚假的信用状况；</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宋体"/>
          <w:kern w:val="2"/>
          <w:sz w:val="21"/>
          <w:szCs w:val="21"/>
          <w:highlight w:val="none"/>
          <w:lang w:val="en-US" w:eastAsia="zh-CN" w:bidi="ar"/>
        </w:rPr>
        <w:t>（</w:t>
      </w:r>
      <w:r>
        <w:rPr>
          <w:rFonts w:hint="eastAsia" w:ascii="宋体" w:hAnsi="宋体" w:eastAsia="宋体" w:cs="Calibri"/>
          <w:kern w:val="2"/>
          <w:sz w:val="21"/>
          <w:szCs w:val="21"/>
          <w:highlight w:val="none"/>
          <w:lang w:val="en-US" w:eastAsia="zh-CN" w:bidi="ar"/>
        </w:rPr>
        <w:t>5）其他弄虚作假的行为。</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31" w:name="_Toc40780301"/>
      <w:bookmarkEnd w:id="631"/>
      <w:bookmarkStart w:id="632" w:name="_Toc224103366"/>
      <w:bookmarkEnd w:id="632"/>
      <w:bookmarkStart w:id="633" w:name="_Toc40455692"/>
      <w:bookmarkEnd w:id="633"/>
      <w:bookmarkStart w:id="634" w:name="_Toc40455319"/>
      <w:bookmarkEnd w:id="634"/>
      <w:bookmarkStart w:id="635" w:name="_Toc200513175"/>
      <w:bookmarkEnd w:id="635"/>
      <w:bookmarkStart w:id="636" w:name="_Toc4661717"/>
      <w:bookmarkEnd w:id="636"/>
      <w:bookmarkStart w:id="637" w:name="_Toc4662189"/>
      <w:bookmarkEnd w:id="637"/>
      <w:bookmarkStart w:id="638" w:name="_Toc287607795"/>
      <w:bookmarkEnd w:id="638"/>
      <w:bookmarkStart w:id="639" w:name="_Toc6459"/>
      <w:bookmarkEnd w:id="639"/>
      <w:bookmarkStart w:id="640" w:name="_Toc277082601"/>
      <w:bookmarkEnd w:id="640"/>
      <w:bookmarkStart w:id="641" w:name="_Toc4661475"/>
      <w:bookmarkEnd w:id="641"/>
      <w:bookmarkStart w:id="642" w:name="_Toc4661953"/>
      <w:r>
        <w:rPr>
          <w:rFonts w:hint="eastAsia" w:ascii="宋体" w:hAnsi="宋体" w:eastAsia="宋体" w:cs="Times New Roman"/>
          <w:b/>
          <w:kern w:val="2"/>
          <w:sz w:val="21"/>
          <w:szCs w:val="21"/>
          <w:highlight w:val="none"/>
        </w:rPr>
        <w:t>8</w:t>
      </w:r>
      <w:bookmarkEnd w:id="642"/>
      <w:r>
        <w:rPr>
          <w:rFonts w:hint="eastAsia" w:ascii="宋体" w:hAnsi="宋体" w:eastAsia="宋体" w:cs="Times New Roman"/>
          <w:b/>
          <w:kern w:val="2"/>
          <w:sz w:val="21"/>
          <w:szCs w:val="21"/>
          <w:highlight w:val="none"/>
        </w:rPr>
        <w:t xml:space="preserve">.3  </w:t>
      </w:r>
      <w:r>
        <w:rPr>
          <w:rFonts w:hint="eastAsia" w:ascii="宋体" w:hAnsi="宋体" w:eastAsia="宋体" w:cs="宋体"/>
          <w:b/>
          <w:kern w:val="2"/>
          <w:sz w:val="21"/>
          <w:szCs w:val="21"/>
          <w:highlight w:val="none"/>
        </w:rPr>
        <w:t>对评标委员会成员的纪律要求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评标委员会成员不得收受他人的财物或者其他好处，不得向他人透漏对</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的评审和比较、中标候选人的推荐情况以及评标有关的其他情况。在评标活动中，评标委员会成员不得擅离职守，影响评标程序正常进行，不得使用第三章</w:t>
      </w:r>
      <w:r>
        <w:rPr>
          <w:rFonts w:hint="eastAsia" w:ascii="宋体" w:hAnsi="宋体" w:eastAsia="宋体" w:cs="MingLiU"/>
          <w:kern w:val="0"/>
          <w:sz w:val="21"/>
          <w:szCs w:val="21"/>
          <w:highlight w:val="none"/>
          <w:lang w:val="en-US" w:eastAsia="zh-CN" w:bidi="ar"/>
        </w:rPr>
        <w:t>“评标办法”没有规定的评审因素和标准进行评标。</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43" w:name="_Toc4662190"/>
      <w:bookmarkEnd w:id="643"/>
      <w:bookmarkStart w:id="644" w:name="_Toc287607796"/>
      <w:bookmarkEnd w:id="644"/>
      <w:bookmarkStart w:id="645" w:name="_Toc4661954"/>
      <w:bookmarkEnd w:id="645"/>
      <w:bookmarkStart w:id="646" w:name="_Toc40455693"/>
      <w:bookmarkEnd w:id="646"/>
      <w:bookmarkStart w:id="647" w:name="_Toc200513176"/>
      <w:bookmarkEnd w:id="647"/>
      <w:bookmarkStart w:id="648" w:name="_Toc40780302"/>
      <w:bookmarkEnd w:id="648"/>
      <w:bookmarkStart w:id="649" w:name="_Toc13495"/>
      <w:bookmarkEnd w:id="649"/>
      <w:bookmarkStart w:id="650" w:name="_Toc4661476"/>
      <w:bookmarkEnd w:id="650"/>
      <w:bookmarkStart w:id="651" w:name="_Toc40455320"/>
      <w:bookmarkEnd w:id="651"/>
      <w:bookmarkStart w:id="652" w:name="_Toc224103367"/>
      <w:bookmarkEnd w:id="652"/>
      <w:bookmarkStart w:id="653" w:name="_Toc277082602"/>
      <w:bookmarkEnd w:id="653"/>
      <w:bookmarkStart w:id="654" w:name="_Toc4661718"/>
      <w:r>
        <w:rPr>
          <w:rFonts w:hint="eastAsia" w:ascii="宋体" w:hAnsi="宋体" w:eastAsia="宋体" w:cs="Times New Roman"/>
          <w:b/>
          <w:kern w:val="2"/>
          <w:sz w:val="21"/>
          <w:szCs w:val="21"/>
          <w:highlight w:val="none"/>
        </w:rPr>
        <w:t>8</w:t>
      </w:r>
      <w:bookmarkEnd w:id="654"/>
      <w:r>
        <w:rPr>
          <w:rFonts w:hint="eastAsia" w:ascii="宋体" w:hAnsi="宋体" w:eastAsia="宋体" w:cs="Times New Roman"/>
          <w:b/>
          <w:kern w:val="2"/>
          <w:sz w:val="21"/>
          <w:szCs w:val="21"/>
          <w:highlight w:val="none"/>
        </w:rPr>
        <w:t xml:space="preserve">.4  </w:t>
      </w:r>
      <w:r>
        <w:rPr>
          <w:rFonts w:hint="eastAsia" w:ascii="宋体" w:hAnsi="宋体" w:eastAsia="宋体" w:cs="宋体"/>
          <w:b/>
          <w:kern w:val="2"/>
          <w:sz w:val="21"/>
          <w:szCs w:val="21"/>
          <w:highlight w:val="none"/>
        </w:rPr>
        <w:t>对与评标活动有关的工作人员的纪律要求</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both"/>
        <w:rPr>
          <w:rFonts w:hint="eastAsia" w:ascii="宋体" w:hAnsi="宋体" w:eastAsia="宋体" w:cs="MingLiU"/>
          <w:kern w:val="0"/>
          <w:sz w:val="21"/>
          <w:szCs w:val="21"/>
          <w:highlight w:val="none"/>
        </w:rPr>
      </w:pPr>
      <w:r>
        <w:rPr>
          <w:rFonts w:hint="eastAsia" w:ascii="宋体" w:hAnsi="宋体" w:eastAsia="宋体" w:cs="宋体"/>
          <w:kern w:val="0"/>
          <w:sz w:val="21"/>
          <w:szCs w:val="21"/>
          <w:highlight w:val="none"/>
          <w:lang w:val="en-US" w:eastAsia="zh-CN" w:bidi="ar"/>
        </w:rPr>
        <w:t>与评标活动有关的工作人员不得收受他人的财物或者其他好处，不得向他人透漏对</w:t>
      </w:r>
      <w:r>
        <w:rPr>
          <w:rFonts w:hint="eastAsia" w:ascii="宋体" w:hAnsi="宋体" w:cs="宋体"/>
          <w:kern w:val="0"/>
          <w:sz w:val="21"/>
          <w:szCs w:val="21"/>
          <w:highlight w:val="none"/>
          <w:lang w:val="en-US" w:eastAsia="zh-CN" w:bidi="ar"/>
        </w:rPr>
        <w:t>比选响应文件</w:t>
      </w:r>
      <w:r>
        <w:rPr>
          <w:rFonts w:hint="eastAsia" w:ascii="宋体" w:hAnsi="宋体" w:eastAsia="宋体" w:cs="宋体"/>
          <w:kern w:val="0"/>
          <w:sz w:val="21"/>
          <w:szCs w:val="21"/>
          <w:highlight w:val="none"/>
          <w:lang w:val="en-US" w:eastAsia="zh-CN" w:bidi="ar"/>
        </w:rPr>
        <w:t>的评审和比较、中标候选人的推荐情况以及与评标有关的其他情况。在评标活动中，与评标活动有关的工作人员不得擅离职守，影响评标程序正常进行。</w:t>
      </w:r>
    </w:p>
    <w:p>
      <w:pPr>
        <w:pStyle w:val="7"/>
        <w:widowControl/>
        <w:spacing w:before="0" w:beforeAutospacing="0" w:after="0" w:afterAutospacing="0" w:line="300" w:lineRule="exact"/>
        <w:rPr>
          <w:rFonts w:hint="eastAsia" w:ascii="宋体" w:hAnsi="宋体" w:eastAsia="宋体" w:cs="Times New Roman"/>
          <w:b/>
          <w:kern w:val="2"/>
          <w:sz w:val="21"/>
          <w:szCs w:val="21"/>
          <w:highlight w:val="none"/>
        </w:rPr>
      </w:pPr>
      <w:bookmarkStart w:id="655" w:name="_Toc200513177"/>
      <w:bookmarkEnd w:id="655"/>
      <w:bookmarkStart w:id="656" w:name="_Toc4661477"/>
      <w:bookmarkEnd w:id="656"/>
      <w:bookmarkStart w:id="657" w:name="_Toc4661719"/>
      <w:bookmarkEnd w:id="657"/>
      <w:bookmarkStart w:id="658" w:name="_Toc287607797"/>
      <w:bookmarkEnd w:id="658"/>
      <w:bookmarkStart w:id="659" w:name="_Toc40780303"/>
      <w:bookmarkEnd w:id="659"/>
      <w:bookmarkStart w:id="660" w:name="_Toc4662191"/>
      <w:bookmarkEnd w:id="660"/>
      <w:bookmarkStart w:id="661" w:name="_Toc40455694"/>
      <w:bookmarkEnd w:id="661"/>
      <w:bookmarkStart w:id="662" w:name="_Toc277082603"/>
      <w:bookmarkEnd w:id="662"/>
      <w:bookmarkStart w:id="663" w:name="_Toc40455321"/>
      <w:bookmarkEnd w:id="663"/>
      <w:bookmarkStart w:id="664" w:name="_Toc224103368"/>
      <w:bookmarkEnd w:id="664"/>
      <w:bookmarkStart w:id="665" w:name="_Toc22072"/>
      <w:bookmarkEnd w:id="665"/>
      <w:bookmarkStart w:id="666" w:name="_Toc4661955"/>
      <w:r>
        <w:rPr>
          <w:rFonts w:hint="eastAsia" w:ascii="宋体" w:hAnsi="宋体" w:eastAsia="宋体" w:cs="Times New Roman"/>
          <w:b/>
          <w:kern w:val="2"/>
          <w:sz w:val="21"/>
          <w:szCs w:val="21"/>
          <w:highlight w:val="none"/>
        </w:rPr>
        <w:t>8</w:t>
      </w:r>
      <w:bookmarkEnd w:id="666"/>
      <w:r>
        <w:rPr>
          <w:rFonts w:hint="eastAsia" w:ascii="宋体" w:hAnsi="宋体" w:eastAsia="宋体" w:cs="Times New Roman"/>
          <w:b/>
          <w:kern w:val="2"/>
          <w:sz w:val="21"/>
          <w:szCs w:val="21"/>
          <w:highlight w:val="none"/>
        </w:rPr>
        <w:t xml:space="preserve">.5  </w:t>
      </w:r>
      <w:r>
        <w:rPr>
          <w:rFonts w:hint="eastAsia" w:ascii="宋体" w:hAnsi="宋体" w:eastAsia="宋体" w:cs="宋体"/>
          <w:b/>
          <w:kern w:val="2"/>
          <w:sz w:val="21"/>
          <w:szCs w:val="21"/>
          <w:highlight w:val="none"/>
        </w:rPr>
        <w:t>投诉</w:t>
      </w:r>
    </w:p>
    <w:p>
      <w:pPr>
        <w:keepNext w:val="0"/>
        <w:keepLines w:val="0"/>
        <w:widowControl w:val="0"/>
        <w:suppressLineNumbers w:val="0"/>
        <w:autoSpaceDE w:val="0"/>
        <w:autoSpaceDN w:val="0"/>
        <w:adjustRightInd w:val="0"/>
        <w:spacing w:before="0" w:beforeAutospacing="0" w:after="0" w:afterAutospacing="0" w:line="300" w:lineRule="exact"/>
        <w:ind w:left="0" w:right="0" w:firstLine="420"/>
        <w:jc w:val="left"/>
        <w:rPr>
          <w:rFonts w:hint="eastAsia" w:ascii="宋体" w:hAnsi="宋体" w:eastAsia="宋体" w:cs="MingLiU"/>
          <w:kern w:val="0"/>
          <w:sz w:val="21"/>
          <w:szCs w:val="21"/>
          <w:highlight w:val="none"/>
        </w:rPr>
      </w:pPr>
      <w:r>
        <w:rPr>
          <w:rFonts w:hint="eastAsia" w:ascii="宋体" w:hAnsi="宋体" w:cs="宋体"/>
          <w:kern w:val="0"/>
          <w:sz w:val="21"/>
          <w:szCs w:val="21"/>
          <w:highlight w:val="none"/>
          <w:lang w:val="en-US" w:eastAsia="zh-CN" w:bidi="ar"/>
        </w:rPr>
        <w:t>报价人</w:t>
      </w:r>
      <w:r>
        <w:rPr>
          <w:rFonts w:hint="eastAsia" w:ascii="宋体" w:hAnsi="宋体" w:eastAsia="宋体" w:cs="宋体"/>
          <w:kern w:val="0"/>
          <w:sz w:val="21"/>
          <w:szCs w:val="21"/>
          <w:highlight w:val="none"/>
          <w:lang w:val="en-US" w:eastAsia="zh-CN" w:bidi="ar"/>
        </w:rPr>
        <w:t>和其他利害关系人认为本次</w:t>
      </w:r>
      <w:r>
        <w:rPr>
          <w:rFonts w:hint="eastAsia" w:ascii="宋体" w:hAnsi="宋体" w:cs="宋体"/>
          <w:kern w:val="0"/>
          <w:sz w:val="21"/>
          <w:szCs w:val="21"/>
          <w:highlight w:val="none"/>
          <w:lang w:val="en-US" w:eastAsia="zh-CN" w:bidi="ar"/>
        </w:rPr>
        <w:t>竞争性比选</w:t>
      </w:r>
      <w:r>
        <w:rPr>
          <w:rFonts w:hint="eastAsia" w:ascii="宋体" w:hAnsi="宋体" w:eastAsia="宋体" w:cs="宋体"/>
          <w:kern w:val="0"/>
          <w:sz w:val="21"/>
          <w:szCs w:val="21"/>
          <w:highlight w:val="none"/>
          <w:lang w:val="en-US" w:eastAsia="zh-CN" w:bidi="ar"/>
        </w:rPr>
        <w:t>活动违反法律、法规和规章规定的，有权向有关监督部门投诉。具体见</w:t>
      </w:r>
      <w:r>
        <w:rPr>
          <w:rFonts w:hint="eastAsia" w:ascii="宋体" w:hAnsi="宋体" w:cs="宋体"/>
          <w:kern w:val="0"/>
          <w:sz w:val="21"/>
          <w:szCs w:val="21"/>
          <w:highlight w:val="none"/>
          <w:lang w:val="en-US" w:eastAsia="zh-CN" w:bidi="ar"/>
        </w:rPr>
        <w:t>报价人须知</w:t>
      </w:r>
      <w:r>
        <w:rPr>
          <w:rFonts w:hint="eastAsia" w:ascii="宋体" w:hAnsi="宋体" w:eastAsia="宋体" w:cs="宋体"/>
          <w:kern w:val="0"/>
          <w:sz w:val="21"/>
          <w:szCs w:val="21"/>
          <w:highlight w:val="none"/>
          <w:lang w:val="en-US" w:eastAsia="zh-CN" w:bidi="ar"/>
        </w:rPr>
        <w:t>前附表。</w:t>
      </w:r>
    </w:p>
    <w:p>
      <w:pPr>
        <w:pStyle w:val="7"/>
        <w:widowControl/>
        <w:spacing w:before="0" w:beforeAutospacing="0" w:after="0" w:afterAutospacing="0" w:line="300" w:lineRule="exact"/>
        <w:rPr>
          <w:rFonts w:ascii="宋体" w:hAnsi="宋体" w:cs="宋体"/>
          <w:b/>
          <w:color w:val="auto"/>
          <w:sz w:val="28"/>
          <w:szCs w:val="28"/>
          <w:highlight w:val="none"/>
        </w:rPr>
        <w:sectPr>
          <w:footerReference r:id="rId7" w:type="default"/>
          <w:pgSz w:w="11906" w:h="16838"/>
          <w:pgMar w:top="1418" w:right="1134" w:bottom="1418" w:left="1134" w:header="851" w:footer="992" w:gutter="0"/>
          <w:pgNumType w:start="1"/>
          <w:cols w:space="720" w:num="1"/>
          <w:docGrid w:type="lines" w:linePitch="312" w:charSpace="0"/>
        </w:sectPr>
      </w:pPr>
      <w:bookmarkStart w:id="667" w:name="_Toc40455322"/>
      <w:bookmarkEnd w:id="667"/>
      <w:bookmarkStart w:id="668" w:name="_Toc287607798"/>
      <w:bookmarkEnd w:id="668"/>
      <w:bookmarkStart w:id="669" w:name="_Toc224103369"/>
      <w:bookmarkEnd w:id="669"/>
      <w:bookmarkStart w:id="670" w:name="_Toc4661478"/>
      <w:bookmarkEnd w:id="670"/>
      <w:bookmarkStart w:id="671" w:name="_Toc277082604"/>
      <w:bookmarkEnd w:id="671"/>
      <w:bookmarkStart w:id="672" w:name="_Toc4661720"/>
      <w:bookmarkEnd w:id="672"/>
      <w:bookmarkStart w:id="673" w:name="_Toc4661956"/>
      <w:bookmarkEnd w:id="673"/>
      <w:bookmarkStart w:id="674" w:name="_Toc40455695"/>
      <w:bookmarkEnd w:id="674"/>
      <w:bookmarkStart w:id="675" w:name="_Toc4662192"/>
      <w:bookmarkEnd w:id="675"/>
      <w:bookmarkStart w:id="676" w:name="_Toc287620737"/>
      <w:bookmarkEnd w:id="676"/>
      <w:bookmarkStart w:id="677" w:name="_Toc26060"/>
      <w:bookmarkEnd w:id="677"/>
      <w:bookmarkStart w:id="678" w:name="_Toc200513178"/>
      <w:r>
        <w:rPr>
          <w:rFonts w:hint="eastAsia" w:ascii="宋体" w:hAnsi="宋体" w:eastAsia="宋体" w:cs="Times New Roman"/>
          <w:b/>
          <w:kern w:val="2"/>
          <w:sz w:val="21"/>
          <w:szCs w:val="21"/>
          <w:highlight w:val="none"/>
        </w:rPr>
        <w:t>9</w:t>
      </w:r>
      <w:bookmarkEnd w:id="678"/>
      <w:r>
        <w:rPr>
          <w:rFonts w:hint="eastAsia" w:ascii="宋体" w:hAnsi="宋体" w:eastAsia="宋体" w:cs="Times New Roman"/>
          <w:b/>
          <w:kern w:val="2"/>
          <w:sz w:val="21"/>
          <w:szCs w:val="21"/>
          <w:highlight w:val="none"/>
        </w:rPr>
        <w:t>.需要补充的其他内容</w:t>
      </w:r>
    </w:p>
    <w:p>
      <w:pPr>
        <w:pStyle w:val="6"/>
        <w:jc w:val="center"/>
        <w:rPr>
          <w:rFonts w:ascii="宋体" w:hAnsi="宋体" w:eastAsia="宋体" w:cs="宋体"/>
          <w:bCs w:val="0"/>
          <w:sz w:val="28"/>
          <w:szCs w:val="28"/>
          <w:highlight w:val="none"/>
        </w:rPr>
      </w:pPr>
      <w:bookmarkStart w:id="679" w:name="_Toc28820"/>
      <w:bookmarkStart w:id="680" w:name="_Toc17532"/>
      <w:bookmarkStart w:id="681" w:name="_Toc30198"/>
      <w:bookmarkStart w:id="682" w:name="_Toc11329222"/>
      <w:bookmarkStart w:id="683" w:name="_Toc11284"/>
      <w:bookmarkStart w:id="684" w:name="_Toc32070"/>
      <w:r>
        <w:rPr>
          <w:rFonts w:hint="eastAsia" w:ascii="宋体" w:hAnsi="宋体" w:eastAsia="宋体" w:cs="宋体"/>
          <w:sz w:val="28"/>
          <w:szCs w:val="28"/>
          <w:highlight w:val="none"/>
        </w:rPr>
        <w:t xml:space="preserve">附录1  </w:t>
      </w:r>
      <w:r>
        <w:rPr>
          <w:rFonts w:hint="eastAsia" w:ascii="宋体" w:hAnsi="宋体" w:eastAsia="宋体" w:cs="宋体"/>
          <w:bCs w:val="0"/>
          <w:sz w:val="28"/>
          <w:szCs w:val="28"/>
          <w:highlight w:val="none"/>
        </w:rPr>
        <w:t>资格审查文件（项目主要管理人员最低要求）</w:t>
      </w:r>
      <w:bookmarkEnd w:id="679"/>
    </w:p>
    <w:p>
      <w:pPr>
        <w:spacing w:line="400" w:lineRule="exact"/>
        <w:jc w:val="center"/>
        <w:rPr>
          <w:highlight w:val="none"/>
        </w:rPr>
      </w:pPr>
      <w:r>
        <w:rPr>
          <w:rFonts w:hint="eastAsia" w:ascii="宋体" w:hAnsi="宋体" w:cs="宋体"/>
          <w:b/>
          <w:szCs w:val="21"/>
          <w:highlight w:val="none"/>
        </w:rPr>
        <w:t>主要管理人员最低要求</w:t>
      </w:r>
    </w:p>
    <w:tbl>
      <w:tblPr>
        <w:tblStyle w:val="45"/>
        <w:tblW w:w="9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65"/>
        <w:gridCol w:w="733"/>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序号</w:t>
            </w:r>
          </w:p>
        </w:tc>
        <w:tc>
          <w:tcPr>
            <w:tcW w:w="146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人  员</w:t>
            </w:r>
          </w:p>
        </w:tc>
        <w:tc>
          <w:tcPr>
            <w:tcW w:w="73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数量</w:t>
            </w:r>
          </w:p>
        </w:tc>
        <w:tc>
          <w:tcPr>
            <w:tcW w:w="678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lang w:bidi="ar"/>
              </w:rPr>
              <w:t>1</w:t>
            </w:r>
          </w:p>
        </w:tc>
        <w:tc>
          <w:tcPr>
            <w:tcW w:w="146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Cs w:val="21"/>
                <w:highlight w:val="none"/>
                <w:lang w:eastAsia="zh-CN"/>
              </w:rPr>
            </w:pPr>
            <w:r>
              <w:rPr>
                <w:rFonts w:hint="eastAsia"/>
                <w:highlight w:val="none"/>
              </w:rPr>
              <w:t>项目负责人</w:t>
            </w:r>
          </w:p>
        </w:tc>
        <w:tc>
          <w:tcPr>
            <w:tcW w:w="733"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bidi="ar"/>
              </w:rPr>
              <w:t>2</w:t>
            </w:r>
          </w:p>
        </w:tc>
        <w:tc>
          <w:tcPr>
            <w:tcW w:w="6784"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400" w:lineRule="exact"/>
              <w:ind w:left="0" w:right="0"/>
              <w:jc w:val="left"/>
              <w:rPr>
                <w:rFonts w:hint="default" w:ascii="宋体" w:hAnsi="宋体" w:cs="宋体"/>
                <w:szCs w:val="21"/>
                <w:highlight w:val="none"/>
              </w:rPr>
            </w:pPr>
            <w:r>
              <w:rPr>
                <w:rFonts w:hint="eastAsia"/>
                <w:highlight w:val="none"/>
              </w:rPr>
              <w:t>其中一名具有至少一次担任建筑工程一切险及第三者责任险保险项目项目项目负责人经历，另一名具有担任工程项目团体意外险项目负责人经历。</w:t>
            </w:r>
          </w:p>
        </w:tc>
      </w:tr>
    </w:tbl>
    <w:p>
      <w:pPr>
        <w:spacing w:line="400" w:lineRule="exact"/>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szCs w:val="21"/>
          <w:highlight w:val="none"/>
          <w:lang w:bidi="ar"/>
        </w:rPr>
        <w:t xml:space="preserve"> </w:t>
      </w:r>
      <w:r>
        <w:rPr>
          <w:rFonts w:hint="eastAsia"/>
          <w:color w:val="auto"/>
          <w:highlight w:val="none"/>
        </w:rPr>
        <w:t>注：须提供身份证复印件、银保监会或省银保监局或直辖市银保监局批复的项目负责人任职文件（或提供附有银保监会或省银保监局批复的项目负责人任职文件的网页截图）及2023年</w:t>
      </w:r>
      <w:r>
        <w:rPr>
          <w:rFonts w:hint="eastAsia"/>
          <w:color w:val="auto"/>
          <w:highlight w:val="none"/>
          <w:lang w:val="en-US" w:eastAsia="zh-CN"/>
        </w:rPr>
        <w:t>11</w:t>
      </w:r>
      <w:r>
        <w:rPr>
          <w:rFonts w:hint="eastAsia"/>
          <w:color w:val="auto"/>
          <w:highlight w:val="none"/>
        </w:rPr>
        <w:t>月至202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eastAsia="zh-CN"/>
        </w:rPr>
        <w:t>报价人</w:t>
      </w:r>
      <w:r>
        <w:rPr>
          <w:rFonts w:hint="eastAsia"/>
          <w:color w:val="auto"/>
          <w:highlight w:val="none"/>
        </w:rPr>
        <w:t>本单位为其缴纳的养老保险证明材料(若是总公司采用分公司人员的可为分公司为其缴纳的社保）</w:t>
      </w:r>
      <w:r>
        <w:rPr>
          <w:rFonts w:hint="eastAsia"/>
          <w:color w:val="auto"/>
          <w:highlight w:val="none"/>
          <w:lang w:eastAsia="zh-CN"/>
        </w:rPr>
        <w:t>、</w:t>
      </w:r>
      <w:r>
        <w:rPr>
          <w:rFonts w:hint="eastAsia"/>
          <w:color w:val="auto"/>
          <w:highlight w:val="none"/>
        </w:rPr>
        <w:t>提交能反应个人业绩的合同协议书或保单证明材料（若业绩的特征描述在相关资料中无法体现时，</w:t>
      </w:r>
      <w:r>
        <w:rPr>
          <w:rFonts w:hint="eastAsia"/>
          <w:color w:val="auto"/>
          <w:highlight w:val="none"/>
          <w:lang w:eastAsia="zh-CN"/>
        </w:rPr>
        <w:t>报价人</w:t>
      </w:r>
      <w:r>
        <w:rPr>
          <w:rFonts w:hint="eastAsia"/>
          <w:color w:val="auto"/>
          <w:highlight w:val="none"/>
        </w:rPr>
        <w:t>须提供该项目业主出具的证明材料）复印件。上述材料加盖投标单位</w:t>
      </w:r>
      <w:r>
        <w:rPr>
          <w:rFonts w:hint="eastAsia"/>
          <w:color w:val="auto"/>
          <w:highlight w:val="none"/>
          <w:lang w:val="en-US" w:eastAsia="zh-CN"/>
        </w:rPr>
        <w:t>公</w:t>
      </w:r>
      <w:r>
        <w:rPr>
          <w:rFonts w:hint="eastAsia"/>
          <w:color w:val="auto"/>
          <w:highlight w:val="none"/>
        </w:rPr>
        <w:t>章。</w:t>
      </w:r>
    </w:p>
    <w:p>
      <w:pPr>
        <w:pStyle w:val="29"/>
        <w:rPr>
          <w:highlight w:val="none"/>
        </w:rPr>
      </w:pPr>
    </w:p>
    <w:p>
      <w:pPr>
        <w:outlineLvl w:val="1"/>
        <w:rPr>
          <w:rFonts w:ascii="宋体" w:hAnsi="宋体" w:cs="宋体"/>
          <w:b/>
          <w:sz w:val="28"/>
          <w:szCs w:val="28"/>
          <w:highlight w:val="none"/>
        </w:rPr>
        <w:sectPr>
          <w:pgSz w:w="11906" w:h="16838"/>
          <w:pgMar w:top="1418" w:right="1134" w:bottom="1418" w:left="1134" w:header="851" w:footer="992" w:gutter="0"/>
          <w:cols w:space="720" w:num="1"/>
          <w:docGrid w:type="lines" w:linePitch="312" w:charSpace="0"/>
        </w:sectPr>
      </w:pPr>
    </w:p>
    <w:p>
      <w:pPr>
        <w:pStyle w:val="6"/>
        <w:jc w:val="center"/>
        <w:rPr>
          <w:rFonts w:ascii="宋体" w:hAnsi="宋体" w:eastAsia="宋体" w:cs="宋体"/>
          <w:bCs w:val="0"/>
          <w:sz w:val="28"/>
          <w:szCs w:val="28"/>
          <w:highlight w:val="none"/>
        </w:rPr>
      </w:pPr>
      <w:bookmarkStart w:id="685" w:name="_Toc27148"/>
      <w:bookmarkStart w:id="686" w:name="_Toc8293"/>
      <w:bookmarkStart w:id="687" w:name="_Toc21487"/>
      <w:bookmarkStart w:id="688" w:name="_Toc22513"/>
      <w:bookmarkStart w:id="689" w:name="_Toc12685"/>
      <w:bookmarkStart w:id="690" w:name="_Toc11329227"/>
      <w:r>
        <w:rPr>
          <w:rFonts w:hint="eastAsia" w:ascii="宋体" w:hAnsi="宋体" w:eastAsia="宋体" w:cs="宋体"/>
          <w:bCs w:val="0"/>
          <w:sz w:val="28"/>
          <w:szCs w:val="28"/>
          <w:highlight w:val="none"/>
        </w:rPr>
        <w:t>附录2 资格审查文件（项目其他人员最低要求）</w:t>
      </w:r>
      <w:bookmarkEnd w:id="685"/>
      <w:bookmarkEnd w:id="686"/>
      <w:bookmarkEnd w:id="687"/>
      <w:bookmarkEnd w:id="688"/>
      <w:bookmarkEnd w:id="689"/>
      <w:bookmarkEnd w:id="690"/>
    </w:p>
    <w:tbl>
      <w:tblPr>
        <w:tblStyle w:val="45"/>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16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bookmarkStart w:id="691" w:name="_Toc23696"/>
            <w:bookmarkStart w:id="692" w:name="_Toc507319900"/>
            <w:bookmarkStart w:id="693" w:name="_Toc413241584"/>
            <w:r>
              <w:rPr>
                <w:rFonts w:hint="eastAsia" w:ascii="宋体" w:hAnsi="宋体" w:cs="宋体"/>
                <w:szCs w:val="21"/>
                <w:highlight w:val="none"/>
              </w:rPr>
              <w:t>项目施工、安装及调试劳务人员最低要求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160" w:type="dxa"/>
          </w:tcPr>
          <w:p>
            <w:pPr>
              <w:keepNext w:val="0"/>
              <w:keepLines w:val="0"/>
              <w:suppressLineNumbers w:val="0"/>
              <w:spacing w:before="0" w:beforeAutospacing="0" w:after="0" w:afterAutospacing="0"/>
              <w:ind w:left="0" w:right="0" w:firstLine="420" w:firstLineChars="200"/>
              <w:rPr>
                <w:rFonts w:hint="default"/>
                <w:highlight w:val="none"/>
              </w:rPr>
            </w:pPr>
            <w:r>
              <w:rPr>
                <w:rFonts w:hint="eastAsia"/>
                <w:highlight w:val="none"/>
                <w:lang w:val="en-US" w:eastAsia="zh-CN"/>
              </w:rPr>
              <w:t>无</w:t>
            </w:r>
          </w:p>
        </w:tc>
      </w:tr>
    </w:tbl>
    <w:p>
      <w:pPr>
        <w:pStyle w:val="151"/>
        <w:adjustRightInd/>
        <w:spacing w:line="360" w:lineRule="auto"/>
        <w:jc w:val="both"/>
        <w:rPr>
          <w:rFonts w:hAnsi="宋体"/>
          <w:color w:val="FF0000"/>
          <w:sz w:val="21"/>
          <w:szCs w:val="21"/>
          <w:highlight w:val="none"/>
        </w:rPr>
      </w:pPr>
      <w:r>
        <w:rPr>
          <w:rFonts w:hint="eastAsia" w:hAnsi="宋体"/>
          <w:color w:val="auto"/>
          <w:sz w:val="21"/>
          <w:szCs w:val="21"/>
          <w:highlight w:val="none"/>
        </w:rPr>
        <w:t>注：</w:t>
      </w:r>
      <w:r>
        <w:rPr>
          <w:rFonts w:hint="eastAsia" w:ascii="Times New Roman" w:hAnsi="宋体" w:cs="Times New Roman"/>
          <w:color w:val="auto"/>
          <w:sz w:val="21"/>
          <w:szCs w:val="21"/>
          <w:highlight w:val="none"/>
        </w:rPr>
        <w:t>以上人员不得</w:t>
      </w:r>
      <w:r>
        <w:rPr>
          <w:rFonts w:hint="eastAsia" w:hAnsi="宋体" w:cs="Times New Roman"/>
          <w:color w:val="auto"/>
          <w:sz w:val="21"/>
          <w:szCs w:val="21"/>
          <w:highlight w:val="none"/>
        </w:rPr>
        <w:t>在其他项目</w:t>
      </w:r>
      <w:r>
        <w:rPr>
          <w:rFonts w:hint="eastAsia" w:ascii="Times New Roman" w:hAnsi="宋体" w:cs="Times New Roman"/>
          <w:color w:val="auto"/>
          <w:sz w:val="21"/>
          <w:szCs w:val="21"/>
          <w:highlight w:val="none"/>
        </w:rPr>
        <w:t>重复任职</w:t>
      </w:r>
      <w:r>
        <w:rPr>
          <w:rFonts w:hint="eastAsia" w:ascii="Times New Roman" w:hAnsi="宋体" w:cs="Times New Roman"/>
          <w:color w:val="auto"/>
          <w:sz w:val="21"/>
          <w:szCs w:val="21"/>
          <w:highlight w:val="none"/>
          <w:lang w:eastAsia="zh-CN"/>
        </w:rPr>
        <w:t>，</w:t>
      </w:r>
      <w:r>
        <w:rPr>
          <w:rFonts w:hint="eastAsia" w:ascii="Times New Roman" w:hAnsi="宋体" w:cs="Times New Roman"/>
          <w:caps w:val="0"/>
          <w:color w:val="auto"/>
          <w:sz w:val="21"/>
          <w:szCs w:val="21"/>
          <w:highlight w:val="none"/>
        </w:rPr>
        <w:t>报价人自行承诺即可，</w:t>
      </w:r>
      <w:r>
        <w:rPr>
          <w:rFonts w:hint="eastAsia" w:ascii="Times New Roman" w:hAnsi="宋体" w:cs="Times New Roman"/>
          <w:caps w:val="0"/>
          <w:color w:val="auto"/>
          <w:sz w:val="21"/>
          <w:szCs w:val="21"/>
          <w:highlight w:val="none"/>
          <w:lang w:val="en-US" w:eastAsia="zh-CN"/>
        </w:rPr>
        <w:t>提供承诺资料并加盖单位公章</w:t>
      </w:r>
      <w:r>
        <w:rPr>
          <w:rFonts w:hint="eastAsia" w:hAnsi="宋体"/>
          <w:color w:val="auto"/>
          <w:sz w:val="21"/>
          <w:szCs w:val="21"/>
          <w:highlight w:val="none"/>
        </w:rPr>
        <w:t>。</w:t>
      </w:r>
    </w:p>
    <w:bookmarkEnd w:id="691"/>
    <w:bookmarkEnd w:id="692"/>
    <w:bookmarkEnd w:id="693"/>
    <w:p>
      <w:pPr>
        <w:pStyle w:val="6"/>
        <w:rPr>
          <w:rStyle w:val="176"/>
          <w:rFonts w:ascii="宋体" w:hAnsi="宋体" w:eastAsia="宋体" w:cs="宋体"/>
          <w:b w:val="0"/>
          <w:bCs w:val="0"/>
          <w:sz w:val="28"/>
          <w:szCs w:val="28"/>
          <w:highlight w:val="none"/>
        </w:rPr>
      </w:pPr>
    </w:p>
    <w:p>
      <w:pPr>
        <w:pStyle w:val="6"/>
        <w:rPr>
          <w:rFonts w:hAnsi="宋体"/>
          <w:b w:val="0"/>
          <w:sz w:val="28"/>
          <w:szCs w:val="28"/>
          <w:highlight w:val="none"/>
        </w:rPr>
      </w:pPr>
      <w:bookmarkStart w:id="694" w:name="_Toc6096"/>
      <w:bookmarkStart w:id="695" w:name="_Toc17384"/>
      <w:bookmarkStart w:id="696" w:name="_Toc4169"/>
      <w:bookmarkStart w:id="697" w:name="_Toc23610"/>
      <w:bookmarkStart w:id="698" w:name="_Toc12175"/>
      <w:r>
        <w:rPr>
          <w:rFonts w:hint="eastAsia" w:ascii="宋体" w:hAnsi="宋体" w:eastAsia="宋体" w:cs="宋体"/>
          <w:bCs w:val="0"/>
          <w:sz w:val="28"/>
          <w:szCs w:val="28"/>
          <w:highlight w:val="none"/>
        </w:rPr>
        <w:t>附录3 资格审查文件（主要机械设备和试验检测设备最低要求）</w:t>
      </w:r>
      <w:bookmarkEnd w:id="694"/>
      <w:bookmarkEnd w:id="695"/>
      <w:bookmarkEnd w:id="696"/>
      <w:bookmarkEnd w:id="697"/>
      <w:bookmarkEnd w:id="698"/>
    </w:p>
    <w:tbl>
      <w:tblPr>
        <w:tblStyle w:val="45"/>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160"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Cs w:val="21"/>
                <w:highlight w:val="none"/>
              </w:rPr>
            </w:pPr>
            <w:r>
              <w:rPr>
                <w:rFonts w:hint="eastAsia" w:ascii="宋体" w:hAnsi="宋体" w:cs="宋体"/>
                <w:szCs w:val="21"/>
                <w:highlight w:val="none"/>
              </w:rPr>
              <w:t>主要机械设备和试验检测设备最低要求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9160" w:type="dxa"/>
          </w:tcPr>
          <w:p>
            <w:pPr>
              <w:keepNext w:val="0"/>
              <w:keepLines w:val="0"/>
              <w:suppressLineNumbers w:val="0"/>
              <w:spacing w:before="0" w:beforeAutospacing="0" w:after="0" w:afterAutospacing="0"/>
              <w:ind w:left="0" w:right="0" w:firstLine="420" w:firstLineChars="200"/>
              <w:rPr>
                <w:rFonts w:hint="default" w:eastAsia="宋体"/>
                <w:highlight w:val="none"/>
                <w:lang w:val="en-US" w:eastAsia="zh-CN"/>
              </w:rPr>
            </w:pPr>
            <w:r>
              <w:rPr>
                <w:rFonts w:hint="eastAsia"/>
                <w:highlight w:val="none"/>
                <w:lang w:val="en-US" w:eastAsia="zh-CN"/>
              </w:rPr>
              <w:t>无</w:t>
            </w:r>
          </w:p>
        </w:tc>
      </w:tr>
    </w:tbl>
    <w:p>
      <w:pPr>
        <w:spacing w:line="400" w:lineRule="exact"/>
        <w:ind w:firstLine="420"/>
        <w:rPr>
          <w:rFonts w:ascii="宋体" w:hAnsi="宋体" w:cs="宋体"/>
          <w:kern w:val="0"/>
          <w:szCs w:val="21"/>
          <w:highlight w:val="none"/>
        </w:rPr>
      </w:pPr>
      <w:r>
        <w:rPr>
          <w:rFonts w:hint="eastAsia" w:ascii="宋体" w:hAnsi="宋体" w:cs="宋体"/>
          <w:bCs/>
          <w:kern w:val="0"/>
          <w:szCs w:val="21"/>
          <w:highlight w:val="none"/>
        </w:rPr>
        <w:t>注：以上设备</w:t>
      </w:r>
      <w:r>
        <w:rPr>
          <w:rFonts w:hint="eastAsia" w:ascii="宋体" w:hAnsi="宋体" w:cs="宋体"/>
          <w:kern w:val="0"/>
          <w:highlight w:val="none"/>
        </w:rPr>
        <w:t>由报价人</w:t>
      </w:r>
      <w:r>
        <w:rPr>
          <w:rFonts w:hint="eastAsia" w:ascii="宋体" w:hAnsi="宋体" w:cs="宋体"/>
          <w:b/>
          <w:kern w:val="0"/>
          <w:highlight w:val="none"/>
        </w:rPr>
        <w:t>自行承诺</w:t>
      </w:r>
      <w:r>
        <w:rPr>
          <w:rFonts w:hint="eastAsia" w:ascii="Times New Roman" w:hAnsi="宋体" w:cs="Times New Roman"/>
          <w:caps w:val="0"/>
          <w:color w:val="auto"/>
          <w:sz w:val="21"/>
          <w:szCs w:val="21"/>
          <w:highlight w:val="none"/>
        </w:rPr>
        <w:t>，</w:t>
      </w:r>
      <w:r>
        <w:rPr>
          <w:rFonts w:hint="eastAsia" w:ascii="Times New Roman" w:hAnsi="宋体" w:cs="Times New Roman"/>
          <w:caps w:val="0"/>
          <w:color w:val="auto"/>
          <w:sz w:val="21"/>
          <w:szCs w:val="21"/>
          <w:highlight w:val="none"/>
          <w:lang w:val="en-US" w:eastAsia="zh-CN"/>
        </w:rPr>
        <w:t>提供承诺资料并加盖单位公章</w:t>
      </w:r>
      <w:r>
        <w:rPr>
          <w:rFonts w:hint="eastAsia" w:ascii="宋体" w:hAnsi="宋体" w:cs="宋体"/>
          <w:kern w:val="0"/>
          <w:szCs w:val="21"/>
          <w:highlight w:val="none"/>
        </w:rPr>
        <w:t>。</w:t>
      </w:r>
    </w:p>
    <w:p>
      <w:pPr>
        <w:pStyle w:val="29"/>
        <w:rPr>
          <w:rFonts w:hint="eastAsia"/>
          <w:color w:val="auto"/>
          <w:highlight w:val="none"/>
        </w:rPr>
      </w:pPr>
      <w:r>
        <w:rPr>
          <w:rFonts w:hint="eastAsia" w:hAnsi="宋体"/>
          <w:b/>
          <w:bCs/>
          <w:color w:val="auto"/>
          <w:sz w:val="21"/>
          <w:szCs w:val="21"/>
          <w:highlight w:val="none"/>
        </w:rPr>
        <w:t>以上（附录1-附录3中的资格审查）的要求均为强制性条件，其中任何一条不满足要求，则按否决报价处理。</w:t>
      </w:r>
      <w:bookmarkEnd w:id="680"/>
      <w:bookmarkEnd w:id="681"/>
      <w:bookmarkEnd w:id="682"/>
      <w:bookmarkEnd w:id="683"/>
      <w:bookmarkEnd w:id="684"/>
      <w:bookmarkStart w:id="699" w:name="_Toc388534043"/>
      <w:bookmarkStart w:id="700" w:name="_Toc387234996"/>
    </w:p>
    <w:bookmarkEnd w:id="699"/>
    <w:bookmarkEnd w:id="700"/>
    <w:p>
      <w:pPr>
        <w:spacing w:line="440" w:lineRule="exact"/>
        <w:ind w:firstLine="210" w:firstLineChars="100"/>
        <w:rPr>
          <w:rFonts w:hint="eastAsia" w:ascii="宋体" w:hAnsi="宋体" w:cs="宋体"/>
          <w:color w:val="auto"/>
          <w:highlight w:val="none"/>
        </w:rPr>
      </w:pPr>
    </w:p>
    <w:p>
      <w:pPr>
        <w:pStyle w:val="3"/>
        <w:rPr>
          <w:rFonts w:hint="eastAsia" w:ascii="宋体" w:hAnsi="宋体" w:cs="宋体"/>
          <w:color w:val="auto"/>
          <w:highlight w:val="none"/>
        </w:rPr>
      </w:pPr>
    </w:p>
    <w:p>
      <w:pPr>
        <w:rPr>
          <w:rFonts w:hint="eastAsia" w:ascii="宋体" w:hAnsi="宋体" w:cs="宋体"/>
          <w:color w:val="auto"/>
          <w:highlight w:val="none"/>
        </w:rPr>
      </w:pPr>
    </w:p>
    <w:p>
      <w:pPr>
        <w:pStyle w:val="3"/>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pStyle w:val="3"/>
        <w:rPr>
          <w:rFonts w:hint="eastAsia" w:ascii="宋体" w:hAnsi="宋体" w:cs="宋体"/>
          <w:color w:val="auto"/>
          <w:highlight w:val="none"/>
        </w:rPr>
      </w:pPr>
    </w:p>
    <w:p>
      <w:pPr>
        <w:rPr>
          <w:rFonts w:hint="eastAsia" w:ascii="宋体" w:hAnsi="宋体" w:cs="宋体"/>
          <w:color w:val="auto"/>
          <w:highlight w:val="none"/>
        </w:rPr>
      </w:pPr>
    </w:p>
    <w:p>
      <w:pPr>
        <w:pStyle w:val="3"/>
        <w:rPr>
          <w:rFonts w:hint="eastAsia"/>
          <w:color w:val="auto"/>
          <w:highlight w:val="none"/>
        </w:rPr>
      </w:pPr>
    </w:p>
    <w:p>
      <w:pPr>
        <w:rPr>
          <w:rFonts w:hint="eastAsia" w:ascii="Times New Roman" w:hAnsi="Times New Roman" w:eastAsia="宋体" w:cs="Times New Roman"/>
          <w:b/>
          <w:bCs/>
          <w:color w:val="auto"/>
          <w:kern w:val="44"/>
          <w:sz w:val="44"/>
          <w:szCs w:val="44"/>
          <w:highlight w:val="none"/>
          <w:lang w:val="en-US" w:eastAsia="zh-CN" w:bidi="ar-SA"/>
        </w:rPr>
      </w:pPr>
      <w:bookmarkStart w:id="701" w:name="_Toc144974554"/>
      <w:bookmarkStart w:id="702" w:name="_Toc152045587"/>
      <w:bookmarkStart w:id="703" w:name="_Toc20700"/>
      <w:bookmarkStart w:id="704" w:name="_Toc246996973"/>
      <w:bookmarkStart w:id="705" w:name="_Toc507319957"/>
      <w:bookmarkStart w:id="706" w:name="_Toc246996230"/>
      <w:bookmarkStart w:id="707" w:name="_Toc247085745"/>
      <w:bookmarkStart w:id="708" w:name="_Toc2000406"/>
      <w:bookmarkStart w:id="709" w:name="_Toc179632605"/>
      <w:bookmarkStart w:id="710" w:name="_Toc152042364"/>
      <w:r>
        <w:rPr>
          <w:rFonts w:hint="eastAsia" w:ascii="Times New Roman" w:hAnsi="Times New Roman" w:eastAsia="宋体" w:cs="Times New Roman"/>
          <w:b/>
          <w:bCs/>
          <w:color w:val="auto"/>
          <w:kern w:val="44"/>
          <w:sz w:val="44"/>
          <w:szCs w:val="44"/>
          <w:highlight w:val="none"/>
          <w:lang w:val="en-US" w:eastAsia="zh-CN" w:bidi="ar-SA"/>
        </w:rPr>
        <w:br w:type="page"/>
      </w:r>
    </w:p>
    <w:p>
      <w:pPr>
        <w:pStyle w:val="5"/>
        <w:numPr>
          <w:ilvl w:val="0"/>
          <w:numId w:val="0"/>
        </w:numPr>
        <w:spacing w:before="0" w:after="0" w:line="360" w:lineRule="auto"/>
        <w:jc w:val="center"/>
        <w:rPr>
          <w:rFonts w:hint="eastAsia"/>
          <w:color w:val="auto"/>
          <w:highlight w:val="none"/>
        </w:rPr>
      </w:pPr>
      <w:r>
        <w:rPr>
          <w:rFonts w:hint="eastAsia" w:ascii="Times New Roman" w:hAnsi="Times New Roman" w:eastAsia="宋体" w:cs="Times New Roman"/>
          <w:b/>
          <w:bCs/>
          <w:color w:val="auto"/>
          <w:kern w:val="44"/>
          <w:sz w:val="44"/>
          <w:szCs w:val="44"/>
          <w:highlight w:val="none"/>
          <w:lang w:val="en-US" w:eastAsia="zh-CN" w:bidi="ar-SA"/>
        </w:rPr>
        <w:t>第三章</w:t>
      </w:r>
      <w:r>
        <w:rPr>
          <w:rFonts w:hint="eastAsia" w:cs="Times New Roman"/>
          <w:b/>
          <w:bCs/>
          <w:color w:val="auto"/>
          <w:kern w:val="44"/>
          <w:sz w:val="44"/>
          <w:szCs w:val="44"/>
          <w:highlight w:val="none"/>
          <w:lang w:val="en-US" w:eastAsia="zh-CN" w:bidi="ar-SA"/>
        </w:rPr>
        <w:t xml:space="preserve"> </w:t>
      </w:r>
      <w:r>
        <w:rPr>
          <w:rFonts w:hint="eastAsia" w:ascii="宋体" w:hAnsi="宋体" w:cs="宋体"/>
          <w:color w:val="auto"/>
          <w:highlight w:val="none"/>
        </w:rPr>
        <w:t>评标办法（</w:t>
      </w:r>
      <w:r>
        <w:rPr>
          <w:rFonts w:hint="eastAsia" w:ascii="宋体" w:hAnsi="宋体" w:cs="宋体"/>
          <w:color w:val="auto"/>
          <w:highlight w:val="none"/>
          <w:lang w:val="en-US" w:eastAsia="zh-CN"/>
        </w:rPr>
        <w:t>综合评估法</w:t>
      </w:r>
      <w:r>
        <w:rPr>
          <w:rFonts w:hint="eastAsia" w:ascii="宋体" w:hAnsi="宋体" w:cs="宋体"/>
          <w:color w:val="auto"/>
          <w:highlight w:val="none"/>
        </w:rPr>
        <w:t>）</w:t>
      </w:r>
      <w:bookmarkEnd w:id="701"/>
      <w:bookmarkEnd w:id="702"/>
      <w:bookmarkEnd w:id="703"/>
      <w:bookmarkEnd w:id="704"/>
      <w:bookmarkEnd w:id="705"/>
      <w:bookmarkEnd w:id="706"/>
      <w:bookmarkEnd w:id="707"/>
      <w:bookmarkEnd w:id="708"/>
      <w:bookmarkEnd w:id="709"/>
      <w:bookmarkEnd w:id="710"/>
    </w:p>
    <w:p>
      <w:pPr>
        <w:pStyle w:val="6"/>
        <w:spacing w:before="0" w:after="0" w:line="360" w:lineRule="auto"/>
        <w:rPr>
          <w:rFonts w:hint="eastAsia" w:ascii="宋体" w:hAnsi="宋体" w:cs="宋体"/>
          <w:color w:val="auto"/>
          <w:sz w:val="28"/>
          <w:szCs w:val="28"/>
          <w:highlight w:val="none"/>
          <w:lang w:val="en-US" w:eastAsia="zh-CN"/>
        </w:rPr>
      </w:pPr>
      <w:bookmarkStart w:id="711" w:name="_Toc18631"/>
      <w:r>
        <w:rPr>
          <w:rFonts w:hint="eastAsia" w:ascii="宋体" w:hAnsi="宋体" w:cs="宋体"/>
          <w:color w:val="auto"/>
          <w:sz w:val="28"/>
          <w:szCs w:val="28"/>
          <w:highlight w:val="none"/>
        </w:rPr>
        <w:t>评标方法</w:t>
      </w:r>
      <w:r>
        <w:rPr>
          <w:rFonts w:hint="eastAsia" w:ascii="宋体" w:hAnsi="宋体" w:cs="宋体"/>
          <w:color w:val="auto"/>
          <w:sz w:val="28"/>
          <w:szCs w:val="28"/>
          <w:highlight w:val="none"/>
          <w:lang w:val="en-US" w:eastAsia="zh-CN"/>
        </w:rPr>
        <w:t>前附表</w:t>
      </w:r>
      <w:bookmarkEnd w:id="711"/>
    </w:p>
    <w:tbl>
      <w:tblPr>
        <w:tblStyle w:val="45"/>
        <w:tblpPr w:leftFromText="180" w:rightFromText="180" w:vertAnchor="text" w:horzAnchor="page" w:tblpX="1139" w:tblpY="296"/>
        <w:tblOverlap w:val="never"/>
        <w:tblW w:w="98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075"/>
        <w:gridCol w:w="1090"/>
        <w:gridCol w:w="1417"/>
        <w:gridCol w:w="4665"/>
        <w:gridCol w:w="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trPr>
        <w:tc>
          <w:tcPr>
            <w:tcW w:w="2931" w:type="dxa"/>
            <w:gridSpan w:val="3"/>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条款号</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评审因素</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766" w:type="dxa"/>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2165" w:type="dxa"/>
            <w:gridSpan w:val="2"/>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评标方法</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中标候选人排序方法</w:t>
            </w:r>
          </w:p>
        </w:tc>
        <w:tc>
          <w:tcPr>
            <w:tcW w:w="5457" w:type="dxa"/>
            <w:gridSpan w:val="2"/>
            <w:tcBorders>
              <w:top w:val="single" w:color="auto" w:sz="4" w:space="0"/>
              <w:left w:val="single" w:color="auto" w:sz="4" w:space="0"/>
              <w:bottom w:val="single" w:color="auto" w:sz="4" w:space="0"/>
            </w:tcBorders>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报价人得分=A+B+C，对通过初步评审的报价人按照投标总得分（商务+技术+报价）由从高到低的先后顺序。如出现得分(精确到小数点后两位)相等时，按以下原则确定第一中标候选人：</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（1）以评标价低的报价人优先；</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（2）如评标价也相同时，以技术得分较高的报价人优先；</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（3）如技术得分也相同时，以商务得分高的报价人优先；</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（4）如商务得分也相同时，由评标委员会投票决定。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restart"/>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2165" w:type="dxa"/>
            <w:gridSpan w:val="2"/>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形式评审标准</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报价人名称</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报价函签字盖章</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有法定代表人或委托代理人签字或加盖单位鲜公章。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竞争性比选响应文件格式</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符合第九章“竞争性比选响应文件格式”的要求，字迹清晰可辨。</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1.报价函的所有数据均符合比选文件的规定；</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2.竞争性比选响应文件附表齐全完整，内容均按规定填写；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已标价工程量清单</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符合第</w:t>
            </w:r>
            <w:r>
              <w:rPr>
                <w:rFonts w:hint="eastAsia" w:asciiTheme="minorEastAsia" w:hAnsiTheme="minorEastAsia" w:eastAsiaTheme="minorEastAsia" w:cstheme="minorEastAsia"/>
                <w:color w:val="auto"/>
                <w:sz w:val="21"/>
                <w:szCs w:val="21"/>
                <w:highlight w:val="none"/>
                <w:lang w:val="en-US" w:eastAsia="zh-CN"/>
              </w:rPr>
              <w:t>五</w:t>
            </w:r>
            <w:r>
              <w:rPr>
                <w:rFonts w:hint="eastAsia" w:asciiTheme="minorEastAsia" w:hAnsiTheme="minorEastAsia" w:eastAsiaTheme="minorEastAsia" w:cstheme="minorEastAsia"/>
                <w:color w:val="auto"/>
                <w:sz w:val="21"/>
                <w:szCs w:val="21"/>
                <w:highlight w:val="none"/>
              </w:rPr>
              <w:t>章“工程量清单”给出的范围及数量。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top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报价其它要求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竞争性比选响应文件报价表中的报价与报价书文字报价应保持一致。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66"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竞争性比选响应文件正本中法定代表人或其授权代理人签署</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竞争性比选响应文件正本中法定代表人或授权代理人签署姓名齐全，符合比选文件规定；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5" w:hRule="atLeast"/>
        </w:trPr>
        <w:tc>
          <w:tcPr>
            <w:tcW w:w="766"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其它材料</w:t>
            </w:r>
          </w:p>
        </w:tc>
        <w:tc>
          <w:tcPr>
            <w:tcW w:w="5457" w:type="dxa"/>
            <w:gridSpan w:val="2"/>
            <w:tcBorders>
              <w:top w:val="single" w:color="auto" w:sz="4" w:space="0"/>
              <w:left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单位负责人为同一人或者存在控股、管理关系的不同单位，不得同时参加报价，否则相关报价均无效。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restart"/>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216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资格评审标准</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asciiTheme="minorEastAsia" w:hAnsiTheme="minorEastAsia" w:eastAsiaTheme="minorEastAsia" w:cstheme="minorEastAsia"/>
                <w:color w:val="auto"/>
                <w:sz w:val="21"/>
                <w:szCs w:val="21"/>
                <w:highlight w:val="none"/>
                <w:lang w:val="en-US" w:eastAsia="zh-CN"/>
              </w:rPr>
            </w:pPr>
            <w:r>
              <w:rPr>
                <w:rFonts w:hint="default"/>
                <w:highlight w:val="none"/>
              </w:rPr>
              <w:t>营业执照</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8</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资质要求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8</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4"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业绩要求</w:t>
            </w:r>
          </w:p>
        </w:tc>
        <w:tc>
          <w:tcPr>
            <w:tcW w:w="5457" w:type="dxa"/>
            <w:gridSpan w:val="2"/>
            <w:tcBorders>
              <w:top w:val="single" w:color="auto" w:sz="4" w:space="0"/>
              <w:left w:val="single" w:color="auto" w:sz="4" w:space="0"/>
              <w:bottom w:val="single" w:color="auto" w:sz="4" w:space="0"/>
            </w:tcBorders>
            <w:vAlign w:val="top"/>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8</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highlight w:val="none"/>
              </w:rPr>
            </w:pPr>
            <w:r>
              <w:rPr>
                <w:rFonts w:hint="default"/>
                <w:highlight w:val="none"/>
              </w:rPr>
              <w:t>信誉要求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default"/>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8</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highlight w:val="none"/>
              </w:rPr>
            </w:pPr>
            <w:r>
              <w:rPr>
                <w:rFonts w:hint="eastAsia" w:ascii="宋体" w:hAnsi="宋体" w:cs="宋体"/>
                <w:szCs w:val="21"/>
                <w:highlight w:val="none"/>
              </w:rPr>
              <w:t>项目主要管理人员</w:t>
            </w:r>
            <w:r>
              <w:rPr>
                <w:rFonts w:hint="default"/>
                <w:highlight w:val="none"/>
              </w:rPr>
              <w:t>最低要求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default"/>
                <w:highlight w:val="none"/>
              </w:rPr>
            </w:pPr>
            <w:r>
              <w:rPr>
                <w:rFonts w:hint="default"/>
                <w:highlight w:val="none"/>
              </w:rPr>
              <w:t>符合第二章“</w:t>
            </w:r>
            <w:r>
              <w:rPr>
                <w:rFonts w:hint="eastAsia"/>
                <w:highlight w:val="none"/>
              </w:rPr>
              <w:t>报价</w:t>
            </w:r>
            <w:r>
              <w:rPr>
                <w:rFonts w:hint="default"/>
                <w:highlight w:val="none"/>
              </w:rPr>
              <w:t>人须知”前附表附录</w:t>
            </w:r>
            <w:r>
              <w:rPr>
                <w:rFonts w:hint="eastAsia"/>
                <w:highlight w:val="none"/>
              </w:rPr>
              <w:t>1</w:t>
            </w:r>
            <w:r>
              <w:rPr>
                <w:rFonts w:hint="default"/>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highlight w:val="none"/>
              </w:rPr>
            </w:pPr>
            <w:r>
              <w:rPr>
                <w:rFonts w:hint="eastAsia" w:ascii="宋体" w:hAnsi="宋体" w:cs="宋体"/>
                <w:szCs w:val="21"/>
                <w:highlight w:val="none"/>
              </w:rPr>
              <w:t>其他人员最低要求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default"/>
                <w:highlight w:val="none"/>
              </w:rPr>
            </w:pPr>
            <w:r>
              <w:rPr>
                <w:rFonts w:hint="default"/>
                <w:highlight w:val="none"/>
              </w:rPr>
              <w:t>符合第二章“</w:t>
            </w:r>
            <w:r>
              <w:rPr>
                <w:rFonts w:hint="eastAsia"/>
                <w:highlight w:val="none"/>
              </w:rPr>
              <w:t>报价</w:t>
            </w:r>
            <w:r>
              <w:rPr>
                <w:rFonts w:hint="default"/>
                <w:highlight w:val="none"/>
              </w:rPr>
              <w:t>人须知”前附表附录</w:t>
            </w:r>
            <w:r>
              <w:rPr>
                <w:rFonts w:hint="eastAsia"/>
                <w:highlight w:val="none"/>
              </w:rPr>
              <w:t>2</w:t>
            </w:r>
            <w:r>
              <w:rPr>
                <w:rFonts w:hint="default"/>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kern w:val="1"/>
                <w:highlight w:val="none"/>
              </w:rPr>
              <w:t>主要机械设备和试验检测设备最低要求</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人须知”前附表附录</w:t>
            </w:r>
            <w:r>
              <w:rPr>
                <w:rFonts w:hint="eastAsia"/>
                <w:highlight w:val="none"/>
              </w:rPr>
              <w:t>3</w:t>
            </w:r>
            <w:r>
              <w:rPr>
                <w:rFonts w:hint="default"/>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766" w:type="dxa"/>
            <w:vMerge w:val="restart"/>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216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响应性评审标准</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投标内容</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4</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66" w:type="dxa"/>
            <w:vMerge w:val="continue"/>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报价</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符合比选文件给出的范围及数量，且报价不得超过</w:t>
            </w:r>
            <w:r>
              <w:rPr>
                <w:rFonts w:hint="eastAsia"/>
                <w:highlight w:val="none"/>
              </w:rPr>
              <w:t>采购人</w:t>
            </w:r>
            <w:r>
              <w:rPr>
                <w:rFonts w:hint="default"/>
                <w:highlight w:val="none"/>
              </w:rPr>
              <w:t>公布的最高限价，但也不得低于</w:t>
            </w:r>
            <w:r>
              <w:rPr>
                <w:rFonts w:hint="eastAsia"/>
                <w:highlight w:val="none"/>
              </w:rPr>
              <w:t>报价</w:t>
            </w:r>
            <w:r>
              <w:rPr>
                <w:rFonts w:hint="default"/>
                <w:highlight w:val="none"/>
              </w:rPr>
              <w:t>人的企业成本。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1"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cs="宋体"/>
                <w:b w:val="0"/>
                <w:bCs w:val="0"/>
                <w:color w:val="auto"/>
                <w:kern w:val="2"/>
                <w:sz w:val="21"/>
                <w:szCs w:val="24"/>
                <w:highlight w:val="none"/>
                <w:lang w:val="en-US" w:eastAsia="zh-CN" w:bidi="ar-SA"/>
              </w:rPr>
            </w:pPr>
            <w:r>
              <w:rPr>
                <w:rFonts w:hint="default"/>
                <w:highlight w:val="none"/>
              </w:rPr>
              <w:t>工期</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5</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1"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default" w:asciiTheme="minorEastAsia" w:hAnsiTheme="minorEastAsia" w:eastAsiaTheme="minorEastAsia" w:cstheme="minorEastAsia"/>
                <w:color w:val="auto"/>
                <w:sz w:val="21"/>
                <w:szCs w:val="21"/>
                <w:highlight w:val="none"/>
                <w:lang w:val="en-US" w:eastAsia="zh-CN"/>
              </w:rPr>
            </w:pPr>
            <w:r>
              <w:rPr>
                <w:rFonts w:hint="default"/>
                <w:highlight w:val="none"/>
              </w:rPr>
              <w:t>质量标准</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default" w:asciiTheme="minorEastAsia" w:hAnsiTheme="minorEastAsia" w:eastAsiaTheme="minorEastAsia" w:cstheme="minorEastAsia"/>
                <w:color w:val="auto"/>
                <w:sz w:val="21"/>
                <w:szCs w:val="21"/>
                <w:highlight w:val="none"/>
                <w:lang w:val="en-US" w:eastAsia="zh-CN"/>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6</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21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leftChars="0" w:right="0" w:rightChars="0"/>
              <w:jc w:val="center"/>
              <w:rPr>
                <w:rFonts w:hint="eastAsia" w:asciiTheme="minorEastAsia" w:hAnsiTheme="minorEastAsia" w:eastAsiaTheme="minorEastAsia" w:cstheme="minorEastAsia"/>
                <w:color w:val="auto"/>
                <w:sz w:val="21"/>
                <w:szCs w:val="21"/>
                <w:highlight w:val="none"/>
              </w:rPr>
            </w:pPr>
            <w:r>
              <w:rPr>
                <w:rFonts w:hint="default"/>
                <w:highlight w:val="none"/>
              </w:rPr>
              <w:t>安全目标</w:t>
            </w:r>
          </w:p>
        </w:tc>
        <w:tc>
          <w:tcPr>
            <w:tcW w:w="5457" w:type="dxa"/>
            <w:gridSpan w:val="2"/>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leftChars="0" w:right="0" w:rightChars="0"/>
              <w:rPr>
                <w:rFonts w:hint="eastAsia" w:asciiTheme="minorEastAsia" w:hAnsiTheme="minorEastAsia" w:eastAsiaTheme="minorEastAsia" w:cstheme="minorEastAsia"/>
                <w:color w:val="auto"/>
                <w:sz w:val="21"/>
                <w:szCs w:val="21"/>
                <w:highlight w:val="none"/>
              </w:rPr>
            </w:pPr>
            <w:r>
              <w:rPr>
                <w:rFonts w:hint="default"/>
                <w:highlight w:val="none"/>
              </w:rPr>
              <w:t>符合第二章“</w:t>
            </w:r>
            <w:r>
              <w:rPr>
                <w:rFonts w:hint="eastAsia"/>
                <w:highlight w:val="none"/>
              </w:rPr>
              <w:t>报价</w:t>
            </w:r>
            <w:r>
              <w:rPr>
                <w:rFonts w:hint="default"/>
                <w:highlight w:val="none"/>
              </w:rPr>
              <w:t>人须知”第</w:t>
            </w:r>
            <w:r>
              <w:rPr>
                <w:rFonts w:hint="eastAsia"/>
                <w:highlight w:val="none"/>
              </w:rPr>
              <w:t>7</w:t>
            </w:r>
            <w:r>
              <w:rPr>
                <w:rFonts w:hint="default"/>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9" w:hRule="atLeast"/>
        </w:trPr>
        <w:tc>
          <w:tcPr>
            <w:tcW w:w="766"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tabs>
                <w:tab w:val="left" w:pos="1875"/>
              </w:tabs>
              <w:spacing w:line="400" w:lineRule="exact"/>
              <w:jc w:val="center"/>
              <w:rPr>
                <w:rFonts w:hint="eastAsia" w:ascii="宋体" w:hAnsi="宋体" w:cs="宋体"/>
                <w:szCs w:val="21"/>
                <w:highlight w:val="none"/>
              </w:rPr>
            </w:pPr>
            <w:r>
              <w:rPr>
                <w:rFonts w:hint="eastAsia" w:ascii="宋体" w:hAnsi="宋体" w:cs="宋体"/>
                <w:kern w:val="0"/>
                <w:szCs w:val="21"/>
                <w:highlight w:val="none"/>
              </w:rPr>
              <w:t>分值构成</w:t>
            </w:r>
          </w:p>
          <w:p>
            <w:pPr>
              <w:tabs>
                <w:tab w:val="left" w:pos="1875"/>
              </w:tabs>
              <w:spacing w:line="400" w:lineRule="exact"/>
              <w:jc w:val="center"/>
              <w:rPr>
                <w:rFonts w:hint="eastAsia" w:asciiTheme="minorEastAsia" w:hAnsiTheme="minorEastAsia" w:eastAsiaTheme="minorEastAsia" w:cstheme="minorEastAsia"/>
                <w:color w:val="auto"/>
                <w:kern w:val="0"/>
                <w:sz w:val="21"/>
                <w:szCs w:val="21"/>
                <w:highlight w:val="none"/>
              </w:rPr>
            </w:pPr>
            <w:r>
              <w:rPr>
                <w:rFonts w:hint="eastAsia" w:ascii="宋体" w:hAnsi="宋体" w:cs="宋体"/>
                <w:kern w:val="0"/>
                <w:szCs w:val="21"/>
                <w:highlight w:val="none"/>
              </w:rPr>
              <w:t>(总分100分)</w:t>
            </w:r>
          </w:p>
        </w:tc>
        <w:tc>
          <w:tcPr>
            <w:tcW w:w="6874" w:type="dxa"/>
            <w:gridSpan w:val="3"/>
            <w:tcBorders>
              <w:top w:val="single" w:color="auto" w:sz="4" w:space="0"/>
              <w:left w:val="single" w:color="auto" w:sz="4" w:space="0"/>
              <w:bottom w:val="single" w:color="auto" w:sz="4" w:space="0"/>
            </w:tcBorders>
            <w:vAlign w:val="top"/>
          </w:tcPr>
          <w:p>
            <w:pPr>
              <w:spacing w:line="400" w:lineRule="exact"/>
              <w:ind w:firstLine="420"/>
              <w:rPr>
                <w:rFonts w:hint="eastAsia" w:ascii="宋体" w:hAnsi="宋体" w:cs="宋体"/>
                <w:szCs w:val="21"/>
                <w:highlight w:val="none"/>
              </w:rPr>
            </w:pPr>
            <w:r>
              <w:rPr>
                <w:rFonts w:hint="eastAsia" w:ascii="宋体" w:hAnsi="宋体" w:cs="宋体"/>
                <w:szCs w:val="21"/>
                <w:highlight w:val="none"/>
              </w:rPr>
              <w:t>A：投标报价50分；</w:t>
            </w:r>
          </w:p>
          <w:p>
            <w:pPr>
              <w:spacing w:line="400" w:lineRule="exact"/>
              <w:ind w:firstLine="420"/>
              <w:rPr>
                <w:rFonts w:hint="eastAsia" w:ascii="宋体" w:hAnsi="宋体" w:cs="宋体"/>
                <w:szCs w:val="21"/>
                <w:highlight w:val="none"/>
              </w:rPr>
            </w:pPr>
            <w:r>
              <w:rPr>
                <w:rFonts w:hint="eastAsia" w:ascii="宋体" w:hAnsi="宋体" w:cs="宋体"/>
                <w:szCs w:val="21"/>
                <w:highlight w:val="none"/>
              </w:rPr>
              <w:t>B：商务部分30分；</w:t>
            </w:r>
          </w:p>
          <w:p>
            <w:pPr>
              <w:spacing w:line="400" w:lineRule="exact"/>
              <w:ind w:firstLine="420" w:firstLineChars="0"/>
              <w:rPr>
                <w:rFonts w:hint="eastAsia" w:asciiTheme="minorEastAsia" w:hAnsiTheme="minorEastAsia" w:eastAsiaTheme="minorEastAsia" w:cstheme="minorEastAsia"/>
                <w:color w:val="auto"/>
                <w:sz w:val="21"/>
                <w:szCs w:val="21"/>
                <w:highlight w:val="none"/>
              </w:rPr>
            </w:pPr>
            <w:r>
              <w:rPr>
                <w:rFonts w:hint="eastAsia" w:ascii="宋体" w:hAnsi="宋体" w:cs="宋体"/>
                <w:szCs w:val="21"/>
                <w:highlight w:val="none"/>
              </w:rPr>
              <w:t>C：技术部分20分。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trPr>
        <w:tc>
          <w:tcPr>
            <w:tcW w:w="766"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6</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宋体" w:hAnsi="宋体" w:cs="宋体"/>
                <w:bCs/>
                <w:szCs w:val="21"/>
                <w:highlight w:val="none"/>
                <w:lang w:bidi="ar"/>
              </w:rPr>
              <w:t>评标价（50分）</w:t>
            </w:r>
          </w:p>
        </w:tc>
        <w:tc>
          <w:tcPr>
            <w:tcW w:w="6874" w:type="dxa"/>
            <w:gridSpan w:val="3"/>
            <w:tcBorders>
              <w:top w:val="single" w:color="auto" w:sz="4" w:space="0"/>
              <w:left w:val="single" w:color="auto" w:sz="4" w:space="0"/>
              <w:bottom w:val="single" w:color="auto" w:sz="4" w:space="0"/>
            </w:tcBorders>
            <w:vAlign w:val="top"/>
          </w:tcPr>
          <w:p>
            <w:pPr>
              <w:spacing w:line="400" w:lineRule="exact"/>
              <w:ind w:firstLine="420"/>
              <w:rPr>
                <w:rFonts w:hint="eastAsia" w:ascii="宋体" w:hAnsi="宋体" w:cs="宋体"/>
                <w:szCs w:val="21"/>
                <w:highlight w:val="none"/>
              </w:rPr>
            </w:pPr>
            <w:r>
              <w:rPr>
                <w:rFonts w:hint="eastAsia" w:ascii="宋体" w:hAnsi="宋体" w:cs="宋体"/>
                <w:kern w:val="0"/>
                <w:szCs w:val="21"/>
                <w:highlight w:val="none"/>
                <w:lang w:bidi="ar"/>
              </w:rPr>
              <w:t>1.评标基准价</w:t>
            </w:r>
          </w:p>
          <w:p>
            <w:pPr>
              <w:spacing w:line="400" w:lineRule="exact"/>
              <w:ind w:firstLine="420"/>
              <w:rPr>
                <w:rFonts w:hint="eastAsia" w:ascii="宋体" w:hAnsi="宋体" w:cs="宋体"/>
                <w:szCs w:val="21"/>
                <w:highlight w:val="none"/>
              </w:rPr>
            </w:pPr>
            <w:r>
              <w:rPr>
                <w:rFonts w:hint="eastAsia" w:ascii="宋体" w:hAnsi="宋体" w:cs="宋体"/>
                <w:szCs w:val="21"/>
                <w:highlight w:val="none"/>
              </w:rPr>
              <w:t>（1）评标价的确定：评标价＝投标函文字报价</w:t>
            </w:r>
          </w:p>
          <w:p>
            <w:pPr>
              <w:spacing w:line="400" w:lineRule="exact"/>
              <w:ind w:firstLine="420"/>
              <w:rPr>
                <w:rFonts w:hint="eastAsia" w:ascii="宋体" w:hAnsi="宋体" w:cs="宋体"/>
                <w:szCs w:val="21"/>
                <w:highlight w:val="none"/>
              </w:rPr>
            </w:pPr>
            <w:r>
              <w:rPr>
                <w:rFonts w:hint="eastAsia" w:ascii="宋体" w:hAnsi="宋体" w:cs="宋体"/>
                <w:szCs w:val="21"/>
                <w:highlight w:val="none"/>
              </w:rPr>
              <w:t>（2）评标基准价的确定：</w:t>
            </w:r>
          </w:p>
          <w:p>
            <w:pPr>
              <w:spacing w:line="400" w:lineRule="exact"/>
              <w:ind w:firstLine="420"/>
              <w:rPr>
                <w:rFonts w:hint="eastAsia" w:ascii="宋体" w:hAnsi="宋体" w:cs="宋体"/>
                <w:szCs w:val="21"/>
                <w:highlight w:val="none"/>
              </w:rPr>
            </w:pPr>
            <w:r>
              <w:rPr>
                <w:rFonts w:hint="eastAsia" w:ascii="宋体" w:hAnsi="宋体" w:cs="宋体"/>
                <w:szCs w:val="21"/>
                <w:highlight w:val="none"/>
              </w:rPr>
              <w:t>在通过初步评审后且不高于最高限价的投标报价中去掉六分之一（不能整除的按小数前整数取整，不足六家报价则不去掉）的最低价和相同家数的最高价后的算术平均值为评标基准价。</w:t>
            </w:r>
          </w:p>
          <w:p>
            <w:pPr>
              <w:spacing w:line="400" w:lineRule="exact"/>
              <w:ind w:firstLine="420"/>
              <w:rPr>
                <w:rFonts w:hint="eastAsia" w:ascii="宋体" w:hAnsi="宋体" w:cs="宋体"/>
                <w:szCs w:val="21"/>
                <w:highlight w:val="none"/>
              </w:rPr>
            </w:pPr>
            <w:r>
              <w:rPr>
                <w:rFonts w:hint="eastAsia" w:ascii="宋体" w:hAnsi="宋体" w:cs="宋体"/>
                <w:szCs w:val="21"/>
                <w:highlight w:val="none"/>
              </w:rPr>
              <w:t>以上计算取小数点后两位，第三位四舍五入。</w:t>
            </w:r>
          </w:p>
          <w:p>
            <w:pPr>
              <w:spacing w:line="400" w:lineRule="exact"/>
              <w:ind w:firstLine="420" w:firstLineChars="0"/>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宋体" w:hAnsi="宋体" w:cs="宋体"/>
                <w:szCs w:val="21"/>
                <w:highlight w:val="none"/>
              </w:rPr>
              <w:t>所有有效投标报价分别与评标基准价相比较，等于基准价得50分，每增加1%扣0.5分；每减少1%扣0.2分，最多扣10分。按线性插入法计算得分。以上计算取小数点后两位，第三位四舍五入。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trPr>
        <w:tc>
          <w:tcPr>
            <w:tcW w:w="766" w:type="dxa"/>
            <w:tcBorders>
              <w:top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2"/>
                <w:sz w:val="21"/>
                <w:szCs w:val="21"/>
                <w:highlight w:val="none"/>
                <w:lang w:val="en-US" w:eastAsia="zh-CN" w:bidi="ar"/>
              </w:rPr>
              <w:t>条款号</w:t>
            </w:r>
          </w:p>
        </w:tc>
        <w:tc>
          <w:tcPr>
            <w:tcW w:w="21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color w:val="auto"/>
                <w:kern w:val="2"/>
                <w:sz w:val="21"/>
                <w:szCs w:val="21"/>
                <w:highlight w:val="none"/>
                <w:lang w:val="en-US" w:eastAsia="zh-CN" w:bidi="ar"/>
              </w:rPr>
            </w:pPr>
            <w:r>
              <w:rPr>
                <w:rFonts w:hint="eastAsia" w:asciiTheme="minorEastAsia" w:hAnsiTheme="minorEastAsia" w:eastAsiaTheme="minorEastAsia" w:cstheme="minorEastAsia"/>
                <w:b/>
                <w:color w:val="auto"/>
                <w:kern w:val="2"/>
                <w:sz w:val="21"/>
                <w:szCs w:val="21"/>
                <w:highlight w:val="none"/>
                <w:lang w:val="en-US" w:eastAsia="zh-CN" w:bidi="ar"/>
              </w:rPr>
              <w:t>评分因素权重分值</w:t>
            </w:r>
          </w:p>
        </w:tc>
        <w:tc>
          <w:tcPr>
            <w:tcW w:w="6082" w:type="dxa"/>
            <w:gridSpan w:val="2"/>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r>
              <w:rPr>
                <w:rFonts w:hint="eastAsia" w:asciiTheme="minorEastAsia" w:hAnsiTheme="minorEastAsia" w:eastAsiaTheme="minorEastAsia" w:cstheme="minorEastAsia"/>
                <w:b/>
                <w:color w:val="auto"/>
                <w:kern w:val="2"/>
                <w:sz w:val="21"/>
                <w:szCs w:val="21"/>
                <w:highlight w:val="none"/>
                <w:lang w:val="en-US" w:eastAsia="zh-CN" w:bidi="ar"/>
              </w:rPr>
              <w:t>各评分因素细分项</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r>
              <w:rPr>
                <w:rFonts w:hint="eastAsia" w:asciiTheme="minorEastAsia" w:hAnsiTheme="minorEastAsia" w:eastAsiaTheme="minorEastAsia" w:cstheme="minorEastAsia"/>
                <w:b/>
                <w:color w:val="auto"/>
                <w:kern w:val="2"/>
                <w:sz w:val="21"/>
                <w:szCs w:val="21"/>
                <w:highlight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8" w:hRule="atLeast"/>
        </w:trPr>
        <w:tc>
          <w:tcPr>
            <w:tcW w:w="766" w:type="dxa"/>
            <w:vMerge w:val="restart"/>
            <w:tcBorders>
              <w:top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default" w:asciiTheme="minorEastAsia" w:hAnsiTheme="minorEastAsia" w:eastAsiaTheme="minorEastAsia" w:cstheme="minorEastAsia"/>
                <w:b w:val="0"/>
                <w:bCs/>
                <w:color w:val="auto"/>
                <w:kern w:val="2"/>
                <w:sz w:val="21"/>
                <w:szCs w:val="21"/>
                <w:highlight w:val="none"/>
                <w:lang w:val="en-US" w:eastAsia="zh-CN" w:bidi="ar"/>
              </w:rPr>
            </w:pPr>
            <w:r>
              <w:rPr>
                <w:rFonts w:hint="eastAsia" w:asciiTheme="minorEastAsia" w:hAnsiTheme="minorEastAsia" w:eastAsiaTheme="minorEastAsia" w:cstheme="minorEastAsia"/>
                <w:b w:val="0"/>
                <w:bCs/>
                <w:color w:val="auto"/>
                <w:kern w:val="2"/>
                <w:sz w:val="21"/>
                <w:szCs w:val="21"/>
                <w:highlight w:val="none"/>
                <w:lang w:val="en-US" w:eastAsia="zh-CN" w:bidi="ar"/>
              </w:rPr>
              <w:t>7</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val="0"/>
                <w:bCs/>
                <w:color w:val="auto"/>
                <w:kern w:val="2"/>
                <w:sz w:val="21"/>
                <w:szCs w:val="21"/>
                <w:highlight w:val="none"/>
                <w:lang w:val="en-US" w:eastAsia="zh-CN" w:bidi="ar"/>
              </w:rPr>
            </w:pPr>
            <w:r>
              <w:rPr>
                <w:rFonts w:hint="eastAsia" w:ascii="宋体" w:hAnsi="宋体" w:cs="宋体"/>
                <w:bCs/>
                <w:szCs w:val="21"/>
                <w:highlight w:val="none"/>
                <w:lang w:bidi="ar"/>
              </w:rPr>
              <w:t>商务评分标准（30分）</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val="0"/>
                <w:bCs/>
                <w:color w:val="auto"/>
                <w:kern w:val="2"/>
                <w:sz w:val="21"/>
                <w:szCs w:val="21"/>
                <w:highlight w:val="none"/>
                <w:lang w:val="en-US" w:eastAsia="zh-CN" w:bidi="ar"/>
              </w:rPr>
            </w:pPr>
            <w:r>
              <w:rPr>
                <w:rFonts w:hint="eastAsia" w:ascii="宋体" w:hAnsi="宋体" w:cs="宋体"/>
                <w:color w:val="000000"/>
                <w:kern w:val="0"/>
                <w:sz w:val="22"/>
                <w:szCs w:val="22"/>
                <w:highlight w:val="none"/>
                <w:lang w:bidi="ar"/>
              </w:rPr>
              <w:t>核心偿付能力</w:t>
            </w:r>
            <w:r>
              <w:rPr>
                <w:rFonts w:hint="eastAsia" w:ascii="宋体" w:hAnsi="宋体" w:cs="宋体"/>
                <w:szCs w:val="21"/>
                <w:highlight w:val="none"/>
              </w:rPr>
              <w:t>（20分）</w:t>
            </w:r>
          </w:p>
        </w:tc>
        <w:tc>
          <w:tcPr>
            <w:tcW w:w="608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ascii="宋体" w:hAnsi="宋体" w:cs="宋体"/>
                <w:kern w:val="0"/>
                <w:szCs w:val="21"/>
                <w:highlight w:val="none"/>
                <w:shd w:val="clear" w:color="auto" w:fill="FFFFFF"/>
                <w:lang w:bidi="ar"/>
              </w:rPr>
            </w:pPr>
            <w:r>
              <w:rPr>
                <w:rFonts w:hint="eastAsia" w:ascii="宋体" w:hAnsi="宋体" w:cs="宋体"/>
                <w:kern w:val="0"/>
                <w:szCs w:val="21"/>
                <w:highlight w:val="none"/>
                <w:shd w:val="clear" w:color="auto" w:fill="FFFFFF"/>
                <w:lang w:bidi="ar"/>
              </w:rPr>
              <w:t>满足资格要求得10分，在此基础上：</w:t>
            </w:r>
          </w:p>
          <w:p>
            <w:pPr>
              <w:spacing w:line="400" w:lineRule="exact"/>
              <w:ind w:firstLine="420"/>
              <w:rPr>
                <w:rFonts w:hint="eastAsia" w:ascii="宋体" w:hAnsi="宋体" w:cs="宋体"/>
                <w:kern w:val="0"/>
                <w:szCs w:val="21"/>
                <w:highlight w:val="none"/>
                <w:shd w:val="clear" w:color="auto" w:fill="FFFFFF"/>
                <w:lang w:bidi="ar"/>
              </w:rPr>
            </w:pPr>
            <w:r>
              <w:rPr>
                <w:rFonts w:hint="eastAsia" w:ascii="宋体" w:hAnsi="宋体" w:cs="宋体"/>
                <w:kern w:val="0"/>
                <w:szCs w:val="21"/>
                <w:highlight w:val="none"/>
                <w:shd w:val="clear" w:color="auto" w:fill="FFFFFF"/>
                <w:lang w:bidi="ar"/>
              </w:rPr>
              <w:t>根据</w:t>
            </w:r>
            <w:r>
              <w:rPr>
                <w:rFonts w:hint="eastAsia" w:ascii="宋体" w:hAnsi="宋体" w:cs="宋体"/>
                <w:kern w:val="0"/>
                <w:szCs w:val="21"/>
                <w:highlight w:val="none"/>
                <w:shd w:val="clear" w:color="auto" w:fill="FFFFFF"/>
                <w:lang w:val="en-US" w:eastAsia="zh-CN" w:bidi="ar"/>
              </w:rPr>
              <w:t>报价</w:t>
            </w:r>
            <w:r>
              <w:rPr>
                <w:rFonts w:hint="eastAsia" w:ascii="宋体" w:hAnsi="宋体" w:cs="宋体"/>
                <w:kern w:val="0"/>
                <w:szCs w:val="21"/>
                <w:highlight w:val="none"/>
                <w:shd w:val="clear" w:color="auto" w:fill="FFFFFF"/>
                <w:lang w:bidi="ar"/>
              </w:rPr>
              <w:t>人总公司2022年核心偿付能力充足率高低排名，第一名加10分，第二名加5分，第三名至第五名加2分，第五名以后不加分。</w:t>
            </w:r>
          </w:p>
          <w:p>
            <w:pPr>
              <w:spacing w:line="400" w:lineRule="exact"/>
              <w:ind w:firstLine="420" w:firstLineChars="0"/>
              <w:rPr>
                <w:rFonts w:hint="eastAsia" w:asciiTheme="minorEastAsia" w:hAnsiTheme="minorEastAsia" w:eastAsiaTheme="minorEastAsia" w:cstheme="minorEastAsia"/>
                <w:b/>
                <w:color w:val="auto"/>
                <w:kern w:val="2"/>
                <w:sz w:val="21"/>
                <w:szCs w:val="21"/>
                <w:highlight w:val="none"/>
                <w:lang w:val="en-US" w:eastAsia="zh-CN" w:bidi="ar"/>
              </w:rPr>
            </w:pPr>
            <w:r>
              <w:rPr>
                <w:rFonts w:hint="eastAsia" w:ascii="宋体" w:hAnsi="宋体" w:cs="宋体"/>
                <w:kern w:val="0"/>
                <w:szCs w:val="21"/>
                <w:highlight w:val="none"/>
                <w:shd w:val="clear" w:color="auto" w:fill="FFFFFF"/>
                <w:lang w:bidi="ar"/>
              </w:rPr>
              <w:t>提供2022年第四季度经审计的偿付能力报告复印件,并加盖公章。</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74"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val="0"/>
                <w:bCs/>
                <w:color w:val="auto"/>
                <w:kern w:val="2"/>
                <w:sz w:val="21"/>
                <w:szCs w:val="21"/>
                <w:highlight w:val="none"/>
                <w:lang w:val="en-US" w:eastAsia="zh-CN" w:bidi="ar"/>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b w:val="0"/>
                <w:bCs/>
                <w:color w:val="auto"/>
                <w:kern w:val="2"/>
                <w:sz w:val="21"/>
                <w:szCs w:val="21"/>
                <w:highlight w:val="none"/>
                <w:lang w:val="en-US" w:eastAsia="zh-CN" w:bidi="ar"/>
              </w:rPr>
            </w:pPr>
            <w:r>
              <w:rPr>
                <w:rFonts w:hint="eastAsia" w:ascii="宋体" w:hAnsi="宋体" w:cs="宋体"/>
                <w:szCs w:val="21"/>
                <w:highlight w:val="none"/>
              </w:rPr>
              <w:t>项目经验（10分）</w:t>
            </w:r>
          </w:p>
        </w:tc>
        <w:tc>
          <w:tcPr>
            <w:tcW w:w="608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200"/>
              <w:textAlignment w:val="bottom"/>
              <w:rPr>
                <w:rFonts w:hint="eastAsia" w:ascii="宋体" w:hAnsi="宋体" w:cs="宋体"/>
                <w:kern w:val="0"/>
                <w:szCs w:val="21"/>
                <w:highlight w:val="none"/>
                <w:shd w:val="clear" w:color="auto" w:fill="FFFFFF"/>
                <w:lang w:bidi="ar"/>
              </w:rPr>
            </w:pPr>
            <w:r>
              <w:rPr>
                <w:rFonts w:hint="eastAsia" w:ascii="宋体" w:hAnsi="宋体" w:cs="宋体"/>
                <w:kern w:val="0"/>
                <w:szCs w:val="21"/>
                <w:highlight w:val="none"/>
                <w:shd w:val="clear" w:color="auto" w:fill="FFFFFF"/>
                <w:lang w:bidi="ar"/>
              </w:rPr>
              <w:t>满足资格要求得5分，在此基础上：</w:t>
            </w:r>
          </w:p>
          <w:p>
            <w:pPr>
              <w:autoSpaceDE w:val="0"/>
              <w:autoSpaceDN w:val="0"/>
              <w:adjustRightInd w:val="0"/>
              <w:spacing w:line="360" w:lineRule="exact"/>
              <w:ind w:firstLine="420" w:firstLineChars="200"/>
              <w:textAlignment w:val="bottom"/>
              <w:rPr>
                <w:rFonts w:hint="eastAsia" w:ascii="宋体" w:hAnsi="宋体" w:cs="宋体"/>
                <w:bCs/>
                <w:szCs w:val="21"/>
                <w:highlight w:val="none"/>
              </w:rPr>
            </w:pPr>
            <w:r>
              <w:rPr>
                <w:rFonts w:hint="eastAsia" w:ascii="宋体" w:hAnsi="宋体" w:cs="宋体"/>
                <w:bCs/>
                <w:szCs w:val="21"/>
                <w:highlight w:val="none"/>
              </w:rPr>
              <w:t>2021年1月1日至报价截止日期（以合同签订时间为准），报价人每增加1个单项工程投保额不少于1亿元的工程项目的建筑/安装工程一切险及第三者责任险保险项目（独立承保或首席承保或共保）的保险服务业绩加1分，至多加5分。</w:t>
            </w:r>
          </w:p>
          <w:p>
            <w:pPr>
              <w:pStyle w:val="122"/>
              <w:widowControl/>
              <w:spacing w:line="400" w:lineRule="exact"/>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cs="宋体"/>
                <w:bCs/>
                <w:szCs w:val="21"/>
                <w:highlight w:val="none"/>
              </w:rPr>
              <w:t>注：提供项目合同书（相关证明材料须能反映出相关数据和内容，否则一律视为未提供）复印件，并加盖</w:t>
            </w:r>
            <w:r>
              <w:rPr>
                <w:rFonts w:hint="eastAsia" w:ascii="宋体" w:hAnsi="宋体" w:cs="宋体"/>
                <w:bCs/>
                <w:szCs w:val="21"/>
                <w:highlight w:val="none"/>
                <w:lang w:val="en-US" w:eastAsia="zh-CN"/>
              </w:rPr>
              <w:t>报价</w:t>
            </w:r>
            <w:r>
              <w:rPr>
                <w:rFonts w:hint="eastAsia" w:ascii="宋体" w:hAnsi="宋体" w:cs="宋体"/>
                <w:bCs/>
                <w:szCs w:val="21"/>
                <w:highlight w:val="none"/>
              </w:rPr>
              <w:t>单位公章。</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val="0"/>
                <w:bCs/>
                <w:color w:val="auto"/>
                <w:kern w:val="2"/>
                <w:sz w:val="21"/>
                <w:szCs w:val="21"/>
                <w:highlight w:val="none"/>
                <w:lang w:val="en-US" w:eastAsia="zh-CN" w:bidi="ar"/>
              </w:rPr>
            </w:pP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val="0"/>
                <w:bCs/>
                <w:color w:val="auto"/>
                <w:kern w:val="2"/>
                <w:sz w:val="21"/>
                <w:szCs w:val="21"/>
                <w:highlight w:val="none"/>
                <w:lang w:val="en-US" w:eastAsia="zh-CN" w:bidi="ar"/>
              </w:rPr>
            </w:pPr>
            <w:r>
              <w:rPr>
                <w:rFonts w:hint="eastAsia" w:ascii="宋体" w:hAnsi="宋体" w:cs="宋体"/>
                <w:bCs/>
                <w:szCs w:val="21"/>
                <w:highlight w:val="none"/>
                <w:lang w:bidi="ar"/>
              </w:rPr>
              <w:t>技术评分标准（20分）</w:t>
            </w: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cs="宋体"/>
                <w:color w:val="000000"/>
                <w:kern w:val="2"/>
                <w:sz w:val="21"/>
                <w:szCs w:val="21"/>
                <w:highlight w:val="none"/>
                <w:lang w:bidi="ar"/>
              </w:rPr>
              <w:t>保险方案</w:t>
            </w:r>
            <w:r>
              <w:rPr>
                <w:rFonts w:hint="eastAsia" w:ascii="宋体" w:hAnsi="宋体" w:cs="宋体"/>
                <w:szCs w:val="21"/>
                <w:highlight w:val="none"/>
              </w:rPr>
              <w:t>（10分）</w:t>
            </w:r>
          </w:p>
        </w:tc>
        <w:tc>
          <w:tcPr>
            <w:tcW w:w="6082" w:type="dxa"/>
            <w:gridSpan w:val="2"/>
            <w:tcBorders>
              <w:top w:val="single" w:color="auto" w:sz="4" w:space="0"/>
              <w:left w:val="single" w:color="auto" w:sz="4" w:space="0"/>
              <w:bottom w:val="single" w:color="auto" w:sz="4" w:space="0"/>
              <w:right w:val="single" w:color="auto" w:sz="4" w:space="0"/>
            </w:tcBorders>
            <w:vAlign w:val="center"/>
          </w:tcPr>
          <w:p>
            <w:pPr>
              <w:numPr>
                <w:ilvl w:val="0"/>
                <w:numId w:val="5"/>
              </w:numPr>
              <w:autoSpaceDE w:val="0"/>
              <w:autoSpaceDN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针本项目的实际情况对保障范围、保险责任、理赔条款、保险内容、保障额度、赔付方式、免责条款的描述以及对第六章中保险责任等方面进行响应。</w:t>
            </w:r>
          </w:p>
          <w:p>
            <w:pPr>
              <w:numPr>
                <w:ilvl w:val="0"/>
                <w:numId w:val="5"/>
              </w:numPr>
              <w:autoSpaceDE w:val="0"/>
              <w:autoSpaceDN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成立工作小组并配备项目专职工作人员，明确工作职责，负责管理、组织、实施保险承保、理赔及其他各项服务。</w:t>
            </w:r>
          </w:p>
          <w:p>
            <w:pPr>
              <w:autoSpaceDE w:val="0"/>
              <w:autoSpaceDN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成立工作小组并配备项目专职工作人员，明确工作职责，负责管理、组织、实施保险承保、理赔及其他各项服务。</w:t>
            </w:r>
          </w:p>
          <w:p>
            <w:pPr>
              <w:autoSpaceDE w:val="0"/>
              <w:autoSpaceDN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根据报价人人提供的详细保险方案内容，针对保障范围、保险责任、理赔条款、保险内容、保障额度、赔付方式、免责条款的描述以及对第六章中保险责任的响应程度，由评标委员会按方案的合理性、优越性、对被保人的利益保障综合打分。</w:t>
            </w:r>
          </w:p>
          <w:p>
            <w:pPr>
              <w:autoSpaceDE w:val="0"/>
              <w:autoSpaceDN w:val="0"/>
              <w:spacing w:line="360" w:lineRule="exact"/>
              <w:ind w:firstLine="420" w:firstLineChars="200"/>
              <w:rPr>
                <w:rFonts w:hint="eastAsia" w:ascii="宋体" w:hAnsi="宋体" w:eastAsia="宋体" w:cs="宋体"/>
                <w:color w:val="auto"/>
                <w:sz w:val="21"/>
                <w:szCs w:val="21"/>
                <w:highlight w:val="none"/>
              </w:rPr>
            </w:pPr>
            <w:r>
              <w:rPr>
                <w:rFonts w:hint="eastAsia" w:ascii="宋体" w:hAnsi="宋体" w:cs="宋体"/>
                <w:szCs w:val="21"/>
                <w:highlight w:val="none"/>
              </w:rPr>
              <w:t>保险方案优秀得10.00~8.00分，良好得7.99~6.00分，一般得5.</w:t>
            </w:r>
            <w:r>
              <w:rPr>
                <w:rFonts w:hint="default" w:ascii="宋体" w:hAnsi="宋体" w:cs="宋体"/>
                <w:szCs w:val="21"/>
                <w:highlight w:val="none"/>
              </w:rPr>
              <w:t>99</w:t>
            </w:r>
            <w:r>
              <w:rPr>
                <w:rFonts w:hint="eastAsia" w:ascii="宋体" w:hAnsi="宋体" w:cs="宋体"/>
                <w:szCs w:val="21"/>
                <w:highlight w:val="none"/>
              </w:rPr>
              <w:t>~0分。</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766" w:type="dxa"/>
            <w:vMerge w:val="continue"/>
            <w:tcBorders>
              <w:top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val="0"/>
                <w:bCs/>
                <w:color w:val="auto"/>
                <w:kern w:val="2"/>
                <w:sz w:val="21"/>
                <w:szCs w:val="21"/>
                <w:highlight w:val="none"/>
                <w:lang w:val="en-US" w:eastAsia="zh-CN" w:bidi="ar"/>
              </w:rPr>
            </w:pP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val="0"/>
                <w:bCs/>
                <w:color w:val="auto"/>
                <w:kern w:val="2"/>
                <w:sz w:val="21"/>
                <w:szCs w:val="21"/>
                <w:highlight w:val="none"/>
                <w:lang w:val="en-US" w:eastAsia="zh-CN" w:bidi="ar"/>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hint="eastAsia" w:ascii="宋体" w:hAnsi="宋体" w:cs="宋体"/>
                <w:b w:val="0"/>
                <w:bCs w:val="0"/>
                <w:caps w:val="0"/>
                <w:snapToGrid/>
                <w:color w:val="auto"/>
                <w:sz w:val="21"/>
                <w:szCs w:val="21"/>
                <w:highlight w:val="none"/>
                <w:lang w:val="en-US" w:eastAsia="zh-CN"/>
              </w:rPr>
            </w:pPr>
            <w:r>
              <w:rPr>
                <w:rFonts w:hint="eastAsia" w:ascii="宋体" w:hAnsi="宋体" w:cs="宋体"/>
                <w:szCs w:val="21"/>
                <w:highlight w:val="none"/>
              </w:rPr>
              <w:t>风险管理服务（10分）</w:t>
            </w:r>
          </w:p>
        </w:tc>
        <w:tc>
          <w:tcPr>
            <w:tcW w:w="608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提供项目风险管理服务方案，内容包括对项目的风险认知，风险管控团队组建和服务系统建立以及防灾防损服务计划</w:t>
            </w:r>
            <w:r>
              <w:rPr>
                <w:rFonts w:hint="eastAsia" w:ascii="宋体" w:hAnsi="宋体" w:cs="宋体"/>
                <w:szCs w:val="21"/>
                <w:highlight w:val="none"/>
                <w:lang w:val="en-US" w:eastAsia="zh-CN"/>
              </w:rPr>
              <w:t>等内容</w:t>
            </w:r>
            <w:r>
              <w:rPr>
                <w:rFonts w:hint="eastAsia" w:ascii="宋体" w:hAnsi="宋体" w:cs="宋体"/>
                <w:szCs w:val="21"/>
                <w:highlight w:val="none"/>
              </w:rPr>
              <w:t>。</w:t>
            </w:r>
          </w:p>
          <w:p>
            <w:pPr>
              <w:autoSpaceDE w:val="0"/>
              <w:autoSpaceDN w:val="0"/>
              <w:spacing w:line="360" w:lineRule="exact"/>
              <w:ind w:firstLine="420" w:firstLineChars="200"/>
              <w:rPr>
                <w:rFonts w:hint="eastAsia" w:ascii="宋体" w:hAnsi="宋体" w:eastAsia="宋体" w:cs="宋体"/>
                <w:color w:val="auto"/>
                <w:kern w:val="0"/>
                <w:sz w:val="21"/>
                <w:szCs w:val="21"/>
                <w:highlight w:val="none"/>
              </w:rPr>
            </w:pPr>
            <w:r>
              <w:rPr>
                <w:rFonts w:hint="eastAsia" w:ascii="宋体" w:hAnsi="宋体" w:cs="宋体"/>
                <w:kern w:val="0"/>
                <w:szCs w:val="21"/>
                <w:highlight w:val="none"/>
              </w:rPr>
              <w:t>服务方案合理性、可行性、完整性强得</w:t>
            </w:r>
            <w:r>
              <w:rPr>
                <w:rFonts w:hint="eastAsia" w:ascii="宋体" w:hAnsi="宋体" w:cs="宋体"/>
                <w:szCs w:val="21"/>
                <w:highlight w:val="none"/>
              </w:rPr>
              <w:t>10.00~8.00分，</w:t>
            </w:r>
            <w:r>
              <w:rPr>
                <w:rFonts w:hint="eastAsia" w:ascii="宋体" w:hAnsi="宋体" w:cs="宋体"/>
                <w:kern w:val="0"/>
                <w:szCs w:val="21"/>
                <w:highlight w:val="none"/>
              </w:rPr>
              <w:t>实施方案合理性、可行性、完整性较好</w:t>
            </w:r>
            <w:r>
              <w:rPr>
                <w:rFonts w:hint="eastAsia" w:ascii="宋体" w:hAnsi="宋体" w:cs="宋体"/>
                <w:szCs w:val="21"/>
                <w:highlight w:val="none"/>
              </w:rPr>
              <w:t>得7.99~6.00分，实施方案不够</w:t>
            </w:r>
            <w:r>
              <w:rPr>
                <w:rFonts w:hint="eastAsia" w:ascii="宋体" w:hAnsi="宋体" w:cs="宋体"/>
                <w:kern w:val="0"/>
                <w:szCs w:val="21"/>
                <w:highlight w:val="none"/>
              </w:rPr>
              <w:t>合理、不够完整</w:t>
            </w:r>
            <w:r>
              <w:rPr>
                <w:rFonts w:hint="eastAsia" w:ascii="宋体" w:hAnsi="宋体" w:cs="宋体"/>
                <w:szCs w:val="21"/>
                <w:highlight w:val="none"/>
              </w:rPr>
              <w:t>得5.99~0分。</w:t>
            </w:r>
          </w:p>
        </w:tc>
        <w:tc>
          <w:tcPr>
            <w:tcW w:w="792" w:type="dxa"/>
            <w:tcBorders>
              <w:top w:val="single" w:color="auto" w:sz="4" w:space="0"/>
              <w:left w:val="single" w:color="auto" w:sz="4" w:space="0"/>
              <w:bottom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Fonts w:hint="eastAsia" w:asciiTheme="minorEastAsia" w:hAnsiTheme="minorEastAsia" w:eastAsiaTheme="minorEastAsia" w:cstheme="minorEastAsia"/>
                <w:b/>
                <w:color w:val="auto"/>
                <w:kern w:val="2"/>
                <w:sz w:val="18"/>
                <w:szCs w:val="18"/>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7" w:hRule="atLeast"/>
        </w:trPr>
        <w:tc>
          <w:tcPr>
            <w:tcW w:w="766" w:type="dxa"/>
            <w:tcBorders>
              <w:top w:val="single" w:color="auto" w:sz="4" w:space="0"/>
              <w:bottom w:val="single" w:color="auto" w:sz="4" w:space="0"/>
              <w:right w:val="single" w:color="auto" w:sz="4" w:space="0"/>
            </w:tcBorders>
            <w:vAlign w:val="center"/>
          </w:tcPr>
          <w:p>
            <w:pPr>
              <w:pStyle w:val="40"/>
              <w:keepNext w:val="0"/>
              <w:keepLines w:val="0"/>
              <w:widowControl w:val="0"/>
              <w:suppressLineNumbers w:val="0"/>
              <w:adjustRightInd w:val="0"/>
              <w:spacing w:before="0" w:beforeAutospacing="1" w:after="0" w:afterLines="0" w:afterAutospacing="0" w:line="320" w:lineRule="exact"/>
              <w:ind w:left="0" w:leftChars="0" w:right="0" w:rightChars="0" w:firstLine="0" w:firstLineChars="0"/>
              <w:jc w:val="center"/>
              <w:textAlignment w:val="baseline"/>
              <w:rPr>
                <w:rFonts w:hint="default" w:asciiTheme="minorEastAsia" w:hAnsiTheme="minorEastAsia" w:eastAsiaTheme="minorEastAsia" w:cstheme="minorEastAsia"/>
                <w:b/>
                <w:color w:val="auto"/>
                <w:kern w:val="2"/>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
              </w:rPr>
              <w:t>8</w:t>
            </w:r>
          </w:p>
        </w:tc>
        <w:tc>
          <w:tcPr>
            <w:tcW w:w="9039" w:type="dxa"/>
            <w:gridSpan w:val="5"/>
            <w:tcBorders>
              <w:top w:val="single" w:color="auto" w:sz="4" w:space="0"/>
              <w:left w:val="single" w:color="auto" w:sz="4" w:space="0"/>
              <w:bottom w:val="single" w:color="auto" w:sz="4" w:space="0"/>
            </w:tcBorders>
            <w:vAlign w:val="bottom"/>
          </w:tcPr>
          <w:p>
            <w:pPr>
              <w:pStyle w:val="40"/>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firstLine="480" w:firstLineChars="200"/>
              <w:jc w:val="both"/>
              <w:textAlignment w:val="baseline"/>
              <w:rPr>
                <w:rFonts w:hint="eastAsia"/>
                <w:highlight w:val="none"/>
                <w:lang w:val="en-US" w:eastAsia="zh-CN"/>
              </w:rPr>
            </w:pPr>
            <w:r>
              <w:rPr>
                <w:rFonts w:hint="eastAsia"/>
                <w:highlight w:val="none"/>
                <w:lang w:val="en-US" w:eastAsia="zh-CN"/>
              </w:rPr>
              <w:t>评标程序：</w:t>
            </w:r>
          </w:p>
          <w:p>
            <w:pPr>
              <w:keepNext w:val="0"/>
              <w:keepLines w:val="0"/>
              <w:suppressLineNumbers w:val="0"/>
              <w:autoSpaceDE w:val="0"/>
              <w:autoSpaceDN w:val="0"/>
              <w:adjustRightInd w:val="0"/>
              <w:spacing w:before="0" w:beforeAutospacing="0" w:after="0" w:afterAutospacing="0" w:line="32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1.初步评审前，按规定对所有</w:t>
            </w:r>
            <w:r>
              <w:rPr>
                <w:rFonts w:hint="eastAsia" w:ascii="宋体" w:hAnsi="宋体" w:cs="宋体"/>
                <w:color w:val="auto"/>
                <w:kern w:val="0"/>
                <w:sz w:val="21"/>
                <w:szCs w:val="21"/>
                <w:highlight w:val="none"/>
                <w:lang w:val="en-US" w:eastAsia="zh-CN"/>
              </w:rPr>
              <w:t>报价人</w:t>
            </w:r>
            <w:r>
              <w:rPr>
                <w:rFonts w:hint="eastAsia" w:ascii="宋体" w:hAnsi="宋体" w:eastAsia="宋体" w:cs="宋体"/>
                <w:color w:val="auto"/>
                <w:kern w:val="0"/>
                <w:sz w:val="21"/>
                <w:szCs w:val="21"/>
                <w:highlight w:val="none"/>
              </w:rPr>
              <w:t>递交的竞争性比选响应文件进行初步评审（形式、资格、响应评审）。</w:t>
            </w:r>
          </w:p>
          <w:p>
            <w:pPr>
              <w:keepNext w:val="0"/>
              <w:keepLines w:val="0"/>
              <w:suppressLineNumbers w:val="0"/>
              <w:autoSpaceDE w:val="0"/>
              <w:autoSpaceDN w:val="0"/>
              <w:adjustRightInd w:val="0"/>
              <w:spacing w:before="0" w:beforeAutospacing="0" w:after="0" w:afterAutospacing="0" w:line="32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2.初步评审合格的才进行详细评审。</w:t>
            </w:r>
          </w:p>
          <w:p>
            <w:pPr>
              <w:keepNext w:val="0"/>
              <w:keepLines w:val="0"/>
              <w:suppressLineNumbers w:val="0"/>
              <w:autoSpaceDE w:val="0"/>
              <w:autoSpaceDN w:val="0"/>
              <w:adjustRightInd w:val="0"/>
              <w:spacing w:before="0" w:beforeAutospacing="0" w:after="0" w:afterAutospacing="0" w:line="320" w:lineRule="exact"/>
              <w:ind w:left="0" w:righ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3.根据综合得分</w:t>
            </w:r>
            <w:r>
              <w:rPr>
                <w:rFonts w:hint="eastAsia"/>
                <w:highlight w:val="none"/>
                <w:lang w:val="en-US" w:eastAsia="zh-CN"/>
              </w:rPr>
              <w:t>（商务得分+技术得分+报价得分）</w:t>
            </w:r>
            <w:r>
              <w:rPr>
                <w:rFonts w:hint="eastAsia" w:ascii="宋体" w:hAnsi="宋体" w:eastAsia="宋体" w:cs="宋体"/>
                <w:color w:val="auto"/>
                <w:kern w:val="0"/>
                <w:sz w:val="21"/>
                <w:szCs w:val="21"/>
                <w:highlight w:val="none"/>
              </w:rPr>
              <w:t>由高至低进行排序，</w:t>
            </w:r>
            <w:r>
              <w:rPr>
                <w:rFonts w:hint="eastAsia" w:ascii="宋体" w:hAnsi="宋体" w:cs="宋体"/>
                <w:color w:val="auto"/>
                <w:kern w:val="0"/>
                <w:szCs w:val="21"/>
                <w:highlight w:val="none"/>
              </w:rPr>
              <w:t>推荐2名中标候选人</w:t>
            </w:r>
            <w:r>
              <w:rPr>
                <w:rFonts w:hint="eastAsia" w:ascii="宋体" w:hAnsi="宋体" w:eastAsia="宋体" w:cs="宋体"/>
                <w:color w:val="auto"/>
                <w:kern w:val="0"/>
                <w:sz w:val="21"/>
                <w:szCs w:val="21"/>
                <w:highlight w:val="none"/>
              </w:rPr>
              <w:t>。</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240" w:lineRule="auto"/>
              <w:ind w:left="0" w:leftChars="0" w:right="0" w:rightChars="0" w:firstLine="420" w:firstLineChars="200"/>
              <w:jc w:val="both"/>
              <w:rPr>
                <w:rFonts w:hint="eastAsia"/>
                <w:highlight w:val="none"/>
                <w:lang w:val="en-US" w:eastAsia="zh-CN"/>
              </w:rPr>
            </w:pPr>
            <w:r>
              <w:rPr>
                <w:rFonts w:hint="eastAsia" w:ascii="宋体" w:hAnsi="宋体" w:eastAsia="宋体" w:cs="宋体"/>
                <w:color w:val="auto"/>
                <w:kern w:val="0"/>
                <w:sz w:val="21"/>
                <w:szCs w:val="21"/>
                <w:highlight w:val="none"/>
              </w:rPr>
              <w:t>4.如经过对所有</w:t>
            </w:r>
            <w:r>
              <w:rPr>
                <w:rFonts w:hint="eastAsia" w:ascii="宋体" w:hAnsi="宋体" w:cs="宋体"/>
                <w:color w:val="auto"/>
                <w:kern w:val="0"/>
                <w:sz w:val="21"/>
                <w:szCs w:val="21"/>
                <w:highlight w:val="none"/>
                <w:lang w:val="en-US" w:eastAsia="zh-CN"/>
              </w:rPr>
              <w:t>报价人</w:t>
            </w:r>
            <w:r>
              <w:rPr>
                <w:rFonts w:hint="eastAsia" w:ascii="宋体" w:hAnsi="宋体" w:eastAsia="宋体" w:cs="宋体"/>
                <w:color w:val="auto"/>
                <w:kern w:val="0"/>
                <w:sz w:val="21"/>
                <w:szCs w:val="21"/>
                <w:highlight w:val="none"/>
              </w:rPr>
              <w:t>的竞争性比选响应文件进行评审，有效</w:t>
            </w:r>
            <w:r>
              <w:rPr>
                <w:rFonts w:hint="eastAsia" w:ascii="宋体" w:hAnsi="宋体" w:eastAsia="宋体" w:cs="宋体"/>
                <w:color w:val="auto"/>
                <w:kern w:val="0"/>
                <w:sz w:val="21"/>
                <w:szCs w:val="21"/>
                <w:highlight w:val="none"/>
                <w:lang w:val="en-US" w:eastAsia="zh-CN"/>
              </w:rPr>
              <w:t>比选文件</w:t>
            </w:r>
            <w:r>
              <w:rPr>
                <w:rFonts w:hint="eastAsia" w:ascii="宋体" w:hAnsi="宋体" w:eastAsia="宋体" w:cs="宋体"/>
                <w:color w:val="auto"/>
                <w:kern w:val="0"/>
                <w:sz w:val="21"/>
                <w:szCs w:val="21"/>
                <w:highlight w:val="none"/>
              </w:rPr>
              <w:t>不足三个使得</w:t>
            </w:r>
            <w:r>
              <w:rPr>
                <w:rFonts w:hint="eastAsia" w:ascii="宋体" w:hAnsi="宋体" w:eastAsia="宋体" w:cs="宋体"/>
                <w:color w:val="auto"/>
                <w:kern w:val="0"/>
                <w:sz w:val="21"/>
                <w:szCs w:val="21"/>
                <w:highlight w:val="none"/>
                <w:lang w:val="en-US" w:eastAsia="zh-CN"/>
              </w:rPr>
              <w:t>比选</w:t>
            </w:r>
            <w:r>
              <w:rPr>
                <w:rFonts w:hint="eastAsia" w:ascii="宋体" w:hAnsi="宋体" w:eastAsia="宋体" w:cs="宋体"/>
                <w:color w:val="auto"/>
                <w:kern w:val="0"/>
                <w:sz w:val="21"/>
                <w:szCs w:val="21"/>
                <w:highlight w:val="none"/>
              </w:rPr>
              <w:t>明显缺乏竞争的，评标委员会可以否决全部</w:t>
            </w:r>
            <w:r>
              <w:rPr>
                <w:rFonts w:hint="eastAsia" w:ascii="宋体" w:hAnsi="宋体" w:eastAsia="宋体" w:cs="宋体"/>
                <w:color w:val="auto"/>
                <w:kern w:val="0"/>
                <w:sz w:val="21"/>
                <w:szCs w:val="21"/>
                <w:highlight w:val="none"/>
                <w:lang w:val="en-US" w:eastAsia="zh-CN"/>
              </w:rPr>
              <w:t>比选文件</w:t>
            </w:r>
            <w:r>
              <w:rPr>
                <w:rFonts w:hint="eastAsia" w:ascii="宋体" w:hAnsi="宋体" w:eastAsia="宋体" w:cs="宋体"/>
                <w:color w:val="auto"/>
                <w:kern w:val="0"/>
                <w:sz w:val="21"/>
                <w:szCs w:val="21"/>
                <w:highlight w:val="none"/>
              </w:rPr>
              <w:t>。如果评标委员会裁定仍具有竞争性，则按照规定程序进行评审，推荐</w:t>
            </w:r>
            <w:r>
              <w:rPr>
                <w:rFonts w:hint="eastAsia" w:ascii="宋体" w:hAnsi="宋体" w:cs="宋体"/>
                <w:color w:val="auto"/>
                <w:kern w:val="0"/>
                <w:sz w:val="21"/>
                <w:szCs w:val="21"/>
                <w:highlight w:val="none"/>
                <w:lang w:eastAsia="zh-CN"/>
              </w:rPr>
              <w:t>2</w:t>
            </w:r>
            <w:r>
              <w:rPr>
                <w:rFonts w:hint="eastAsia" w:ascii="宋体" w:hAnsi="宋体" w:eastAsia="宋体" w:cs="宋体"/>
                <w:color w:val="auto"/>
                <w:kern w:val="0"/>
                <w:sz w:val="21"/>
                <w:szCs w:val="21"/>
                <w:highlight w:val="none"/>
              </w:rPr>
              <w:t>名中标候选人。</w:t>
            </w:r>
          </w:p>
        </w:tc>
      </w:tr>
    </w:tbl>
    <w:p>
      <w:pPr>
        <w:rPr>
          <w:rFonts w:hint="eastAsia"/>
          <w:color w:val="auto"/>
          <w:highlight w:val="none"/>
          <w:lang w:val="en-US" w:eastAsia="zh-CN"/>
        </w:rPr>
      </w:pPr>
    </w:p>
    <w:p>
      <w:pPr>
        <w:jc w:val="both"/>
        <w:rPr>
          <w:rStyle w:val="84"/>
          <w:rFonts w:hint="eastAsia"/>
          <w:b/>
          <w:bCs/>
          <w:color w:val="auto"/>
          <w:highlight w:val="none"/>
          <w:lang w:val="en-US" w:eastAsia="zh-CN"/>
        </w:rPr>
      </w:pPr>
      <w:r>
        <w:rPr>
          <w:rFonts w:hint="eastAsia" w:ascii="宋体" w:hAnsi="宋体" w:cs="宋体"/>
          <w:color w:val="auto"/>
          <w:szCs w:val="21"/>
          <w:highlight w:val="none"/>
        </w:rPr>
        <w:br w:type="page"/>
      </w:r>
    </w:p>
    <w:p>
      <w:pPr>
        <w:pStyle w:val="5"/>
        <w:bidi w:val="0"/>
        <w:jc w:val="center"/>
        <w:rPr>
          <w:color w:val="auto"/>
          <w:highlight w:val="none"/>
        </w:rPr>
      </w:pPr>
      <w:r>
        <w:rPr>
          <w:rStyle w:val="175"/>
          <w:rFonts w:hint="eastAsia" w:eastAsia="宋体"/>
          <w:b/>
          <w:bCs/>
          <w:color w:val="auto"/>
          <w:highlight w:val="none"/>
          <w:lang w:val="en-US" w:eastAsia="zh-CN"/>
        </w:rPr>
        <w:t xml:space="preserve">第四章 </w:t>
      </w:r>
      <w:r>
        <w:rPr>
          <w:rStyle w:val="175"/>
          <w:rFonts w:hint="eastAsia"/>
          <w:b/>
          <w:bCs/>
          <w:color w:val="auto"/>
          <w:highlight w:val="none"/>
        </w:rPr>
        <w:t>报价说明</w:t>
      </w:r>
    </w:p>
    <w:p>
      <w:pPr>
        <w:numPr>
          <w:ilvl w:val="0"/>
          <w:numId w:val="6"/>
        </w:numPr>
        <w:adjustRightInd w:val="0"/>
        <w:snapToGrid w:val="0"/>
        <w:spacing w:beforeLines="0" w:line="400" w:lineRule="exact"/>
        <w:ind w:firstLine="420" w:firstLineChars="200"/>
        <w:rPr>
          <w:color w:val="auto"/>
          <w:highlight w:val="none"/>
        </w:rPr>
      </w:pPr>
      <w:r>
        <w:rPr>
          <w:rFonts w:hint="eastAsia"/>
          <w:color w:val="auto"/>
          <w:highlight w:val="none"/>
          <w:lang w:eastAsia="zh-CN"/>
        </w:rPr>
        <w:t>报价人</w:t>
      </w:r>
      <w:r>
        <w:rPr>
          <w:rFonts w:hint="eastAsia"/>
          <w:color w:val="auto"/>
          <w:highlight w:val="none"/>
        </w:rPr>
        <w:t>的投标保险费含税总额不得超过保险费含税总</w:t>
      </w:r>
      <w:r>
        <w:rPr>
          <w:rFonts w:hint="eastAsia"/>
          <w:color w:val="auto"/>
          <w:highlight w:val="none"/>
          <w:lang w:val="en-US" w:eastAsia="zh-CN"/>
        </w:rPr>
        <w:t>限价</w:t>
      </w:r>
      <w:r>
        <w:rPr>
          <w:rFonts w:hint="eastAsia"/>
          <w:color w:val="auto"/>
          <w:highlight w:val="none"/>
        </w:rPr>
        <w:t>，</w:t>
      </w:r>
      <w:r>
        <w:rPr>
          <w:rFonts w:hint="eastAsia"/>
          <w:color w:val="auto"/>
          <w:highlight w:val="none"/>
          <w:lang w:val="en-US" w:eastAsia="zh-CN"/>
        </w:rPr>
        <w:t>分项</w:t>
      </w:r>
      <w:r>
        <w:rPr>
          <w:rFonts w:hint="eastAsia"/>
          <w:color w:val="auto"/>
          <w:highlight w:val="none"/>
        </w:rPr>
        <w:t>投标报价不得超过</w:t>
      </w:r>
      <w:r>
        <w:rPr>
          <w:rFonts w:hint="eastAsia"/>
          <w:color w:val="auto"/>
          <w:highlight w:val="none"/>
          <w:lang w:val="en-US" w:eastAsia="zh-CN"/>
        </w:rPr>
        <w:t>相对应的</w:t>
      </w:r>
      <w:r>
        <w:rPr>
          <w:rFonts w:hint="eastAsia"/>
          <w:color w:val="auto"/>
          <w:highlight w:val="none"/>
        </w:rPr>
        <w:t>招标控制价（费率）和保险费总额（含税总额），否则，将被认定为否决投标。</w:t>
      </w:r>
    </w:p>
    <w:p>
      <w:pPr>
        <w:numPr>
          <w:ilvl w:val="0"/>
          <w:numId w:val="6"/>
        </w:numPr>
        <w:adjustRightInd w:val="0"/>
        <w:snapToGrid w:val="0"/>
        <w:spacing w:beforeLines="0" w:line="400" w:lineRule="exact"/>
        <w:ind w:firstLine="420" w:firstLineChars="20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投标报价应包括中标后为完成合同规定的全部工作需支付的一切费用和拟获得的利润，并考虑应承担的风险。</w:t>
      </w:r>
    </w:p>
    <w:p>
      <w:pPr>
        <w:numPr>
          <w:ilvl w:val="0"/>
          <w:numId w:val="6"/>
        </w:numPr>
        <w:adjustRightInd w:val="0"/>
        <w:snapToGrid w:val="0"/>
        <w:spacing w:beforeLines="0" w:line="400" w:lineRule="exact"/>
        <w:ind w:firstLine="420" w:firstLineChars="200"/>
        <w:rPr>
          <w:rFonts w:hint="eastAsia" w:ascii="Times New Roman" w:hAnsi="Times New Roman" w:eastAsia="宋体" w:cs="Times New Roman"/>
          <w:color w:val="auto"/>
          <w:highlight w:val="none"/>
        </w:rPr>
      </w:pPr>
      <w:r>
        <w:rPr>
          <w:rFonts w:hint="eastAsia" w:cs="Times New Roman"/>
          <w:color w:val="auto"/>
          <w:highlight w:val="none"/>
          <w:lang w:eastAsia="zh-CN"/>
        </w:rPr>
        <w:t>报价人</w:t>
      </w:r>
      <w:r>
        <w:rPr>
          <w:rFonts w:hint="eastAsia" w:ascii="Times New Roman" w:hAnsi="Times New Roman" w:eastAsia="宋体" w:cs="Times New Roman"/>
          <w:color w:val="auto"/>
          <w:highlight w:val="none"/>
        </w:rPr>
        <w:t>报价费率百分号前保留四位小数即x.xx</w:t>
      </w:r>
      <w:r>
        <w:rPr>
          <w:rFonts w:hint="eastAsia" w:ascii="Times New Roman" w:hAnsi="Times New Roman" w:eastAsia="宋体" w:cs="Times New Roman"/>
          <w:color w:val="auto"/>
          <w:highlight w:val="none"/>
          <w:lang w:val="en-US" w:eastAsia="zh-CN"/>
        </w:rPr>
        <w:t>x</w:t>
      </w:r>
      <w:r>
        <w:rPr>
          <w:rFonts w:hint="eastAsia" w:ascii="Times New Roman" w:hAnsi="Times New Roman" w:eastAsia="宋体" w:cs="Times New Roman"/>
          <w:color w:val="auto"/>
          <w:highlight w:val="none"/>
        </w:rPr>
        <w:t>%，第五位四舍五入；投标总报价以元为单位，保留小数点后两位，第三位四舍五入。</w:t>
      </w:r>
    </w:p>
    <w:p>
      <w:pPr>
        <w:numPr>
          <w:ilvl w:val="0"/>
          <w:numId w:val="6"/>
        </w:numPr>
        <w:adjustRightInd w:val="0"/>
        <w:snapToGrid w:val="0"/>
        <w:spacing w:beforeLines="0" w:line="400" w:lineRule="exact"/>
        <w:ind w:firstLine="420" w:firstLineChars="200"/>
        <w:rPr>
          <w:rFonts w:hint="eastAsia" w:ascii="Times New Roman" w:hAnsi="Times New Roman" w:eastAsia="宋体" w:cs="Times New Roman"/>
          <w:color w:val="auto"/>
          <w:highlight w:val="none"/>
        </w:rPr>
      </w:pPr>
      <w:r>
        <w:rPr>
          <w:rFonts w:hint="eastAsia" w:cs="Times New Roman"/>
          <w:color w:val="auto"/>
          <w:highlight w:val="none"/>
          <w:lang w:eastAsia="zh-CN"/>
        </w:rPr>
        <w:t>报价人</w:t>
      </w:r>
      <w:r>
        <w:rPr>
          <w:rFonts w:hint="eastAsia" w:ascii="Times New Roman" w:hAnsi="Times New Roman" w:eastAsia="宋体" w:cs="Times New Roman"/>
          <w:color w:val="auto"/>
          <w:highlight w:val="none"/>
        </w:rPr>
        <w:t>的投标总报价应是含税价。</w:t>
      </w:r>
    </w:p>
    <w:p>
      <w:pPr>
        <w:numPr>
          <w:ilvl w:val="0"/>
          <w:numId w:val="6"/>
        </w:numPr>
        <w:adjustRightInd w:val="0"/>
        <w:snapToGrid w:val="0"/>
        <w:spacing w:beforeLines="0" w:line="400" w:lineRule="exact"/>
        <w:ind w:firstLine="420" w:firstLineChars="200"/>
        <w:rPr>
          <w:rFonts w:hint="eastAsia" w:ascii="宋体" w:hAnsi="宋体" w:cs="宋体"/>
          <w:szCs w:val="21"/>
          <w:highlight w:val="none"/>
        </w:rPr>
      </w:pPr>
      <w:r>
        <w:rPr>
          <w:rFonts w:hint="eastAsia" w:ascii="Times New Roman" w:hAnsi="Times New Roman" w:eastAsia="宋体" w:cs="Times New Roman"/>
          <w:color w:val="auto"/>
          <w:highlight w:val="none"/>
        </w:rPr>
        <w:t>同一险种的费率应保持一致。否则由评标委员会作否决投标处理。</w:t>
      </w:r>
    </w:p>
    <w:p>
      <w:pPr>
        <w:numPr>
          <w:ilvl w:val="0"/>
          <w:numId w:val="6"/>
        </w:numPr>
        <w:adjustRightInd w:val="0"/>
        <w:snapToGrid w:val="0"/>
        <w:spacing w:beforeLines="0" w:line="400" w:lineRule="exact"/>
        <w:ind w:firstLine="420" w:firstLineChars="200"/>
        <w:rPr>
          <w:rFonts w:hint="eastAsia" w:ascii="宋体" w:hAnsi="宋体" w:cs="宋体"/>
          <w:szCs w:val="21"/>
          <w:highlight w:val="none"/>
        </w:rPr>
      </w:pPr>
      <w:r>
        <w:rPr>
          <w:rFonts w:hint="eastAsia" w:ascii="Times New Roman" w:hAnsi="Times New Roman" w:eastAsia="宋体" w:cs="Times New Roman"/>
          <w:color w:val="auto"/>
          <w:highlight w:val="none"/>
        </w:rPr>
        <w:t>本项目以投标保险费含税总额为投标报价的评分依据，结算以各险种费率据实结算。</w:t>
      </w:r>
    </w:p>
    <w:p>
      <w:pPr>
        <w:pStyle w:val="29"/>
        <w:spacing w:line="360" w:lineRule="auto"/>
        <w:ind w:firstLine="420" w:firstLineChars="200"/>
        <w:rPr>
          <w:rFonts w:hint="eastAsia" w:asciiTheme="minorEastAsia" w:hAnsiTheme="minorEastAsia" w:eastAsiaTheme="minorEastAsia" w:cstheme="minorEastAsia"/>
          <w:b w:val="0"/>
          <w:bCs w:val="0"/>
          <w:caps w:val="0"/>
          <w:color w:val="auto"/>
          <w:sz w:val="24"/>
          <w:szCs w:val="24"/>
          <w:highlight w:val="none"/>
        </w:rPr>
      </w:pPr>
      <w:r>
        <w:rPr>
          <w:rFonts w:hint="eastAsia" w:ascii="宋体" w:hAnsi="宋体" w:cs="宋体"/>
          <w:b w:val="0"/>
          <w:bCs w:val="0"/>
          <w:caps w:val="0"/>
          <w:sz w:val="21"/>
          <w:szCs w:val="21"/>
          <w:highlight w:val="none"/>
          <w:lang w:eastAsia="zh-CN"/>
        </w:rPr>
        <w:t>7、</w:t>
      </w:r>
      <w:r>
        <w:rPr>
          <w:rFonts w:hint="eastAsia" w:ascii="宋体" w:hAnsi="宋体" w:eastAsia="宋体" w:cs="宋体"/>
          <w:b w:val="0"/>
          <w:bCs w:val="0"/>
          <w:caps w:val="0"/>
          <w:sz w:val="21"/>
          <w:szCs w:val="21"/>
          <w:highlight w:val="none"/>
        </w:rPr>
        <w:t>需缴纳的一切税费均由报价单位承担，所有税费均由服务单位自行缴纳。</w:t>
      </w:r>
    </w:p>
    <w:p>
      <w:pPr>
        <w:rPr>
          <w:rFonts w:hint="eastAsia" w:asciiTheme="minorEastAsia" w:hAnsiTheme="minorEastAsia" w:eastAsiaTheme="minorEastAsia" w:cstheme="minorEastAsia"/>
          <w:b w:val="0"/>
          <w:bCs w:val="0"/>
          <w:caps w:val="0"/>
          <w:color w:val="auto"/>
          <w:sz w:val="24"/>
          <w:szCs w:val="24"/>
          <w:highlight w:val="none"/>
        </w:rPr>
      </w:pPr>
      <w:r>
        <w:rPr>
          <w:rFonts w:hint="eastAsia" w:asciiTheme="minorEastAsia" w:hAnsiTheme="minorEastAsia" w:eastAsiaTheme="minorEastAsia" w:cstheme="minorEastAsia"/>
          <w:b w:val="0"/>
          <w:bCs w:val="0"/>
          <w:caps w:val="0"/>
          <w:color w:val="auto"/>
          <w:sz w:val="24"/>
          <w:szCs w:val="24"/>
          <w:highlight w:val="none"/>
        </w:rPr>
        <w:br w:type="page"/>
      </w:r>
    </w:p>
    <w:p>
      <w:pPr>
        <w:rPr>
          <w:rFonts w:hint="eastAsia"/>
          <w:color w:val="auto"/>
          <w:highlight w:val="none"/>
          <w:lang w:val="en-US" w:eastAsia="zh-CN"/>
        </w:rPr>
      </w:pPr>
    </w:p>
    <w:p>
      <w:pPr>
        <w:pStyle w:val="5"/>
        <w:numPr>
          <w:ilvl w:val="0"/>
          <w:numId w:val="0"/>
        </w:numPr>
        <w:spacing w:before="0" w:after="0" w:line="360" w:lineRule="auto"/>
        <w:jc w:val="center"/>
        <w:rPr>
          <w:rFonts w:hint="eastAsia" w:ascii="宋体" w:hAnsi="宋体" w:eastAsia="宋体" w:cs="宋体"/>
          <w:color w:val="auto"/>
          <w:highlight w:val="none"/>
          <w:lang w:val="en-US" w:eastAsia="zh-CN"/>
        </w:rPr>
      </w:pPr>
      <w:r>
        <w:rPr>
          <w:rFonts w:hint="eastAsia" w:ascii="宋体" w:hAnsi="宋体" w:eastAsia="宋体" w:cs="宋体"/>
          <w:b/>
          <w:bCs/>
          <w:color w:val="auto"/>
          <w:kern w:val="44"/>
          <w:sz w:val="44"/>
          <w:szCs w:val="44"/>
          <w:highlight w:val="none"/>
          <w:lang w:val="en-US" w:eastAsia="zh-CN" w:bidi="ar-SA"/>
        </w:rPr>
        <w:t>第</w:t>
      </w:r>
      <w:r>
        <w:rPr>
          <w:rFonts w:hint="eastAsia" w:ascii="宋体" w:hAnsi="宋体" w:cs="宋体"/>
          <w:b/>
          <w:bCs/>
          <w:color w:val="auto"/>
          <w:kern w:val="44"/>
          <w:sz w:val="44"/>
          <w:szCs w:val="44"/>
          <w:highlight w:val="none"/>
          <w:lang w:val="en-US" w:eastAsia="zh-CN" w:bidi="ar-SA"/>
        </w:rPr>
        <w:t>五</w:t>
      </w:r>
      <w:r>
        <w:rPr>
          <w:rFonts w:hint="eastAsia" w:ascii="宋体" w:hAnsi="宋体" w:eastAsia="宋体" w:cs="宋体"/>
          <w:b/>
          <w:bCs/>
          <w:color w:val="auto"/>
          <w:kern w:val="44"/>
          <w:sz w:val="44"/>
          <w:szCs w:val="44"/>
          <w:highlight w:val="none"/>
          <w:lang w:val="en-US" w:eastAsia="zh-CN" w:bidi="ar-SA"/>
        </w:rPr>
        <w:t>章</w:t>
      </w:r>
      <w:r>
        <w:rPr>
          <w:rFonts w:hint="eastAsia" w:ascii="宋体" w:hAnsi="宋体" w:cs="宋体"/>
          <w:b/>
          <w:bCs/>
          <w:color w:val="auto"/>
          <w:kern w:val="44"/>
          <w:sz w:val="44"/>
          <w:szCs w:val="44"/>
          <w:highlight w:val="none"/>
          <w:lang w:val="en-US" w:eastAsia="zh-CN" w:bidi="ar-SA"/>
        </w:rPr>
        <w:t xml:space="preserve"> </w:t>
      </w:r>
      <w:r>
        <w:rPr>
          <w:rFonts w:hint="eastAsia" w:ascii="宋体" w:hAnsi="宋体" w:cs="宋体"/>
          <w:color w:val="auto"/>
          <w:highlight w:val="none"/>
          <w:lang w:val="en-US" w:eastAsia="zh-CN"/>
        </w:rPr>
        <w:t>工程量</w:t>
      </w:r>
      <w:r>
        <w:rPr>
          <w:rFonts w:hint="eastAsia" w:ascii="宋体" w:hAnsi="宋体" w:eastAsia="宋体" w:cs="宋体"/>
          <w:color w:val="auto"/>
          <w:highlight w:val="none"/>
          <w:lang w:val="en-US" w:eastAsia="zh-CN"/>
        </w:rPr>
        <w:t>清单</w:t>
      </w:r>
    </w:p>
    <w:tbl>
      <w:tblPr>
        <w:tblStyle w:val="45"/>
        <w:tblW w:w="8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7"/>
        <w:gridCol w:w="1620"/>
        <w:gridCol w:w="1905"/>
        <w:gridCol w:w="1320"/>
        <w:gridCol w:w="2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82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bookmarkStart w:id="712" w:name="_Toc247085872"/>
            <w:bookmarkStart w:id="713" w:name="_Toc144974855"/>
            <w:bookmarkStart w:id="714" w:name="_Toc152042575"/>
            <w:bookmarkStart w:id="715" w:name="_Toc246996354"/>
            <w:bookmarkStart w:id="716" w:name="_Toc152045786"/>
            <w:bookmarkStart w:id="717" w:name="_Toc179632806"/>
            <w:bookmarkStart w:id="718" w:name="_Toc246997097"/>
            <w:r>
              <w:rPr>
                <w:rFonts w:hint="eastAsia" w:ascii="宋体" w:hAnsi="宋体" w:eastAsia="宋体" w:cs="宋体"/>
                <w:b/>
                <w:bCs/>
                <w:i w:val="0"/>
                <w:iCs w:val="0"/>
                <w:color w:val="000000"/>
                <w:kern w:val="0"/>
                <w:sz w:val="24"/>
                <w:szCs w:val="24"/>
                <w:highlight w:val="none"/>
                <w:u w:val="none"/>
                <w:lang w:val="en-US" w:eastAsia="zh-CN" w:bidi="ar"/>
              </w:rPr>
              <w:t>巫溪至开州高速公路项目机电工程工程保险采购报价表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177"/>
                <w:highlight w:val="none"/>
                <w:lang w:val="en-US" w:eastAsia="zh-CN" w:bidi="ar"/>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177"/>
                <w:highlight w:val="none"/>
                <w:lang w:val="en-US" w:eastAsia="zh-CN" w:bidi="ar"/>
              </w:rPr>
              <w:t>预计合同额（元）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177"/>
                <w:highlight w:val="none"/>
                <w:lang w:val="en-US" w:eastAsia="zh-CN" w:bidi="ar"/>
              </w:rPr>
              <w:t>采购险种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费率（%）</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540103068.00</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建筑工程一切险/第三者责任险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建筑团体意外险</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2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41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Style w:val="177"/>
                <w:highlight w:val="none"/>
                <w:lang w:val="en-US" w:eastAsia="zh-CN" w:bidi="ar"/>
              </w:rPr>
              <w:t>总计（元）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c>
          <w:tcPr>
            <w:tcW w:w="2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highlight w:val="none"/>
                <w:u w:val="none"/>
              </w:rPr>
            </w:pPr>
          </w:p>
        </w:tc>
      </w:tr>
    </w:tbl>
    <w:p>
      <w:pPr>
        <w:tabs>
          <w:tab w:val="left" w:pos="720"/>
          <w:tab w:val="left" w:pos="900"/>
          <w:tab w:val="left" w:pos="1080"/>
        </w:tabs>
        <w:adjustRightInd w:val="0"/>
        <w:snapToGrid w:val="0"/>
        <w:spacing w:line="360" w:lineRule="auto"/>
        <w:ind w:firstLine="422" w:firstLineChars="200"/>
        <w:rPr>
          <w:rFonts w:hint="eastAsia" w:ascii="宋体" w:hAnsi="宋体"/>
          <w:b/>
          <w:sz w:val="21"/>
          <w:szCs w:val="21"/>
          <w:highlight w:val="none"/>
        </w:rPr>
      </w:pPr>
      <w:r>
        <w:rPr>
          <w:rFonts w:hint="eastAsia" w:ascii="宋体" w:hAnsi="宋体"/>
          <w:b/>
          <w:sz w:val="21"/>
          <w:szCs w:val="21"/>
          <w:highlight w:val="none"/>
        </w:rPr>
        <w:t>注：</w:t>
      </w:r>
    </w:p>
    <w:p>
      <w:pPr>
        <w:tabs>
          <w:tab w:val="left" w:pos="720"/>
          <w:tab w:val="left" w:pos="900"/>
          <w:tab w:val="left" w:pos="1080"/>
        </w:tabs>
        <w:adjustRightInd w:val="0"/>
        <w:snapToGrid w:val="0"/>
        <w:spacing w:line="360" w:lineRule="auto"/>
        <w:ind w:firstLine="422" w:firstLineChars="200"/>
        <w:rPr>
          <w:rFonts w:hint="eastAsia" w:ascii="宋体" w:hAnsi="宋体"/>
          <w:b/>
          <w:bCs/>
          <w:szCs w:val="21"/>
          <w:highlight w:val="none"/>
        </w:rPr>
      </w:pPr>
      <w:r>
        <w:rPr>
          <w:rFonts w:hint="eastAsia" w:ascii="宋体" w:hAnsi="宋体"/>
          <w:b/>
          <w:bCs/>
          <w:kern w:val="0"/>
          <w:sz w:val="21"/>
          <w:szCs w:val="21"/>
          <w:highlight w:val="none"/>
        </w:rPr>
        <w:t>1、保险费总额与依据投标费率计算出的结果不一致的，以投标综合费率为准修正保险费总额。</w:t>
      </w:r>
    </w:p>
    <w:p>
      <w:pPr>
        <w:tabs>
          <w:tab w:val="left" w:pos="720"/>
          <w:tab w:val="left" w:pos="900"/>
          <w:tab w:val="left" w:pos="1080"/>
        </w:tabs>
        <w:adjustRightInd w:val="0"/>
        <w:snapToGrid w:val="0"/>
        <w:spacing w:line="360" w:lineRule="auto"/>
        <w:ind w:firstLine="422" w:firstLineChars="200"/>
        <w:rPr>
          <w:rFonts w:hint="eastAsia" w:ascii="宋体" w:hAnsi="宋体"/>
          <w:b/>
          <w:bCs/>
          <w:kern w:val="0"/>
          <w:sz w:val="21"/>
          <w:szCs w:val="21"/>
          <w:highlight w:val="none"/>
        </w:rPr>
      </w:pPr>
      <w:r>
        <w:rPr>
          <w:rFonts w:hint="eastAsia" w:ascii="宋体" w:hAnsi="宋体"/>
          <w:b/>
          <w:bCs/>
          <w:kern w:val="0"/>
          <w:sz w:val="21"/>
          <w:szCs w:val="21"/>
          <w:highlight w:val="none"/>
        </w:rPr>
        <w:t>2、保险费率报价保留到小数点后</w:t>
      </w:r>
      <w:r>
        <w:rPr>
          <w:rFonts w:hint="eastAsia" w:ascii="宋体" w:hAnsi="宋体"/>
          <w:b/>
          <w:bCs/>
          <w:kern w:val="0"/>
          <w:sz w:val="21"/>
          <w:szCs w:val="21"/>
          <w:highlight w:val="none"/>
          <w:lang w:val="en-US" w:eastAsia="zh-CN"/>
        </w:rPr>
        <w:t>三</w:t>
      </w:r>
      <w:r>
        <w:rPr>
          <w:rFonts w:hint="eastAsia" w:ascii="宋体" w:hAnsi="宋体"/>
          <w:b/>
          <w:bCs/>
          <w:kern w:val="0"/>
          <w:sz w:val="21"/>
          <w:szCs w:val="21"/>
          <w:highlight w:val="none"/>
        </w:rPr>
        <w:t>位,第五位四舍五入。</w:t>
      </w:r>
    </w:p>
    <w:p>
      <w:pPr>
        <w:pStyle w:val="3"/>
        <w:adjustRightInd w:val="0"/>
        <w:snapToGrid w:val="0"/>
        <w:spacing w:after="0" w:line="360" w:lineRule="auto"/>
        <w:ind w:firstLine="422" w:firstLineChars="200"/>
        <w:rPr>
          <w:rFonts w:hint="eastAsia" w:ascii="宋体" w:hAnsi="宋体"/>
          <w:b/>
          <w:bCs/>
          <w:sz w:val="21"/>
          <w:szCs w:val="21"/>
          <w:highlight w:val="none"/>
        </w:rPr>
      </w:pPr>
      <w:r>
        <w:rPr>
          <w:rFonts w:hint="eastAsia" w:ascii="宋体" w:hAnsi="宋体"/>
          <w:b/>
          <w:bCs/>
          <w:kern w:val="0"/>
          <w:sz w:val="21"/>
          <w:szCs w:val="21"/>
          <w:highlight w:val="none"/>
        </w:rPr>
        <w:t>3、</w:t>
      </w:r>
      <w:r>
        <w:rPr>
          <w:rFonts w:hint="eastAsia" w:ascii="宋体" w:hAnsi="宋体"/>
          <w:b/>
          <w:bCs/>
          <w:sz w:val="21"/>
          <w:szCs w:val="21"/>
          <w:highlight w:val="none"/>
        </w:rPr>
        <w:t>增值税税率按国家现行法律法规执行。</w:t>
      </w:r>
    </w:p>
    <w:p>
      <w:pPr>
        <w:pStyle w:val="3"/>
        <w:adjustRightInd w:val="0"/>
        <w:snapToGrid w:val="0"/>
        <w:spacing w:after="0" w:line="360" w:lineRule="auto"/>
        <w:ind w:firstLine="422" w:firstLineChars="200"/>
        <w:rPr>
          <w:rFonts w:hint="eastAsia"/>
          <w:color w:val="auto"/>
          <w:sz w:val="21"/>
          <w:szCs w:val="21"/>
          <w:highlight w:val="none"/>
        </w:rPr>
      </w:pPr>
      <w:r>
        <w:rPr>
          <w:rFonts w:hint="eastAsia" w:ascii="宋体" w:hAnsi="宋体"/>
          <w:b/>
          <w:bCs/>
          <w:kern w:val="0"/>
          <w:sz w:val="21"/>
          <w:szCs w:val="21"/>
          <w:highlight w:val="none"/>
        </w:rPr>
        <w:t>4、</w:t>
      </w:r>
      <w:r>
        <w:rPr>
          <w:rFonts w:hint="eastAsia" w:ascii="宋体" w:hAnsi="宋体"/>
          <w:b/>
          <w:bCs/>
          <w:sz w:val="21"/>
          <w:szCs w:val="21"/>
          <w:highlight w:val="none"/>
        </w:rPr>
        <w:t>同一险种的费率应保持一致。否则由评标委员会作否决投标处理。</w:t>
      </w:r>
    </w:p>
    <w:p>
      <w:pPr>
        <w:rPr>
          <w:rFonts w:hint="eastAsia"/>
          <w:color w:val="auto"/>
          <w:highlight w:val="none"/>
        </w:rPr>
      </w:pPr>
    </w:p>
    <w:p>
      <w:pPr>
        <w:pStyle w:val="3"/>
        <w:rPr>
          <w:rFonts w:hint="eastAsia"/>
          <w:color w:val="auto"/>
          <w:highlight w:val="none"/>
        </w:rPr>
      </w:pPr>
    </w:p>
    <w:p>
      <w:pPr>
        <w:pStyle w:val="3"/>
        <w:rPr>
          <w:rFonts w:hint="eastAsia"/>
          <w:color w:val="auto"/>
          <w:highlight w:val="none"/>
        </w:rPr>
      </w:pPr>
    </w:p>
    <w:p>
      <w:pPr>
        <w:rPr>
          <w:rFonts w:hint="eastAsia"/>
          <w:color w:val="auto"/>
          <w:highlight w:val="none"/>
        </w:rPr>
      </w:pPr>
    </w:p>
    <w:p>
      <w:pPr>
        <w:pStyle w:val="3"/>
        <w:rPr>
          <w:rFonts w:hint="eastAsia"/>
          <w:color w:val="auto"/>
          <w:highlight w:val="none"/>
        </w:rPr>
      </w:pPr>
    </w:p>
    <w:p>
      <w:pPr>
        <w:pStyle w:val="5"/>
        <w:numPr>
          <w:ilvl w:val="0"/>
          <w:numId w:val="7"/>
        </w:numPr>
        <w:spacing w:before="0" w:after="0" w:line="360" w:lineRule="auto"/>
        <w:ind w:left="0" w:leftChars="0" w:firstLine="0" w:firstLineChars="0"/>
        <w:jc w:val="center"/>
        <w:rPr>
          <w:rFonts w:hint="eastAsia"/>
          <w:color w:val="auto"/>
          <w:highlight w:val="none"/>
          <w:lang w:eastAsia="zh-CN"/>
        </w:rPr>
        <w:sectPr>
          <w:footerReference r:id="rId8" w:type="default"/>
          <w:pgSz w:w="11906" w:h="16838"/>
          <w:pgMar w:top="1440" w:right="1800" w:bottom="1440" w:left="1800" w:header="851" w:footer="992" w:gutter="0"/>
          <w:cols w:space="720" w:num="1"/>
          <w:titlePg/>
          <w:docGrid w:type="lines" w:linePitch="312" w:charSpace="0"/>
        </w:sectPr>
      </w:pPr>
      <w:bookmarkStart w:id="719" w:name="_Toc152042554"/>
      <w:bookmarkStart w:id="720" w:name="_Toc246996340"/>
      <w:bookmarkStart w:id="721" w:name="_Toc247085855"/>
      <w:bookmarkStart w:id="722" w:name="_Toc152045772"/>
      <w:bookmarkStart w:id="723" w:name="_Toc514858705"/>
      <w:bookmarkStart w:id="724" w:name="_Toc2000409"/>
      <w:bookmarkStart w:id="725" w:name="_Toc15109"/>
      <w:bookmarkStart w:id="726" w:name="_Toc144974834"/>
      <w:bookmarkStart w:id="727" w:name="_Toc246997083"/>
      <w:bookmarkStart w:id="728" w:name="_Toc179632789"/>
    </w:p>
    <w:bookmarkEnd w:id="719"/>
    <w:bookmarkEnd w:id="720"/>
    <w:bookmarkEnd w:id="721"/>
    <w:bookmarkEnd w:id="722"/>
    <w:bookmarkEnd w:id="723"/>
    <w:bookmarkEnd w:id="724"/>
    <w:bookmarkEnd w:id="725"/>
    <w:bookmarkEnd w:id="726"/>
    <w:bookmarkEnd w:id="727"/>
    <w:bookmarkEnd w:id="728"/>
    <w:p>
      <w:pPr>
        <w:pStyle w:val="5"/>
        <w:spacing w:before="0" w:after="0" w:line="360" w:lineRule="auto"/>
        <w:jc w:val="center"/>
        <w:rPr>
          <w:rFonts w:hint="default" w:ascii="宋体" w:hAnsi="宋体" w:eastAsia="宋体" w:cs="宋体"/>
          <w:color w:val="auto"/>
          <w:highlight w:val="none"/>
          <w:lang w:val="en-US" w:eastAsia="zh-CN"/>
        </w:rPr>
      </w:pPr>
      <w:bookmarkStart w:id="729" w:name="_Toc12396"/>
      <w:bookmarkStart w:id="730" w:name="_Toc246997096"/>
      <w:bookmarkStart w:id="731" w:name="_Toc144974854"/>
      <w:bookmarkStart w:id="732" w:name="_Toc503951043"/>
      <w:bookmarkStart w:id="733" w:name="_Toc179632804"/>
      <w:bookmarkStart w:id="734" w:name="_Toc513633964"/>
      <w:bookmarkStart w:id="735" w:name="_Toc2000411"/>
      <w:bookmarkStart w:id="736" w:name="_Toc247085870"/>
      <w:bookmarkStart w:id="737" w:name="_Toc152042574"/>
      <w:bookmarkStart w:id="738" w:name="_Toc152045785"/>
      <w:bookmarkStart w:id="739" w:name="_Toc447827049"/>
      <w:bookmarkStart w:id="740" w:name="_Toc514858707"/>
      <w:bookmarkStart w:id="741" w:name="_Toc246996353"/>
      <w:r>
        <w:rPr>
          <w:rFonts w:hint="eastAsia" w:ascii="宋体" w:hAnsi="宋体" w:cs="宋体"/>
          <w:color w:val="auto"/>
          <w:highlight w:val="none"/>
        </w:rPr>
        <w:t>第</w:t>
      </w:r>
      <w:r>
        <w:rPr>
          <w:rFonts w:hint="eastAsia" w:ascii="宋体" w:hAnsi="宋体" w:cs="宋体"/>
          <w:color w:val="auto"/>
          <w:highlight w:val="none"/>
          <w:lang w:val="en-US" w:eastAsia="zh-CN"/>
        </w:rPr>
        <w:t>六</w:t>
      </w:r>
      <w:r>
        <w:rPr>
          <w:rFonts w:hint="eastAsia" w:ascii="宋体" w:hAnsi="宋体" w:cs="宋体"/>
          <w:color w:val="auto"/>
          <w:highlight w:val="none"/>
        </w:rPr>
        <w:t xml:space="preserve">章  </w:t>
      </w:r>
      <w:bookmarkEnd w:id="729"/>
      <w:bookmarkEnd w:id="730"/>
      <w:bookmarkEnd w:id="731"/>
      <w:bookmarkEnd w:id="732"/>
      <w:bookmarkEnd w:id="733"/>
      <w:bookmarkEnd w:id="734"/>
      <w:bookmarkEnd w:id="735"/>
      <w:bookmarkEnd w:id="736"/>
      <w:bookmarkEnd w:id="737"/>
      <w:bookmarkEnd w:id="738"/>
      <w:bookmarkEnd w:id="739"/>
      <w:bookmarkEnd w:id="740"/>
      <w:bookmarkEnd w:id="741"/>
      <w:r>
        <w:rPr>
          <w:rFonts w:hint="eastAsia" w:ascii="宋体" w:hAnsi="宋体" w:cs="宋体"/>
          <w:color w:val="auto"/>
          <w:highlight w:val="none"/>
          <w:lang w:val="en-US" w:eastAsia="zh-CN"/>
        </w:rPr>
        <w:t>图纸</w:t>
      </w:r>
    </w:p>
    <w:bookmarkEnd w:id="712"/>
    <w:bookmarkEnd w:id="713"/>
    <w:bookmarkEnd w:id="714"/>
    <w:bookmarkEnd w:id="715"/>
    <w:bookmarkEnd w:id="716"/>
    <w:bookmarkEnd w:id="717"/>
    <w:bookmarkEnd w:id="718"/>
    <w:p>
      <w:pPr>
        <w:jc w:val="both"/>
        <w:rPr>
          <w:rFonts w:ascii="黑体" w:hAnsi="黑体" w:eastAsia="黑体"/>
          <w:b/>
          <w:color w:val="auto"/>
          <w:sz w:val="30"/>
          <w:szCs w:val="30"/>
          <w:highlight w:val="none"/>
        </w:rPr>
      </w:pPr>
      <w:bookmarkStart w:id="742" w:name="_Toc514858708"/>
      <w:bookmarkStart w:id="743" w:name="_Toc514430114"/>
      <w:bookmarkStart w:id="744" w:name="_Toc2000412"/>
      <w:bookmarkStart w:id="745" w:name="_Toc29842"/>
      <w:bookmarkStart w:id="746" w:name="_Toc152045787"/>
      <w:bookmarkStart w:id="747" w:name="_Toc507320039"/>
      <w:bookmarkStart w:id="748" w:name="_Toc246996355"/>
      <w:bookmarkStart w:id="749" w:name="_Toc144974856"/>
      <w:bookmarkStart w:id="750" w:name="_Toc246997098"/>
      <w:bookmarkStart w:id="751" w:name="_Toc247085873"/>
      <w:bookmarkStart w:id="752" w:name="_Toc179632807"/>
      <w:bookmarkStart w:id="753" w:name="_Toc152042576"/>
    </w:p>
    <w:p>
      <w:pPr>
        <w:spacing w:line="360" w:lineRule="auto"/>
        <w:jc w:val="center"/>
        <w:rPr>
          <w:rFonts w:hint="eastAsia" w:eastAsia="宋体"/>
          <w:color w:val="auto"/>
          <w:sz w:val="24"/>
          <w:szCs w:val="32"/>
          <w:highlight w:val="none"/>
          <w:lang w:val="en-US" w:eastAsia="zh-CN"/>
        </w:rPr>
      </w:pPr>
      <w:r>
        <w:rPr>
          <w:rFonts w:hint="eastAsia"/>
          <w:color w:val="auto"/>
          <w:sz w:val="24"/>
          <w:szCs w:val="32"/>
          <w:highlight w:val="none"/>
          <w:lang w:val="en-US" w:eastAsia="zh-CN"/>
        </w:rPr>
        <w:t>无。</w:t>
      </w:r>
    </w:p>
    <w:p>
      <w:pPr>
        <w:pStyle w:val="5"/>
        <w:spacing w:before="0" w:after="0" w:line="360" w:lineRule="auto"/>
        <w:jc w:val="both"/>
        <w:rPr>
          <w:rFonts w:hint="eastAsia" w:ascii="宋体" w:hAnsi="宋体" w:eastAsia="宋体" w:cs="宋体"/>
          <w:color w:val="auto"/>
          <w:highlight w:val="none"/>
          <w:lang w:val="en-US" w:eastAsia="zh-CN"/>
        </w:rPr>
      </w:pPr>
    </w:p>
    <w:p>
      <w:pPr>
        <w:pStyle w:val="5"/>
        <w:spacing w:before="0" w:after="0" w:line="360" w:lineRule="auto"/>
        <w:jc w:val="center"/>
        <w:rPr>
          <w:rFonts w:hint="eastAsia" w:ascii="宋体" w:hAnsi="宋体" w:cs="宋体"/>
          <w:color w:val="auto"/>
          <w:sz w:val="44"/>
          <w:szCs w:val="44"/>
          <w:highlight w:val="none"/>
        </w:rPr>
      </w:pPr>
      <w:r>
        <w:rPr>
          <w:rFonts w:hint="eastAsia" w:ascii="宋体" w:hAnsi="宋体" w:cs="宋体"/>
          <w:color w:val="auto"/>
          <w:highlight w:val="none"/>
        </w:rPr>
        <w:br w:type="page"/>
      </w:r>
      <w:r>
        <w:rPr>
          <w:rFonts w:hint="eastAsia" w:ascii="宋体" w:hAnsi="宋体" w:eastAsia="宋体" w:cs="宋体"/>
          <w:color w:val="auto"/>
          <w:highlight w:val="none"/>
        </w:rPr>
        <w:t>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 xml:space="preserve">章  </w:t>
      </w:r>
      <w:r>
        <w:rPr>
          <w:rFonts w:hint="eastAsia" w:ascii="宋体" w:hAnsi="宋体" w:cs="宋体"/>
          <w:color w:val="auto"/>
          <w:sz w:val="44"/>
          <w:szCs w:val="44"/>
          <w:highlight w:val="none"/>
        </w:rPr>
        <w:t>保险</w:t>
      </w:r>
      <w:r>
        <w:rPr>
          <w:rFonts w:hint="eastAsia" w:ascii="宋体" w:hAnsi="宋体" w:cs="宋体"/>
          <w:color w:val="auto"/>
          <w:sz w:val="44"/>
          <w:szCs w:val="44"/>
          <w:highlight w:val="none"/>
          <w:lang w:eastAsia="zh-CN"/>
        </w:rPr>
        <w:t>采购</w:t>
      </w:r>
      <w:r>
        <w:rPr>
          <w:rFonts w:hint="eastAsia" w:ascii="宋体" w:hAnsi="宋体" w:cs="宋体"/>
          <w:color w:val="auto"/>
          <w:sz w:val="44"/>
          <w:szCs w:val="44"/>
          <w:highlight w:val="none"/>
        </w:rPr>
        <w:t>承保条件</w:t>
      </w:r>
    </w:p>
    <w:p>
      <w:pPr>
        <w:adjustRightInd w:val="0"/>
        <w:snapToGrid w:val="0"/>
        <w:spacing w:line="360" w:lineRule="auto"/>
        <w:jc w:val="center"/>
        <w:outlineLvl w:val="1"/>
        <w:rPr>
          <w:rFonts w:hint="eastAsia" w:ascii="宋体" w:hAnsi="宋体"/>
          <w:b/>
          <w:sz w:val="28"/>
          <w:szCs w:val="28"/>
          <w:highlight w:val="none"/>
        </w:rPr>
      </w:pPr>
      <w:bookmarkStart w:id="754" w:name="_Toc266371876"/>
      <w:bookmarkStart w:id="755" w:name="_Toc11504"/>
      <w:bookmarkStart w:id="756" w:name="_Toc17759"/>
      <w:bookmarkStart w:id="757" w:name="_Toc1100"/>
      <w:bookmarkStart w:id="758" w:name="_Toc23192"/>
      <w:bookmarkStart w:id="759" w:name="_Toc9903"/>
      <w:bookmarkStart w:id="760" w:name="_Toc12218"/>
      <w:bookmarkStart w:id="761" w:name="_Toc4138988"/>
      <w:bookmarkStart w:id="762" w:name="_Toc5078"/>
      <w:r>
        <w:rPr>
          <w:rFonts w:hint="eastAsia" w:ascii="宋体" w:hAnsi="宋体"/>
          <w:b/>
          <w:sz w:val="28"/>
          <w:szCs w:val="28"/>
          <w:highlight w:val="none"/>
        </w:rPr>
        <w:t xml:space="preserve">1. </w:t>
      </w:r>
      <w:bookmarkEnd w:id="754"/>
      <w:bookmarkEnd w:id="755"/>
      <w:bookmarkEnd w:id="756"/>
      <w:bookmarkEnd w:id="757"/>
      <w:bookmarkEnd w:id="758"/>
      <w:bookmarkEnd w:id="759"/>
      <w:r>
        <w:rPr>
          <w:rFonts w:hint="eastAsia" w:ascii="宋体" w:hAnsi="宋体"/>
          <w:b/>
          <w:sz w:val="28"/>
          <w:szCs w:val="28"/>
          <w:highlight w:val="none"/>
        </w:rPr>
        <w:t>保险承保条件</w:t>
      </w:r>
      <w:bookmarkEnd w:id="760"/>
      <w:bookmarkEnd w:id="761"/>
      <w:bookmarkEnd w:id="762"/>
    </w:p>
    <w:p>
      <w:pPr>
        <w:pStyle w:val="5"/>
        <w:spacing w:before="0" w:after="0" w:line="360" w:lineRule="auto"/>
        <w:jc w:val="center"/>
        <w:rPr>
          <w:rFonts w:hint="default" w:ascii="宋体" w:hAnsi="宋体" w:eastAsia="宋体" w:cs="宋体"/>
          <w:color w:val="auto"/>
          <w:highlight w:val="none"/>
          <w:lang w:val="en-US" w:eastAsia="zh-CN"/>
        </w:rPr>
      </w:pPr>
      <w:r>
        <w:rPr>
          <w:rFonts w:hint="eastAsia" w:ascii="宋体" w:hAnsi="宋体"/>
          <w:b/>
          <w:bCs w:val="0"/>
          <w:kern w:val="2"/>
          <w:sz w:val="28"/>
          <w:szCs w:val="28"/>
          <w:highlight w:val="none"/>
        </w:rPr>
        <w:t>1.1</w:t>
      </w:r>
      <w:r>
        <w:rPr>
          <w:rFonts w:hint="eastAsia" w:ascii="宋体" w:hAnsi="宋体" w:cs="Times New Roman"/>
          <w:b/>
          <w:bCs w:val="0"/>
          <w:kern w:val="2"/>
          <w:sz w:val="28"/>
          <w:szCs w:val="28"/>
          <w:highlight w:val="none"/>
        </w:rPr>
        <w:t>建筑、安装工程一切险及第三者责任险</w:t>
      </w:r>
    </w:p>
    <w:tbl>
      <w:tblPr>
        <w:tblStyle w:val="45"/>
        <w:tblW w:w="9102" w:type="dxa"/>
        <w:jc w:val="center"/>
        <w:tblLayout w:type="fixed"/>
        <w:tblCellMar>
          <w:top w:w="0" w:type="dxa"/>
          <w:left w:w="108" w:type="dxa"/>
          <w:bottom w:w="0" w:type="dxa"/>
          <w:right w:w="108" w:type="dxa"/>
        </w:tblCellMar>
      </w:tblPr>
      <w:tblGrid>
        <w:gridCol w:w="1397"/>
        <w:gridCol w:w="7705"/>
      </w:tblGrid>
      <w:tr>
        <w:tblPrEx>
          <w:tblCellMar>
            <w:top w:w="0" w:type="dxa"/>
            <w:left w:w="108" w:type="dxa"/>
            <w:bottom w:w="0" w:type="dxa"/>
            <w:right w:w="108" w:type="dxa"/>
          </w:tblCellMar>
        </w:tblPrEx>
        <w:trPr>
          <w:trHeight w:val="655"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r>
              <w:rPr>
                <w:rFonts w:hint="eastAsia"/>
                <w:b/>
                <w:sz w:val="21"/>
                <w:szCs w:val="21"/>
                <w:highlight w:val="none"/>
              </w:rPr>
              <w:t>工程名称</w:t>
            </w:r>
            <w:r>
              <w:rPr>
                <w:rFonts w:hint="eastAsia"/>
                <w:sz w:val="21"/>
                <w:szCs w:val="21"/>
                <w:highlight w:val="none"/>
              </w:rPr>
              <w:t>：</w:t>
            </w: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both"/>
              <w:rPr>
                <w:sz w:val="21"/>
                <w:szCs w:val="21"/>
                <w:highlight w:val="none"/>
              </w:rPr>
            </w:pPr>
            <w:r>
              <w:rPr>
                <w:rFonts w:hint="eastAsia"/>
                <w:sz w:val="21"/>
                <w:szCs w:val="21"/>
                <w:highlight w:val="none"/>
              </w:rPr>
              <w:t>巫溪至开州高速公路项目机电工程</w:t>
            </w:r>
          </w:p>
        </w:tc>
      </w:tr>
      <w:tr>
        <w:tblPrEx>
          <w:tblCellMar>
            <w:top w:w="0" w:type="dxa"/>
            <w:left w:w="108" w:type="dxa"/>
            <w:bottom w:w="0" w:type="dxa"/>
            <w:right w:w="108" w:type="dxa"/>
          </w:tblCellMar>
        </w:tblPrEx>
        <w:trPr>
          <w:trHeight w:val="655"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r>
              <w:rPr>
                <w:rFonts w:hint="eastAsia"/>
                <w:b/>
                <w:sz w:val="21"/>
                <w:szCs w:val="21"/>
                <w:highlight w:val="none"/>
              </w:rPr>
              <w:t>保险险种</w:t>
            </w:r>
            <w:r>
              <w:rPr>
                <w:rFonts w:hint="eastAsia"/>
                <w:sz w:val="21"/>
                <w:szCs w:val="21"/>
                <w:highlight w:val="none"/>
              </w:rPr>
              <w:t>：</w:t>
            </w: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both"/>
              <w:rPr>
                <w:sz w:val="21"/>
                <w:szCs w:val="21"/>
                <w:highlight w:val="none"/>
              </w:rPr>
            </w:pPr>
            <w:r>
              <w:rPr>
                <w:rFonts w:hint="eastAsia"/>
                <w:sz w:val="21"/>
                <w:szCs w:val="21"/>
                <w:highlight w:val="none"/>
              </w:rPr>
              <w:t>建筑、安装工程一切险及第三者责任险</w:t>
            </w:r>
          </w:p>
        </w:tc>
      </w:tr>
      <w:tr>
        <w:tblPrEx>
          <w:tblCellMar>
            <w:top w:w="0" w:type="dxa"/>
            <w:left w:w="108" w:type="dxa"/>
            <w:bottom w:w="0" w:type="dxa"/>
            <w:right w:w="108" w:type="dxa"/>
          </w:tblCellMar>
        </w:tblPrEx>
        <w:trPr>
          <w:trHeight w:val="655"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rFonts w:hint="eastAsia"/>
                <w:b/>
                <w:sz w:val="21"/>
                <w:szCs w:val="21"/>
                <w:highlight w:val="none"/>
              </w:rPr>
            </w:pPr>
            <w:r>
              <w:rPr>
                <w:rFonts w:hint="eastAsia" w:ascii="宋体" w:hAnsi="宋体"/>
                <w:szCs w:val="21"/>
                <w:highlight w:val="none"/>
              </w:rPr>
              <w:t xml:space="preserve"> 保险金额</w:t>
            </w: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ind w:firstLine="420" w:firstLineChars="200"/>
              <w:jc w:val="both"/>
              <w:rPr>
                <w:rFonts w:hint="eastAsia"/>
                <w:sz w:val="21"/>
                <w:szCs w:val="21"/>
                <w:highlight w:val="none"/>
              </w:rPr>
            </w:pPr>
            <w:r>
              <w:rPr>
                <w:rFonts w:hint="eastAsia"/>
                <w:sz w:val="21"/>
                <w:szCs w:val="21"/>
                <w:highlight w:val="none"/>
              </w:rPr>
              <w:t>巫溪至开州高速公路项目机电工程</w:t>
            </w:r>
            <w:r>
              <w:rPr>
                <w:rFonts w:hint="eastAsia" w:ascii="宋体" w:hAnsi="宋体"/>
                <w:szCs w:val="21"/>
                <w:highlight w:val="none"/>
              </w:rPr>
              <w:t>项目工程总造价（建筑、安装工程合计）：人民币</w:t>
            </w:r>
            <w:r>
              <w:rPr>
                <w:rFonts w:ascii="宋体" w:hAnsi="宋体"/>
                <w:szCs w:val="21"/>
                <w:highlight w:val="none"/>
                <w:u w:val="single"/>
              </w:rPr>
              <w:t xml:space="preserve"> </w:t>
            </w:r>
            <w:r>
              <w:rPr>
                <w:rFonts w:hint="eastAsia" w:ascii="宋体" w:hAnsi="宋体"/>
                <w:szCs w:val="21"/>
                <w:highlight w:val="none"/>
                <w:u w:val="single"/>
              </w:rPr>
              <w:t>540103068.00元</w:t>
            </w:r>
            <w:r>
              <w:rPr>
                <w:rFonts w:hint="eastAsia" w:ascii="宋体" w:hAnsi="宋体"/>
                <w:szCs w:val="21"/>
                <w:highlight w:val="none"/>
              </w:rPr>
              <w:t>。如实际工程造价相比于投保金额浮动在+/-10%(含)以内的，保险费不必多退少补；实际工程造价浮动超出10%(不含)以上的，则对超出10%（不含）的部分工程量按保险费率对保险费实行多退少补。</w:t>
            </w:r>
          </w:p>
        </w:tc>
      </w:tr>
      <w:tr>
        <w:tblPrEx>
          <w:tblCellMar>
            <w:top w:w="0" w:type="dxa"/>
            <w:left w:w="108" w:type="dxa"/>
            <w:bottom w:w="0" w:type="dxa"/>
            <w:right w:w="108" w:type="dxa"/>
          </w:tblCellMar>
        </w:tblPrEx>
        <w:trPr>
          <w:trHeight w:val="655"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adjustRightInd w:val="0"/>
              <w:snapToGrid w:val="0"/>
              <w:spacing w:line="360" w:lineRule="auto"/>
              <w:jc w:val="center"/>
              <w:rPr>
                <w:rFonts w:hint="eastAsia" w:ascii="宋体" w:hAnsi="宋体" w:eastAsia="宋体" w:cs="宋体"/>
                <w:b/>
                <w:bCs/>
                <w:kern w:val="2"/>
                <w:sz w:val="21"/>
                <w:szCs w:val="21"/>
                <w:highlight w:val="none"/>
                <w:lang w:val="en-US" w:eastAsia="zh-CN" w:bidi="ar-SA"/>
              </w:rPr>
            </w:pPr>
            <w:r>
              <w:rPr>
                <w:rFonts w:hint="eastAsia" w:ascii="宋体" w:hAnsi="宋体" w:cs="宋体"/>
                <w:b/>
                <w:bCs/>
                <w:szCs w:val="21"/>
                <w:highlight w:val="none"/>
              </w:rPr>
              <w:t>投保人</w:t>
            </w: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adjustRightInd w:val="0"/>
              <w:snapToGrid w:val="0"/>
              <w:spacing w:line="360" w:lineRule="auto"/>
              <w:ind w:firstLine="0" w:firstLineChars="0"/>
              <w:jc w:val="left"/>
              <w:rPr>
                <w:rFonts w:hint="eastAsia" w:ascii="宋体" w:hAnsi="宋体" w:eastAsia="宋体" w:cs="Times New Roman"/>
                <w:b/>
                <w:bCs/>
                <w:spacing w:val="2"/>
                <w:kern w:val="0"/>
                <w:sz w:val="21"/>
                <w:szCs w:val="21"/>
                <w:highlight w:val="none"/>
                <w:lang w:val="en-US" w:eastAsia="zh-CN" w:bidi="ar-SA"/>
              </w:rPr>
            </w:pPr>
            <w:r>
              <w:rPr>
                <w:rFonts w:hint="eastAsia" w:ascii="宋体" w:hAnsi="宋体" w:cs="宋体"/>
                <w:bCs/>
                <w:szCs w:val="21"/>
                <w:highlight w:val="none"/>
              </w:rPr>
              <w:t>重庆首讯科技股份有限公司</w:t>
            </w:r>
          </w:p>
        </w:tc>
      </w:tr>
      <w:tr>
        <w:tblPrEx>
          <w:tblCellMar>
            <w:top w:w="0" w:type="dxa"/>
            <w:left w:w="108" w:type="dxa"/>
            <w:bottom w:w="0" w:type="dxa"/>
            <w:right w:w="108" w:type="dxa"/>
          </w:tblCellMar>
        </w:tblPrEx>
        <w:trPr>
          <w:trHeight w:val="2056"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r>
              <w:rPr>
                <w:rFonts w:hint="eastAsia"/>
                <w:b/>
                <w:sz w:val="21"/>
                <w:szCs w:val="21"/>
                <w:highlight w:val="none"/>
              </w:rPr>
              <w:t>被保险人</w:t>
            </w:r>
            <w:r>
              <w:rPr>
                <w:rFonts w:hint="eastAsia"/>
                <w:sz w:val="21"/>
                <w:szCs w:val="21"/>
                <w:highlight w:val="none"/>
              </w:rPr>
              <w:t>：</w:t>
            </w: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adjustRightInd w:val="0"/>
              <w:snapToGrid w:val="0"/>
              <w:spacing w:line="360" w:lineRule="auto"/>
              <w:ind w:firstLine="420" w:firstLineChars="200"/>
              <w:rPr>
                <w:rFonts w:hint="eastAsia"/>
                <w:szCs w:val="21"/>
                <w:highlight w:val="none"/>
              </w:rPr>
            </w:pPr>
            <w:r>
              <w:rPr>
                <w:rFonts w:hint="eastAsia"/>
                <w:szCs w:val="21"/>
                <w:highlight w:val="none"/>
              </w:rPr>
              <w:t>1. 项目业主：</w:t>
            </w:r>
            <w:r>
              <w:rPr>
                <w:rFonts w:hint="eastAsia"/>
                <w:spacing w:val="-4"/>
                <w:sz w:val="21"/>
                <w:szCs w:val="21"/>
                <w:highlight w:val="none"/>
              </w:rPr>
              <w:t>重庆高速巫云开建设有限公司</w:t>
            </w:r>
          </w:p>
          <w:p>
            <w:pPr>
              <w:adjustRightInd w:val="0"/>
              <w:snapToGrid w:val="0"/>
              <w:spacing w:line="360" w:lineRule="auto"/>
              <w:ind w:firstLine="420" w:firstLineChars="200"/>
              <w:rPr>
                <w:rFonts w:hint="eastAsia"/>
                <w:szCs w:val="21"/>
                <w:highlight w:val="none"/>
              </w:rPr>
            </w:pPr>
            <w:r>
              <w:rPr>
                <w:rFonts w:hint="eastAsia"/>
                <w:szCs w:val="21"/>
                <w:highlight w:val="none"/>
              </w:rPr>
              <w:t>2. 承包人：重庆首讯科技股份有限公司</w:t>
            </w:r>
          </w:p>
          <w:p>
            <w:pPr>
              <w:adjustRightInd w:val="0"/>
              <w:snapToGrid w:val="0"/>
              <w:spacing w:line="360" w:lineRule="auto"/>
              <w:ind w:firstLine="420" w:firstLineChars="200"/>
              <w:rPr>
                <w:rFonts w:hint="eastAsia"/>
                <w:szCs w:val="21"/>
                <w:highlight w:val="none"/>
              </w:rPr>
            </w:pPr>
            <w:r>
              <w:rPr>
                <w:rFonts w:hint="eastAsia"/>
                <w:szCs w:val="21"/>
                <w:highlight w:val="none"/>
              </w:rPr>
              <w:t>3. 其他相关利益方：与施工单位建立合同关系的所有直接/间接专业承包商和/或任何分包商和供应商、项目业主、勘察设计单位、监测单位、质量检查单位、审计单位、设计及设计审查单位、工程管理单位、监理单位、咨询公司、顾问公司等相关利益方。</w:t>
            </w:r>
          </w:p>
          <w:p>
            <w:pPr>
              <w:kinsoku/>
              <w:overflowPunct/>
              <w:adjustRightInd/>
              <w:snapToGrid w:val="0"/>
              <w:ind w:firstLine="0" w:firstLineChars="0"/>
              <w:rPr>
                <w:spacing w:val="-4"/>
                <w:sz w:val="21"/>
                <w:szCs w:val="21"/>
                <w:highlight w:val="none"/>
              </w:rPr>
            </w:pPr>
          </w:p>
        </w:tc>
      </w:tr>
      <w:tr>
        <w:tblPrEx>
          <w:tblCellMar>
            <w:top w:w="0" w:type="dxa"/>
            <w:left w:w="108" w:type="dxa"/>
            <w:bottom w:w="0" w:type="dxa"/>
            <w:right w:w="108" w:type="dxa"/>
          </w:tblCellMar>
        </w:tblPrEx>
        <w:trPr>
          <w:trHeight w:val="1527"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r>
              <w:rPr>
                <w:rFonts w:hint="eastAsia"/>
                <w:b/>
                <w:sz w:val="21"/>
                <w:szCs w:val="21"/>
                <w:highlight w:val="none"/>
              </w:rPr>
              <w:t>保险地址</w:t>
            </w:r>
            <w:r>
              <w:rPr>
                <w:rFonts w:hint="eastAsia"/>
                <w:sz w:val="21"/>
                <w:szCs w:val="21"/>
                <w:highlight w:val="none"/>
              </w:rPr>
              <w:t>：</w:t>
            </w: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ind w:firstLine="420" w:firstLineChars="200"/>
              <w:jc w:val="both"/>
              <w:rPr>
                <w:sz w:val="21"/>
                <w:szCs w:val="21"/>
                <w:highlight w:val="none"/>
              </w:rPr>
            </w:pPr>
            <w:r>
              <w:rPr>
                <w:rFonts w:hint="eastAsia"/>
                <w:sz w:val="21"/>
                <w:szCs w:val="21"/>
                <w:highlight w:val="none"/>
              </w:rPr>
              <w:t>重庆巫溪至开州高速公路工程所在地，包括但不限于永久工程所在地及施工专用区域、材料预制构件基地、临时道路和其它临时工程、临时建筑、临时设施所在地，以及自被保险人仓库、料场至工地的运输途中。</w:t>
            </w:r>
          </w:p>
        </w:tc>
      </w:tr>
      <w:tr>
        <w:tblPrEx>
          <w:tblCellMar>
            <w:top w:w="0" w:type="dxa"/>
            <w:left w:w="108" w:type="dxa"/>
            <w:bottom w:w="0" w:type="dxa"/>
            <w:right w:w="108" w:type="dxa"/>
          </w:tblCellMar>
        </w:tblPrEx>
        <w:trPr>
          <w:trHeight w:val="975"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r>
              <w:rPr>
                <w:rFonts w:hint="eastAsia"/>
                <w:b/>
                <w:sz w:val="21"/>
                <w:szCs w:val="21"/>
                <w:highlight w:val="none"/>
              </w:rPr>
              <w:t>保险期限</w:t>
            </w:r>
            <w:r>
              <w:rPr>
                <w:rFonts w:hint="eastAsia"/>
                <w:sz w:val="21"/>
                <w:szCs w:val="21"/>
                <w:highlight w:val="none"/>
              </w:rPr>
              <w:t>：</w:t>
            </w: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ind w:firstLine="420" w:firstLineChars="200"/>
              <w:jc w:val="both"/>
              <w:rPr>
                <w:rFonts w:hint="eastAsia" w:ascii="宋体" w:hAnsi="宋体"/>
                <w:highlight w:val="none"/>
              </w:rPr>
            </w:pPr>
            <w:r>
              <w:rPr>
                <w:rFonts w:hint="eastAsia" w:ascii="宋体" w:hAnsi="宋体"/>
                <w:szCs w:val="21"/>
                <w:highlight w:val="none"/>
              </w:rPr>
              <w:t>建筑、安装工程一切险及第三者责任险期限</w:t>
            </w:r>
            <w:r>
              <w:rPr>
                <w:rFonts w:hint="eastAsia" w:ascii="宋体" w:hAnsi="宋体"/>
                <w:highlight w:val="none"/>
                <w:lang w:val="en-US" w:eastAsia="zh-CN"/>
              </w:rPr>
              <w:t>为</w:t>
            </w:r>
            <w:r>
              <w:rPr>
                <w:rFonts w:hint="eastAsia" w:ascii="宋体" w:hAnsi="宋体"/>
                <w:highlight w:val="none"/>
              </w:rPr>
              <w:t>项目开工日起直至项目交工验收合格直至附加缺陷责任期止。附加缺陷保证期：自交工验收合格之日起24个月。保险期限预计为（</w:t>
            </w:r>
            <w:r>
              <w:rPr>
                <w:rFonts w:hint="eastAsia" w:ascii="宋体" w:hAnsi="宋体"/>
                <w:highlight w:val="none"/>
                <w:lang w:val="en-US" w:eastAsia="zh-CN"/>
              </w:rPr>
              <w:t>10</w:t>
            </w:r>
            <w:r>
              <w:rPr>
                <w:rFonts w:hint="eastAsia" w:ascii="宋体" w:hAnsi="宋体"/>
                <w:highlight w:val="none"/>
              </w:rPr>
              <w:t>+24</w:t>
            </w:r>
            <w:r>
              <w:rPr>
                <w:rFonts w:hint="eastAsia" w:ascii="宋体" w:hAnsi="宋体"/>
                <w:highlight w:val="none"/>
                <w:lang w:eastAsia="zh-CN"/>
              </w:rPr>
              <w:t>）</w:t>
            </w:r>
            <w:r>
              <w:rPr>
                <w:rFonts w:hint="eastAsia" w:ascii="宋体" w:hAnsi="宋体"/>
                <w:highlight w:val="none"/>
              </w:rPr>
              <w:t>个月</w:t>
            </w:r>
            <w:r>
              <w:rPr>
                <w:rFonts w:hint="eastAsia" w:ascii="宋体" w:hAnsi="宋体"/>
                <w:highlight w:val="none"/>
                <w:lang w:eastAsia="zh-CN"/>
              </w:rPr>
              <w:t>，</w:t>
            </w:r>
            <w:r>
              <w:rPr>
                <w:rFonts w:hint="eastAsia" w:ascii="宋体" w:hAnsi="宋体"/>
                <w:highlight w:val="none"/>
              </w:rPr>
              <w:t>如工程延期则附加缺陷责任期的起始日期相应顺延。</w:t>
            </w:r>
          </w:p>
          <w:p>
            <w:pPr>
              <w:adjustRightInd w:val="0"/>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保险期限延期：</w:t>
            </w:r>
          </w:p>
          <w:p>
            <w:pPr>
              <w:adjustRightInd w:val="0"/>
              <w:snapToGrid w:val="0"/>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如本项目因规划、立项、土地使用权取得、拆迁、施工许可、融资、第三方等非项目业主自身原因导致工期延误，经业主书面通知保险人后，本保单继续有效。建筑/安装期的止期以全线开通试运营之日为准，并不再加收保费。</w:t>
            </w:r>
          </w:p>
          <w:p>
            <w:pPr>
              <w:pStyle w:val="178"/>
              <w:kinsoku w:val="0"/>
              <w:overflowPunct w:val="0"/>
              <w:adjustRightInd w:val="0"/>
              <w:spacing w:line="360" w:lineRule="auto"/>
              <w:ind w:firstLine="420" w:firstLineChars="200"/>
              <w:jc w:val="both"/>
              <w:rPr>
                <w:rFonts w:hint="eastAsia"/>
                <w:spacing w:val="-1"/>
                <w:sz w:val="21"/>
                <w:szCs w:val="21"/>
                <w:highlight w:val="none"/>
              </w:rPr>
            </w:pPr>
            <w:r>
              <w:rPr>
                <w:rFonts w:hint="eastAsia" w:ascii="宋体" w:hAnsi="宋体" w:cs="宋体"/>
                <w:szCs w:val="21"/>
                <w:highlight w:val="none"/>
              </w:rPr>
              <w:t>（2）由于非上述第（1）条规定的原因发生工程延期，建筑/安装期可自动延期，如果部分线路区段提前投入商业营运，则该部分线路保险期限结束；未投入商业营运部分的保险持续有效，直至投入商业营运为止。并不因此加收任何附加保险费，但项目业主须提前30天通知保险人</w:t>
            </w:r>
            <w:r>
              <w:rPr>
                <w:rFonts w:hint="eastAsia" w:ascii="宋体" w:hAnsi="宋体" w:cs="宋体"/>
                <w:b/>
                <w:bCs/>
                <w:szCs w:val="21"/>
                <w:highlight w:val="none"/>
              </w:rPr>
              <w:t>。</w:t>
            </w:r>
          </w:p>
          <w:p>
            <w:pPr>
              <w:pStyle w:val="178"/>
              <w:kinsoku w:val="0"/>
              <w:overflowPunct w:val="0"/>
              <w:adjustRightInd w:val="0"/>
              <w:spacing w:line="360" w:lineRule="auto"/>
              <w:ind w:firstLine="420" w:firstLineChars="200"/>
              <w:jc w:val="both"/>
              <w:rPr>
                <w:sz w:val="21"/>
                <w:szCs w:val="21"/>
                <w:highlight w:val="none"/>
              </w:rPr>
            </w:pPr>
          </w:p>
        </w:tc>
      </w:tr>
      <w:tr>
        <w:tblPrEx>
          <w:tblCellMar>
            <w:top w:w="0" w:type="dxa"/>
            <w:left w:w="108" w:type="dxa"/>
            <w:bottom w:w="0" w:type="dxa"/>
            <w:right w:w="108" w:type="dxa"/>
          </w:tblCellMar>
        </w:tblPrEx>
        <w:trPr>
          <w:trHeight w:val="555"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r>
              <w:rPr>
                <w:rFonts w:hint="eastAsia"/>
                <w:b/>
                <w:sz w:val="21"/>
                <w:szCs w:val="21"/>
                <w:highlight w:val="none"/>
              </w:rPr>
              <w:t>保险责任</w:t>
            </w:r>
            <w:r>
              <w:rPr>
                <w:rFonts w:hint="eastAsia"/>
                <w:sz w:val="21"/>
                <w:szCs w:val="21"/>
                <w:highlight w:val="none"/>
              </w:rPr>
              <w:t>：</w:t>
            </w: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ind w:firstLine="422" w:firstLineChars="200"/>
              <w:jc w:val="both"/>
              <w:rPr>
                <w:b/>
                <w:sz w:val="21"/>
                <w:szCs w:val="21"/>
                <w:highlight w:val="none"/>
              </w:rPr>
            </w:pPr>
            <w:r>
              <w:rPr>
                <w:rFonts w:hint="eastAsia"/>
                <w:b/>
                <w:sz w:val="21"/>
                <w:szCs w:val="21"/>
                <w:highlight w:val="none"/>
              </w:rPr>
              <w:t>第一部分 物质损失</w:t>
            </w:r>
          </w:p>
        </w:tc>
      </w:tr>
      <w:tr>
        <w:tblPrEx>
          <w:tblCellMar>
            <w:top w:w="0" w:type="dxa"/>
            <w:left w:w="108" w:type="dxa"/>
            <w:bottom w:w="0" w:type="dxa"/>
            <w:right w:w="108" w:type="dxa"/>
          </w:tblCellMar>
        </w:tblPrEx>
        <w:trPr>
          <w:trHeight w:val="3829" w:hRule="atLeast"/>
          <w:jc w:val="center"/>
        </w:trPr>
        <w:tc>
          <w:tcPr>
            <w:tcW w:w="1397"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p>
        </w:tc>
        <w:tc>
          <w:tcPr>
            <w:tcW w:w="7705"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ind w:firstLine="392" w:firstLineChars="200"/>
              <w:jc w:val="both"/>
              <w:rPr>
                <w:sz w:val="21"/>
                <w:szCs w:val="21"/>
                <w:highlight w:val="none"/>
              </w:rPr>
            </w:pPr>
            <w:r>
              <w:rPr>
                <w:rFonts w:hint="eastAsia"/>
                <w:spacing w:val="-7"/>
                <w:sz w:val="21"/>
                <w:szCs w:val="21"/>
                <w:highlight w:val="none"/>
              </w:rPr>
              <w:t>在保险期限内，重庆巫溪至开州高速公路工程</w:t>
            </w:r>
            <w:r>
              <w:rPr>
                <w:rFonts w:hint="eastAsia"/>
                <w:sz w:val="21"/>
                <w:szCs w:val="21"/>
                <w:highlight w:val="none"/>
              </w:rPr>
              <w:t>（包括但不限于永久工程、临时工程、建筑材料、安装设备、周转性材料、施工机具、绿化及环境保护、交通安全设施及公路配套设施等所有附加及相关设施及工程用的材料，亦包括投保人所有、被保险人照看、保管的财产及其他将包括在项目设施场地内的物品</w:t>
            </w:r>
            <w:r>
              <w:rPr>
                <w:rFonts w:hint="eastAsia"/>
                <w:spacing w:val="-16"/>
                <w:sz w:val="21"/>
                <w:szCs w:val="21"/>
                <w:highlight w:val="none"/>
              </w:rPr>
              <w:t>）</w:t>
            </w:r>
            <w:r>
              <w:rPr>
                <w:rFonts w:hint="eastAsia"/>
                <w:spacing w:val="-4"/>
                <w:sz w:val="21"/>
                <w:szCs w:val="21"/>
                <w:highlight w:val="none"/>
              </w:rPr>
              <w:t>因可保风险</w:t>
            </w:r>
            <w:r>
              <w:rPr>
                <w:rFonts w:hint="eastAsia"/>
                <w:sz w:val="21"/>
                <w:szCs w:val="21"/>
                <w:highlight w:val="none"/>
              </w:rPr>
              <w:t>（</w:t>
            </w:r>
            <w:r>
              <w:rPr>
                <w:rFonts w:hint="eastAsia"/>
                <w:spacing w:val="-4"/>
                <w:sz w:val="21"/>
                <w:szCs w:val="21"/>
                <w:highlight w:val="none"/>
              </w:rPr>
              <w:t>包括但不限于地震、海啸、雷电、</w:t>
            </w:r>
            <w:r>
              <w:rPr>
                <w:rFonts w:hint="eastAsia"/>
                <w:spacing w:val="-3"/>
                <w:sz w:val="21"/>
                <w:szCs w:val="21"/>
                <w:highlight w:val="none"/>
              </w:rPr>
              <w:t>飓风、台风、龙卷风、大风、风暴、暴雨、大雨、中雨、洪水、水灾、</w:t>
            </w:r>
            <w:r>
              <w:rPr>
                <w:rFonts w:hint="eastAsia"/>
                <w:spacing w:val="-2"/>
                <w:sz w:val="21"/>
                <w:szCs w:val="21"/>
                <w:highlight w:val="none"/>
              </w:rPr>
              <w:t>山洪、泥石流、冰雹、地崩、山崩、雪崩、火山爆发、地面下陷下沉等</w:t>
            </w:r>
            <w:r>
              <w:rPr>
                <w:rFonts w:hint="eastAsia"/>
                <w:spacing w:val="-1"/>
                <w:sz w:val="21"/>
                <w:szCs w:val="21"/>
                <w:highlight w:val="none"/>
              </w:rPr>
              <w:t>自然灾害事故；火灾、爆炸、暴乱、罢工、内乱、恶意破坏等其他意外</w:t>
            </w:r>
            <w:r>
              <w:rPr>
                <w:rFonts w:hint="eastAsia"/>
                <w:sz w:val="21"/>
                <w:szCs w:val="21"/>
                <w:highlight w:val="none"/>
              </w:rPr>
              <w:t>事故）及缺陷责任期风险造成的物质损坏或灭失，保险公司负责赔偿；由于本保险合同承保风险引起损失所产生的有关费用，亦由保险公司负责赔偿。</w:t>
            </w:r>
          </w:p>
        </w:tc>
      </w:tr>
    </w:tbl>
    <w:p>
      <w:pPr>
        <w:adjustRightInd w:val="0"/>
        <w:spacing w:line="360" w:lineRule="auto"/>
        <w:rPr>
          <w:b/>
          <w:sz w:val="21"/>
          <w:szCs w:val="21"/>
          <w:highlight w:val="none"/>
        </w:rPr>
        <w:sectPr>
          <w:footerReference r:id="rId9" w:type="default"/>
          <w:pgSz w:w="11910" w:h="16850"/>
          <w:pgMar w:top="1417" w:right="1134" w:bottom="1417" w:left="1701" w:header="0" w:footer="931" w:gutter="0"/>
          <w:pgNumType w:fmt="decimal"/>
          <w:cols w:space="720" w:num="1"/>
        </w:sectPr>
      </w:pPr>
    </w:p>
    <w:tbl>
      <w:tblPr>
        <w:tblStyle w:val="45"/>
        <w:tblW w:w="8787" w:type="dxa"/>
        <w:jc w:val="center"/>
        <w:tblLayout w:type="fixed"/>
        <w:tblCellMar>
          <w:top w:w="0" w:type="dxa"/>
          <w:left w:w="108" w:type="dxa"/>
          <w:bottom w:w="0" w:type="dxa"/>
          <w:right w:w="108" w:type="dxa"/>
        </w:tblCellMar>
      </w:tblPr>
      <w:tblGrid>
        <w:gridCol w:w="1464"/>
        <w:gridCol w:w="7323"/>
      </w:tblGrid>
      <w:tr>
        <w:tblPrEx>
          <w:tblCellMar>
            <w:top w:w="0" w:type="dxa"/>
            <w:left w:w="108" w:type="dxa"/>
            <w:bottom w:w="0" w:type="dxa"/>
            <w:right w:w="108" w:type="dxa"/>
          </w:tblCellMar>
        </w:tblPrEx>
        <w:trPr>
          <w:trHeight w:val="390" w:hRule="atLeast"/>
          <w:jc w:val="center"/>
        </w:trPr>
        <w:tc>
          <w:tcPr>
            <w:tcW w:w="146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rPr>
                <w:sz w:val="21"/>
                <w:szCs w:val="21"/>
                <w:highlight w:val="none"/>
              </w:rPr>
            </w:pPr>
          </w:p>
        </w:tc>
        <w:tc>
          <w:tcPr>
            <w:tcW w:w="7323"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2" w:firstLineChars="200"/>
              <w:rPr>
                <w:b/>
                <w:sz w:val="21"/>
                <w:szCs w:val="21"/>
                <w:highlight w:val="none"/>
              </w:rPr>
            </w:pPr>
            <w:r>
              <w:rPr>
                <w:rFonts w:hint="eastAsia"/>
                <w:b/>
                <w:sz w:val="21"/>
                <w:szCs w:val="21"/>
                <w:highlight w:val="none"/>
              </w:rPr>
              <w:t>第二部分 第三者责任</w:t>
            </w:r>
          </w:p>
        </w:tc>
      </w:tr>
      <w:tr>
        <w:tblPrEx>
          <w:tblCellMar>
            <w:top w:w="0" w:type="dxa"/>
            <w:left w:w="108" w:type="dxa"/>
            <w:bottom w:w="0" w:type="dxa"/>
            <w:right w:w="108" w:type="dxa"/>
          </w:tblCellMar>
        </w:tblPrEx>
        <w:trPr>
          <w:trHeight w:val="1606" w:hRule="atLeast"/>
          <w:jc w:val="center"/>
        </w:trPr>
        <w:tc>
          <w:tcPr>
            <w:tcW w:w="146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rPr>
                <w:sz w:val="21"/>
                <w:szCs w:val="21"/>
                <w:highlight w:val="none"/>
              </w:rPr>
            </w:pPr>
          </w:p>
        </w:tc>
        <w:tc>
          <w:tcPr>
            <w:tcW w:w="7323"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0" w:firstLineChars="200"/>
              <w:jc w:val="both"/>
              <w:rPr>
                <w:sz w:val="21"/>
                <w:szCs w:val="21"/>
                <w:highlight w:val="none"/>
              </w:rPr>
            </w:pPr>
            <w:r>
              <w:rPr>
                <w:rFonts w:hint="eastAsia"/>
                <w:sz w:val="21"/>
                <w:szCs w:val="21"/>
                <w:highlight w:val="none"/>
              </w:rPr>
              <w:t>在本工程保险期限内，因发生与本保险合同所指工程施工直接相关的意外事故引起施工区域及邻近地区的第三者人身伤亡、疾病及财产损失， 以及由于上述原因造成被保险人支付的诉讼费用和经保险人书面同意支付的费用，保险人将按相关条款规定负责赔偿。</w:t>
            </w:r>
          </w:p>
        </w:tc>
      </w:tr>
      <w:tr>
        <w:tblPrEx>
          <w:tblCellMar>
            <w:top w:w="0" w:type="dxa"/>
            <w:left w:w="108" w:type="dxa"/>
            <w:bottom w:w="0" w:type="dxa"/>
            <w:right w:w="108" w:type="dxa"/>
          </w:tblCellMar>
        </w:tblPrEx>
        <w:trPr>
          <w:trHeight w:val="390" w:hRule="atLeast"/>
          <w:jc w:val="center"/>
        </w:trPr>
        <w:tc>
          <w:tcPr>
            <w:tcW w:w="1464" w:type="dxa"/>
            <w:tcBorders>
              <w:top w:val="single" w:color="000000" w:sz="6" w:space="0"/>
              <w:left w:val="single" w:color="000000" w:sz="6" w:space="0"/>
              <w:bottom w:val="single" w:color="000000" w:sz="6" w:space="0"/>
              <w:right w:val="single" w:color="000000" w:sz="6" w:space="0"/>
              <w:tl2br w:val="nil"/>
              <w:tr2bl w:val="nil"/>
            </w:tcBorders>
            <w:vAlign w:val="bottom"/>
          </w:tcPr>
          <w:p>
            <w:pPr>
              <w:pStyle w:val="178"/>
              <w:kinsoku w:val="0"/>
              <w:overflowPunct w:val="0"/>
              <w:adjustRightInd w:val="0"/>
              <w:spacing w:line="360" w:lineRule="auto"/>
              <w:jc w:val="center"/>
              <w:rPr>
                <w:b/>
                <w:sz w:val="21"/>
                <w:szCs w:val="21"/>
                <w:highlight w:val="none"/>
              </w:rPr>
            </w:pPr>
            <w:r>
              <w:rPr>
                <w:rFonts w:hint="eastAsia"/>
                <w:b/>
                <w:sz w:val="21"/>
                <w:szCs w:val="21"/>
                <w:highlight w:val="none"/>
              </w:rPr>
              <w:t>扩展条款：</w:t>
            </w:r>
          </w:p>
        </w:tc>
        <w:tc>
          <w:tcPr>
            <w:tcW w:w="7323"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2" w:firstLineChars="200"/>
              <w:rPr>
                <w:b/>
                <w:sz w:val="21"/>
                <w:szCs w:val="21"/>
                <w:highlight w:val="none"/>
              </w:rPr>
            </w:pPr>
            <w:r>
              <w:rPr>
                <w:rFonts w:hint="eastAsia"/>
                <w:b/>
                <w:sz w:val="21"/>
                <w:szCs w:val="21"/>
                <w:highlight w:val="none"/>
              </w:rPr>
              <w:t>第一部分 物质损失</w:t>
            </w:r>
          </w:p>
        </w:tc>
      </w:tr>
      <w:tr>
        <w:tblPrEx>
          <w:tblCellMar>
            <w:top w:w="0" w:type="dxa"/>
            <w:left w:w="108" w:type="dxa"/>
            <w:bottom w:w="0" w:type="dxa"/>
            <w:right w:w="108" w:type="dxa"/>
          </w:tblCellMar>
        </w:tblPrEx>
        <w:trPr>
          <w:trHeight w:val="3621" w:hRule="atLeast"/>
          <w:jc w:val="center"/>
        </w:trPr>
        <w:tc>
          <w:tcPr>
            <w:tcW w:w="146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rPr>
                <w:sz w:val="21"/>
                <w:szCs w:val="21"/>
                <w:highlight w:val="none"/>
              </w:rPr>
            </w:pPr>
          </w:p>
        </w:tc>
        <w:tc>
          <w:tcPr>
            <w:tcW w:w="7323"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1.公共当局扩展条款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2.全额赔偿扩展条款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3.管理费用条款（每次事故赔偿限额：RMB300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4.清除残骸费用扩展条款（每次事故赔偿限额：RMB300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5.专业费用特别条款（每次事故赔偿限额：RMB500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6.特别费用扩展条款（每次事故赔偿限额：RMB100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7.自动升值条款（以保险金额的 20%为限）</w:t>
            </w:r>
          </w:p>
          <w:p>
            <w:pPr>
              <w:pStyle w:val="178"/>
              <w:kinsoku w:val="0"/>
              <w:overflowPunct w:val="0"/>
              <w:adjustRightInd w:val="0"/>
              <w:spacing w:line="360" w:lineRule="auto"/>
              <w:ind w:firstLine="428" w:firstLineChars="200"/>
              <w:rPr>
                <w:sz w:val="21"/>
                <w:szCs w:val="21"/>
                <w:highlight w:val="none"/>
              </w:rPr>
            </w:pPr>
            <w:r>
              <w:rPr>
                <w:rFonts w:hint="eastAsia"/>
                <w:spacing w:val="2"/>
                <w:sz w:val="21"/>
                <w:szCs w:val="21"/>
                <w:highlight w:val="none"/>
              </w:rPr>
              <w:t>8.</w:t>
            </w:r>
            <w:r>
              <w:rPr>
                <w:rFonts w:hint="eastAsia"/>
                <w:spacing w:val="-6"/>
                <w:sz w:val="21"/>
                <w:szCs w:val="21"/>
                <w:highlight w:val="none"/>
              </w:rPr>
              <w:t>工地外储存物特别条款</w:t>
            </w:r>
            <w:r>
              <w:rPr>
                <w:rFonts w:hint="eastAsia"/>
                <w:sz w:val="21"/>
                <w:szCs w:val="21"/>
                <w:highlight w:val="none"/>
              </w:rPr>
              <w:t>（</w:t>
            </w:r>
            <w:r>
              <w:rPr>
                <w:rFonts w:hint="eastAsia"/>
                <w:spacing w:val="-1"/>
                <w:sz w:val="21"/>
                <w:szCs w:val="21"/>
                <w:highlight w:val="none"/>
              </w:rPr>
              <w:t>每一储存点每次事故赔偿限额：</w:t>
            </w:r>
            <w:r>
              <w:rPr>
                <w:rFonts w:hint="eastAsia"/>
                <w:spacing w:val="-9"/>
                <w:sz w:val="21"/>
                <w:szCs w:val="21"/>
                <w:highlight w:val="none"/>
              </w:rPr>
              <w:t>RMB1000</w:t>
            </w:r>
            <w:r>
              <w:rPr>
                <w:rFonts w:hint="eastAsia"/>
                <w:spacing w:val="10"/>
                <w:sz w:val="21"/>
                <w:szCs w:val="21"/>
                <w:highlight w:val="none"/>
              </w:rPr>
              <w:t xml:space="preserve"> </w:t>
            </w:r>
            <w:r>
              <w:rPr>
                <w:rFonts w:hint="eastAsia"/>
                <w:sz w:val="21"/>
                <w:szCs w:val="21"/>
                <w:highlight w:val="none"/>
              </w:rPr>
              <w:t>万）</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9.内陆运输扩展条款（每次运输赔偿限额人民币 RMB1000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10.工程险、运输险责任分摊条款（50/50 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11.罢工、暴乱及民众骚动条款（赔偿限额：RMB1000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12.恶意破坏特别条款（赔偿限额：RMB1000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13.工程图纸、文件特别条款（本条款每次事故赔偿限额: RMB50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14.自动恢复保险金额条款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15.扩展责任保证期条款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16.地下炸弹特别条款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17.工程完工或交付使用部分扩展条款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18.设计师风险扩展条款（每次事故赔偿限额为 RMB5000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19.铺设管道、电缆特别条款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20.预防措施条款（每次事故及累计限额：RMB100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21.漏电、大气放电责任扩展条款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22.灭火费用条款（赔偿限额：RMB500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23.场外装配扩展条款（每次事故赔偿限额：RMB3000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24.污染责任条款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25</w:t>
            </w:r>
            <w:r>
              <w:rPr>
                <w:rFonts w:hint="eastAsia"/>
                <w:spacing w:val="6"/>
                <w:sz w:val="21"/>
                <w:szCs w:val="21"/>
                <w:highlight w:val="none"/>
              </w:rPr>
              <w:t>.</w:t>
            </w:r>
            <w:r>
              <w:rPr>
                <w:rFonts w:hint="eastAsia"/>
                <w:sz w:val="21"/>
                <w:szCs w:val="21"/>
                <w:highlight w:val="none"/>
              </w:rPr>
              <w:t>“涌水（泥</w:t>
            </w:r>
            <w:r>
              <w:rPr>
                <w:rFonts w:hint="eastAsia"/>
                <w:spacing w:val="-105"/>
                <w:sz w:val="21"/>
                <w:szCs w:val="21"/>
                <w:highlight w:val="none"/>
              </w:rPr>
              <w:t>）</w:t>
            </w:r>
            <w:r>
              <w:rPr>
                <w:rFonts w:hint="eastAsia"/>
                <w:sz w:val="21"/>
                <w:szCs w:val="21"/>
                <w:highlight w:val="none"/>
              </w:rPr>
              <w:t>、突水（泥</w:t>
            </w:r>
            <w:r>
              <w:rPr>
                <w:rFonts w:hint="eastAsia"/>
                <w:spacing w:val="-105"/>
                <w:sz w:val="21"/>
                <w:szCs w:val="21"/>
                <w:highlight w:val="none"/>
              </w:rPr>
              <w:t>）</w:t>
            </w:r>
            <w:r>
              <w:rPr>
                <w:rFonts w:hint="eastAsia"/>
                <w:sz w:val="21"/>
                <w:szCs w:val="21"/>
                <w:highlight w:val="none"/>
              </w:rPr>
              <w:t>”特别条款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26.地下工程特别条款（150%）</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27.滑坡责任特别条款</w:t>
            </w:r>
          </w:p>
        </w:tc>
      </w:tr>
    </w:tbl>
    <w:p>
      <w:pPr>
        <w:spacing w:line="360" w:lineRule="auto"/>
        <w:rPr>
          <w:b/>
          <w:sz w:val="21"/>
          <w:szCs w:val="21"/>
          <w:highlight w:val="none"/>
        </w:rPr>
        <w:sectPr>
          <w:pgSz w:w="11910" w:h="16850"/>
          <w:pgMar w:top="1300" w:right="1600" w:bottom="1120" w:left="1680" w:header="0" w:footer="931" w:gutter="0"/>
          <w:pgNumType w:fmt="decimal"/>
          <w:cols w:space="720" w:num="1"/>
        </w:sectPr>
      </w:pPr>
    </w:p>
    <w:tbl>
      <w:tblPr>
        <w:tblStyle w:val="45"/>
        <w:tblW w:w="8908" w:type="dxa"/>
        <w:jc w:val="center"/>
        <w:tblLayout w:type="fixed"/>
        <w:tblCellMar>
          <w:top w:w="0" w:type="dxa"/>
          <w:left w:w="108" w:type="dxa"/>
          <w:bottom w:w="0" w:type="dxa"/>
          <w:right w:w="108" w:type="dxa"/>
        </w:tblCellMar>
      </w:tblPr>
      <w:tblGrid>
        <w:gridCol w:w="1494"/>
        <w:gridCol w:w="7414"/>
      </w:tblGrid>
      <w:tr>
        <w:tblPrEx>
          <w:tblCellMar>
            <w:top w:w="0" w:type="dxa"/>
            <w:left w:w="108" w:type="dxa"/>
            <w:bottom w:w="0" w:type="dxa"/>
            <w:right w:w="108" w:type="dxa"/>
          </w:tblCellMar>
        </w:tblPrEx>
        <w:trPr>
          <w:trHeight w:val="390" w:hRule="atLeast"/>
          <w:jc w:val="center"/>
        </w:trPr>
        <w:tc>
          <w:tcPr>
            <w:tcW w:w="1494" w:type="dxa"/>
            <w:vMerge w:val="restart"/>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rPr>
                <w:sz w:val="21"/>
                <w:szCs w:val="21"/>
                <w:highlight w:val="none"/>
              </w:rPr>
            </w:pPr>
          </w:p>
        </w:tc>
        <w:tc>
          <w:tcPr>
            <w:tcW w:w="741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2" w:firstLineChars="200"/>
              <w:rPr>
                <w:b/>
                <w:sz w:val="21"/>
                <w:szCs w:val="21"/>
                <w:highlight w:val="none"/>
              </w:rPr>
            </w:pPr>
            <w:r>
              <w:rPr>
                <w:rFonts w:hint="eastAsia"/>
                <w:b/>
                <w:sz w:val="21"/>
                <w:szCs w:val="21"/>
                <w:highlight w:val="none"/>
              </w:rPr>
              <w:t>第二部分 第三者责任</w:t>
            </w:r>
          </w:p>
        </w:tc>
      </w:tr>
      <w:tr>
        <w:tblPrEx>
          <w:tblCellMar>
            <w:top w:w="0" w:type="dxa"/>
            <w:left w:w="108" w:type="dxa"/>
            <w:bottom w:w="0" w:type="dxa"/>
            <w:right w:w="108" w:type="dxa"/>
          </w:tblCellMar>
        </w:tblPrEx>
        <w:trPr>
          <w:trHeight w:val="5389" w:hRule="atLeast"/>
          <w:jc w:val="center"/>
        </w:trPr>
        <w:tc>
          <w:tcPr>
            <w:tcW w:w="1494" w:type="dxa"/>
            <w:vMerge w:val="continue"/>
            <w:tcBorders>
              <w:top w:val="nil"/>
              <w:left w:val="single" w:color="000000" w:sz="6" w:space="0"/>
              <w:bottom w:val="single" w:color="000000" w:sz="6" w:space="0"/>
              <w:right w:val="single" w:color="000000" w:sz="6" w:space="0"/>
              <w:tl2br w:val="nil"/>
              <w:tr2bl w:val="nil"/>
            </w:tcBorders>
          </w:tcPr>
          <w:p>
            <w:pPr>
              <w:adjustRightInd w:val="0"/>
              <w:spacing w:line="360" w:lineRule="auto"/>
              <w:rPr>
                <w:b/>
                <w:sz w:val="21"/>
                <w:szCs w:val="21"/>
                <w:highlight w:val="none"/>
              </w:rPr>
            </w:pPr>
          </w:p>
        </w:tc>
        <w:tc>
          <w:tcPr>
            <w:tcW w:w="7414" w:type="dxa"/>
            <w:tcBorders>
              <w:top w:val="single" w:color="000000" w:sz="6" w:space="0"/>
              <w:left w:val="single" w:color="000000" w:sz="6" w:space="0"/>
              <w:bottom w:val="single" w:color="000000" w:sz="6" w:space="0"/>
              <w:right w:val="single" w:color="000000" w:sz="6" w:space="0"/>
              <w:tl2br w:val="nil"/>
              <w:tr2bl w:val="nil"/>
            </w:tcBorders>
          </w:tcPr>
          <w:p>
            <w:pPr>
              <w:pStyle w:val="178"/>
              <w:numPr>
                <w:ilvl w:val="0"/>
                <w:numId w:val="8"/>
              </w:numPr>
              <w:kinsoku w:val="0"/>
              <w:overflowPunct w:val="0"/>
              <w:adjustRightInd w:val="0"/>
              <w:spacing w:line="360" w:lineRule="auto"/>
              <w:ind w:firstLine="420" w:firstLineChars="200"/>
              <w:rPr>
                <w:rFonts w:hint="eastAsia"/>
                <w:sz w:val="21"/>
                <w:szCs w:val="21"/>
                <w:highlight w:val="none"/>
              </w:rPr>
            </w:pPr>
            <w:r>
              <w:rPr>
                <w:rFonts w:hint="eastAsia"/>
                <w:sz w:val="21"/>
                <w:szCs w:val="21"/>
                <w:highlight w:val="none"/>
              </w:rPr>
              <w:t>地下电缆、管道及设施特别条款（</w:t>
            </w:r>
            <w:r>
              <w:rPr>
                <w:rFonts w:hint="eastAsia"/>
                <w:spacing w:val="-1"/>
                <w:sz w:val="21"/>
                <w:szCs w:val="21"/>
                <w:highlight w:val="none"/>
              </w:rPr>
              <w:t xml:space="preserve">每次事故赔偿限额为 </w:t>
            </w:r>
            <w:r>
              <w:rPr>
                <w:rFonts w:hint="eastAsia"/>
                <w:sz w:val="21"/>
                <w:szCs w:val="21"/>
                <w:highlight w:val="none"/>
              </w:rPr>
              <w:t>RMB500</w:t>
            </w:r>
            <w:r>
              <w:rPr>
                <w:rFonts w:hint="eastAsia"/>
                <w:spacing w:val="1"/>
                <w:sz w:val="21"/>
                <w:szCs w:val="21"/>
                <w:highlight w:val="none"/>
              </w:rPr>
              <w:t xml:space="preserve"> </w:t>
            </w:r>
            <w:r>
              <w:rPr>
                <w:rFonts w:hint="eastAsia"/>
                <w:sz w:val="21"/>
                <w:szCs w:val="21"/>
                <w:highlight w:val="none"/>
              </w:rPr>
              <w:t>万</w:t>
            </w:r>
            <w:r>
              <w:rPr>
                <w:rFonts w:hint="eastAsia"/>
                <w:spacing w:val="-35"/>
                <w:sz w:val="21"/>
                <w:szCs w:val="21"/>
                <w:highlight w:val="none"/>
              </w:rPr>
              <w:t>元 。</w:t>
            </w:r>
            <w:r>
              <w:rPr>
                <w:rFonts w:hint="eastAsia"/>
                <w:sz w:val="21"/>
                <w:szCs w:val="21"/>
                <w:highlight w:val="none"/>
              </w:rPr>
              <w:t>）</w:t>
            </w:r>
          </w:p>
          <w:p>
            <w:pPr>
              <w:pStyle w:val="178"/>
              <w:numPr>
                <w:ilvl w:val="0"/>
                <w:numId w:val="8"/>
              </w:numPr>
              <w:kinsoku w:val="0"/>
              <w:overflowPunct w:val="0"/>
              <w:adjustRightInd w:val="0"/>
              <w:spacing w:line="360" w:lineRule="auto"/>
              <w:ind w:firstLine="420" w:firstLineChars="200"/>
              <w:rPr>
                <w:sz w:val="21"/>
                <w:szCs w:val="21"/>
                <w:highlight w:val="none"/>
              </w:rPr>
            </w:pPr>
            <w:r>
              <w:rPr>
                <w:rFonts w:hint="eastAsia"/>
                <w:sz w:val="21"/>
                <w:szCs w:val="21"/>
                <w:highlight w:val="none"/>
              </w:rPr>
              <w:t>震动、移动或减弱支撑扩展条款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30.交叉责任条款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31.突然及意外渗漏、污染、玷污条款（每次事故赔偿限额为 RMB3000万元）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32.火灾及爆炸条款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33.原有建筑物及周围财产扩展条款（本条款累计赔偿限额为 RMB3000万元。）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34.工地探访条款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35.建（构）筑物裂缝责任扩展条款（每次事故赔偿限额：RMB1000万</w:t>
            </w:r>
            <w:r>
              <w:rPr>
                <w:rFonts w:hint="eastAsia"/>
                <w:spacing w:val="-53"/>
                <w:sz w:val="21"/>
                <w:szCs w:val="21"/>
                <w:highlight w:val="none"/>
              </w:rPr>
              <w:t>元。</w:t>
            </w:r>
            <w:r>
              <w:rPr>
                <w:rFonts w:hint="eastAsia"/>
                <w:sz w:val="21"/>
                <w:szCs w:val="21"/>
                <w:highlight w:val="none"/>
              </w:rPr>
              <w:t>）</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36.急救费用条款（每次事故赔偿限额：RMB10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37.车辆装卸责任条款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38.地面下陷条款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39.跨线施工扩展条款</w:t>
            </w:r>
          </w:p>
        </w:tc>
      </w:tr>
      <w:tr>
        <w:tblPrEx>
          <w:tblCellMar>
            <w:top w:w="0" w:type="dxa"/>
            <w:left w:w="108" w:type="dxa"/>
            <w:bottom w:w="0" w:type="dxa"/>
            <w:right w:w="108" w:type="dxa"/>
          </w:tblCellMar>
        </w:tblPrEx>
        <w:trPr>
          <w:trHeight w:val="390" w:hRule="atLeast"/>
          <w:jc w:val="center"/>
        </w:trPr>
        <w:tc>
          <w:tcPr>
            <w:tcW w:w="1494"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p>
        </w:tc>
        <w:tc>
          <w:tcPr>
            <w:tcW w:w="741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2" w:firstLineChars="200"/>
              <w:rPr>
                <w:b/>
                <w:sz w:val="21"/>
                <w:szCs w:val="21"/>
                <w:highlight w:val="none"/>
              </w:rPr>
            </w:pPr>
            <w:r>
              <w:rPr>
                <w:rFonts w:hint="eastAsia"/>
                <w:b/>
                <w:sz w:val="21"/>
                <w:szCs w:val="21"/>
                <w:highlight w:val="none"/>
              </w:rPr>
              <w:t>第三部分 通用条款（第一和第二部分）</w:t>
            </w:r>
          </w:p>
        </w:tc>
      </w:tr>
      <w:tr>
        <w:tblPrEx>
          <w:tblCellMar>
            <w:top w:w="0" w:type="dxa"/>
            <w:left w:w="108" w:type="dxa"/>
            <w:bottom w:w="0" w:type="dxa"/>
            <w:right w:w="108" w:type="dxa"/>
          </w:tblCellMar>
        </w:tblPrEx>
        <w:trPr>
          <w:trHeight w:val="4399" w:hRule="atLeast"/>
          <w:jc w:val="center"/>
        </w:trPr>
        <w:tc>
          <w:tcPr>
            <w:tcW w:w="1494" w:type="dxa"/>
            <w:vMerge w:val="continue"/>
            <w:tcBorders>
              <w:top w:val="nil"/>
              <w:left w:val="single" w:color="000000" w:sz="6" w:space="0"/>
              <w:bottom w:val="single" w:color="000000" w:sz="6" w:space="0"/>
              <w:right w:val="single" w:color="000000" w:sz="6" w:space="0"/>
              <w:tl2br w:val="nil"/>
              <w:tr2bl w:val="nil"/>
            </w:tcBorders>
            <w:vAlign w:val="center"/>
          </w:tcPr>
          <w:p>
            <w:pPr>
              <w:adjustRightInd w:val="0"/>
              <w:spacing w:line="360" w:lineRule="auto"/>
              <w:jc w:val="center"/>
              <w:rPr>
                <w:b/>
                <w:sz w:val="21"/>
                <w:szCs w:val="21"/>
                <w:highlight w:val="none"/>
              </w:rPr>
            </w:pPr>
          </w:p>
        </w:tc>
        <w:tc>
          <w:tcPr>
            <w:tcW w:w="741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40.全部或部分停工 90 天条款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41.指定公估人条款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42.预付赔款条款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43.15 天注销保单条款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44.施救费用条款（每次事故赔偿限额 RMB500 万元。）</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45.损失赔付基础条款（限额：以损失部分原始造价的 120%为限。）</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46.放弃代位求偿权条款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47.保护现场条款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48.错误和遗漏条款</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49.不受控制条款</w:t>
            </w:r>
          </w:p>
          <w:p>
            <w:pPr>
              <w:pStyle w:val="178"/>
              <w:kinsoku w:val="0"/>
              <w:overflowPunct w:val="0"/>
              <w:adjustRightInd w:val="0"/>
              <w:spacing w:line="360" w:lineRule="auto"/>
              <w:ind w:firstLine="420" w:firstLineChars="200"/>
              <w:rPr>
                <w:rFonts w:hint="eastAsia"/>
                <w:sz w:val="21"/>
                <w:szCs w:val="21"/>
                <w:highlight w:val="none"/>
              </w:rPr>
            </w:pPr>
            <w:r>
              <w:rPr>
                <w:rFonts w:hint="eastAsia"/>
                <w:sz w:val="21"/>
                <w:szCs w:val="21"/>
                <w:highlight w:val="none"/>
              </w:rPr>
              <w:t>50.保险金额及保费调整条款</w:t>
            </w:r>
          </w:p>
          <w:p>
            <w:pPr>
              <w:pStyle w:val="178"/>
              <w:kinsoku w:val="0"/>
              <w:overflowPunct w:val="0"/>
              <w:adjustRightInd w:val="0"/>
              <w:spacing w:line="360" w:lineRule="auto"/>
              <w:ind w:firstLine="420" w:firstLineChars="200"/>
              <w:rPr>
                <w:rFonts w:hint="eastAsia"/>
                <w:sz w:val="21"/>
                <w:szCs w:val="21"/>
                <w:highlight w:val="none"/>
              </w:rPr>
            </w:pPr>
          </w:p>
          <w:p>
            <w:pPr>
              <w:pStyle w:val="178"/>
              <w:kinsoku w:val="0"/>
              <w:overflowPunct w:val="0"/>
              <w:adjustRightInd w:val="0"/>
              <w:spacing w:line="360" w:lineRule="auto"/>
              <w:ind w:firstLine="420" w:firstLineChars="200"/>
              <w:rPr>
                <w:rFonts w:hint="eastAsia"/>
                <w:szCs w:val="21"/>
                <w:highlight w:val="none"/>
              </w:rPr>
            </w:pPr>
            <w:r>
              <w:rPr>
                <w:rFonts w:hint="eastAsia"/>
                <w:szCs w:val="21"/>
                <w:highlight w:val="none"/>
              </w:rPr>
              <w:t>附加险条款</w:t>
            </w:r>
            <w:r>
              <w:rPr>
                <w:rFonts w:hint="eastAsia"/>
                <w:szCs w:val="21"/>
                <w:highlight w:val="none"/>
                <w:lang w:val="en-US" w:eastAsia="zh-CN"/>
              </w:rPr>
              <w:t>释义</w:t>
            </w:r>
          </w:p>
        </w:tc>
      </w:tr>
      <w:tr>
        <w:tblPrEx>
          <w:tblCellMar>
            <w:top w:w="0" w:type="dxa"/>
            <w:left w:w="108" w:type="dxa"/>
            <w:bottom w:w="0" w:type="dxa"/>
            <w:right w:w="108" w:type="dxa"/>
          </w:tblCellMar>
        </w:tblPrEx>
        <w:trPr>
          <w:trHeight w:val="390" w:hRule="atLeast"/>
          <w:jc w:val="center"/>
        </w:trPr>
        <w:tc>
          <w:tcPr>
            <w:tcW w:w="149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sz w:val="21"/>
                <w:szCs w:val="21"/>
                <w:highlight w:val="none"/>
              </w:rPr>
            </w:pPr>
            <w:r>
              <w:rPr>
                <w:rFonts w:hint="eastAsia"/>
                <w:b/>
                <w:sz w:val="21"/>
                <w:szCs w:val="21"/>
                <w:highlight w:val="none"/>
              </w:rPr>
              <w:t>司法管辖</w:t>
            </w:r>
          </w:p>
        </w:tc>
        <w:tc>
          <w:tcPr>
            <w:tcW w:w="741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受中华人民共和国司法管辖</w:t>
            </w:r>
          </w:p>
        </w:tc>
      </w:tr>
      <w:tr>
        <w:tblPrEx>
          <w:tblCellMar>
            <w:top w:w="0" w:type="dxa"/>
            <w:left w:w="108" w:type="dxa"/>
            <w:bottom w:w="0" w:type="dxa"/>
            <w:right w:w="108" w:type="dxa"/>
          </w:tblCellMar>
        </w:tblPrEx>
        <w:trPr>
          <w:trHeight w:val="390" w:hRule="atLeast"/>
          <w:jc w:val="center"/>
        </w:trPr>
        <w:tc>
          <w:tcPr>
            <w:tcW w:w="1494" w:type="dxa"/>
            <w:tcBorders>
              <w:top w:val="single" w:color="000000" w:sz="6" w:space="0"/>
              <w:left w:val="single" w:color="000000" w:sz="6" w:space="0"/>
              <w:bottom w:val="single" w:color="000000" w:sz="6" w:space="0"/>
              <w:right w:val="single" w:color="000000" w:sz="6" w:space="0"/>
              <w:tl2br w:val="nil"/>
              <w:tr2bl w:val="nil"/>
            </w:tcBorders>
            <w:vAlign w:val="center"/>
          </w:tcPr>
          <w:p>
            <w:pPr>
              <w:adjustRightInd w:val="0"/>
              <w:snapToGrid w:val="0"/>
              <w:spacing w:line="360" w:lineRule="auto"/>
              <w:jc w:val="center"/>
              <w:rPr>
                <w:rFonts w:hint="eastAsia"/>
                <w:b/>
                <w:sz w:val="21"/>
                <w:szCs w:val="21"/>
                <w:highlight w:val="none"/>
              </w:rPr>
            </w:pPr>
            <w:r>
              <w:rPr>
                <w:rFonts w:hint="eastAsia" w:ascii="宋体" w:hAnsi="宋体"/>
                <w:b/>
                <w:szCs w:val="21"/>
                <w:highlight w:val="none"/>
              </w:rPr>
              <w:t>保险条款</w:t>
            </w:r>
          </w:p>
        </w:tc>
        <w:tc>
          <w:tcPr>
            <w:tcW w:w="7414" w:type="dxa"/>
            <w:tcBorders>
              <w:top w:val="single" w:color="000000" w:sz="6" w:space="0"/>
              <w:left w:val="single" w:color="000000" w:sz="6" w:space="0"/>
              <w:bottom w:val="single" w:color="000000" w:sz="6" w:space="0"/>
              <w:right w:val="single" w:color="000000" w:sz="6" w:space="0"/>
              <w:tl2br w:val="nil"/>
              <w:tr2bl w:val="nil"/>
            </w:tcBorders>
            <w:vAlign w:val="center"/>
          </w:tcPr>
          <w:p>
            <w:pPr>
              <w:adjustRightInd w:val="0"/>
              <w:snapToGrid w:val="0"/>
              <w:spacing w:line="360" w:lineRule="auto"/>
              <w:ind w:firstLine="420" w:firstLineChars="200"/>
              <w:rPr>
                <w:rFonts w:hint="eastAsia"/>
                <w:sz w:val="21"/>
                <w:szCs w:val="21"/>
                <w:highlight w:val="none"/>
              </w:rPr>
            </w:pPr>
            <w:r>
              <w:rPr>
                <w:rFonts w:hint="eastAsia" w:ascii="宋体" w:hAnsi="宋体"/>
                <w:szCs w:val="21"/>
                <w:highlight w:val="none"/>
              </w:rPr>
              <w:t>银保监会备案的建筑工程一切险条款09版</w:t>
            </w:r>
          </w:p>
        </w:tc>
      </w:tr>
      <w:tr>
        <w:tblPrEx>
          <w:tblCellMar>
            <w:top w:w="0" w:type="dxa"/>
            <w:left w:w="108" w:type="dxa"/>
            <w:bottom w:w="0" w:type="dxa"/>
            <w:right w:w="108" w:type="dxa"/>
          </w:tblCellMar>
        </w:tblPrEx>
        <w:trPr>
          <w:trHeight w:val="390" w:hRule="atLeast"/>
          <w:jc w:val="center"/>
        </w:trPr>
        <w:tc>
          <w:tcPr>
            <w:tcW w:w="1494" w:type="dxa"/>
            <w:tcBorders>
              <w:top w:val="single" w:color="000000" w:sz="6" w:space="0"/>
              <w:left w:val="single" w:color="000000" w:sz="6" w:space="0"/>
              <w:bottom w:val="single" w:color="000000" w:sz="6" w:space="0"/>
              <w:right w:val="single" w:color="000000" w:sz="6" w:space="0"/>
              <w:tl2br w:val="nil"/>
              <w:tr2bl w:val="nil"/>
            </w:tcBorders>
            <w:vAlign w:val="center"/>
          </w:tcPr>
          <w:p>
            <w:pPr>
              <w:adjustRightInd w:val="0"/>
              <w:snapToGrid w:val="0"/>
              <w:spacing w:line="360" w:lineRule="auto"/>
              <w:jc w:val="center"/>
              <w:rPr>
                <w:rFonts w:hint="eastAsia" w:ascii="宋体" w:hAnsi="宋体"/>
                <w:b/>
                <w:szCs w:val="21"/>
                <w:highlight w:val="none"/>
              </w:rPr>
            </w:pPr>
            <w:r>
              <w:rPr>
                <w:rFonts w:hint="eastAsia" w:ascii="宋体" w:hAnsi="宋体"/>
                <w:b/>
                <w:szCs w:val="21"/>
                <w:highlight w:val="none"/>
              </w:rPr>
              <w:t>争议解决方式</w:t>
            </w:r>
          </w:p>
        </w:tc>
        <w:tc>
          <w:tcPr>
            <w:tcW w:w="7414" w:type="dxa"/>
            <w:tcBorders>
              <w:top w:val="single" w:color="000000" w:sz="6" w:space="0"/>
              <w:left w:val="single" w:color="000000" w:sz="6" w:space="0"/>
              <w:bottom w:val="single" w:color="000000" w:sz="6" w:space="0"/>
              <w:right w:val="single" w:color="000000" w:sz="6" w:space="0"/>
              <w:tl2br w:val="nil"/>
              <w:tr2bl w:val="nil"/>
            </w:tcBorders>
            <w:vAlign w:val="top"/>
          </w:tcPr>
          <w:p>
            <w:pPr>
              <w:adjustRightInd w:val="0"/>
              <w:snapToGrid w:val="0"/>
              <w:spacing w:line="360" w:lineRule="auto"/>
              <w:ind w:firstLine="420" w:firstLineChars="200"/>
              <w:rPr>
                <w:rFonts w:hint="eastAsia" w:ascii="宋体" w:hAnsi="宋体"/>
                <w:szCs w:val="21"/>
                <w:highlight w:val="none"/>
              </w:rPr>
            </w:pPr>
            <w:r>
              <w:rPr>
                <w:rFonts w:hint="eastAsia" w:ascii="宋体" w:hAnsi="宋体" w:cs="宋体"/>
                <w:szCs w:val="21"/>
                <w:highlight w:val="none"/>
              </w:rPr>
              <w:t>有关本保险的一切争议应通过友好协商解决，协商不成，通过向投保人公司注册地人民法院提起诉讼解决。</w:t>
            </w:r>
          </w:p>
        </w:tc>
      </w:tr>
      <w:tr>
        <w:tblPrEx>
          <w:tblCellMar>
            <w:top w:w="0" w:type="dxa"/>
            <w:left w:w="108" w:type="dxa"/>
            <w:bottom w:w="0" w:type="dxa"/>
            <w:right w:w="108" w:type="dxa"/>
          </w:tblCellMar>
        </w:tblPrEx>
        <w:trPr>
          <w:trHeight w:val="1996" w:hRule="atLeast"/>
          <w:jc w:val="center"/>
        </w:trPr>
        <w:tc>
          <w:tcPr>
            <w:tcW w:w="149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b/>
                <w:sz w:val="21"/>
                <w:szCs w:val="21"/>
                <w:highlight w:val="none"/>
              </w:rPr>
            </w:pPr>
            <w:r>
              <w:rPr>
                <w:rFonts w:hint="eastAsia"/>
                <w:b/>
                <w:sz w:val="21"/>
                <w:szCs w:val="21"/>
                <w:highlight w:val="none"/>
              </w:rPr>
              <w:t>免赔金额：</w:t>
            </w:r>
          </w:p>
        </w:tc>
        <w:tc>
          <w:tcPr>
            <w:tcW w:w="741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2" w:firstLineChars="200"/>
              <w:rPr>
                <w:b/>
                <w:sz w:val="21"/>
                <w:szCs w:val="21"/>
                <w:highlight w:val="none"/>
              </w:rPr>
            </w:pPr>
            <w:r>
              <w:rPr>
                <w:rFonts w:hint="eastAsia"/>
                <w:b/>
                <w:sz w:val="21"/>
                <w:szCs w:val="21"/>
                <w:highlight w:val="none"/>
              </w:rPr>
              <w:t>第一部分 物质损失</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1）自然灾害引起</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A．地震：RMB100万元或损失金额的20%，以高者为准；</w:t>
            </w:r>
          </w:p>
          <w:p>
            <w:pPr>
              <w:pStyle w:val="178"/>
              <w:kinsoku w:val="0"/>
              <w:overflowPunct w:val="0"/>
              <w:adjustRightInd w:val="0"/>
              <w:spacing w:line="360" w:lineRule="auto"/>
              <w:ind w:firstLine="348" w:firstLineChars="200"/>
              <w:rPr>
                <w:sz w:val="21"/>
                <w:szCs w:val="21"/>
                <w:highlight w:val="none"/>
              </w:rPr>
            </w:pPr>
            <w:r>
              <w:rPr>
                <w:rFonts w:hint="eastAsia"/>
                <w:spacing w:val="-18"/>
                <w:sz w:val="21"/>
                <w:szCs w:val="21"/>
                <w:highlight w:val="none"/>
              </w:rPr>
              <w:t>B</w:t>
            </w:r>
            <w:r>
              <w:rPr>
                <w:rFonts w:hint="eastAsia"/>
                <w:spacing w:val="-10"/>
                <w:sz w:val="21"/>
                <w:szCs w:val="21"/>
                <w:highlight w:val="none"/>
              </w:rPr>
              <w:t>．台风、暴雨、洪水、滑坡、泥石流：</w:t>
            </w:r>
            <w:r>
              <w:rPr>
                <w:rFonts w:hint="eastAsia"/>
                <w:spacing w:val="-6"/>
                <w:sz w:val="21"/>
                <w:szCs w:val="21"/>
                <w:highlight w:val="none"/>
              </w:rPr>
              <w:t>RMB30</w:t>
            </w:r>
            <w:r>
              <w:rPr>
                <w:rFonts w:hint="eastAsia"/>
                <w:spacing w:val="-5"/>
                <w:sz w:val="21"/>
                <w:szCs w:val="21"/>
                <w:highlight w:val="none"/>
              </w:rPr>
              <w:t>万元或损失金额的</w:t>
            </w:r>
            <w:r>
              <w:rPr>
                <w:rFonts w:hint="eastAsia"/>
                <w:sz w:val="21"/>
                <w:szCs w:val="21"/>
                <w:highlight w:val="none"/>
              </w:rPr>
              <w:t>10%， 以高者为准；</w:t>
            </w:r>
          </w:p>
        </w:tc>
      </w:tr>
    </w:tbl>
    <w:p>
      <w:pPr>
        <w:adjustRightInd w:val="0"/>
        <w:spacing w:line="360" w:lineRule="auto"/>
        <w:rPr>
          <w:b/>
          <w:sz w:val="21"/>
          <w:szCs w:val="21"/>
          <w:highlight w:val="none"/>
        </w:rPr>
        <w:sectPr>
          <w:pgSz w:w="11910" w:h="16850"/>
          <w:pgMar w:top="1300" w:right="1600" w:bottom="1120" w:left="1680" w:header="0" w:footer="931" w:gutter="0"/>
          <w:pgNumType w:fmt="decimal"/>
          <w:cols w:space="720" w:num="1"/>
        </w:sectPr>
      </w:pPr>
    </w:p>
    <w:tbl>
      <w:tblPr>
        <w:tblStyle w:val="45"/>
        <w:tblW w:w="8856" w:type="dxa"/>
        <w:jc w:val="center"/>
        <w:tblLayout w:type="fixed"/>
        <w:tblCellMar>
          <w:top w:w="0" w:type="dxa"/>
          <w:left w:w="108" w:type="dxa"/>
          <w:bottom w:w="0" w:type="dxa"/>
          <w:right w:w="108" w:type="dxa"/>
        </w:tblCellMar>
      </w:tblPr>
      <w:tblGrid>
        <w:gridCol w:w="1362"/>
        <w:gridCol w:w="7494"/>
      </w:tblGrid>
      <w:tr>
        <w:tblPrEx>
          <w:tblCellMar>
            <w:top w:w="0" w:type="dxa"/>
            <w:left w:w="108" w:type="dxa"/>
            <w:bottom w:w="0" w:type="dxa"/>
            <w:right w:w="108" w:type="dxa"/>
          </w:tblCellMar>
        </w:tblPrEx>
        <w:trPr>
          <w:trHeight w:val="4064" w:hRule="atLeast"/>
          <w:jc w:val="center"/>
        </w:trPr>
        <w:tc>
          <w:tcPr>
            <w:tcW w:w="1362"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rPr>
                <w:sz w:val="21"/>
                <w:szCs w:val="21"/>
                <w:highlight w:val="none"/>
              </w:rPr>
            </w:pPr>
          </w:p>
        </w:tc>
        <w:tc>
          <w:tcPr>
            <w:tcW w:w="7494" w:type="dxa"/>
            <w:tcBorders>
              <w:top w:val="single" w:color="000000" w:sz="6" w:space="0"/>
              <w:left w:val="single" w:color="000000" w:sz="6" w:space="0"/>
              <w:bottom w:val="single" w:color="000000" w:sz="6" w:space="0"/>
              <w:right w:val="single" w:color="000000" w:sz="6" w:space="0"/>
              <w:tl2br w:val="nil"/>
              <w:tr2bl w:val="nil"/>
            </w:tcBorders>
          </w:tcPr>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C．其它损失：RMB10 万元或损失金额的10%，以高者为准。</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2）意外事故引起</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A．隧道工程的损失：RMB80万元或损失金额的10%，以高者为准；</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 xml:space="preserve">B．桥梁工程的损失：RMB30万元或损失金额的10%，以高者为准； </w:t>
            </w:r>
          </w:p>
          <w:p>
            <w:pPr>
              <w:pStyle w:val="178"/>
              <w:kinsoku w:val="0"/>
              <w:overflowPunct w:val="0"/>
              <w:adjustRightInd w:val="0"/>
              <w:spacing w:line="360" w:lineRule="auto"/>
              <w:ind w:firstLine="420" w:firstLineChars="200"/>
              <w:rPr>
                <w:sz w:val="21"/>
                <w:szCs w:val="21"/>
                <w:highlight w:val="none"/>
              </w:rPr>
            </w:pPr>
            <w:r>
              <w:rPr>
                <w:rFonts w:hint="eastAsia"/>
                <w:sz w:val="21"/>
                <w:szCs w:val="21"/>
                <w:highlight w:val="none"/>
              </w:rPr>
              <w:t>C．其它损失：RMB10万元或损失金额的10%，以高者为准。</w:t>
            </w:r>
          </w:p>
          <w:p>
            <w:pPr>
              <w:pStyle w:val="178"/>
              <w:kinsoku w:val="0"/>
              <w:overflowPunct w:val="0"/>
              <w:adjustRightInd w:val="0"/>
              <w:spacing w:line="360" w:lineRule="auto"/>
              <w:ind w:firstLine="422" w:firstLineChars="200"/>
              <w:rPr>
                <w:b/>
                <w:sz w:val="21"/>
                <w:szCs w:val="21"/>
                <w:highlight w:val="none"/>
              </w:rPr>
            </w:pPr>
            <w:r>
              <w:rPr>
                <w:rFonts w:hint="eastAsia"/>
                <w:b/>
                <w:sz w:val="21"/>
                <w:szCs w:val="21"/>
                <w:highlight w:val="none"/>
              </w:rPr>
              <w:t>第二部分 第三者责任</w:t>
            </w:r>
          </w:p>
          <w:p>
            <w:pPr>
              <w:pStyle w:val="178"/>
              <w:kinsoku w:val="0"/>
              <w:overflowPunct w:val="0"/>
              <w:adjustRightInd w:val="0"/>
              <w:spacing w:line="360" w:lineRule="auto"/>
              <w:ind w:firstLine="352" w:firstLineChars="200"/>
              <w:jc w:val="both"/>
              <w:rPr>
                <w:sz w:val="21"/>
                <w:szCs w:val="21"/>
                <w:highlight w:val="none"/>
              </w:rPr>
            </w:pPr>
            <w:r>
              <w:rPr>
                <w:rFonts w:hint="eastAsia"/>
                <w:spacing w:val="-17"/>
                <w:sz w:val="21"/>
                <w:szCs w:val="21"/>
                <w:highlight w:val="none"/>
              </w:rPr>
              <w:t>三者保额：累计赔偿限额：</w:t>
            </w:r>
            <w:r>
              <w:rPr>
                <w:rFonts w:hint="eastAsia"/>
                <w:spacing w:val="-6"/>
                <w:sz w:val="21"/>
                <w:szCs w:val="21"/>
                <w:highlight w:val="none"/>
              </w:rPr>
              <w:t>RMB</w:t>
            </w:r>
            <w:r>
              <w:rPr>
                <w:rFonts w:hint="eastAsia"/>
                <w:sz w:val="21"/>
                <w:szCs w:val="21"/>
                <w:highlight w:val="none"/>
              </w:rPr>
              <w:t>30</w:t>
            </w:r>
            <w:r>
              <w:rPr>
                <w:rFonts w:hint="eastAsia"/>
                <w:sz w:val="21"/>
                <w:szCs w:val="21"/>
                <w:highlight w:val="none"/>
                <w:lang w:val="en-US"/>
              </w:rPr>
              <w:t>,</w:t>
            </w:r>
            <w:r>
              <w:rPr>
                <w:rFonts w:hint="eastAsia"/>
                <w:sz w:val="21"/>
                <w:szCs w:val="21"/>
                <w:highlight w:val="none"/>
              </w:rPr>
              <w:t>000</w:t>
            </w:r>
            <w:r>
              <w:rPr>
                <w:rFonts w:hint="eastAsia"/>
                <w:spacing w:val="6"/>
                <w:sz w:val="21"/>
                <w:szCs w:val="21"/>
                <w:highlight w:val="none"/>
              </w:rPr>
              <w:t>.</w:t>
            </w:r>
            <w:r>
              <w:rPr>
                <w:rFonts w:hint="eastAsia"/>
                <w:sz w:val="21"/>
                <w:szCs w:val="21"/>
                <w:highlight w:val="none"/>
              </w:rPr>
              <w:t>00</w:t>
            </w:r>
            <w:r>
              <w:rPr>
                <w:rFonts w:hint="eastAsia"/>
                <w:spacing w:val="-11"/>
                <w:sz w:val="21"/>
                <w:szCs w:val="21"/>
                <w:highlight w:val="none"/>
              </w:rPr>
              <w:t>万元，</w:t>
            </w:r>
            <w:r>
              <w:rPr>
                <w:rFonts w:hint="eastAsia"/>
                <w:spacing w:val="-11"/>
                <w:sz w:val="21"/>
                <w:szCs w:val="21"/>
                <w:highlight w:val="none"/>
                <w:lang w:val="en-US"/>
              </w:rPr>
              <w:t xml:space="preserve"> </w:t>
            </w:r>
            <w:r>
              <w:rPr>
                <w:rFonts w:hint="eastAsia"/>
                <w:spacing w:val="-11"/>
                <w:sz w:val="21"/>
                <w:szCs w:val="21"/>
                <w:highlight w:val="none"/>
              </w:rPr>
              <w:t>每次事故赔偿限额</w:t>
            </w:r>
            <w:r>
              <w:rPr>
                <w:rFonts w:hint="eastAsia"/>
                <w:spacing w:val="-4"/>
                <w:sz w:val="21"/>
                <w:szCs w:val="21"/>
                <w:highlight w:val="none"/>
              </w:rPr>
              <w:t>:</w:t>
            </w:r>
            <w:r>
              <w:rPr>
                <w:rFonts w:hint="eastAsia"/>
                <w:spacing w:val="-6"/>
                <w:sz w:val="21"/>
                <w:szCs w:val="21"/>
                <w:highlight w:val="none"/>
              </w:rPr>
              <w:t>RMB</w:t>
            </w:r>
            <w:r>
              <w:rPr>
                <w:rFonts w:hint="eastAsia"/>
                <w:sz w:val="21"/>
                <w:szCs w:val="21"/>
                <w:highlight w:val="none"/>
              </w:rPr>
              <w:t>5</w:t>
            </w:r>
            <w:r>
              <w:rPr>
                <w:rFonts w:hint="eastAsia"/>
                <w:sz w:val="21"/>
                <w:szCs w:val="21"/>
                <w:highlight w:val="none"/>
                <w:lang w:val="en-US"/>
              </w:rPr>
              <w:t>,</w:t>
            </w:r>
            <w:r>
              <w:rPr>
                <w:rFonts w:hint="eastAsia"/>
                <w:sz w:val="21"/>
                <w:szCs w:val="21"/>
                <w:highlight w:val="none"/>
              </w:rPr>
              <w:t>000.00</w:t>
            </w:r>
            <w:r>
              <w:rPr>
                <w:rFonts w:hint="eastAsia"/>
                <w:spacing w:val="-3"/>
                <w:sz w:val="21"/>
                <w:szCs w:val="21"/>
                <w:highlight w:val="none"/>
              </w:rPr>
              <w:t>万元，人身伤亡每人每次事故赔偿限额人民币</w:t>
            </w:r>
            <w:r>
              <w:rPr>
                <w:rFonts w:hint="eastAsia"/>
                <w:spacing w:val="-6"/>
                <w:sz w:val="21"/>
                <w:szCs w:val="21"/>
                <w:highlight w:val="none"/>
              </w:rPr>
              <w:t>RMB100</w:t>
            </w:r>
            <w:r>
              <w:rPr>
                <w:rFonts w:hint="eastAsia"/>
                <w:sz w:val="21"/>
                <w:szCs w:val="21"/>
                <w:highlight w:val="none"/>
              </w:rPr>
              <w:t>万元，</w:t>
            </w:r>
            <w:r>
              <w:rPr>
                <w:rFonts w:hint="eastAsia"/>
                <w:spacing w:val="-5"/>
                <w:sz w:val="21"/>
                <w:szCs w:val="21"/>
                <w:highlight w:val="none"/>
              </w:rPr>
              <w:t>第三者物质损失：每次事故免赔RMB1</w:t>
            </w:r>
            <w:r>
              <w:rPr>
                <w:rFonts w:hint="eastAsia"/>
                <w:spacing w:val="-6"/>
                <w:sz w:val="21"/>
                <w:szCs w:val="21"/>
                <w:highlight w:val="none"/>
              </w:rPr>
              <w:t>万元或损失金额</w:t>
            </w:r>
            <w:r>
              <w:rPr>
                <w:rFonts w:hint="eastAsia"/>
                <w:spacing w:val="-3"/>
                <w:sz w:val="21"/>
                <w:szCs w:val="21"/>
                <w:highlight w:val="none"/>
              </w:rPr>
              <w:t>10%</w:t>
            </w:r>
            <w:r>
              <w:rPr>
                <w:rFonts w:hint="eastAsia"/>
                <w:spacing w:val="-2"/>
                <w:sz w:val="21"/>
                <w:szCs w:val="21"/>
                <w:highlight w:val="none"/>
              </w:rPr>
              <w:t>，以高者为准；</w:t>
            </w:r>
            <w:r>
              <w:rPr>
                <w:rFonts w:hint="eastAsia"/>
                <w:sz w:val="21"/>
                <w:szCs w:val="21"/>
                <w:highlight w:val="none"/>
              </w:rPr>
              <w:t>第三者人身伤亡：不设免赔。</w:t>
            </w:r>
          </w:p>
        </w:tc>
      </w:tr>
      <w:tr>
        <w:tblPrEx>
          <w:tblCellMar>
            <w:top w:w="0" w:type="dxa"/>
            <w:left w:w="108" w:type="dxa"/>
            <w:bottom w:w="0" w:type="dxa"/>
            <w:right w:w="108" w:type="dxa"/>
          </w:tblCellMar>
        </w:tblPrEx>
        <w:trPr>
          <w:trHeight w:val="4064" w:hRule="atLeast"/>
          <w:jc w:val="center"/>
        </w:trPr>
        <w:tc>
          <w:tcPr>
            <w:tcW w:w="1362" w:type="dxa"/>
            <w:tcBorders>
              <w:top w:val="single" w:color="000000" w:sz="6" w:space="0"/>
              <w:left w:val="single" w:color="000000" w:sz="6" w:space="0"/>
              <w:bottom w:val="single" w:color="000000" w:sz="6" w:space="0"/>
              <w:right w:val="single" w:color="000000" w:sz="6" w:space="0"/>
              <w:tl2br w:val="nil"/>
              <w:tr2bl w:val="nil"/>
            </w:tcBorders>
            <w:vAlign w:val="center"/>
          </w:tcPr>
          <w:p>
            <w:pPr>
              <w:adjustRightInd w:val="0"/>
              <w:snapToGrid w:val="0"/>
              <w:spacing w:line="360" w:lineRule="auto"/>
              <w:jc w:val="center"/>
              <w:rPr>
                <w:rFonts w:hint="eastAsia" w:ascii="宋体" w:hAnsi="宋体" w:eastAsia="宋体" w:cs="Times New Roman"/>
                <w:b/>
                <w:kern w:val="2"/>
                <w:sz w:val="21"/>
                <w:szCs w:val="21"/>
                <w:highlight w:val="none"/>
                <w:lang w:val="en-US" w:eastAsia="zh-CN" w:bidi="ar-SA"/>
              </w:rPr>
            </w:pPr>
            <w:r>
              <w:rPr>
                <w:rFonts w:hint="eastAsia" w:ascii="宋体" w:hAnsi="宋体"/>
                <w:b/>
                <w:szCs w:val="21"/>
                <w:highlight w:val="none"/>
              </w:rPr>
              <w:t>特别约定</w:t>
            </w:r>
          </w:p>
        </w:tc>
        <w:tc>
          <w:tcPr>
            <w:tcW w:w="7494" w:type="dxa"/>
            <w:tcBorders>
              <w:top w:val="single" w:color="000000" w:sz="6" w:space="0"/>
              <w:left w:val="single" w:color="000000" w:sz="6" w:space="0"/>
              <w:bottom w:val="single" w:color="000000" w:sz="6" w:space="0"/>
              <w:right w:val="single" w:color="000000" w:sz="6" w:space="0"/>
              <w:tl2br w:val="nil"/>
              <w:tr2bl w:val="nil"/>
            </w:tcBorders>
            <w:vAlign w:val="top"/>
          </w:tcPr>
          <w:p>
            <w:pPr>
              <w:adjustRightInd w:val="0"/>
              <w:snapToGrid w:val="0"/>
              <w:spacing w:line="360" w:lineRule="auto"/>
              <w:ind w:firstLine="420" w:firstLineChars="200"/>
              <w:rPr>
                <w:rFonts w:hint="eastAsia"/>
                <w:highlight w:val="none"/>
              </w:rPr>
            </w:pPr>
            <w:r>
              <w:rPr>
                <w:rFonts w:hint="eastAsia"/>
                <w:highlight w:val="none"/>
              </w:rPr>
              <w:t>1. 保单效力优先约定：</w:t>
            </w:r>
          </w:p>
          <w:p>
            <w:pPr>
              <w:adjustRightInd w:val="0"/>
              <w:snapToGrid w:val="0"/>
              <w:spacing w:line="360" w:lineRule="auto"/>
              <w:ind w:firstLine="420" w:firstLineChars="200"/>
              <w:rPr>
                <w:rFonts w:hint="eastAsia"/>
                <w:highlight w:val="none"/>
              </w:rPr>
            </w:pPr>
            <w:r>
              <w:rPr>
                <w:rFonts w:hint="eastAsia"/>
                <w:highlight w:val="none"/>
              </w:rPr>
              <w:t>本保单所载之特别约定、扩展条款、基本条款之间如有冲突，则以下列排序为准：（1）特别约定；（2）扩展条款；（3）基本条款。</w:t>
            </w:r>
          </w:p>
          <w:p>
            <w:pPr>
              <w:adjustRightInd w:val="0"/>
              <w:snapToGrid w:val="0"/>
              <w:spacing w:line="360" w:lineRule="auto"/>
              <w:ind w:firstLine="420" w:firstLineChars="200"/>
              <w:rPr>
                <w:rFonts w:hint="eastAsia"/>
                <w:highlight w:val="none"/>
              </w:rPr>
            </w:pPr>
            <w:r>
              <w:rPr>
                <w:rFonts w:hint="eastAsia"/>
                <w:highlight w:val="none"/>
              </w:rPr>
              <w:t>2. 保密义务约定：</w:t>
            </w:r>
          </w:p>
          <w:p>
            <w:pPr>
              <w:adjustRightInd w:val="0"/>
              <w:snapToGrid w:val="0"/>
              <w:spacing w:line="360" w:lineRule="auto"/>
              <w:ind w:firstLine="420" w:firstLineChars="200"/>
              <w:rPr>
                <w:rFonts w:hint="eastAsia"/>
                <w:highlight w:val="none"/>
              </w:rPr>
            </w:pPr>
            <w:r>
              <w:rPr>
                <w:rFonts w:hint="eastAsia"/>
                <w:highlight w:val="none"/>
              </w:rPr>
              <w:t>保险人应对本项目服务过程中所获悉的被保险人的信息（包括但不限于技术、经济、管理等信息）负有保密</w:t>
            </w:r>
            <w:bookmarkStart w:id="932" w:name="_GoBack"/>
            <w:bookmarkEnd w:id="932"/>
            <w:r>
              <w:rPr>
                <w:rFonts w:hint="eastAsia"/>
                <w:highlight w:val="none"/>
              </w:rPr>
              <w:t>义务，未经被保险人书面同意，不得向第三者披露。</w:t>
            </w:r>
          </w:p>
          <w:p>
            <w:pPr>
              <w:adjustRightInd w:val="0"/>
              <w:spacing w:line="360" w:lineRule="auto"/>
              <w:ind w:firstLine="420" w:firstLineChars="200"/>
              <w:rPr>
                <w:rFonts w:hint="eastAsia"/>
                <w:highlight w:val="none"/>
              </w:rPr>
            </w:pPr>
            <w:r>
              <w:rPr>
                <w:rFonts w:hint="eastAsia"/>
                <w:highlight w:val="none"/>
              </w:rPr>
              <w:t>3.在保险期限内，被保险人由于工程施工需要临时征用的道路因发生保险责任范围内的事故，根据相关法律应由被保险人承担的该临时征用道路本身的物质损失时，由保险人负责赔偿。临时征用道路的累计赔偿限额为200万元。</w:t>
            </w:r>
          </w:p>
          <w:p>
            <w:pPr>
              <w:adjustRightInd w:val="0"/>
              <w:spacing w:line="360" w:lineRule="auto"/>
              <w:ind w:firstLine="420" w:firstLineChars="200"/>
              <w:rPr>
                <w:rFonts w:hint="eastAsia"/>
                <w:highlight w:val="none"/>
              </w:rPr>
            </w:pPr>
            <w:r>
              <w:rPr>
                <w:rFonts w:hint="eastAsia"/>
                <w:highlight w:val="none"/>
              </w:rPr>
              <w:t>4.对于本保险单中列明的被保险财产因他人的恶意破坏所致的损失(但不包括作为建筑物组成部分的玻璃破碎或任何室外招牌的破碎损失),由保险人负责赔偿。</w:t>
            </w:r>
          </w:p>
          <w:p>
            <w:pPr>
              <w:adjustRightInd w:val="0"/>
              <w:spacing w:line="360" w:lineRule="auto"/>
              <w:ind w:firstLine="420" w:firstLineChars="200"/>
              <w:rPr>
                <w:rFonts w:hint="eastAsia"/>
                <w:highlight w:val="none"/>
              </w:rPr>
            </w:pPr>
            <w:r>
              <w:rPr>
                <w:rFonts w:hint="eastAsia"/>
                <w:highlight w:val="none"/>
              </w:rPr>
              <w:t>5.对于本保险单中列明的被保险财产在保险期间由于外来的、有明显盗窃痕迹并经公安部门立案的盗窃或抢劫所致的损失，保险人负责赔偿。</w:t>
            </w:r>
          </w:p>
          <w:p>
            <w:pPr>
              <w:adjustRightInd w:val="0"/>
              <w:spacing w:line="360" w:lineRule="auto"/>
              <w:ind w:firstLine="420" w:firstLineChars="200"/>
              <w:rPr>
                <w:rFonts w:hint="eastAsia"/>
                <w:highlight w:val="none"/>
              </w:rPr>
            </w:pPr>
            <w:r>
              <w:rPr>
                <w:rFonts w:hint="eastAsia"/>
                <w:highlight w:val="none"/>
              </w:rPr>
              <w:t>6.周转性材料发生损失时： A.可在本工程中一次性摊销完毕的周转性材料 和临时设施，如未使用前或使用过程中发生损失，则按照其重置价值赔偿； B.可重复使用或非在本工程中一次性摊销完毕的周转性材料和临时设施，则计算其 在本工程中的摊销价值的方式和次数，扣除已经摊销部分后进行赔偿，但对于该部分标的赔偿最高不超过重置价值的50%。</w:t>
            </w:r>
          </w:p>
          <w:p>
            <w:pPr>
              <w:adjustRightInd w:val="0"/>
              <w:spacing w:line="360" w:lineRule="auto"/>
              <w:ind w:firstLine="420" w:firstLineChars="200"/>
              <w:rPr>
                <w:rFonts w:hint="eastAsia"/>
                <w:highlight w:val="none"/>
              </w:rPr>
            </w:pPr>
            <w:r>
              <w:rPr>
                <w:rFonts w:hint="eastAsia"/>
                <w:highlight w:val="none"/>
              </w:rPr>
              <w:t>7.如第三方原因造成本保险项下保险事故，保险人同意被 保险人在告知合理修复方案的前提下，可先行修复，并按照本保单之规定给予赔 付，但被保险人应对第三方提出索赔并将对第三方追偿之权利转让给保险人，并积极协助保险人进行追偿。</w:t>
            </w:r>
          </w:p>
          <w:p>
            <w:pPr>
              <w:adjustRightInd w:val="0"/>
              <w:spacing w:line="360" w:lineRule="auto"/>
              <w:ind w:firstLine="420" w:firstLineChars="200"/>
              <w:rPr>
                <w:rFonts w:hint="eastAsia"/>
                <w:highlight w:val="none"/>
              </w:rPr>
            </w:pPr>
            <w:r>
              <w:rPr>
                <w:rFonts w:hint="eastAsia"/>
                <w:highlight w:val="none"/>
              </w:rPr>
              <w:t>8.被保险人应在事故发生后1日内及时通知保险人参与第三者责任事故的处理，主要包括参加事故第一现场查勘、赔偿标准审定、最终赔偿协议达成等关键环节；若保险人接到被保险人通知后，非因不可抗力的因素未能参与上述事故第一现场查勘、赔偿标准审定、最终赔偿协议达成等关键环节，则视同保险人认可被保险人与第三者达成的赔偿协议及调解结果。如在处理过程中聘请相关权威鉴定部门进行技术鉴定，由保险人承担其鉴定费用。</w:t>
            </w:r>
          </w:p>
          <w:p>
            <w:pPr>
              <w:adjustRightInd w:val="0"/>
              <w:spacing w:line="360" w:lineRule="auto"/>
              <w:ind w:firstLine="420" w:firstLineChars="200"/>
              <w:rPr>
                <w:rFonts w:hint="eastAsia"/>
                <w:highlight w:val="none"/>
              </w:rPr>
            </w:pPr>
            <w:r>
              <w:rPr>
                <w:rFonts w:hint="eastAsia"/>
                <w:highlight w:val="none"/>
              </w:rPr>
              <w:t>9.兹经双方同意，被保险人应在事故发生后及时通知保险人，并积极配合 保险人的查勘定损工作，双方进一步约定： (1)保险人在投保人、被保险人 或者受益人故意或者因重大过失未及时通知的情况下有权免责，而且免责的范围 不限于因上述人员未及时通知导致保险事故的性质、原因、损失程度等难以确定的 部分； (2)对于保险人可以通过其它途径已经及时知道或者应当及时知道保险 事故发生的(如新闻媒体报道的重大事故等),被保险人有再次确认保险人知道的义务，经确认后不不得以投保人、被保险人或者受益人未及时通知为由拒绝承担赔偿责任。</w:t>
            </w:r>
          </w:p>
          <w:p>
            <w:pPr>
              <w:adjustRightInd w:val="0"/>
              <w:spacing w:line="360" w:lineRule="auto"/>
              <w:ind w:firstLine="420" w:firstLineChars="200"/>
              <w:rPr>
                <w:rFonts w:hint="eastAsia"/>
                <w:highlight w:val="none"/>
              </w:rPr>
            </w:pPr>
            <w:r>
              <w:rPr>
                <w:rFonts w:hint="eastAsia"/>
                <w:highlight w:val="none"/>
              </w:rPr>
              <w:t>10.发生保险事故时，被保险人以约定方式向保险 人报案后，保险人未能按照合同约定和/或承诺时间(不可抗力因素除外)到达保险事故第一现场进行查勘，或因事故现场抢险的需要，被保险人无需事先同保险公司协商即可着手抢救、处理、修理或恢复，保险人不得因此拒绝赔偿。但被保险人应在事后向保险公司递交一份事故书面报告，并尽可能提供有关损失照片或影像资料或文字记载。</w:t>
            </w:r>
          </w:p>
          <w:p>
            <w:pPr>
              <w:adjustRightInd w:val="0"/>
              <w:spacing w:line="360" w:lineRule="auto"/>
              <w:ind w:firstLine="420" w:firstLineChars="200"/>
              <w:rPr>
                <w:rFonts w:hint="eastAsia"/>
                <w:highlight w:val="none"/>
              </w:rPr>
            </w:pPr>
            <w:r>
              <w:rPr>
                <w:rFonts w:hint="eastAsia"/>
                <w:highlight w:val="none"/>
              </w:rPr>
              <w:t>11.投保人可以提前三十天书面申请通知保险人终止本保单，在此情况下， 保险人应按日比例计算退还保费。未经投保人同意，保险人不得单方终止本保单，</w:t>
            </w:r>
          </w:p>
          <w:p>
            <w:pPr>
              <w:adjustRightInd w:val="0"/>
              <w:spacing w:line="360" w:lineRule="auto"/>
              <w:rPr>
                <w:rFonts w:hint="eastAsia"/>
                <w:highlight w:val="none"/>
              </w:rPr>
            </w:pPr>
            <w:r>
              <w:rPr>
                <w:rFonts w:hint="eastAsia"/>
                <w:highlight w:val="none"/>
              </w:rPr>
              <w:t>但投保人丧失保险利益或未按规定及时缴付保费除外。</w:t>
            </w:r>
          </w:p>
          <w:p>
            <w:pPr>
              <w:adjustRightInd w:val="0"/>
              <w:spacing w:line="360" w:lineRule="auto"/>
              <w:rPr>
                <w:rFonts w:hint="eastAsia"/>
                <w:highlight w:val="none"/>
              </w:rPr>
            </w:pPr>
            <w:r>
              <w:rPr>
                <w:rFonts w:hint="eastAsia"/>
                <w:highlight w:val="none"/>
              </w:rPr>
              <w:t>若在被保险人不支付保费的情况下，保险人可以要求注销本保单，但保险人需要提前九十天书面通知被保险人，或给予被保险人补救的机会。</w:t>
            </w:r>
          </w:p>
          <w:p>
            <w:pPr>
              <w:adjustRightInd w:val="0"/>
              <w:spacing w:line="360" w:lineRule="auto"/>
              <w:ind w:firstLine="420" w:firstLineChars="200"/>
              <w:rPr>
                <w:rFonts w:hint="eastAsia"/>
                <w:highlight w:val="none"/>
              </w:rPr>
            </w:pPr>
            <w:r>
              <w:rPr>
                <w:rFonts w:hint="eastAsia"/>
                <w:highlight w:val="none"/>
              </w:rPr>
              <w:t>12.兹经双方同意并约定，保险人同意放弃由于支付本保险单项下的赔款而可能获得的，对任何被保险人的母公司或子公司的代位权，但须以本条款的所有被保险人都遵守本保险单所规定的各项条件为前提。</w:t>
            </w:r>
          </w:p>
          <w:p>
            <w:pPr>
              <w:adjustRightInd w:val="0"/>
              <w:spacing w:line="360" w:lineRule="auto"/>
              <w:ind w:firstLine="420" w:firstLineChars="200"/>
              <w:rPr>
                <w:rFonts w:hint="eastAsia"/>
                <w:highlight w:val="none"/>
              </w:rPr>
            </w:pPr>
            <w:r>
              <w:rPr>
                <w:rFonts w:hint="eastAsia"/>
                <w:highlight w:val="none"/>
              </w:rPr>
              <w:t>13.兹经双方同意，本保险单第三方责任项下的保障范围将适用于本保险单明细表列明的所有被保险人，就如同每一被保险人均持有一份独立的保险单，但本公司对被保险人不承担以下赔偿责任：</w:t>
            </w:r>
          </w:p>
          <w:p>
            <w:pPr>
              <w:adjustRightInd w:val="0"/>
              <w:spacing w:line="360" w:lineRule="auto"/>
              <w:rPr>
                <w:rFonts w:hint="eastAsia"/>
                <w:highlight w:val="none"/>
              </w:rPr>
            </w:pPr>
            <w:r>
              <w:rPr>
                <w:rFonts w:hint="eastAsia"/>
                <w:highlight w:val="none"/>
              </w:rPr>
              <w:t>①已在或可在本保险单物质损失部分投保的财产损失，包括因免赔额，或赔偿限额规定不予赔偿的损失；</w:t>
            </w:r>
          </w:p>
          <w:p>
            <w:pPr>
              <w:adjustRightInd w:val="0"/>
              <w:spacing w:line="360" w:lineRule="auto"/>
              <w:rPr>
                <w:rFonts w:hint="eastAsia"/>
                <w:highlight w:val="none"/>
              </w:rPr>
            </w:pPr>
            <w:r>
              <w:rPr>
                <w:rFonts w:hint="eastAsia"/>
                <w:highlight w:val="none"/>
              </w:rPr>
              <w:t>②已在或应在雇主责任保险项下投保的被保险人的雇员的疾病或人身伤亡。保险人对所有被保险人由一次事故或同一事由引起的数次事故承担的全部责任不得超过保险单明细表中列明的每次事故赔偿限额。</w:t>
            </w:r>
          </w:p>
          <w:p>
            <w:pPr>
              <w:adjustRightInd w:val="0"/>
              <w:spacing w:line="360" w:lineRule="auto"/>
              <w:ind w:firstLine="420" w:firstLineChars="200"/>
              <w:rPr>
                <w:rFonts w:hint="eastAsia"/>
                <w:highlight w:val="none"/>
              </w:rPr>
            </w:pPr>
            <w:r>
              <w:rPr>
                <w:rFonts w:hint="eastAsia"/>
                <w:highlight w:val="none"/>
              </w:rPr>
              <w:t>14.关于工程变更通知的约定：</w:t>
            </w:r>
          </w:p>
          <w:p>
            <w:pPr>
              <w:adjustRightInd w:val="0"/>
              <w:spacing w:line="360" w:lineRule="auto"/>
              <w:rPr>
                <w:rFonts w:hint="eastAsia"/>
                <w:highlight w:val="none"/>
              </w:rPr>
            </w:pPr>
            <w:r>
              <w:rPr>
                <w:rFonts w:hint="eastAsia"/>
                <w:highlight w:val="none"/>
              </w:rPr>
              <w:t>被保险工程的投保项目在施工过程中将根据实际情况变更或调整设计规范、施工方法，保险人同意，对于符合本项目的管理程序一般性变更或调整，被保险人不需要向保险人申报，上述调整或变更自动纳入投保范围，在此情况下如发生保险事故，保险人不得以设计变更为由拒赔，但保险人有权随时查阅上述变更或调整的相关文件、资料。</w:t>
            </w:r>
          </w:p>
          <w:p>
            <w:pPr>
              <w:adjustRightInd w:val="0"/>
              <w:spacing w:line="360" w:lineRule="auto"/>
              <w:rPr>
                <w:rFonts w:hint="eastAsia"/>
                <w:highlight w:val="none"/>
              </w:rPr>
            </w:pPr>
            <w:r>
              <w:rPr>
                <w:rFonts w:hint="eastAsia"/>
                <w:highlight w:val="none"/>
              </w:rPr>
              <w:t>对于涉及工程基础、主体结构的重大设计变更，或施工方案的重大调整，或对工程造价、工期有较大影响的重大变更，被保险人应及时通知保险人。</w:t>
            </w:r>
          </w:p>
          <w:p>
            <w:pPr>
              <w:adjustRightInd w:val="0"/>
              <w:spacing w:line="360" w:lineRule="auto"/>
              <w:ind w:firstLine="420" w:firstLineChars="200"/>
              <w:rPr>
                <w:rFonts w:hint="eastAsia"/>
                <w:highlight w:val="none"/>
              </w:rPr>
            </w:pPr>
            <w:r>
              <w:rPr>
                <w:rFonts w:hint="eastAsia"/>
                <w:highlight w:val="none"/>
              </w:rPr>
              <w:t xml:space="preserve">15.保单撤销约定：  </w:t>
            </w:r>
          </w:p>
          <w:p>
            <w:pPr>
              <w:adjustRightInd w:val="0"/>
              <w:spacing w:line="360" w:lineRule="auto"/>
              <w:rPr>
                <w:rFonts w:hint="eastAsia"/>
                <w:highlight w:val="none"/>
              </w:rPr>
            </w:pPr>
            <w:r>
              <w:rPr>
                <w:rFonts w:hint="eastAsia"/>
                <w:highlight w:val="none"/>
              </w:rPr>
              <w:t>投保人可以提前30天书面申请通知保险人撤销本保单，在此情况下，保险人应按日比例计算退还保费。未经投保人同意，保险人不得单方撤销本保单，但投保人未按规定及时缴付保费的情况除外。</w:t>
            </w:r>
          </w:p>
          <w:p>
            <w:pPr>
              <w:adjustRightInd w:val="0"/>
              <w:spacing w:line="360" w:lineRule="auto"/>
              <w:ind w:firstLine="420" w:firstLineChars="200"/>
              <w:rPr>
                <w:rFonts w:hint="eastAsia"/>
                <w:highlight w:val="none"/>
              </w:rPr>
            </w:pPr>
            <w:r>
              <w:rPr>
                <w:rFonts w:hint="eastAsia"/>
                <w:highlight w:val="none"/>
              </w:rPr>
              <w:t>16.工程延期约定</w:t>
            </w:r>
          </w:p>
          <w:p>
            <w:pPr>
              <w:adjustRightInd w:val="0"/>
              <w:spacing w:line="360" w:lineRule="auto"/>
              <w:rPr>
                <w:rFonts w:hint="eastAsia"/>
                <w:highlight w:val="none"/>
              </w:rPr>
            </w:pPr>
            <w:r>
              <w:rPr>
                <w:rFonts w:hint="eastAsia"/>
                <w:highlight w:val="none"/>
              </w:rPr>
              <w:t>机电项目：若工程未按期完工，保险期限将自动扩展180天并不因此加收任何附加保险费，但被保险人须提前30天通知保险人。如果180天后还需要继续延期，将按照本保险工期费率日比例加收延期期间的保险费。本保险单所载其它条件不变。</w:t>
            </w:r>
          </w:p>
          <w:p>
            <w:pPr>
              <w:adjustRightInd w:val="0"/>
              <w:spacing w:line="360" w:lineRule="auto"/>
              <w:ind w:firstLine="420" w:firstLineChars="200"/>
              <w:rPr>
                <w:rFonts w:hint="eastAsia"/>
                <w:highlight w:val="none"/>
              </w:rPr>
            </w:pPr>
            <w:r>
              <w:rPr>
                <w:rFonts w:hint="eastAsia"/>
                <w:highlight w:val="none"/>
              </w:rPr>
              <w:t>17.关于停工期间保障的约定</w:t>
            </w:r>
          </w:p>
          <w:p>
            <w:pPr>
              <w:adjustRightInd w:val="0"/>
              <w:spacing w:line="360" w:lineRule="auto"/>
              <w:rPr>
                <w:rFonts w:hint="eastAsia"/>
                <w:highlight w:val="none"/>
              </w:rPr>
            </w:pPr>
            <w:r>
              <w:rPr>
                <w:rFonts w:hint="eastAsia"/>
                <w:highlight w:val="none"/>
              </w:rPr>
              <w:t>若本保单所承保工程连续停工超过3个月，则投保人应提前30天向保险人申报，保险人对超过3个月之后的停工期间发生本保险单项下的保险责任范围内的事故导致的损失承担赔偿责任，但被保险人在停工期间必须对停工部分工程采取合理的防损措施。</w:t>
            </w:r>
          </w:p>
          <w:p>
            <w:pPr>
              <w:adjustRightInd w:val="0"/>
              <w:spacing w:line="360" w:lineRule="auto"/>
              <w:rPr>
                <w:rFonts w:hint="eastAsia"/>
                <w:highlight w:val="none"/>
              </w:rPr>
            </w:pPr>
            <w:r>
              <w:rPr>
                <w:rFonts w:hint="eastAsia"/>
                <w:highlight w:val="none"/>
              </w:rPr>
              <w:t xml:space="preserve"> </w:t>
            </w:r>
            <w:r>
              <w:rPr>
                <w:rFonts w:hint="eastAsia"/>
                <w:highlight w:val="none"/>
                <w:lang w:val="en-US" w:eastAsia="zh-CN"/>
              </w:rPr>
              <w:t xml:space="preserve">  </w:t>
            </w:r>
            <w:r>
              <w:rPr>
                <w:rFonts w:hint="eastAsia"/>
                <w:highlight w:val="none"/>
              </w:rPr>
              <w:t>18.索赔单据约定</w:t>
            </w:r>
          </w:p>
          <w:p>
            <w:pPr>
              <w:adjustRightInd w:val="0"/>
              <w:spacing w:line="360" w:lineRule="auto"/>
              <w:ind w:firstLine="420" w:firstLineChars="200"/>
              <w:rPr>
                <w:rFonts w:hint="eastAsia"/>
                <w:highlight w:val="none"/>
              </w:rPr>
            </w:pPr>
            <w:r>
              <w:rPr>
                <w:rFonts w:hint="eastAsia"/>
                <w:highlight w:val="none"/>
              </w:rPr>
              <w:t>经双方同意，被保险人应提供其所能提供的与确认事故的性质、原因、损失程度等有关的证明和材料。在事故的原因和损失已被证实的情况下，保险人不得仅以缺少单据或单据不合格为由拒绝或拖延承担其在本保险合同项下应承担的赔偿责任。</w:t>
            </w:r>
          </w:p>
          <w:p>
            <w:pPr>
              <w:adjustRightInd w:val="0"/>
              <w:spacing w:line="360" w:lineRule="auto"/>
              <w:ind w:firstLine="420" w:firstLineChars="200"/>
              <w:rPr>
                <w:rFonts w:hint="eastAsia"/>
                <w:highlight w:val="none"/>
              </w:rPr>
            </w:pPr>
            <w:r>
              <w:rPr>
                <w:rFonts w:hint="eastAsia"/>
                <w:highlight w:val="none"/>
              </w:rPr>
              <w:t>本附加条款与主条款内容相悖之处，以本附加条款为准；未尽之处，以主条款为准。</w:t>
            </w:r>
          </w:p>
          <w:p>
            <w:pPr>
              <w:adjustRightInd w:val="0"/>
              <w:spacing w:line="360" w:lineRule="auto"/>
              <w:ind w:firstLine="420" w:firstLineChars="200"/>
              <w:rPr>
                <w:rFonts w:hint="eastAsia"/>
                <w:highlight w:val="none"/>
              </w:rPr>
            </w:pPr>
            <w:r>
              <w:rPr>
                <w:rFonts w:hint="eastAsia"/>
                <w:highlight w:val="none"/>
              </w:rPr>
              <w:t xml:space="preserve">19.指定公估人约定 </w:t>
            </w:r>
          </w:p>
          <w:p>
            <w:pPr>
              <w:adjustRightInd w:val="0"/>
              <w:spacing w:line="360" w:lineRule="auto"/>
              <w:ind w:firstLine="420" w:firstLineChars="200"/>
              <w:rPr>
                <w:rFonts w:hint="eastAsia"/>
                <w:highlight w:val="none"/>
              </w:rPr>
            </w:pPr>
            <w:r>
              <w:rPr>
                <w:rFonts w:hint="eastAsia"/>
                <w:highlight w:val="none"/>
              </w:rPr>
              <w:t>经双方同意，当发生保险责任范围内的损失，估损金额超过本保险合同中载明的相应金额时，可以指定双方认可的有合法执业资格的机构作为公估人，公估费用由保险人承担。</w:t>
            </w:r>
          </w:p>
          <w:p>
            <w:pPr>
              <w:adjustRightInd w:val="0"/>
              <w:snapToGrid w:val="0"/>
              <w:spacing w:line="360" w:lineRule="auto"/>
              <w:ind w:firstLine="420" w:firstLineChars="200"/>
              <w:rPr>
                <w:rFonts w:hint="eastAsia"/>
                <w:highlight w:val="none"/>
              </w:rPr>
            </w:pPr>
            <w:r>
              <w:rPr>
                <w:rFonts w:hint="eastAsia"/>
                <w:highlight w:val="none"/>
              </w:rPr>
              <w:t>20.鉴于本保单项下投保项目：保险金额按照保险期限内建筑工程的实际投资额进行结算，保险人同意本保险单项下任何投保项目均视为足额投保，如发生事故保险公司不得以此为由拒赔或比例赔。如后期有新增项目自动纳入保障范围，视为足额投保，如发生事故保险公司不得以此为由拒赔或比例赔付。</w:t>
            </w:r>
          </w:p>
          <w:p>
            <w:pPr>
              <w:adjustRightInd w:val="0"/>
              <w:snapToGrid w:val="0"/>
              <w:spacing w:line="360" w:lineRule="auto"/>
              <w:ind w:firstLine="420" w:firstLineChars="200"/>
              <w:rPr>
                <w:rFonts w:hint="eastAsia"/>
                <w:highlight w:val="none"/>
              </w:rPr>
            </w:pPr>
            <w:r>
              <w:rPr>
                <w:rFonts w:hint="eastAsia"/>
                <w:highlight w:val="none"/>
              </w:rPr>
              <w:t>21.本保险单明细表内列明的保险金额为合同签约价，以最后结算后的工程 实际造价为准。若结算后的工程实际造价与保险金额的差额在±10%内时，保险 金额与保险费不作调整，保险人视为足额投保。若超过±10%,则按工程实际造价增加或减少保险金额和保险费。</w:t>
            </w:r>
          </w:p>
          <w:p>
            <w:pPr>
              <w:adjustRightInd w:val="0"/>
              <w:snapToGrid w:val="0"/>
              <w:spacing w:line="360" w:lineRule="auto"/>
              <w:ind w:firstLine="420" w:firstLineChars="200"/>
              <w:rPr>
                <w:rFonts w:hint="eastAsia" w:ascii="Times New Roman" w:hAnsi="Times New Roman" w:eastAsia="宋体" w:cs="Times New Roman"/>
                <w:kern w:val="2"/>
                <w:sz w:val="21"/>
                <w:szCs w:val="24"/>
                <w:highlight w:val="none"/>
                <w:lang w:val="en-US" w:eastAsia="zh-CN" w:bidi="ar-SA"/>
              </w:rPr>
            </w:pPr>
            <w:r>
              <w:rPr>
                <w:rFonts w:hint="eastAsia"/>
                <w:highlight w:val="none"/>
              </w:rPr>
              <w:t>2</w:t>
            </w:r>
            <w:r>
              <w:rPr>
                <w:rFonts w:hint="eastAsia"/>
                <w:szCs w:val="22"/>
                <w:highlight w:val="none"/>
              </w:rPr>
              <w:t>2.本保险在保险期间内，累计死亡人数为3人(含)以内时，可不提供负有安全管理职责的政府部门证明(必须是在发生事故起24小时内报案),但须提供项目部事故证明。发生伤残无需提供负有安全管理职责的政府部门证明和等机构出具的事故证明材料，保险人不得以此为由拒赔偿。</w:t>
            </w:r>
          </w:p>
        </w:tc>
      </w:tr>
      <w:tr>
        <w:tblPrEx>
          <w:tblCellMar>
            <w:top w:w="0" w:type="dxa"/>
            <w:left w:w="108" w:type="dxa"/>
            <w:bottom w:w="0" w:type="dxa"/>
            <w:right w:w="108" w:type="dxa"/>
          </w:tblCellMar>
        </w:tblPrEx>
        <w:trPr>
          <w:trHeight w:val="1591" w:hRule="atLeast"/>
          <w:jc w:val="center"/>
        </w:trPr>
        <w:tc>
          <w:tcPr>
            <w:tcW w:w="1362"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jc w:val="center"/>
              <w:rPr>
                <w:b/>
                <w:sz w:val="21"/>
                <w:szCs w:val="21"/>
                <w:highlight w:val="none"/>
              </w:rPr>
            </w:pPr>
            <w:r>
              <w:rPr>
                <w:rFonts w:hint="eastAsia"/>
                <w:b/>
                <w:sz w:val="21"/>
                <w:szCs w:val="21"/>
                <w:highlight w:val="none"/>
              </w:rPr>
              <w:t>备注：</w:t>
            </w:r>
          </w:p>
        </w:tc>
        <w:tc>
          <w:tcPr>
            <w:tcW w:w="7494"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78"/>
              <w:kinsoku w:val="0"/>
              <w:overflowPunct w:val="0"/>
              <w:adjustRightInd w:val="0"/>
              <w:spacing w:line="360" w:lineRule="auto"/>
              <w:ind w:firstLine="420" w:firstLineChars="200"/>
              <w:jc w:val="both"/>
              <w:rPr>
                <w:sz w:val="21"/>
                <w:szCs w:val="21"/>
                <w:highlight w:val="none"/>
              </w:rPr>
            </w:pPr>
            <w:r>
              <w:rPr>
                <w:rFonts w:hint="eastAsia"/>
                <w:sz w:val="21"/>
                <w:szCs w:val="21"/>
                <w:highlight w:val="none"/>
                <w:lang w:val="en-US"/>
              </w:rPr>
              <w:t>1.</w:t>
            </w:r>
            <w:r>
              <w:rPr>
                <w:rFonts w:hint="eastAsia"/>
                <w:sz w:val="21"/>
                <w:szCs w:val="21"/>
                <w:highlight w:val="none"/>
              </w:rPr>
              <w:t>周转性材料发生损失时，赔偿金额以周转性材料分摊计入承包合同价格金额为准。</w:t>
            </w:r>
          </w:p>
          <w:p>
            <w:pPr>
              <w:pStyle w:val="178"/>
              <w:kinsoku w:val="0"/>
              <w:overflowPunct w:val="0"/>
              <w:adjustRightInd w:val="0"/>
              <w:spacing w:line="360" w:lineRule="auto"/>
              <w:ind w:firstLine="420" w:firstLineChars="200"/>
              <w:jc w:val="both"/>
              <w:rPr>
                <w:sz w:val="21"/>
                <w:szCs w:val="21"/>
                <w:highlight w:val="none"/>
              </w:rPr>
            </w:pPr>
            <w:r>
              <w:rPr>
                <w:rFonts w:hint="eastAsia"/>
                <w:sz w:val="21"/>
                <w:szCs w:val="21"/>
                <w:highlight w:val="none"/>
              </w:rPr>
              <w:t>2.建筑、安装工程一切险条款中的“完工”是指公路工程术语中的“交工”。</w:t>
            </w:r>
          </w:p>
        </w:tc>
      </w:tr>
    </w:tbl>
    <w:p>
      <w:pPr>
        <w:rPr>
          <w:rFonts w:hint="eastAsia" w:ascii="宋体" w:hAnsi="宋体" w:eastAsia="宋体" w:cs="宋体"/>
          <w:color w:val="auto"/>
          <w:sz w:val="24"/>
          <w:szCs w:val="32"/>
          <w:highlight w:val="none"/>
          <w:lang w:val="en-US" w:eastAsia="zh-CN"/>
        </w:rPr>
      </w:pPr>
      <w:r>
        <w:rPr>
          <w:rFonts w:hint="eastAsia"/>
          <w:color w:val="auto"/>
          <w:sz w:val="24"/>
          <w:szCs w:val="32"/>
          <w:highlight w:val="none"/>
          <w:lang w:val="en-US" w:eastAsia="zh-CN"/>
        </w:rPr>
        <w:br w:type="page"/>
      </w:r>
    </w:p>
    <w:p>
      <w:pPr>
        <w:pStyle w:val="2"/>
        <w:tabs>
          <w:tab w:val="left" w:pos="840"/>
        </w:tabs>
        <w:ind w:firstLine="211"/>
        <w:jc w:val="center"/>
        <w:rPr>
          <w:rFonts w:hint="eastAsia" w:ascii="宋体" w:hAnsi="宋体" w:eastAsia="宋体" w:cs="宋体"/>
          <w:b/>
          <w:bCs/>
          <w:szCs w:val="21"/>
          <w:highlight w:val="none"/>
          <w:lang w:eastAsia="zh-CN"/>
        </w:rPr>
      </w:pPr>
      <w:r>
        <w:rPr>
          <w:rFonts w:hint="eastAsia" w:ascii="宋体" w:hAnsi="宋体" w:eastAsia="宋体" w:cs="宋体"/>
          <w:b/>
          <w:bCs/>
          <w:highlight w:val="none"/>
        </w:rPr>
        <w:t>1.2</w:t>
      </w:r>
      <w:r>
        <w:rPr>
          <w:rFonts w:hint="eastAsia" w:ascii="宋体" w:hAnsi="宋体" w:eastAsia="宋体" w:cs="宋体"/>
          <w:b/>
          <w:bCs/>
          <w:szCs w:val="21"/>
          <w:highlight w:val="none"/>
          <w:lang w:eastAsia="zh-CN"/>
        </w:rPr>
        <w:t>建筑、安装工程团体人身意外伤害险</w:t>
      </w:r>
    </w:p>
    <w:tbl>
      <w:tblPr>
        <w:tblStyle w:val="45"/>
        <w:tblpPr w:leftFromText="180" w:rightFromText="180" w:vertAnchor="text" w:horzAnchor="page" w:tblpX="2350" w:tblpY="89"/>
        <w:tblOverlap w:val="never"/>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583"/>
        <w:gridCol w:w="6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68" w:type="dxa"/>
            <w:noWrap w:val="0"/>
            <w:vAlign w:val="center"/>
          </w:tcPr>
          <w:p>
            <w:pPr>
              <w:spacing w:line="360" w:lineRule="auto"/>
              <w:jc w:val="center"/>
              <w:rPr>
                <w:rFonts w:hint="eastAsia" w:ascii="宋体" w:hAnsi="宋体" w:cs="宋体"/>
                <w:b/>
                <w:szCs w:val="21"/>
                <w:highlight w:val="none"/>
              </w:rPr>
            </w:pPr>
            <w:bookmarkStart w:id="763" w:name="_Toc11869"/>
            <w:bookmarkStart w:id="764" w:name="_Toc7704"/>
            <w:bookmarkStart w:id="765" w:name="_Toc15885"/>
            <w:bookmarkStart w:id="766" w:name="_Toc23506"/>
            <w:bookmarkStart w:id="767" w:name="_Toc6821"/>
            <w:bookmarkStart w:id="768" w:name="_Toc29343"/>
            <w:r>
              <w:rPr>
                <w:rFonts w:hint="eastAsia" w:ascii="宋体" w:hAnsi="宋体" w:cs="宋体"/>
                <w:b/>
                <w:szCs w:val="21"/>
                <w:highlight w:val="none"/>
              </w:rPr>
              <w:t>1</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bCs/>
                <w:color w:val="000000"/>
                <w:szCs w:val="21"/>
                <w:highlight w:val="none"/>
              </w:rPr>
              <w:t>投保人</w:t>
            </w:r>
            <w:r>
              <w:rPr>
                <w:rFonts w:hint="eastAsia" w:ascii="宋体" w:hAnsi="宋体" w:cs="宋体"/>
                <w:b/>
                <w:bCs/>
                <w:szCs w:val="21"/>
                <w:highlight w:val="none"/>
              </w:rPr>
              <w:t>：</w:t>
            </w:r>
          </w:p>
        </w:tc>
        <w:tc>
          <w:tcPr>
            <w:tcW w:w="6439" w:type="dxa"/>
            <w:noWrap w:val="0"/>
            <w:vAlign w:val="center"/>
          </w:tcPr>
          <w:p>
            <w:pPr>
              <w:spacing w:line="360" w:lineRule="auto"/>
              <w:ind w:firstLine="420" w:firstLineChars="200"/>
              <w:rPr>
                <w:rFonts w:hint="eastAsia" w:ascii="宋体" w:hAnsi="宋体" w:cs="宋体"/>
                <w:szCs w:val="21"/>
                <w:highlight w:val="none"/>
              </w:rPr>
            </w:pPr>
            <w:r>
              <w:rPr>
                <w:rFonts w:hint="eastAsia" w:ascii="宋体" w:hAnsi="宋体" w:cs="宋体"/>
                <w:color w:val="000000"/>
                <w:szCs w:val="21"/>
                <w:highlight w:val="none"/>
              </w:rPr>
              <w:t>重庆首讯科技股份有限公司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2</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被保险人：</w:t>
            </w:r>
          </w:p>
        </w:tc>
        <w:tc>
          <w:tcPr>
            <w:tcW w:w="6439" w:type="dxa"/>
            <w:noWrap w:val="0"/>
            <w:vAlign w:val="center"/>
          </w:tcPr>
          <w:p>
            <w:pPr>
              <w:adjustRightInd w:val="0"/>
              <w:snapToGrid w:val="0"/>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1. 项目业主：</w:t>
            </w:r>
            <w:r>
              <w:rPr>
                <w:rFonts w:hint="eastAsia" w:ascii="宋体" w:hAnsi="宋体" w:cs="宋体"/>
                <w:szCs w:val="21"/>
                <w:highlight w:val="none"/>
                <w:lang w:eastAsia="zh-CN"/>
              </w:rPr>
              <w:t>重庆高速巫云开建设有限公司</w:t>
            </w:r>
          </w:p>
          <w:p>
            <w:pPr>
              <w:adjustRightInd w:val="0"/>
              <w:snapToGrid w:val="0"/>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 承包人：重庆首讯科技股份有限公司</w:t>
            </w:r>
          </w:p>
          <w:p>
            <w:pPr>
              <w:adjustRightInd w:val="0"/>
              <w:snapToGrid w:val="0"/>
              <w:spacing w:line="360" w:lineRule="auto"/>
              <w:ind w:firstLine="420" w:firstLineChars="200"/>
              <w:rPr>
                <w:rFonts w:hint="eastAsia" w:ascii="宋体" w:hAnsi="宋体" w:cs="宋体"/>
                <w:color w:val="1E1C11"/>
                <w:szCs w:val="21"/>
                <w:highlight w:val="none"/>
              </w:rPr>
            </w:pPr>
            <w:r>
              <w:rPr>
                <w:rFonts w:hint="eastAsia" w:ascii="宋体" w:hAnsi="宋体" w:cs="宋体"/>
                <w:szCs w:val="21"/>
                <w:highlight w:val="none"/>
              </w:rPr>
              <w:t>3. 其他相关利益方：与施工单位建立合同关系的所有直接/间接专业承包商和/或任何分包商和供应商、项目业主、勘察设计单位、监测单位、质量检查单位、审计单位、设计及设计审查单位、工程管理单位、监理单位、咨询公司、顾问公司等相关利益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3</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保险金额：</w:t>
            </w:r>
          </w:p>
        </w:tc>
        <w:tc>
          <w:tcPr>
            <w:tcW w:w="6439" w:type="dxa"/>
            <w:noWrap w:val="0"/>
            <w:vAlign w:val="center"/>
          </w:tcPr>
          <w:p>
            <w:pPr>
              <w:widowControl/>
              <w:spacing w:line="360" w:lineRule="auto"/>
              <w:ind w:firstLine="210" w:firstLineChars="100"/>
              <w:rPr>
                <w:rFonts w:hint="eastAsia" w:ascii="宋体" w:hAnsi="宋体" w:cs="宋体"/>
                <w:szCs w:val="21"/>
                <w:highlight w:val="none"/>
              </w:rPr>
            </w:pPr>
            <w:r>
              <w:rPr>
                <w:rFonts w:hint="eastAsia" w:ascii="宋体" w:hAnsi="宋体" w:cs="宋体"/>
                <w:szCs w:val="21"/>
                <w:highlight w:val="none"/>
                <w:lang w:eastAsia="zh-CN"/>
              </w:rPr>
              <w:t>建筑、安装工程团体人身意外伤害险</w:t>
            </w:r>
            <w:r>
              <w:rPr>
                <w:rFonts w:hint="eastAsia" w:ascii="宋体" w:hAnsi="宋体" w:cs="宋体"/>
                <w:szCs w:val="21"/>
                <w:highlight w:val="none"/>
              </w:rPr>
              <w:t>：</w:t>
            </w:r>
          </w:p>
          <w:p>
            <w:pPr>
              <w:widowControl/>
              <w:spacing w:line="360" w:lineRule="auto"/>
              <w:ind w:firstLine="210" w:firstLineChars="100"/>
              <w:rPr>
                <w:rFonts w:hint="eastAsia" w:ascii="宋体" w:hAnsi="宋体" w:cs="宋体"/>
                <w:szCs w:val="21"/>
                <w:highlight w:val="none"/>
              </w:rPr>
            </w:pPr>
            <w:r>
              <w:rPr>
                <w:rFonts w:hint="eastAsia" w:ascii="宋体" w:hAnsi="宋体" w:cs="宋体"/>
                <w:szCs w:val="21"/>
                <w:highlight w:val="none"/>
              </w:rPr>
              <w:t>每人每次意外死亡、伤残100万元人民币；意外医疗10万元人民币。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4</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工程造价：</w:t>
            </w:r>
          </w:p>
        </w:tc>
        <w:tc>
          <w:tcPr>
            <w:tcW w:w="6439" w:type="dxa"/>
            <w:noWrap w:val="0"/>
            <w:vAlign w:val="center"/>
          </w:tcPr>
          <w:p>
            <w:pPr>
              <w:widowControl/>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项目工程总造价（建筑、安装工程合计）：人民币 540103068.00元。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5</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免赔额：</w:t>
            </w:r>
          </w:p>
        </w:tc>
        <w:tc>
          <w:tcPr>
            <w:tcW w:w="6439" w:type="dxa"/>
            <w:noWrap w:val="0"/>
            <w:vAlign w:val="center"/>
          </w:tcPr>
          <w:p>
            <w:pPr>
              <w:tabs>
                <w:tab w:val="left" w:pos="8100"/>
              </w:tabs>
              <w:adjustRightInd w:val="0"/>
              <w:snapToGrid w:val="0"/>
              <w:spacing w:line="360" w:lineRule="auto"/>
              <w:ind w:firstLine="420" w:firstLineChars="200"/>
              <w:rPr>
                <w:rFonts w:hint="eastAsia" w:ascii="宋体" w:hAnsi="宋体" w:cs="宋体"/>
                <w:color w:val="1E1C11"/>
                <w:szCs w:val="21"/>
                <w:highlight w:val="none"/>
              </w:rPr>
            </w:pPr>
            <w:r>
              <w:rPr>
                <w:rFonts w:hint="eastAsia" w:ascii="宋体" w:hAnsi="宋体" w:cs="宋体"/>
                <w:color w:val="1E1C11"/>
                <w:szCs w:val="21"/>
                <w:highlight w:val="none"/>
              </w:rPr>
              <w:t>医疗费用：每人每次事故绝对免赔额100人民币元，超过免赔额100人民币元以上部分按照保单签发地医保标准核算费用的限额内100%进行赔付。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6</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保险期限：</w:t>
            </w:r>
          </w:p>
        </w:tc>
        <w:tc>
          <w:tcPr>
            <w:tcW w:w="6439" w:type="dxa"/>
            <w:noWrap w:val="0"/>
            <w:vAlign w:val="center"/>
          </w:tcPr>
          <w:p>
            <w:pPr>
              <w:adjustRightInd w:val="0"/>
              <w:snapToGrid w:val="0"/>
              <w:spacing w:line="360" w:lineRule="auto"/>
              <w:ind w:firstLine="420" w:firstLineChars="200"/>
              <w:jc w:val="left"/>
              <w:rPr>
                <w:rFonts w:hint="eastAsia" w:ascii="宋体" w:hAnsi="宋体"/>
                <w:highlight w:val="none"/>
              </w:rPr>
            </w:pPr>
            <w:r>
              <w:rPr>
                <w:rFonts w:hint="eastAsia" w:ascii="宋体" w:hAnsi="宋体" w:cs="宋体"/>
                <w:szCs w:val="21"/>
                <w:highlight w:val="none"/>
                <w:lang w:eastAsia="zh-CN"/>
              </w:rPr>
              <w:t>建筑、安装工程团体人身意外伤害险</w:t>
            </w:r>
            <w:r>
              <w:rPr>
                <w:rFonts w:hint="eastAsia" w:ascii="宋体" w:hAnsi="宋体" w:cs="宋体"/>
                <w:szCs w:val="21"/>
                <w:highlight w:val="none"/>
              </w:rPr>
              <w:t>保险期限</w:t>
            </w:r>
            <w:r>
              <w:rPr>
                <w:rFonts w:hint="eastAsia" w:ascii="宋体" w:hAnsi="宋体" w:cs="宋体"/>
                <w:szCs w:val="21"/>
                <w:highlight w:val="none"/>
                <w:lang w:eastAsia="zh-CN"/>
              </w:rPr>
              <w:t>：</w:t>
            </w:r>
            <w:r>
              <w:rPr>
                <w:rFonts w:hint="eastAsia" w:ascii="宋体" w:hAnsi="宋体"/>
                <w:szCs w:val="21"/>
                <w:highlight w:val="none"/>
              </w:rPr>
              <w:t>预计保险期限为10个月</w:t>
            </w:r>
            <w:r>
              <w:rPr>
                <w:rFonts w:hint="eastAsia" w:ascii="宋体" w:hAnsi="宋体"/>
                <w:highlight w:val="none"/>
              </w:rPr>
              <w:t>。</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具体时间以保险单出单日的次日零时起。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7</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lang w:val="en-US" w:eastAsia="zh-CN"/>
              </w:rPr>
              <w:t>保险费支付</w:t>
            </w:r>
            <w:r>
              <w:rPr>
                <w:rFonts w:hint="eastAsia" w:ascii="宋体" w:hAnsi="宋体" w:cs="宋体"/>
                <w:b/>
                <w:szCs w:val="21"/>
                <w:highlight w:val="none"/>
              </w:rPr>
              <w:t>：</w:t>
            </w:r>
          </w:p>
        </w:tc>
        <w:tc>
          <w:tcPr>
            <w:tcW w:w="6439" w:type="dxa"/>
            <w:noWrap w:val="0"/>
            <w:vAlign w:val="center"/>
          </w:tcPr>
          <w:p>
            <w:pPr>
              <w:adjustRightInd w:val="0"/>
              <w:snapToGrid w:val="0"/>
              <w:spacing w:line="360" w:lineRule="auto"/>
              <w:ind w:firstLine="420" w:firstLineChars="200"/>
              <w:rPr>
                <w:rFonts w:hint="eastAsia" w:ascii="宋体" w:hAnsi="宋体"/>
                <w:szCs w:val="21"/>
                <w:highlight w:val="none"/>
              </w:rPr>
            </w:pPr>
            <w:r>
              <w:rPr>
                <w:rFonts w:hint="eastAsia" w:ascii="宋体" w:hAnsi="宋体"/>
                <w:szCs w:val="21"/>
                <w:highlight w:val="none"/>
              </w:rPr>
              <w:t>保险费支付原则上按以下支付方式进行；每次支付前,乙方必须提前提供省级（</w:t>
            </w:r>
            <w:r>
              <w:rPr>
                <w:rFonts w:ascii="宋体" w:hAnsi="宋体"/>
                <w:szCs w:val="21"/>
                <w:highlight w:val="none"/>
              </w:rPr>
              <w:t>或直辖市</w:t>
            </w:r>
            <w:r>
              <w:rPr>
                <w:rFonts w:hint="eastAsia" w:ascii="宋体" w:hAnsi="宋体"/>
                <w:szCs w:val="21"/>
                <w:highlight w:val="none"/>
              </w:rPr>
              <w:t>）分公司等额的增值税专用发票。</w:t>
            </w:r>
          </w:p>
          <w:p>
            <w:pPr>
              <w:pStyle w:val="40"/>
              <w:spacing w:beforeAutospacing="0" w:afterAutospacing="0" w:line="360" w:lineRule="auto"/>
              <w:ind w:firstLine="420" w:firstLineChars="200"/>
              <w:rPr>
                <w:rFonts w:hint="eastAsia"/>
                <w:sz w:val="21"/>
                <w:szCs w:val="21"/>
                <w:highlight w:val="none"/>
              </w:rPr>
            </w:pPr>
            <w:r>
              <w:rPr>
                <w:rFonts w:hint="eastAsia" w:ascii="宋体" w:hAnsi="宋体" w:eastAsia="宋体" w:cs="Times New Roman"/>
                <w:kern w:val="2"/>
                <w:sz w:val="21"/>
                <w:szCs w:val="21"/>
                <w:highlight w:val="none"/>
              </w:rPr>
              <w:t>合同签订后30天内保费一次性支付</w:t>
            </w:r>
            <w:r>
              <w:rPr>
                <w:rFonts w:hint="eastAsia" w:ascii="宋体" w:hAnsi="宋体" w:eastAsia="宋体" w:cs="Times New Roman"/>
                <w:kern w:val="2"/>
                <w:sz w:val="21"/>
                <w:szCs w:val="21"/>
                <w:highlight w:val="none"/>
                <w:lang w:eastAsia="zh-CN"/>
              </w:rPr>
              <w:t>，</w:t>
            </w:r>
            <w:r>
              <w:rPr>
                <w:rFonts w:hint="eastAsia" w:cs="Times New Roman"/>
                <w:kern w:val="2"/>
                <w:sz w:val="21"/>
                <w:szCs w:val="21"/>
                <w:highlight w:val="none"/>
                <w:lang w:val="en-US" w:eastAsia="zh-CN"/>
              </w:rPr>
              <w:t>采购人</w:t>
            </w:r>
            <w:r>
              <w:rPr>
                <w:rFonts w:hint="eastAsia" w:ascii="宋体" w:hAnsi="宋体" w:eastAsia="宋体" w:cs="Times New Roman"/>
                <w:kern w:val="2"/>
                <w:sz w:val="21"/>
                <w:szCs w:val="21"/>
                <w:highlight w:val="none"/>
                <w:lang w:val="en-US" w:eastAsia="zh-CN"/>
              </w:rPr>
              <w:t>有权根据项目进场时间，进行合同签订。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exact"/>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8</w:t>
            </w:r>
          </w:p>
        </w:tc>
        <w:tc>
          <w:tcPr>
            <w:tcW w:w="1583" w:type="dxa"/>
            <w:noWrap w:val="0"/>
            <w:vAlign w:val="center"/>
          </w:tcPr>
          <w:p>
            <w:pPr>
              <w:pStyle w:val="40"/>
              <w:spacing w:beforeAutospacing="0" w:afterAutospacing="0" w:line="360" w:lineRule="auto"/>
              <w:jc w:val="center"/>
              <w:rPr>
                <w:rFonts w:hint="eastAsia"/>
                <w:b/>
                <w:bCs/>
                <w:sz w:val="21"/>
                <w:szCs w:val="21"/>
                <w:highlight w:val="none"/>
              </w:rPr>
            </w:pPr>
            <w:r>
              <w:rPr>
                <w:rFonts w:hint="eastAsia"/>
                <w:b/>
                <w:bCs/>
                <w:sz w:val="21"/>
                <w:szCs w:val="21"/>
                <w:highlight w:val="none"/>
              </w:rPr>
              <w:t>保险范围</w:t>
            </w:r>
          </w:p>
          <w:p>
            <w:pPr>
              <w:spacing w:line="360" w:lineRule="auto"/>
              <w:jc w:val="center"/>
              <w:rPr>
                <w:rFonts w:hint="eastAsia" w:ascii="宋体" w:hAnsi="宋体" w:cs="宋体"/>
                <w:b/>
                <w:szCs w:val="21"/>
                <w:highlight w:val="none"/>
              </w:rPr>
            </w:pPr>
          </w:p>
        </w:tc>
        <w:tc>
          <w:tcPr>
            <w:tcW w:w="6439" w:type="dxa"/>
            <w:noWrap w:val="0"/>
            <w:vAlign w:val="center"/>
          </w:tcPr>
          <w:p>
            <w:pPr>
              <w:pStyle w:val="40"/>
              <w:spacing w:beforeAutospacing="0" w:afterAutospacing="0" w:line="360" w:lineRule="auto"/>
              <w:ind w:firstLine="420" w:firstLineChars="200"/>
              <w:jc w:val="both"/>
              <w:rPr>
                <w:rFonts w:hint="eastAsia"/>
                <w:sz w:val="21"/>
                <w:szCs w:val="21"/>
                <w:highlight w:val="none"/>
              </w:rPr>
            </w:pPr>
            <w:r>
              <w:rPr>
                <w:rFonts w:hint="eastAsia"/>
                <w:sz w:val="21"/>
                <w:szCs w:val="21"/>
                <w:highlight w:val="none"/>
              </w:rPr>
              <w:t>在保险期限内，被保险人在施工区域、或者业主、承包商、分包商允许的生活区域内、或上下班途中期间等遭受意外事故导致身故或残疾，以及由此产生的医疗费用，保险人按照本保险合同约定承担保险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9</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bCs/>
                <w:szCs w:val="21"/>
                <w:highlight w:val="none"/>
              </w:rPr>
              <w:t>适用条款</w:t>
            </w:r>
          </w:p>
        </w:tc>
        <w:tc>
          <w:tcPr>
            <w:tcW w:w="6439" w:type="dxa"/>
            <w:noWrap w:val="0"/>
            <w:vAlign w:val="center"/>
          </w:tcPr>
          <w:p>
            <w:pPr>
              <w:spacing w:line="360" w:lineRule="auto"/>
              <w:ind w:firstLine="420" w:firstLineChars="200"/>
              <w:rPr>
                <w:rFonts w:hint="eastAsia" w:ascii="宋体" w:hAnsi="宋体" w:cs="宋体"/>
                <w:kern w:val="0"/>
                <w:szCs w:val="21"/>
                <w:highlight w:val="none"/>
              </w:rPr>
            </w:pPr>
            <w:r>
              <w:rPr>
                <w:rFonts w:hint="eastAsia" w:ascii="宋体" w:hAnsi="宋体" w:cs="宋体"/>
                <w:kern w:val="0"/>
                <w:szCs w:val="21"/>
                <w:highlight w:val="none"/>
              </w:rPr>
              <w:t>基本条款:《XXX财产保险股份有限公司建筑工程施工人员团体意外伤害保险条款》</w:t>
            </w:r>
          </w:p>
          <w:p>
            <w:pPr>
              <w:spacing w:line="360" w:lineRule="auto"/>
              <w:ind w:firstLine="420" w:firstLineChars="200"/>
              <w:rPr>
                <w:rFonts w:hint="eastAsia" w:ascii="宋体" w:hAnsi="宋体" w:cs="宋体"/>
                <w:szCs w:val="21"/>
                <w:highlight w:val="none"/>
              </w:rPr>
            </w:pPr>
            <w:r>
              <w:rPr>
                <w:rFonts w:hint="eastAsia" w:ascii="宋体" w:hAnsi="宋体" w:cs="宋体"/>
                <w:kern w:val="0"/>
                <w:szCs w:val="21"/>
                <w:highlight w:val="none"/>
              </w:rPr>
              <w:t>附加条款:《XXX财产保险股份有限公司附加意外伤害医疗保险条款》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10</w:t>
            </w:r>
          </w:p>
        </w:tc>
        <w:tc>
          <w:tcPr>
            <w:tcW w:w="1583" w:type="dxa"/>
            <w:noWrap w:val="0"/>
            <w:vAlign w:val="center"/>
          </w:tcPr>
          <w:p>
            <w:pPr>
              <w:spacing w:line="360" w:lineRule="auto"/>
              <w:jc w:val="center"/>
              <w:rPr>
                <w:rFonts w:hint="eastAsia" w:ascii="宋体" w:hAnsi="宋体" w:cs="宋体"/>
                <w:kern w:val="0"/>
                <w:szCs w:val="21"/>
                <w:highlight w:val="none"/>
              </w:rPr>
            </w:pPr>
            <w:r>
              <w:rPr>
                <w:rFonts w:hint="eastAsia" w:ascii="宋体" w:hAnsi="宋体" w:cs="宋体"/>
                <w:b/>
                <w:bCs/>
                <w:kern w:val="0"/>
                <w:szCs w:val="21"/>
                <w:highlight w:val="none"/>
              </w:rPr>
              <w:t>特别约定：</w:t>
            </w:r>
          </w:p>
        </w:tc>
        <w:tc>
          <w:tcPr>
            <w:tcW w:w="6439" w:type="dxa"/>
            <w:noWrap w:val="0"/>
            <w:vAlign w:val="center"/>
          </w:tcPr>
          <w:p>
            <w:pPr>
              <w:pStyle w:val="20"/>
              <w:spacing w:before="120" w:after="0"/>
              <w:ind w:left="0" w:leftChars="0" w:firstLine="422" w:firstLineChars="200"/>
              <w:rPr>
                <w:rFonts w:hint="eastAsia" w:ascii="宋体" w:hAnsi="宋体" w:cs="宋体"/>
                <w:sz w:val="21"/>
                <w:szCs w:val="21"/>
                <w:highlight w:val="none"/>
              </w:rPr>
            </w:pPr>
            <w:r>
              <w:rPr>
                <w:rFonts w:hint="eastAsia" w:ascii="宋体" w:hAnsi="宋体" w:cs="宋体"/>
                <w:b/>
                <w:bCs/>
                <w:sz w:val="21"/>
                <w:szCs w:val="21"/>
                <w:highlight w:val="none"/>
              </w:rPr>
              <w:t>特别约定大于特别条款，特别条款大于基本条款</w:t>
            </w:r>
          </w:p>
          <w:p>
            <w:pPr>
              <w:adjustRightInd w:val="0"/>
              <w:snapToGrid w:val="0"/>
              <w:spacing w:line="360" w:lineRule="auto"/>
              <w:ind w:firstLine="420" w:firstLineChars="200"/>
              <w:rPr>
                <w:rFonts w:hint="eastAsia" w:ascii="宋体" w:hAnsi="宋体" w:eastAsia="宋体" w:cs="宋体"/>
                <w:color w:val="1E1C11"/>
                <w:szCs w:val="21"/>
                <w:highlight w:val="none"/>
                <w:lang w:eastAsia="zh-CN"/>
              </w:rPr>
            </w:pPr>
            <w:r>
              <w:rPr>
                <w:rFonts w:hint="eastAsia" w:ascii="宋体" w:hAnsi="宋体" w:cs="宋体"/>
                <w:color w:val="1E1C11"/>
                <w:szCs w:val="21"/>
                <w:highlight w:val="none"/>
              </w:rPr>
              <w:t>1、保险合同有效期内适用的伤残评定及补偿标准，按中国保监会发布（保监发［2014］6号）及（中保协发〔2013〕88号）行业标准执行的规定执行</w:t>
            </w:r>
            <w:r>
              <w:rPr>
                <w:rFonts w:hint="eastAsia" w:ascii="宋体" w:hAnsi="宋体" w:cs="宋体"/>
                <w:color w:val="1E1C11"/>
                <w:szCs w:val="21"/>
                <w:highlight w:val="none"/>
                <w:lang w:eastAsia="zh-CN"/>
              </w:rPr>
              <w:t>。</w:t>
            </w:r>
          </w:p>
          <w:tbl>
            <w:tblPr>
              <w:tblStyle w:val="45"/>
              <w:tblW w:w="6257" w:type="dxa"/>
              <w:jc w:val="center"/>
              <w:tblLayout w:type="fixed"/>
              <w:tblCellMar>
                <w:top w:w="0" w:type="dxa"/>
                <w:left w:w="108" w:type="dxa"/>
                <w:bottom w:w="0" w:type="dxa"/>
                <w:right w:w="108" w:type="dxa"/>
              </w:tblCellMar>
            </w:tblPr>
            <w:tblGrid>
              <w:gridCol w:w="874"/>
              <w:gridCol w:w="551"/>
              <w:gridCol w:w="523"/>
              <w:gridCol w:w="540"/>
              <w:gridCol w:w="537"/>
              <w:gridCol w:w="537"/>
              <w:gridCol w:w="540"/>
              <w:gridCol w:w="537"/>
              <w:gridCol w:w="543"/>
              <w:gridCol w:w="532"/>
              <w:gridCol w:w="543"/>
            </w:tblGrid>
            <w:tr>
              <w:tblPrEx>
                <w:tblCellMar>
                  <w:top w:w="0" w:type="dxa"/>
                  <w:left w:w="108" w:type="dxa"/>
                  <w:bottom w:w="0" w:type="dxa"/>
                  <w:right w:w="108" w:type="dxa"/>
                </w:tblCellMar>
              </w:tblPrEx>
              <w:trPr>
                <w:trHeight w:val="811" w:hRule="atLeast"/>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残疾程度</w:t>
                  </w:r>
                </w:p>
              </w:tc>
              <w:tc>
                <w:tcPr>
                  <w:tcW w:w="551"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一级</w:t>
                  </w:r>
                </w:p>
              </w:tc>
              <w:tc>
                <w:tcPr>
                  <w:tcW w:w="52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二级</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三级</w:t>
                  </w:r>
                </w:p>
              </w:tc>
              <w:tc>
                <w:tcPr>
                  <w:tcW w:w="53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四级</w:t>
                  </w:r>
                </w:p>
              </w:tc>
              <w:tc>
                <w:tcPr>
                  <w:tcW w:w="53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五级</w:t>
                  </w:r>
                </w:p>
              </w:tc>
              <w:tc>
                <w:tcPr>
                  <w:tcW w:w="54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六级</w:t>
                  </w:r>
                </w:p>
              </w:tc>
              <w:tc>
                <w:tcPr>
                  <w:tcW w:w="53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七级</w:t>
                  </w:r>
                </w:p>
              </w:tc>
              <w:tc>
                <w:tcPr>
                  <w:tcW w:w="5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八级</w:t>
                  </w:r>
                </w:p>
              </w:tc>
              <w:tc>
                <w:tcPr>
                  <w:tcW w:w="532"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九级</w:t>
                  </w:r>
                </w:p>
              </w:tc>
              <w:tc>
                <w:tcPr>
                  <w:tcW w:w="54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十级</w:t>
                  </w:r>
                </w:p>
              </w:tc>
            </w:tr>
            <w:tr>
              <w:tblPrEx>
                <w:tblCellMar>
                  <w:top w:w="0" w:type="dxa"/>
                  <w:left w:w="108" w:type="dxa"/>
                  <w:bottom w:w="0" w:type="dxa"/>
                  <w:right w:w="108" w:type="dxa"/>
                </w:tblCellMar>
              </w:tblPrEx>
              <w:trPr>
                <w:trHeight w:val="819" w:hRule="atLeast"/>
                <w:jc w:val="center"/>
              </w:trPr>
              <w:tc>
                <w:tcPr>
                  <w:tcW w:w="874"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给付比例</w:t>
                  </w:r>
                </w:p>
              </w:tc>
              <w:tc>
                <w:tcPr>
                  <w:tcW w:w="551"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100%</w:t>
                  </w:r>
                </w:p>
              </w:tc>
              <w:tc>
                <w:tcPr>
                  <w:tcW w:w="52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90%</w:t>
                  </w:r>
                </w:p>
              </w:tc>
              <w:tc>
                <w:tcPr>
                  <w:tcW w:w="540"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80%</w:t>
                  </w:r>
                </w:p>
              </w:tc>
              <w:tc>
                <w:tcPr>
                  <w:tcW w:w="53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70%</w:t>
                  </w:r>
                </w:p>
              </w:tc>
              <w:tc>
                <w:tcPr>
                  <w:tcW w:w="53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60%</w:t>
                  </w:r>
                </w:p>
              </w:tc>
              <w:tc>
                <w:tcPr>
                  <w:tcW w:w="540"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50%</w:t>
                  </w:r>
                </w:p>
              </w:tc>
              <w:tc>
                <w:tcPr>
                  <w:tcW w:w="537"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40%</w:t>
                  </w:r>
                </w:p>
              </w:tc>
              <w:tc>
                <w:tcPr>
                  <w:tcW w:w="54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30%</w:t>
                  </w:r>
                </w:p>
              </w:tc>
              <w:tc>
                <w:tcPr>
                  <w:tcW w:w="532"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20%</w:t>
                  </w:r>
                </w:p>
              </w:tc>
              <w:tc>
                <w:tcPr>
                  <w:tcW w:w="543" w:type="dxa"/>
                  <w:tcBorders>
                    <w:top w:val="nil"/>
                    <w:left w:val="nil"/>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10%</w:t>
                  </w:r>
                </w:p>
              </w:tc>
            </w:tr>
          </w:tbl>
          <w:p>
            <w:pPr>
              <w:tabs>
                <w:tab w:val="left" w:pos="8100"/>
              </w:tabs>
              <w:adjustRightInd w:val="0"/>
              <w:snapToGrid w:val="0"/>
              <w:spacing w:line="360" w:lineRule="auto"/>
              <w:rPr>
                <w:rFonts w:hint="eastAsia" w:ascii="宋体" w:hAnsi="宋体" w:cs="宋体"/>
                <w:color w:val="1E1C11"/>
                <w:szCs w:val="21"/>
                <w:highlight w:val="none"/>
              </w:rPr>
            </w:pPr>
            <w:r>
              <w:rPr>
                <w:rFonts w:hint="eastAsia" w:ascii="宋体" w:hAnsi="宋体" w:cs="宋体"/>
                <w:color w:val="1E1C11"/>
                <w:szCs w:val="21"/>
                <w:highlight w:val="none"/>
              </w:rPr>
              <w:t>（本协议伤残评定及补偿标准，只采用一个标准，不实行两个及两个以上标准或交叉使用不同的标准。）</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兹经双方同意，被保险人在施工区域、或者业主、承包商、分包商允许的生活区域内、或上下班途中期间等遭受意外事故导致身故或残疾，以及由此产生的医疗费用，保险人按照本保险合同约定承担保险赔偿责任。</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事故快速处理约定：累计事故死亡人数在2人（含）以下的，保险人在确认事故真实发生后，为加快赔案处理，接受并认可经业主或投保人签章的事故经过说明可免安监。累计事故死亡人数在3人以上（含3人）须提供安监证明。</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4.经保险双方同意，本保险单责任范围内的医疗费用不区分各细项费用的限额，医疗费用每次事故绝对免赔100元，剩余部分在医保范围内100%赔付。</w:t>
            </w:r>
          </w:p>
          <w:p>
            <w:pPr>
              <w:numPr>
                <w:ilvl w:val="0"/>
                <w:numId w:val="0"/>
              </w:num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5.项目工程总造价（建筑、安装工程合计）：人民币 540103068.00元。</w:t>
            </w:r>
          </w:p>
          <w:p>
            <w:pPr>
              <w:numPr>
                <w:ilvl w:val="0"/>
                <w:numId w:val="0"/>
              </w:num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如后期工程量增加自动纳入保险范围，如增加的工程量造价未超过原工程量造价的10%，则保险公司同意在本保险期限结束后不再对保险费进行调整，视为足额投保，并足额赔付；若增加的工程量造价超过原工程量造价的10%以上部分多退少补。</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上门服务约定：保险人同意每两个月提供一次免费上门收取案件的理赔服务工作，并在案件单证签收确认后3个工作日内（特殊情况下不超过5个工作日），以书面形式向被保险人及经纪人提出审核意见（如需要补充资料的，应将需要补充的资料一次性书面说明）。如在上述时限内未提出审核意见，则视为保险人认可索赔资料完整。保险人不得以非关键性资料的缺失或延缓提供而拒绝赔偿或延缓赔偿；具体保险事故以保险人提供的索赔资料清单为准。</w:t>
            </w:r>
          </w:p>
          <w:p>
            <w:pPr>
              <w:adjustRightInd w:val="0"/>
              <w:snapToGrid w:val="0"/>
              <w:spacing w:line="360" w:lineRule="auto"/>
              <w:ind w:firstLine="420" w:firstLineChars="200"/>
              <w:jc w:val="left"/>
              <w:rPr>
                <w:rFonts w:hint="eastAsia" w:ascii="宋体" w:hAnsi="宋体"/>
                <w:szCs w:val="21"/>
                <w:highlight w:val="none"/>
              </w:rPr>
            </w:pPr>
            <w:r>
              <w:rPr>
                <w:rFonts w:hint="eastAsia" w:ascii="宋体" w:hAnsi="宋体" w:cs="宋体"/>
                <w:sz w:val="21"/>
                <w:szCs w:val="21"/>
                <w:highlight w:val="none"/>
              </w:rPr>
              <w:t>7.</w:t>
            </w:r>
            <w:r>
              <w:rPr>
                <w:rFonts w:hint="eastAsia" w:ascii="宋体" w:hAnsi="宋体"/>
                <w:szCs w:val="21"/>
                <w:highlight w:val="none"/>
                <w:lang w:eastAsia="zh-CN"/>
              </w:rPr>
              <w:t>建筑、安装工程团体人身意外伤害险</w:t>
            </w:r>
            <w:r>
              <w:rPr>
                <w:rFonts w:hint="eastAsia" w:ascii="宋体" w:hAnsi="宋体"/>
                <w:szCs w:val="21"/>
                <w:highlight w:val="none"/>
              </w:rPr>
              <w:t>保险期限，</w:t>
            </w:r>
            <w:r>
              <w:rPr>
                <w:rFonts w:hint="eastAsia" w:ascii="宋体" w:hAnsi="宋体"/>
                <w:highlight w:val="none"/>
              </w:rPr>
              <w:t>预计为</w:t>
            </w:r>
            <w:r>
              <w:rPr>
                <w:rFonts w:hint="eastAsia" w:ascii="宋体" w:hAnsi="宋体"/>
                <w:highlight w:val="none"/>
                <w:lang w:val="en-US" w:eastAsia="zh-CN"/>
              </w:rPr>
              <w:t>10</w:t>
            </w:r>
            <w:r>
              <w:rPr>
                <w:rFonts w:hint="eastAsia" w:ascii="宋体" w:hAnsi="宋体"/>
                <w:highlight w:val="none"/>
              </w:rPr>
              <w:t>个月。</w:t>
            </w:r>
          </w:p>
          <w:p>
            <w:pPr>
              <w:pStyle w:val="20"/>
              <w:spacing w:before="120" w:after="0"/>
              <w:ind w:left="0" w:leftChars="0" w:firstLine="420" w:firstLineChars="200"/>
              <w:rPr>
                <w:rFonts w:hint="eastAsia" w:ascii="宋体" w:hAnsi="宋体" w:cs="宋体"/>
                <w:sz w:val="21"/>
                <w:szCs w:val="21"/>
                <w:highlight w:val="none"/>
              </w:rPr>
            </w:pPr>
            <w:r>
              <w:rPr>
                <w:rFonts w:hint="eastAsia" w:ascii="宋体" w:hAnsi="宋体" w:cs="宋体"/>
                <w:sz w:val="21"/>
                <w:szCs w:val="21"/>
                <w:highlight w:val="none"/>
              </w:rPr>
              <w:t>如在前述建筑期内工程尚未完工，经投保人申请本项目的建筑安装期可自动扩展</w:t>
            </w:r>
            <w:r>
              <w:rPr>
                <w:rFonts w:hint="eastAsia" w:ascii="宋体" w:hAnsi="宋体" w:cs="宋体"/>
                <w:sz w:val="21"/>
                <w:szCs w:val="21"/>
                <w:highlight w:val="none"/>
                <w:lang w:val="en-US" w:eastAsia="zh-CN"/>
              </w:rPr>
              <w:t>180</w:t>
            </w:r>
            <w:r>
              <w:rPr>
                <w:rFonts w:hint="eastAsia" w:ascii="宋体" w:hAnsi="宋体" w:cs="宋体"/>
                <w:sz w:val="21"/>
                <w:szCs w:val="21"/>
                <w:highlight w:val="none"/>
              </w:rPr>
              <w:t>天并不因此加收任何附加保险费，但投保人须提前10天通知保险人, 如果</w:t>
            </w:r>
            <w:r>
              <w:rPr>
                <w:rFonts w:hint="eastAsia" w:ascii="宋体" w:hAnsi="宋体" w:cs="宋体"/>
                <w:sz w:val="21"/>
                <w:szCs w:val="21"/>
                <w:highlight w:val="none"/>
                <w:lang w:val="en-US" w:eastAsia="zh-CN"/>
              </w:rPr>
              <w:t>180</w:t>
            </w:r>
            <w:r>
              <w:rPr>
                <w:rFonts w:hint="eastAsia" w:ascii="宋体" w:hAnsi="宋体" w:cs="宋体"/>
                <w:sz w:val="21"/>
                <w:szCs w:val="21"/>
                <w:highlight w:val="none"/>
              </w:rPr>
              <w:t>天后还需继续延期，由投保人补缴附加保费（具体保费金额双方协商确定）。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11</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争议处理：</w:t>
            </w:r>
          </w:p>
        </w:tc>
        <w:tc>
          <w:tcPr>
            <w:tcW w:w="6439" w:type="dxa"/>
            <w:noWrap w:val="0"/>
            <w:vAlign w:val="center"/>
          </w:tcPr>
          <w:p>
            <w:pPr>
              <w:tabs>
                <w:tab w:val="left" w:pos="8100"/>
              </w:tabs>
              <w:adjustRightInd w:val="0"/>
              <w:snapToGrid w:val="0"/>
              <w:spacing w:line="360" w:lineRule="auto"/>
              <w:ind w:firstLine="420" w:firstLineChars="200"/>
              <w:rPr>
                <w:rFonts w:hint="eastAsia" w:ascii="宋体" w:hAnsi="宋体" w:cs="宋体"/>
                <w:color w:val="1E1C11"/>
                <w:szCs w:val="21"/>
                <w:highlight w:val="none"/>
              </w:rPr>
            </w:pPr>
            <w:r>
              <w:rPr>
                <w:rFonts w:hint="eastAsia" w:ascii="宋体" w:hAnsi="宋体" w:cs="宋体"/>
                <w:color w:val="1E1C11"/>
                <w:szCs w:val="21"/>
                <w:highlight w:val="none"/>
              </w:rPr>
              <w:t>有关本保险的争议由当事人按照下列方式解决：</w:t>
            </w:r>
          </w:p>
          <w:p>
            <w:pPr>
              <w:tabs>
                <w:tab w:val="left" w:pos="8100"/>
              </w:tabs>
              <w:adjustRightInd w:val="0"/>
              <w:snapToGrid w:val="0"/>
              <w:spacing w:line="360" w:lineRule="auto"/>
              <w:ind w:firstLine="420" w:firstLineChars="200"/>
              <w:rPr>
                <w:rFonts w:hint="eastAsia" w:ascii="宋体" w:hAnsi="宋体" w:cs="宋体"/>
                <w:color w:val="1E1C11"/>
                <w:szCs w:val="21"/>
                <w:highlight w:val="none"/>
              </w:rPr>
            </w:pPr>
            <w:r>
              <w:rPr>
                <w:rFonts w:hint="eastAsia" w:ascii="宋体" w:hAnsi="宋体" w:cs="宋体"/>
                <w:color w:val="1E1C11"/>
                <w:szCs w:val="21"/>
                <w:highlight w:val="none"/>
              </w:rPr>
              <w:t>（一）有关本保险的争议，由当事人协商解决；</w:t>
            </w:r>
          </w:p>
          <w:p>
            <w:pPr>
              <w:tabs>
                <w:tab w:val="left" w:pos="8100"/>
              </w:tabs>
              <w:adjustRightInd w:val="0"/>
              <w:snapToGrid w:val="0"/>
              <w:spacing w:line="360" w:lineRule="auto"/>
              <w:ind w:firstLine="420" w:firstLineChars="200"/>
              <w:rPr>
                <w:rFonts w:hint="eastAsia" w:ascii="宋体" w:hAnsi="宋体" w:cs="宋体"/>
                <w:color w:val="1E1C11"/>
                <w:szCs w:val="21"/>
                <w:highlight w:val="none"/>
              </w:rPr>
            </w:pPr>
            <w:r>
              <w:rPr>
                <w:rFonts w:hint="eastAsia" w:ascii="宋体" w:hAnsi="宋体" w:cs="宋体"/>
                <w:color w:val="1E1C11"/>
                <w:szCs w:val="21"/>
                <w:highlight w:val="none"/>
              </w:rPr>
              <w:t>（二）当事人协商不成的，提交重庆市仲裁委员会或依法向人民法院起诉。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68"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12</w:t>
            </w:r>
          </w:p>
        </w:tc>
        <w:tc>
          <w:tcPr>
            <w:tcW w:w="1583" w:type="dxa"/>
            <w:noWrap w:val="0"/>
            <w:vAlign w:val="center"/>
          </w:tcPr>
          <w:p>
            <w:pPr>
              <w:spacing w:line="360" w:lineRule="auto"/>
              <w:jc w:val="center"/>
              <w:rPr>
                <w:rFonts w:hint="eastAsia" w:ascii="宋体" w:hAnsi="宋体" w:cs="宋体"/>
                <w:b/>
                <w:szCs w:val="21"/>
                <w:highlight w:val="none"/>
              </w:rPr>
            </w:pPr>
            <w:r>
              <w:rPr>
                <w:rFonts w:hint="eastAsia" w:ascii="宋体" w:hAnsi="宋体" w:cs="宋体"/>
                <w:b/>
                <w:szCs w:val="21"/>
                <w:highlight w:val="none"/>
              </w:rPr>
              <w:t>司法管辖：</w:t>
            </w:r>
          </w:p>
        </w:tc>
        <w:tc>
          <w:tcPr>
            <w:tcW w:w="6439" w:type="dxa"/>
            <w:noWrap w:val="0"/>
            <w:vAlign w:val="center"/>
          </w:tcPr>
          <w:p>
            <w:pPr>
              <w:spacing w:line="360" w:lineRule="auto"/>
              <w:ind w:firstLine="420" w:firstLineChars="200"/>
              <w:rPr>
                <w:rFonts w:hint="eastAsia" w:ascii="宋体" w:hAnsi="宋体" w:cs="宋体"/>
                <w:bCs/>
                <w:szCs w:val="21"/>
                <w:highlight w:val="none"/>
              </w:rPr>
            </w:pPr>
            <w:r>
              <w:rPr>
                <w:rFonts w:hint="eastAsia" w:ascii="宋体" w:hAnsi="宋体" w:cs="宋体"/>
                <w:szCs w:val="21"/>
                <w:highlight w:val="none"/>
              </w:rPr>
              <w:t>中华人民共和国司法管辖</w:t>
            </w:r>
          </w:p>
        </w:tc>
      </w:tr>
      <w:bookmarkEnd w:id="763"/>
      <w:bookmarkEnd w:id="764"/>
      <w:bookmarkEnd w:id="765"/>
      <w:bookmarkEnd w:id="766"/>
      <w:bookmarkEnd w:id="767"/>
      <w:bookmarkEnd w:id="768"/>
    </w:tbl>
    <w:p>
      <w:pPr>
        <w:pStyle w:val="2"/>
        <w:tabs>
          <w:tab w:val="left" w:pos="840"/>
        </w:tabs>
        <w:ind w:firstLine="211"/>
        <w:jc w:val="center"/>
        <w:rPr>
          <w:rFonts w:hint="eastAsia" w:ascii="宋体" w:hAnsi="宋体" w:cs="宋体"/>
          <w:b/>
          <w:bCs/>
          <w:szCs w:val="21"/>
          <w:highlight w:val="none"/>
        </w:rPr>
      </w:pPr>
    </w:p>
    <w:p>
      <w:pPr>
        <w:adjustRightInd w:val="0"/>
        <w:snapToGrid w:val="0"/>
        <w:spacing w:line="360" w:lineRule="auto"/>
        <w:jc w:val="center"/>
        <w:outlineLvl w:val="1"/>
        <w:rPr>
          <w:rFonts w:hint="eastAsia" w:ascii="宋体" w:hAnsi="宋体"/>
          <w:b/>
          <w:sz w:val="28"/>
          <w:szCs w:val="28"/>
          <w:highlight w:val="none"/>
        </w:rPr>
        <w:sectPr>
          <w:footerReference r:id="rId10" w:type="default"/>
          <w:pgSz w:w="11906" w:h="16838"/>
          <w:pgMar w:top="1304" w:right="1304" w:bottom="1304" w:left="1304" w:header="851" w:footer="992" w:gutter="0"/>
          <w:pgBorders>
            <w:top w:val="none" w:sz="0" w:space="0"/>
            <w:left w:val="none" w:sz="0" w:space="0"/>
            <w:bottom w:val="none" w:sz="0" w:space="0"/>
            <w:right w:val="none" w:sz="0" w:space="0"/>
          </w:pgBorders>
          <w:cols w:space="720" w:num="1"/>
          <w:docGrid w:linePitch="312" w:charSpace="0"/>
        </w:sectPr>
      </w:pPr>
    </w:p>
    <w:p>
      <w:pPr>
        <w:adjustRightInd w:val="0"/>
        <w:snapToGrid w:val="0"/>
        <w:spacing w:line="360" w:lineRule="auto"/>
        <w:jc w:val="center"/>
        <w:outlineLvl w:val="1"/>
        <w:rPr>
          <w:rFonts w:hint="eastAsia" w:ascii="宋体" w:hAnsi="宋体"/>
          <w:b/>
          <w:sz w:val="28"/>
          <w:szCs w:val="28"/>
          <w:highlight w:val="none"/>
        </w:rPr>
      </w:pPr>
      <w:bookmarkStart w:id="769" w:name="_Toc2632"/>
      <w:bookmarkStart w:id="770" w:name="_Toc8371"/>
      <w:bookmarkStart w:id="771" w:name="_Toc11565"/>
      <w:bookmarkStart w:id="772" w:name="_Toc25553"/>
      <w:bookmarkStart w:id="773" w:name="_Toc4138989"/>
      <w:r>
        <w:rPr>
          <w:rFonts w:hint="eastAsia" w:ascii="宋体" w:hAnsi="宋体"/>
          <w:b/>
          <w:sz w:val="28"/>
          <w:szCs w:val="28"/>
          <w:highlight w:val="none"/>
        </w:rPr>
        <w:t>2. 建筑工程一切险基本条款</w:t>
      </w:r>
      <w:bookmarkEnd w:id="769"/>
      <w:bookmarkEnd w:id="770"/>
      <w:bookmarkEnd w:id="771"/>
      <w:bookmarkEnd w:id="772"/>
      <w:bookmarkEnd w:id="773"/>
    </w:p>
    <w:p>
      <w:pPr>
        <w:adjustRightInd w:val="0"/>
        <w:snapToGrid w:val="0"/>
        <w:spacing w:line="360" w:lineRule="auto"/>
        <w:ind w:firstLine="482" w:firstLineChars="200"/>
        <w:jc w:val="center"/>
        <w:rPr>
          <w:rFonts w:ascii="宋体" w:hAnsi="宋体"/>
          <w:sz w:val="24"/>
          <w:highlight w:val="none"/>
        </w:rPr>
      </w:pPr>
      <w:bookmarkStart w:id="774" w:name="_Toc265266153"/>
      <w:r>
        <w:rPr>
          <w:rFonts w:hint="eastAsia" w:ascii="宋体" w:hAnsi="宋体"/>
          <w:b/>
          <w:sz w:val="24"/>
          <w:highlight w:val="none"/>
        </w:rPr>
        <w:t>建筑工程一切险条款（2009版）</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总  则</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本保险合同由保险条款、投保单、保险单以及批单组成。凡涉及本保险合同的约定，均应采用书面形式。</w:t>
      </w:r>
    </w:p>
    <w:p>
      <w:pPr>
        <w:adjustRightInd w:val="0"/>
        <w:snapToGrid w:val="0"/>
        <w:spacing w:line="360" w:lineRule="auto"/>
        <w:ind w:firstLine="482" w:firstLineChars="200"/>
        <w:jc w:val="center"/>
        <w:rPr>
          <w:rFonts w:hint="eastAsia" w:ascii="宋体" w:hAnsi="宋体"/>
          <w:b/>
          <w:bCs/>
          <w:sz w:val="24"/>
          <w:highlight w:val="none"/>
        </w:rPr>
      </w:pPr>
      <w:r>
        <w:rPr>
          <w:rFonts w:hint="eastAsia" w:ascii="宋体" w:hAnsi="宋体"/>
          <w:b/>
          <w:bCs/>
          <w:sz w:val="24"/>
          <w:highlight w:val="none"/>
        </w:rPr>
        <w:t>第一部分  物质损失保险部分</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保险标的</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本保险合同的保险标的为：</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本保险合同明细表中分项列明的在列明工地范围内的与实施工程合同相关的财产或费用，属于本保险合同的保险标的。</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下列财产未经保险合同双方特别约定并在保险合同中载明保险金额的</w:t>
      </w:r>
      <w:r>
        <w:rPr>
          <w:rFonts w:ascii="宋体" w:hAnsi="宋体"/>
          <w:sz w:val="24"/>
          <w:highlight w:val="none"/>
        </w:rPr>
        <w:t>，不属于本保险合同的保险标的：</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（一）施工用机具、设备、机械装置；</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（二）在保险工程开始以前已经存在或形成的位于工地范围内或其周围的属于被保险人的财产；</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在本保险合同保险期间终止前，已经投入商业运行或业主已经接受、实际占有的财产或其中的任何一部分财产，或已经签发工程竣工证书或工程承包人已经正式提出申请验收并经业主代表验收合格的财产或其中任何一部分财产；</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（四）清除残骸费用。该费用指发生保险事故后，被保险人为修复保险标的而清理施工现场所发生的必要、合理的费用。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下列财产不属于本保险合同的保险标的：</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（一）文件、账册、图表、技术资料、计算机软件、计算机数据资料等无法鉴定价值的财产；</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（二）便携式通讯装置、便携式计算机设备、便携式照相摄像器材以及其他便携式装置、设备；</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（三）土地、海床、矿藏、水资源、动物、植物、农作物；</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（四）领有公共运输行驶执照的，或已由其他保险予以保障的车辆、船舶、航空器；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（五）违章建筑、危险建筑、非法占用的财产。</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保险责任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在保险期间内，本保险合同分项列明的保险财产在列明的工地范围内，因本保险合同责任免除以外的任何自然灾害或意外事故造成的物质损坏或灭失</w:t>
      </w:r>
      <w:r>
        <w:rPr>
          <w:rFonts w:ascii="宋体" w:hAnsi="宋体"/>
          <w:sz w:val="24"/>
          <w:highlight w:val="none"/>
        </w:rPr>
        <w:t>(</w:t>
      </w:r>
      <w:r>
        <w:rPr>
          <w:rFonts w:hint="eastAsia" w:ascii="宋体" w:hAnsi="宋体"/>
          <w:sz w:val="24"/>
          <w:highlight w:val="none"/>
        </w:rPr>
        <w:t>以下简称“损失”</w:t>
      </w:r>
      <w:r>
        <w:rPr>
          <w:rFonts w:ascii="宋体" w:hAnsi="宋体"/>
          <w:sz w:val="24"/>
          <w:highlight w:val="none"/>
        </w:rPr>
        <w:t>)</w:t>
      </w:r>
      <w:r>
        <w:rPr>
          <w:rFonts w:hint="eastAsia" w:ascii="宋体" w:hAnsi="宋体"/>
          <w:sz w:val="24"/>
          <w:highlight w:val="none"/>
        </w:rPr>
        <w:t>，保险人按本保险合同的约定负责赔偿。</w:t>
      </w:r>
    </w:p>
    <w:p>
      <w:pPr>
        <w:adjustRightInd w:val="0"/>
        <w:snapToGrid w:val="0"/>
        <w:spacing w:line="360" w:lineRule="auto"/>
        <w:ind w:firstLine="480" w:firstLineChars="200"/>
        <w:rPr>
          <w:rFonts w:ascii="宋体" w:hAnsi="宋体"/>
          <w:b/>
          <w:sz w:val="24"/>
          <w:highlight w:val="none"/>
        </w:rPr>
      </w:pPr>
      <w:r>
        <w:rPr>
          <w:rFonts w:hint="eastAsia" w:ascii="宋体" w:hAnsi="宋体"/>
          <w:sz w:val="24"/>
          <w:highlight w:val="none"/>
        </w:rPr>
        <w:t>在保险期间内，由于第五条保险责任事故发生造成保险标的的损失所产生的以下费用，保险人按照本保险合同的约定负责赔偿：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（一）保险事故发生后，被保险人为防止或减少保险标的的损失所支付的必要的、合理的费用，保险人按照本保险合同的约定也负责赔偿。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（二）对经本保险合同列明的因发生上述损失所产生的其他有关费用，保险人按本保险合同约定负责赔偿。</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责任免除</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下列原因造成的损失、费用，保险人不负责赔偿：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（一）设计错误引起的损失和费用；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（二）自然磨损、内在或潜在缺陷、物质本身变化、自燃、自热、氧化、锈蚀、渗漏、鼠咬、虫蛀、大气</w:t>
      </w:r>
      <w:r>
        <w:rPr>
          <w:rFonts w:ascii="宋体" w:hAnsi="宋体"/>
          <w:sz w:val="24"/>
          <w:highlight w:val="none"/>
        </w:rPr>
        <w:t>(</w:t>
      </w:r>
      <w:r>
        <w:rPr>
          <w:rFonts w:hint="eastAsia" w:ascii="宋体" w:hAnsi="宋体"/>
          <w:sz w:val="24"/>
          <w:highlight w:val="none"/>
        </w:rPr>
        <w:t>气候或气温</w:t>
      </w:r>
      <w:r>
        <w:rPr>
          <w:rFonts w:ascii="宋体" w:hAnsi="宋体"/>
          <w:sz w:val="24"/>
          <w:highlight w:val="none"/>
        </w:rPr>
        <w:t>)</w:t>
      </w:r>
      <w:r>
        <w:rPr>
          <w:rFonts w:hint="eastAsia" w:ascii="宋体" w:hAnsi="宋体"/>
          <w:sz w:val="24"/>
          <w:highlight w:val="none"/>
        </w:rPr>
        <w:t>变化、正常水位变化或其他渐变原因造成的保险财产自身的损失和费用；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（三）因原材料缺陷或工艺不善引起的保险财产本身的损失以及为换置、修理或矫正这些缺点错误所支付的费用；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（四）非外力引起的机械或电气装置的本身损失，或施工用机具、设备、机械装置失灵造成的本身损失。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下列损失、费用，保险人也不负责赔偿：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（一）维修保养或正常检修的费用；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（二）档案、文件、账簿、票据、现金、各种有价证券、图表资料及包装物料的损失；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（三）盘点时发现的短缺；</w:t>
      </w:r>
      <w:r>
        <w:rPr>
          <w:rFonts w:ascii="宋体" w:hAnsi="宋体"/>
          <w:sz w:val="24"/>
          <w:highlight w:val="none"/>
        </w:rPr>
        <w:t xml:space="preserve"> </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（四）领有公共运输行驶执照的，或已由其他保险予以保障的车辆、船舶和飞机的损失；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（五）除非另有约定，在保险工程开始以前已经存在或形成的位于工地范围内或其周围的属于被保险人的财产的损失；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（六）除非另有约定，在本保险合同保险期间终止以前，保险财产中已由工程所有人签发完工验收证书或验收合格或实际占有或使用或接收部分的损失。</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保险金额与免赔额（率）</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w:t>
      </w:r>
      <w:r>
        <w:rPr>
          <w:rFonts w:hint="eastAsia" w:ascii="宋体" w:hAnsi="宋体"/>
          <w:sz w:val="24"/>
          <w:highlight w:val="none"/>
        </w:rPr>
        <w:t>一</w:t>
      </w:r>
      <w:r>
        <w:rPr>
          <w:rFonts w:ascii="宋体" w:hAnsi="宋体"/>
          <w:sz w:val="24"/>
          <w:highlight w:val="none"/>
        </w:rPr>
        <w:t xml:space="preserve">) </w:t>
      </w:r>
      <w:r>
        <w:rPr>
          <w:rFonts w:hint="eastAsia" w:ascii="宋体" w:hAnsi="宋体"/>
          <w:sz w:val="24"/>
          <w:highlight w:val="none"/>
        </w:rPr>
        <w:t>本保险合同中列明的保险金额应不低于：</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、建筑工程一一保险工程建筑完成时的总价值，包括原材料费用、设备费用、建造费、安装费、运保费、关税、其他税项和费用，以及由工程所有人提供的原材料和设备的费用；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2、其他保险项目一一由投保人与保险人商定的金额。</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w:t>
      </w:r>
      <w:r>
        <w:rPr>
          <w:rFonts w:hint="eastAsia" w:ascii="宋体" w:hAnsi="宋体"/>
          <w:sz w:val="24"/>
          <w:highlight w:val="none"/>
        </w:rPr>
        <w:t>二</w:t>
      </w:r>
      <w:r>
        <w:rPr>
          <w:rFonts w:ascii="宋体" w:hAnsi="宋体"/>
          <w:sz w:val="24"/>
          <w:highlight w:val="none"/>
        </w:rPr>
        <w:t>)</w:t>
      </w:r>
      <w:r>
        <w:rPr>
          <w:rFonts w:hint="eastAsia" w:ascii="宋体" w:hAnsi="宋体"/>
          <w:sz w:val="24"/>
          <w:highlight w:val="none"/>
        </w:rPr>
        <w:t>若投保人是以保险工程合同规定的工程概算总造价投保，投保人或被保险人应：</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、在本保险项下工程造价中包括的各项费用因涨价或升值原因而超出保险工程造价时，必须尽快以书面通知保险人，保险人据此调整保险金额；</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、在保险期间内对相应的工程细节作出精确记录，并允许保险人在合理的时候对该项记录进行查验；</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、若保险工程的建造期超过三年，必须从本保险合同生效日起每隔十二个月向保险人申报当时的工程实际投入金额及调整后的工程总造价，保险人将据此调整保险费；</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、在本保险合同列明的保险期间届满后三个月内向保险人申报最终的工程总价值，保险人据此以多退少补的方式对预收保险费进行调整。</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免赔额（率）由投保人与保险人在订立保险合同时协商确定，并在保险合同中载明。</w:t>
      </w:r>
    </w:p>
    <w:p>
      <w:pPr>
        <w:adjustRightInd w:val="0"/>
        <w:snapToGrid w:val="0"/>
        <w:spacing w:line="360" w:lineRule="auto"/>
        <w:ind w:firstLine="482" w:firstLineChars="200"/>
        <w:jc w:val="center"/>
        <w:rPr>
          <w:rFonts w:ascii="宋体" w:hAnsi="宋体"/>
          <w:sz w:val="24"/>
          <w:highlight w:val="none"/>
        </w:rPr>
      </w:pPr>
      <w:r>
        <w:rPr>
          <w:rFonts w:hint="eastAsia" w:ascii="宋体" w:hAnsi="宋体"/>
          <w:b/>
          <w:sz w:val="24"/>
          <w:highlight w:val="none"/>
        </w:rPr>
        <w:t>赔偿处理</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对保险标的遭受的损失，保险人可选择以支付赔款或以修复、重置受损项目的方式予以赔偿，</w:t>
      </w:r>
      <w:r>
        <w:rPr>
          <w:rFonts w:hint="eastAsia" w:ascii="宋体" w:hAnsi="宋体"/>
          <w:b/>
          <w:sz w:val="24"/>
          <w:highlight w:val="none"/>
        </w:rPr>
        <w:t>对保险标的在修复或替换过程中，被保险人进行的任何变更、性能增加或改进所产生的额外费用，保险人不负责赔偿。</w:t>
      </w:r>
    </w:p>
    <w:p>
      <w:pPr>
        <w:adjustRightInd w:val="0"/>
        <w:snapToGrid w:val="0"/>
        <w:spacing w:line="360" w:lineRule="auto"/>
        <w:rPr>
          <w:rFonts w:ascii="宋体" w:hAnsi="宋体"/>
          <w:sz w:val="24"/>
          <w:highlight w:val="none"/>
        </w:rPr>
      </w:pPr>
      <w:r>
        <w:rPr>
          <w:rFonts w:hint="eastAsia" w:ascii="宋体" w:hAnsi="宋体"/>
          <w:sz w:val="24"/>
          <w:highlight w:val="none"/>
        </w:rPr>
        <w:t>在发生本保险单项下的损失后，保险人按下列方式确定损失金额：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可以修复的部分损失：以将保险财产修复至其基本恢复受损前状态的费用考虑本保险合同第四十六条约定的残值处理方式后确定的赔偿金额为准。但若修复费用等于或超过保险财产损失前的价值时，则按下列第（二）款的规定处理；</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（二）全部损失或推定全损：以保险财产损失前的实际价值考虑本保险合同第四十六条约定的残值处理方式后确定的赔偿金额为准。</w:t>
      </w:r>
    </w:p>
    <w:p>
      <w:pPr>
        <w:adjustRightInd w:val="0"/>
        <w:snapToGrid w:val="0"/>
        <w:spacing w:line="360" w:lineRule="auto"/>
        <w:rPr>
          <w:rFonts w:ascii="宋体" w:hAnsi="宋体"/>
          <w:sz w:val="24"/>
          <w:highlight w:val="none"/>
        </w:rPr>
      </w:pPr>
      <w:r>
        <w:rPr>
          <w:rFonts w:hint="eastAsia" w:ascii="宋体" w:hAnsi="宋体"/>
          <w:sz w:val="24"/>
          <w:highlight w:val="none"/>
        </w:rPr>
        <w:t>保险标的发生保险责任范围内的损失，保险人按以下方式计算赔偿：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（一）保险金额等于或高于应保险金额时，按实际损失计算赔偿，最高不超过应保险金额；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（二）保险金额低于应保险金额时，按保险金额与应保险金额的比例乘以实际损失计算赔偿，最高不超过保险金额。</w:t>
      </w:r>
    </w:p>
    <w:p>
      <w:pPr>
        <w:adjustRightInd w:val="0"/>
        <w:snapToGrid w:val="0"/>
        <w:spacing w:line="360" w:lineRule="auto"/>
        <w:ind w:firstLine="480" w:firstLineChars="200"/>
        <w:rPr>
          <w:rFonts w:ascii="宋体" w:hAnsi="宋体"/>
          <w:bCs/>
          <w:sz w:val="24"/>
          <w:highlight w:val="none"/>
        </w:rPr>
      </w:pPr>
      <w:r>
        <w:rPr>
          <w:rFonts w:hint="eastAsia" w:ascii="宋体" w:hAnsi="宋体"/>
          <w:sz w:val="24"/>
          <w:highlight w:val="none"/>
        </w:rPr>
        <w:t>每次事故保险人的赔偿金额为根据第十三条约定计算的金额扣除每次事故免赔额后的金额，或者为根据第十三条约定计算的金额扣除该金额与免赔率乘积后的金额。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标的在连续72小时内遭受暴雨、台风、洪水或其它连续发生的自然灾害所致损失视为一次单独事件，在计算赔偿时视为一次保险事故，并扣减一个相应的免赔额（率）。被保险人可自行决定72小时的起始时间，但若在连续数个72小时时间内发生损失，任何两个或两个以上72小时期限不得重叠。</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若本保险合同所列标的不止一项时，应分项计算赔偿，保险人对每一保险项目的赔偿责任均不得超过本保险合同明细表对应列明的分项保险金额，以及本保险合同特别条款或批单中规定的其他适用的赔偿限额。在任何情况下，保险人在本保险合同下承担的对物质损失的最高赔偿金额不得超过保险合同明细表中列明的总保险金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保险标的的保险金额大于或等于其应保险金额时，被保险人为防止或减少保险标的的损失所支付的必要的、合理的费用，在保险标的损失赔偿金额之外另行计算，最高不超过被施救标的的应保险金额。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保险标的的保险金额小于其应保险金额时，上述费用按被施救标的的保险金额与其应保险金额的比例在保险标的损失赔偿金额之外另行计算，最高不超过被施救标的的保险金额。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被施救的财产中，含有本保险合同未承保财产的，按被施救保险标的的应保险金额与全部被施救财产价值的比例分摊施救费用。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adjustRightInd w:val="0"/>
        <w:snapToGrid w:val="0"/>
        <w:spacing w:line="360" w:lineRule="auto"/>
        <w:ind w:firstLine="482" w:firstLineChars="200"/>
        <w:jc w:val="center"/>
        <w:rPr>
          <w:rFonts w:ascii="宋体" w:hAnsi="宋体"/>
          <w:sz w:val="24"/>
          <w:highlight w:val="none"/>
        </w:rPr>
      </w:pPr>
      <w:r>
        <w:rPr>
          <w:rFonts w:hint="eastAsia" w:ascii="宋体" w:hAnsi="宋体"/>
          <w:b/>
          <w:bCs/>
          <w:sz w:val="24"/>
          <w:highlight w:val="none"/>
        </w:rPr>
        <w:t>第二部分  第三者责任保险部分</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保险责任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在保险期间内，因发生与本保险合同所承保工程直接相关的意外事故引起工地内及邻近区域的第三者人身伤亡、疾病或财产损失</w:t>
      </w:r>
      <w:r>
        <w:rPr>
          <w:rFonts w:ascii="宋体" w:hAnsi="宋体"/>
          <w:sz w:val="24"/>
          <w:highlight w:val="none"/>
        </w:rPr>
        <w:t>,</w:t>
      </w:r>
      <w:r>
        <w:rPr>
          <w:rFonts w:hint="eastAsia" w:ascii="宋体" w:hAnsi="宋体"/>
          <w:sz w:val="24"/>
          <w:highlight w:val="none"/>
        </w:rPr>
        <w:t>依法应由被保险人承担的经济赔偿责任，保险人按照本保险合同约定负责赔偿。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项保险事故发生后，被保险人因保险事故而被提起仲裁或者诉讼的，对应由被保险人支付的仲裁或诉讼费用以及其他必要的、合理的费用（以下简称“法律费用”），经保险人书面同意，保险人按照本保险合同约定也负责赔偿。</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责任免除</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下列原因造成的损失、费用，保险人不负责赔偿：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（一）由于震动、移动或减弱支撑而造成的任何财产、土地、建筑物的损失及由此造成的任何人身伤害和物质损失；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（二）领有公共运输行驶执照的车辆、船舶、航空器造成的事故。</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下列损失、费用，保险人也不负责赔偿：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 xml:space="preserve">（一）本保险合同物质损失项下或本应在该项下予以负责的损失及各种费用； </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（二）工程所有人、承包人或其他关系方或其所雇用的在工地现场从事与工程有关工作的职员、工人及上述人员的家庭成员的人身伤亡或疾病；</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（三）工程所有人、承包人或其他关系方或其所雇用的职员、工人所有的或由上述人员所照管、控制的财产发生的损失；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（四）被保险人应该承担的合同责任，但无合同存在时仍然应由被保险人承担的法律责任不在此限。</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责任限额与免赔额（率）</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责任限额包括每次事故责任限额、每人人身伤亡责任限额、累计责任限额，由投保人与保险人协商确定，并在保险合同中载明。</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每次事故免赔额（率）由投保人与保险人在订立保险合同时协商确定，并在保险合同中载明。</w:t>
      </w:r>
    </w:p>
    <w:p>
      <w:pPr>
        <w:adjustRightInd w:val="0"/>
        <w:snapToGrid w:val="0"/>
        <w:spacing w:line="360" w:lineRule="auto"/>
        <w:ind w:firstLine="482" w:firstLineChars="200"/>
        <w:jc w:val="center"/>
        <w:rPr>
          <w:rFonts w:ascii="宋体" w:hAnsi="宋体"/>
          <w:sz w:val="24"/>
          <w:highlight w:val="none"/>
        </w:rPr>
      </w:pPr>
      <w:r>
        <w:rPr>
          <w:rFonts w:hint="eastAsia" w:ascii="宋体" w:hAnsi="宋体"/>
          <w:b/>
          <w:bCs/>
          <w:sz w:val="24"/>
          <w:highlight w:val="none"/>
        </w:rPr>
        <w:t>赔偿处理</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保险人的赔偿以下列方式之一确定的被保险人的赔偿责任为基础：</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被保险人和向其提出损害赔偿请求的索赔方协商并经保险人确认；</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仲裁机构裁决；</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人民法院判决；</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保险人认可的其他方式。</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在保险期间内发生保险责任范围内的损失，保险人按以下方式计算赔偿：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（一）对于每次事故造成的损失，保险人在每次事故责任限额内计算赔偿，其中对每人人身伤亡的赔偿金额不得超过每人人身伤亡责任限额；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（二）1、在依据本条第（一）项计算的基础上，保险人在扣除本保险合同载明的每次事故免赔额后进行赔偿，但对于人身伤亡的赔偿不扣除每次事故免赔额；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2、在依据本条第（一）项计算的基础上，保险人在扣除按本保险合同载明的每次事故免赔率计算的每次事故免赔额后进行赔偿，但对于人身伤亡的赔偿不扣除每次事故免赔额；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（三）保险人对多次事故损失的累计赔偿金额不超过本保险合同列明的累计赔偿限额。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对每次事故法律费用的赔偿金额，保险人在第二十五条计算的赔偿金额以外按本保险合同的约定另行计算。</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保险人对被保险人给第三者造成的损害，可以依照法律的规定或者本保险合同的约定，直接向该第三者赔偿保险金。</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被保险人给第三者造成损害，被保险人对第三者应负的赔偿责任确定的，根据被保险人的请求，保险人应当直接向该第三者赔偿保险金。被保险人怠于请求的，第三者有权就其应获赔偿部分直接向保险人请求赔偿保险金。被保险人给第三者造成损害，被保险人未向该第三者赔偿的，保险人不得向被保险人赔偿保险金。</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第三部分  通用条款</w:t>
      </w:r>
    </w:p>
    <w:p>
      <w:pPr>
        <w:adjustRightInd w:val="0"/>
        <w:snapToGrid w:val="0"/>
        <w:spacing w:line="360" w:lineRule="auto"/>
        <w:ind w:firstLine="482" w:firstLineChars="200"/>
        <w:jc w:val="center"/>
        <w:rPr>
          <w:rFonts w:ascii="宋体" w:hAnsi="宋体"/>
          <w:b/>
          <w:sz w:val="24"/>
          <w:highlight w:val="none"/>
        </w:rPr>
      </w:pPr>
      <w:r>
        <w:rPr>
          <w:rFonts w:hint="eastAsia" w:ascii="宋体" w:hAnsi="宋体"/>
          <w:b/>
          <w:sz w:val="24"/>
          <w:highlight w:val="none"/>
        </w:rPr>
        <w:t>责任免除</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下列原因造成的损失、费用，保险人不负责赔偿：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（一）战争、类似战争行为、敌对行为、武装冲突、恐怖活动、谋反、政变；</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（二）行政行为或司法行为；</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（三）罢工、暴动、民众骚乱；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（四）被保险人及其代表的故意行为或重大过失行为；</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（五）核裂变、核聚变、核武器、核材料、核辐射、核爆炸、核污染及其他放射性污染；</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（六）大气污染、土地污染、水污染及其他各种污染；</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下列损失、费用，保险人也不负责赔偿：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（一）工程部分停工或全部停工引起的任何损失、费用和责任。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（二）罚金、延误、丧失合同及其他后果损失；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（三）1.本保险合同中载明的免赔额；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2.按本保险合同中载明的免赔率计算的免赔额。</w:t>
      </w:r>
    </w:p>
    <w:p>
      <w:pPr>
        <w:adjustRightInd w:val="0"/>
        <w:snapToGrid w:val="0"/>
        <w:spacing w:line="360" w:lineRule="auto"/>
        <w:ind w:firstLine="482" w:firstLineChars="200"/>
        <w:jc w:val="center"/>
        <w:rPr>
          <w:rFonts w:ascii="宋体" w:hAnsi="宋体"/>
          <w:b/>
          <w:sz w:val="24"/>
          <w:highlight w:val="none"/>
        </w:rPr>
      </w:pPr>
      <w:r>
        <w:rPr>
          <w:rFonts w:hint="eastAsia" w:ascii="宋体" w:hAnsi="宋体"/>
          <w:b/>
          <w:bCs/>
          <w:sz w:val="24"/>
          <w:highlight w:val="none"/>
        </w:rPr>
        <w:t>保险期间</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本保险合同保险期间遵循如下约定：</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保险人的保险责任自保险工程在工地动工或用于保险工程的材料、设备运抵工地之时起始，至工程所有人对部分或全部工程签发完工验收证书或验收合格，或工程所有人实际占有或使用或接收该部分或全部工程之时终止，以先发生者为准。但在任何情况下，建筑期保险责任的起始或终止不得超出本保险单载明的建筑保险期间范围。</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不论有关合同中对试车和考核期如何规定，保险人仅在本保险合同明细表中列明的试车和考核期间内对试车和考核所引发的损失、费用和责任负责赔偿；若保险设备本身是在本次安装前已被使用过的设备或转手设备，则自其试车之时起，保险人对该项设备的保险责任即行终止。</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（三）上述保险期间的展延，投保人须事先获得保险人的书面同意，否则，从本保险合同明细表中列明的建筑期保险期间终止日之后发生的任何损失、费用和责任，保险人不负责赔偿。</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保险人义务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批单上作出足以引起投保人注意的提示，并对该条款的内容以书面或者口头形式向投保人作出明确说明；未作提示或者明确说明的，该条款不产生效力。</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本保险合同成立后，保险人应当及时向投保人签发保险单或批单。</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保险人依据第三十七条所取得的保险合同解除权，自保险人知道有解除事由之日起，超过三十日不行使而消灭。自保险合同成立之日起超过二年的，保险人不得解除合同；发生保险事故的，保险人承担赔偿责任。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保险人在合同订立时已经知道投保人未如实告知的情况的，保险人不得解除合同；发生保险事故的，保险人应当承担赔偿责任。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保险人按照第四十三条的约定，认为被保险人提供的有关索赔的证明和资料不完整的，应当及时一次性通知投保人、被保险人补充提供。</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保险人收到被保险人的赔偿保险金的请求后，应当及时作出是否属于保险责任的核定；情形复杂的，应当在三十日内作出核定，但保险合同另有约定的除外。</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保险人自收到赔偿保险金的请求和有关证明、资料之日起六十日内，对其赔偿保险金的数额不能确定的，应当根据已有证明和资料可以确定的数额先予支付；保险人最终确定赔偿的数额后，应当支付相应的差额。 </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投保人、被保险人义务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订立保险合同，保险人就保险标的或者被保险人的有关情况提出询问的，投保人应当如实告知。</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投保人故意或者因重大过失未履行前款规定的如实告知义务，足以影响保险人决定是否同意承保或者提高保险费率的，保险人有权解除保险合同。</w:t>
      </w:r>
    </w:p>
    <w:p>
      <w:pPr>
        <w:adjustRightInd w:val="0"/>
        <w:snapToGrid w:val="0"/>
        <w:spacing w:line="360" w:lineRule="auto"/>
        <w:ind w:firstLine="482" w:firstLineChars="200"/>
        <w:rPr>
          <w:rFonts w:ascii="宋体" w:hAnsi="宋体"/>
          <w:b/>
          <w:sz w:val="24"/>
          <w:highlight w:val="none"/>
        </w:rPr>
      </w:pPr>
      <w:r>
        <w:rPr>
          <w:rFonts w:hint="eastAsia" w:ascii="宋体" w:hAnsi="宋体"/>
          <w:b/>
          <w:sz w:val="24"/>
          <w:highlight w:val="none"/>
        </w:rPr>
        <w:t>投保人故意不履行如实告知义务的，保险人对于合同解除前发生的保险事故，不承担赔偿责任，并不退还保险费。</w:t>
      </w:r>
    </w:p>
    <w:p>
      <w:pPr>
        <w:adjustRightInd w:val="0"/>
        <w:snapToGrid w:val="0"/>
        <w:spacing w:line="360" w:lineRule="auto"/>
        <w:ind w:firstLine="482" w:firstLineChars="200"/>
        <w:rPr>
          <w:rFonts w:ascii="宋体" w:hAnsi="宋体"/>
          <w:sz w:val="24"/>
          <w:highlight w:val="none"/>
        </w:rPr>
      </w:pPr>
      <w:r>
        <w:rPr>
          <w:rFonts w:hint="eastAsia" w:ascii="宋体" w:hAnsi="宋体"/>
          <w:b/>
          <w:sz w:val="24"/>
          <w:highlight w:val="none"/>
        </w:rPr>
        <w:t>投保人因重大过失未履行如实告知义务，对保险事故的发生有严重影响的，保险人对于合同解除前发生的保险事故，不承担赔偿责任，但应当退还保险费。</w:t>
      </w:r>
    </w:p>
    <w:p>
      <w:pPr>
        <w:adjustRightInd w:val="0"/>
        <w:snapToGrid w:val="0"/>
        <w:spacing w:line="360" w:lineRule="auto"/>
        <w:rPr>
          <w:rFonts w:ascii="宋体" w:hAnsi="宋体"/>
          <w:b/>
          <w:sz w:val="24"/>
          <w:highlight w:val="none"/>
        </w:rPr>
      </w:pPr>
      <w:r>
        <w:rPr>
          <w:rFonts w:hint="eastAsia" w:ascii="宋体" w:hAnsi="宋体"/>
          <w:sz w:val="24"/>
          <w:highlight w:val="none"/>
        </w:rPr>
        <w:t>投保人应按约定交付保险费。</w:t>
      </w:r>
    </w:p>
    <w:p>
      <w:pPr>
        <w:adjustRightInd w:val="0"/>
        <w:snapToGrid w:val="0"/>
        <w:spacing w:line="360" w:lineRule="auto"/>
        <w:ind w:firstLine="480" w:firstLineChars="200"/>
        <w:rPr>
          <w:rFonts w:ascii="宋体" w:hAnsi="宋体"/>
          <w:b/>
          <w:bCs/>
          <w:sz w:val="24"/>
          <w:highlight w:val="none"/>
        </w:rPr>
      </w:pPr>
      <w:r>
        <w:rPr>
          <w:rFonts w:hint="eastAsia" w:ascii="宋体" w:hAnsi="宋体"/>
          <w:bCs/>
          <w:sz w:val="24"/>
          <w:highlight w:val="none"/>
        </w:rPr>
        <w:t>约定一次性交付保险费的，</w:t>
      </w:r>
      <w:r>
        <w:rPr>
          <w:rFonts w:hint="eastAsia" w:ascii="宋体" w:hAnsi="宋体"/>
          <w:b/>
          <w:bCs/>
          <w:sz w:val="24"/>
          <w:highlight w:val="none"/>
        </w:rPr>
        <w:t>投保人在约定交费日后交付保险费的，保险人对交费之前发生的保险事故不承担保险责任。</w:t>
      </w:r>
    </w:p>
    <w:p>
      <w:pPr>
        <w:adjustRightInd w:val="0"/>
        <w:snapToGrid w:val="0"/>
        <w:spacing w:line="360" w:lineRule="auto"/>
        <w:ind w:firstLine="480" w:firstLineChars="200"/>
        <w:rPr>
          <w:rFonts w:ascii="宋体" w:hAnsi="宋体"/>
          <w:b/>
          <w:sz w:val="24"/>
          <w:highlight w:val="none"/>
        </w:rPr>
      </w:pPr>
      <w:r>
        <w:rPr>
          <w:rFonts w:hint="eastAsia" w:ascii="宋体" w:hAnsi="宋体"/>
          <w:bCs/>
          <w:sz w:val="24"/>
          <w:highlight w:val="none"/>
        </w:rPr>
        <w:t>约定分期交付保险费的，</w:t>
      </w:r>
      <w:r>
        <w:rPr>
          <w:rFonts w:hint="eastAsia" w:ascii="宋体" w:hAnsi="宋体"/>
          <w:b/>
          <w:bCs/>
          <w:sz w:val="24"/>
          <w:highlight w:val="none"/>
        </w:rPr>
        <w:t>保险人按照保险事故发生前保险人实际收取保险费总额与投保人应当交付的保险费的比例承担保险责任，</w:t>
      </w:r>
      <w:r>
        <w:rPr>
          <w:rFonts w:hint="eastAsia" w:ascii="宋体" w:hAnsi="宋体"/>
          <w:bCs/>
          <w:sz w:val="24"/>
          <w:highlight w:val="none"/>
        </w:rPr>
        <w:t>投保人应当交付的保险费是指截至保险事故发生时投保人按约定分期应该缴纳的保费总额。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被保险人应当遵守国家有关消防、安全、生产操作等方面的相关法律、法规及规定，谨慎选用施工人员，遵守一切与施工有关的法规、技术规程和安全操作规程，维护保险标的的安全。</w:t>
      </w:r>
    </w:p>
    <w:p>
      <w:pPr>
        <w:adjustRightInd w:val="0"/>
        <w:snapToGrid w:val="0"/>
        <w:spacing w:line="360" w:lineRule="auto"/>
        <w:ind w:firstLine="480" w:firstLineChars="200"/>
        <w:rPr>
          <w:rFonts w:ascii="宋体" w:hAnsi="宋体"/>
          <w:bCs/>
          <w:sz w:val="24"/>
          <w:highlight w:val="none"/>
        </w:rPr>
      </w:pPr>
      <w:r>
        <w:rPr>
          <w:rFonts w:hint="eastAsia" w:ascii="宋体" w:hAnsi="宋体"/>
          <w:bCs/>
          <w:sz w:val="24"/>
          <w:highlight w:val="none"/>
        </w:rPr>
        <w:t>保险人及其代表有权在适当的时候对保险标的的风险情况进行现场查验。被保险人应提供一切便利及保险人要求的用以评估有关风险的详情和资料，但上述查验并不构成保险人对被保险人的任何承诺。保险人向投保人、被保险人提出消除不安全因素和隐患的书面建议，投保人、被保险人应该认真付诸实施。</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投保人、被保险人未按照约定履行其对保险标的的安全应尽责任的，保险人有权要求增加保险费或者解除合同。</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保险标的转让的，被保险人或者受让人应当及时通知保险人。</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adjustRightInd w:val="0"/>
        <w:snapToGrid w:val="0"/>
        <w:spacing w:line="360" w:lineRule="auto"/>
        <w:ind w:firstLine="482" w:firstLineChars="200"/>
        <w:rPr>
          <w:rFonts w:ascii="宋体" w:hAnsi="宋体"/>
          <w:b/>
          <w:sz w:val="24"/>
          <w:highlight w:val="none"/>
        </w:rPr>
      </w:pPr>
      <w:r>
        <w:rPr>
          <w:rFonts w:hint="eastAsia" w:ascii="宋体" w:hAnsi="宋体"/>
          <w:b/>
          <w:sz w:val="24"/>
          <w:highlight w:val="none"/>
        </w:rPr>
        <w:t>被保险人、受让人未履行本条规定的通知义务的，因转让导致保险标的危险程度显著增加而发生的保险事故，保险人不承担赔偿责任。</w:t>
      </w:r>
    </w:p>
    <w:p>
      <w:pPr>
        <w:adjustRightInd w:val="0"/>
        <w:snapToGrid w:val="0"/>
        <w:spacing w:line="360" w:lineRule="auto"/>
        <w:ind w:firstLine="480" w:firstLineChars="200"/>
        <w:rPr>
          <w:rFonts w:ascii="宋体" w:hAnsi="宋体"/>
          <w:sz w:val="24"/>
          <w:highlight w:val="none"/>
        </w:rPr>
      </w:pPr>
      <w:r>
        <w:rPr>
          <w:rFonts w:hint="eastAsia" w:ascii="宋体" w:hAnsi="宋体"/>
          <w:bCs/>
          <w:sz w:val="24"/>
          <w:highlight w:val="none"/>
        </w:rPr>
        <w:t>在保险期间内，被保险人在工程设计、施工方式、工艺、技术手段等方面发生改变致使保险工程风险程度显著增加或其他足以影响保险人决定是否继续承保或是否增加保险费的保险合同重要事项变更，被保险人应及时书面通知保险人，保险人有权要求增加保险费或者解除合同。</w:t>
      </w:r>
      <w:r>
        <w:rPr>
          <w:rFonts w:hint="eastAsia" w:ascii="宋体" w:hAnsi="宋体"/>
          <w:sz w:val="24"/>
          <w:highlight w:val="none"/>
        </w:rPr>
        <w:t>保险人解除合同的，应当将已收取的保险费，按照合同约定扣除自保险责任开始之日起至合同解除之日止应收的部分后，退还投保人。</w:t>
      </w:r>
    </w:p>
    <w:p>
      <w:pPr>
        <w:adjustRightInd w:val="0"/>
        <w:snapToGrid w:val="0"/>
        <w:spacing w:line="360" w:lineRule="auto"/>
        <w:ind w:firstLine="482" w:firstLineChars="200"/>
        <w:rPr>
          <w:rFonts w:ascii="宋体" w:hAnsi="宋体"/>
          <w:b/>
          <w:bCs/>
          <w:sz w:val="24"/>
          <w:highlight w:val="none"/>
        </w:rPr>
      </w:pPr>
      <w:r>
        <w:rPr>
          <w:rFonts w:hint="eastAsia" w:ascii="宋体" w:hAnsi="宋体"/>
          <w:b/>
          <w:bCs/>
          <w:sz w:val="24"/>
          <w:highlight w:val="none"/>
        </w:rPr>
        <w:t>被保险人未履行通知义务，因上述保险合同重要事项变更而导致保险事故发生的，保险人不承担赔偿责任。</w:t>
      </w:r>
    </w:p>
    <w:p>
      <w:pPr>
        <w:adjustRightInd w:val="0"/>
        <w:snapToGrid w:val="0"/>
        <w:spacing w:line="360" w:lineRule="auto"/>
        <w:rPr>
          <w:rFonts w:ascii="宋体" w:hAnsi="宋体"/>
          <w:sz w:val="24"/>
          <w:highlight w:val="none"/>
        </w:rPr>
      </w:pPr>
      <w:r>
        <w:rPr>
          <w:rFonts w:hint="eastAsia" w:ascii="宋体" w:hAnsi="宋体"/>
          <w:sz w:val="24"/>
          <w:highlight w:val="none"/>
        </w:rPr>
        <w:t>投保人、被保险人知道保险事故发生后，被保险人应该：</w:t>
      </w:r>
    </w:p>
    <w:p>
      <w:pPr>
        <w:adjustRightInd w:val="0"/>
        <w:snapToGrid w:val="0"/>
        <w:spacing w:line="360" w:lineRule="auto"/>
        <w:ind w:firstLine="480" w:firstLineChars="200"/>
        <w:rPr>
          <w:rFonts w:ascii="宋体" w:hAnsi="宋体"/>
          <w:b/>
          <w:sz w:val="24"/>
          <w:highlight w:val="none"/>
        </w:rPr>
      </w:pPr>
      <w:r>
        <w:rPr>
          <w:rFonts w:hint="eastAsia" w:ascii="宋体" w:hAnsi="宋体"/>
          <w:sz w:val="24"/>
          <w:highlight w:val="none"/>
        </w:rPr>
        <w:t>（一）尽力采取必要、合理的措施，防止或减少损失，</w:t>
      </w:r>
      <w:r>
        <w:rPr>
          <w:rFonts w:hint="eastAsia" w:ascii="宋体" w:hAnsi="宋体"/>
          <w:b/>
          <w:sz w:val="24"/>
          <w:highlight w:val="none"/>
        </w:rPr>
        <w:t>否则，对因此扩大的损失，保险人不承担赔偿责任；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（二）立即通知保险人，并书面说明事故发生的原因、经过和损失情况；</w:t>
      </w:r>
      <w:r>
        <w:rPr>
          <w:rFonts w:hint="eastAsia" w:ascii="宋体" w:hAnsi="宋体"/>
          <w:b/>
          <w:sz w:val="24"/>
          <w:highlight w:val="none"/>
        </w:rPr>
        <w:t>故意或者因重大过失未及时通知，致使保险事故的性质、原因、损失程度等难以确定的，保险人对无法确定的部分，不承担赔偿责任，</w:t>
      </w:r>
      <w:r>
        <w:rPr>
          <w:rFonts w:hint="eastAsia" w:ascii="宋体" w:hAnsi="宋体"/>
          <w:sz w:val="24"/>
          <w:highlight w:val="none"/>
        </w:rPr>
        <w:t>但保险人通过其他途径已经及时知道或者应当及时知道保险事故发生的除外；</w:t>
      </w:r>
    </w:p>
    <w:p>
      <w:pPr>
        <w:adjustRightInd w:val="0"/>
        <w:snapToGrid w:val="0"/>
        <w:spacing w:line="360" w:lineRule="auto"/>
        <w:ind w:firstLine="480" w:firstLineChars="200"/>
        <w:rPr>
          <w:rFonts w:ascii="宋体" w:hAnsi="宋体"/>
          <w:b/>
          <w:sz w:val="24"/>
          <w:highlight w:val="none"/>
        </w:rPr>
      </w:pPr>
      <w:r>
        <w:rPr>
          <w:rFonts w:hint="eastAsia" w:ascii="宋体" w:hAnsi="宋体"/>
          <w:sz w:val="24"/>
          <w:highlight w:val="none"/>
        </w:rPr>
        <w:t>（三）保护事故现场，允许并且协助保险人进行事故调查，</w:t>
      </w:r>
      <w:r>
        <w:rPr>
          <w:rFonts w:hint="eastAsia" w:ascii="宋体" w:hAnsi="宋体"/>
          <w:b/>
          <w:sz w:val="24"/>
          <w:highlight w:val="none"/>
        </w:rPr>
        <w:t>对于拒绝或者妨碍保险人进行事故调查导致无法认定事故原因或核实损失情况的，保险人对无法核实的部分不承担赔偿责任；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（四）在保险财产遭受盗窃或恶意破坏时，立即向公安部门报案；</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（五）在预知可能引起第三者责任险项下的诉讼时，立即以书面形式通知保险人，并在接到法院传票或其他法律文件后，立即将其送交保险人。</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被保险人向保险人请求赔偿时，应向保险人提交保险单、索赔申请、财产损失清单、有关部门的损失证明以及其他投保人、被保险人所能提供的与确认保险事故的性质、原因、损失程度等有关的证明和资料。</w:t>
      </w:r>
    </w:p>
    <w:p>
      <w:pPr>
        <w:adjustRightInd w:val="0"/>
        <w:snapToGrid w:val="0"/>
        <w:spacing w:line="360" w:lineRule="auto"/>
        <w:ind w:firstLine="482" w:firstLineChars="200"/>
        <w:rPr>
          <w:rFonts w:ascii="宋体" w:hAnsi="宋体"/>
          <w:b/>
          <w:sz w:val="24"/>
          <w:highlight w:val="none"/>
        </w:rPr>
      </w:pPr>
      <w:r>
        <w:rPr>
          <w:rFonts w:hint="eastAsia" w:ascii="宋体" w:hAnsi="宋体"/>
          <w:b/>
          <w:sz w:val="24"/>
          <w:highlight w:val="none"/>
        </w:rPr>
        <w:t>投保人、被保险人未履行前款约定的索赔材料提供义务，导致保险人无法核实损失情况的，保险人对无法核实的部分不承担赔偿责任。</w:t>
      </w:r>
    </w:p>
    <w:p>
      <w:pPr>
        <w:adjustRightInd w:val="0"/>
        <w:snapToGrid w:val="0"/>
        <w:spacing w:line="360" w:lineRule="auto"/>
        <w:ind w:firstLine="480" w:firstLineChars="200"/>
        <w:rPr>
          <w:rFonts w:ascii="宋体" w:hAnsi="宋体"/>
          <w:b/>
          <w:sz w:val="24"/>
          <w:highlight w:val="none"/>
        </w:rPr>
      </w:pPr>
      <w:r>
        <w:rPr>
          <w:rFonts w:hint="eastAsia" w:ascii="宋体" w:hAnsi="宋体"/>
          <w:sz w:val="24"/>
          <w:highlight w:val="none"/>
        </w:rPr>
        <w:t>若在某一保险财产中发现的缺陷表明或预示类似缺陷亦存在于其他保险财产中时，被保险人应立即自付费用进行调查并纠正该缺陷。</w:t>
      </w:r>
      <w:r>
        <w:rPr>
          <w:rFonts w:hint="eastAsia" w:ascii="宋体" w:hAnsi="宋体"/>
          <w:b/>
          <w:sz w:val="24"/>
          <w:highlight w:val="none"/>
        </w:rPr>
        <w:t>否则，由该缺陷或类似缺陷造成的损失保险人不承担赔偿责任。</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赔偿处理</w:t>
      </w:r>
    </w:p>
    <w:p>
      <w:pPr>
        <w:adjustRightInd w:val="0"/>
        <w:snapToGrid w:val="0"/>
        <w:spacing w:line="360" w:lineRule="auto"/>
        <w:ind w:firstLine="482" w:firstLineChars="200"/>
        <w:rPr>
          <w:rFonts w:ascii="宋体" w:hAnsi="宋体"/>
          <w:b/>
          <w:bCs/>
          <w:sz w:val="24"/>
          <w:highlight w:val="none"/>
        </w:rPr>
      </w:pPr>
      <w:r>
        <w:rPr>
          <w:rFonts w:hint="eastAsia" w:ascii="宋体" w:hAnsi="宋体"/>
          <w:b/>
          <w:sz w:val="24"/>
          <w:highlight w:val="none"/>
        </w:rPr>
        <w:t>保险事故发生时，被保险人对保险标的不具有保险利益的，不得向保险人请求赔偿保险金。</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保险标的遭受损失后，如果有残余价值，应由双方协商处理。若协商残值归被保险人所有，应在赔偿金额中扣减残值。</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保险事故发生时，如果存在重复保险，保险人按照本保险合同的相应保险金额与其他保险合同及本保险合同相应保险金额总和的比例承担赔偿责任。</w:t>
      </w:r>
    </w:p>
    <w:p>
      <w:pPr>
        <w:adjustRightInd w:val="0"/>
        <w:snapToGrid w:val="0"/>
        <w:spacing w:line="360" w:lineRule="auto"/>
        <w:ind w:firstLine="482" w:firstLineChars="200"/>
        <w:rPr>
          <w:rFonts w:ascii="宋体" w:hAnsi="宋体"/>
          <w:sz w:val="24"/>
          <w:highlight w:val="none"/>
        </w:rPr>
      </w:pPr>
      <w:r>
        <w:rPr>
          <w:rFonts w:hint="eastAsia" w:ascii="宋体" w:hAnsi="宋体"/>
          <w:b/>
          <w:sz w:val="24"/>
          <w:highlight w:val="none"/>
        </w:rPr>
        <w:t>其他保险人应承担的赔偿金额，本保险人不负责垫付。</w:t>
      </w:r>
      <w:r>
        <w:rPr>
          <w:rFonts w:hint="eastAsia" w:ascii="宋体" w:hAnsi="宋体"/>
          <w:sz w:val="24"/>
          <w:highlight w:val="none"/>
        </w:rPr>
        <w:t>若被保险人未如实告知导致保险人多支付赔偿金的，保险人有权向被保险人追回多支付的部分。</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被保险人已经从有关责任方取得赔偿的，保险人赔偿保险金时，可以相应扣减被保险人已从有关责任方取得的赔偿金额。</w:t>
      </w:r>
    </w:p>
    <w:p>
      <w:pPr>
        <w:adjustRightInd w:val="0"/>
        <w:snapToGrid w:val="0"/>
        <w:spacing w:line="360" w:lineRule="auto"/>
        <w:ind w:firstLine="482" w:firstLineChars="200"/>
        <w:rPr>
          <w:rFonts w:ascii="宋体" w:hAnsi="宋体"/>
          <w:b/>
          <w:sz w:val="24"/>
          <w:highlight w:val="none"/>
        </w:rPr>
      </w:pPr>
      <w:r>
        <w:rPr>
          <w:rFonts w:hint="eastAsia" w:ascii="宋体" w:hAnsi="宋体"/>
          <w:b/>
          <w:sz w:val="24"/>
          <w:highlight w:val="none"/>
        </w:rPr>
        <w:t>保险事故发生后，在保险人未赔偿保险金之前，被保险人放弃对有关责任方请求赔偿权利的，保险人不承担赔偿责任；</w:t>
      </w:r>
      <w:r>
        <w:rPr>
          <w:rFonts w:hint="eastAsia" w:ascii="宋体" w:hAnsi="宋体"/>
          <w:sz w:val="24"/>
          <w:highlight w:val="none"/>
        </w:rPr>
        <w:t>保险人向被保险人赔偿保险金后，被保险人未经保险人同意放弃对有关责任方请求赔偿权利的，该行为无效；</w:t>
      </w:r>
      <w:r>
        <w:rPr>
          <w:rFonts w:hint="eastAsia" w:ascii="宋体" w:hAnsi="宋体"/>
          <w:b/>
          <w:sz w:val="24"/>
          <w:highlight w:val="none"/>
        </w:rPr>
        <w:t>由于被保险人故意或者因重大过失致使保险人不能行使代位请求赔偿的权利的，保险人可以扣减或者要求返还相应的保险金。</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被保险人向保险人请求赔偿的诉讼时效期间为二年，自其知道或者应当知道保险事故发生之日起计算。 </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争议处理</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因履行本保险合同发生的争议，由当事人协商解决。协商不成的，提交保险单载明的仲裁机构仲裁；保险单未载明仲裁机构且争议发生后未达成仲裁协议的，依法向人民法院起诉。</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 与本保险合同有关的以及履行本保险合同产生的一切争议，适用中华人民共和国法律（不包括港澳台地区法律）。</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其他事项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 保险标的发生部分损失的，自保险人赔偿之日起三十日内，投保人可以解除合同；除合同另有约定外，保险人也可以解除合同，但应当提前十五日通知投保人。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保险合同依据前款规定解除的，保险人应当将保险标的未受损失部分的保险费，按照合同约定扣除自保险责任开始之日起至合同解除之日止应收的部分后，退还投保人。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保险责任开始前，投保人要求解除保险合同的，应当按本保险合同的约定向保险人支付手续费，保险人应当退还保险费。保险人要求解除保险合同的，不得向投保人收取手续费并应退还已收取的保险费。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责任开始后，投保人要求解除保险合同的，自通知保险人之日起，保险合同解除，保险人按照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标的发生全部损失，属于保险责任的，保险人在履行赔偿义务后，本保险合同终止；不属于保险责任的，本保险合同终止，保险人按照保险责任开始之日起至合同解除之日止期间与保险期间的日比例计收保险费，并退还剩余部分保险费。</w:t>
      </w:r>
    </w:p>
    <w:p>
      <w:pPr>
        <w:adjustRightInd w:val="0"/>
        <w:snapToGrid w:val="0"/>
        <w:spacing w:line="360" w:lineRule="auto"/>
        <w:ind w:firstLine="482" w:firstLineChars="200"/>
        <w:jc w:val="center"/>
        <w:rPr>
          <w:rFonts w:ascii="宋体" w:hAnsi="宋体"/>
          <w:b/>
          <w:bCs/>
          <w:sz w:val="24"/>
          <w:highlight w:val="none"/>
        </w:rPr>
      </w:pPr>
      <w:r>
        <w:rPr>
          <w:rFonts w:hint="eastAsia" w:ascii="宋体" w:hAnsi="宋体"/>
          <w:b/>
          <w:bCs/>
          <w:sz w:val="24"/>
          <w:highlight w:val="none"/>
        </w:rPr>
        <w:t>释  义</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本保险合同涉及下列术语时，适用下列释义： </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（一）自然灾害：指地震、海啸、雷击、暴雨、洪水、暴风、龙卷风、冰雹、台风、飓风、沙尘暴、暴雪、冰凌、突发性滑坡、崩塌、泥石流、地面突然下陷下沉及其他人力不可抗拒的破坏力强大的自然现象。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1、地震：指地下岩石的构造活动或火山爆发产生的地面震动。由于地震的强度不同，其破坏力也存在很大的区别，一般保险针对的是破坏性地震，根据国家地震局的有关规定，震级在</w:t>
      </w:r>
      <w:r>
        <w:rPr>
          <w:rFonts w:ascii="宋体" w:hAnsi="宋体"/>
          <w:sz w:val="24"/>
          <w:highlight w:val="none"/>
        </w:rPr>
        <w:t>4.75</w:t>
      </w:r>
      <w:r>
        <w:rPr>
          <w:rFonts w:hint="eastAsia" w:ascii="宋体" w:hAnsi="宋体"/>
          <w:sz w:val="24"/>
          <w:highlight w:val="none"/>
        </w:rPr>
        <w:t>级以上且烈度在</w:t>
      </w:r>
      <w:r>
        <w:rPr>
          <w:rFonts w:ascii="宋体" w:hAnsi="宋体"/>
          <w:sz w:val="24"/>
          <w:highlight w:val="none"/>
        </w:rPr>
        <w:t>6</w:t>
      </w:r>
      <w:r>
        <w:rPr>
          <w:rFonts w:hint="eastAsia" w:ascii="宋体" w:hAnsi="宋体"/>
          <w:sz w:val="24"/>
          <w:highlight w:val="none"/>
        </w:rPr>
        <w:t>级以上的地震为破坏性地震。</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海啸：指由于地震或风暴而造成的海面巨大涨落现象，按成因分为地震海啸和风暴海啸两种。地震海啸是伴随地震而形成的，即海底地壳发生断裂，引起剧烈的震动，产生巨大的波浪。风暴海啸是强大低气压在通过时，海面异常升起的现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3、雷击指由雷电造成的灾害。雷电为积雨云中、云间或云地之间产生的放电现象。雷击的破坏形式分直接雷击与感应雷击两种。</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（1）直接雷击：由于雷电直接击中保险标的造成损失，属直接雷击责任。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4、暴雨：指每小时降雨量达16毫米以上，或连续12小时降雨量达30毫米以上，或连续24小时降雨量达50毫米以上的降雨。</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5、洪水：指山洪暴发、江河泛滥、潮水上岸及倒灌。但规律性的涨潮、自动灭火设施漏水以及在常年水位以下或地下渗水、水管暴裂不属于洪水责任。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6、暴风：指风力达8级、风速在17.2米/秒以上的自然风。</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7、龙卷风：指一种范围小而时间短的猛烈旋风，陆地上平均最大风速在79米/秒-103米/秒，极端最大风速在100米/秒以上。</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8、冰雹：指从强烈对流的积雨云中降落到地面的冰块或冰球，直径大于5毫米，核心坚硬的固体降水。</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9、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10、沙尘暴：指强风将地面大量尘沙吹起，使空气很混浊，水平能见度小于1公里的天气现象。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11、暴雪：指连续12小时的降雪量大于或等于10毫米的降雪现象。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12、冰凌：指春季江河解冻期时冰块飘浮遇阻，堆积成坝，堵塞江道，造成水位急剧上升，以致江水溢出江道，漫延成灾。</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陆上有些地区，如山谷风口或酷寒致使雨雪在物体上结成冰块，成下垂形状，越结越厚，重量增加，由于下垂的拉力致使物体毁坏，也属冰凌责任。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13、突发性滑坡：斜坡上不稳的岩土体或人为堆积物在重力作用下突然整体向下滑动的现象。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14、崩塌：石崖、土崖、岩石受自然风化、雨蚀造成崩溃下塌，以及大量积雪在重力作用下从高处突然崩塌滚落。</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15、泥石流：由于雨水、冰雪融化等水源激发的、含有大量泥沙石块的特殊洪流。</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16、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（二）意外事故：指不可预料的以及被保险人无法控制并造成物质损失或人身伤亡的突发性事件，包括火灾和爆炸。</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1、火灾</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 xml:space="preserve"> 在时间或空间上失去控制的燃烧所造成的灾害。构成本保险的火灾责任必须同时具备以下三个条件：</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（1）有燃烧现象，即有热有光有火焰；</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（2）偶然、意外发生的燃烧；</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（3）燃烧失去控制并有蔓延扩大的趋势。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因此，仅有燃烧现象并不等于构成本保险中的火灾责任。在生产、生活中有目的用火，如为了防疫而焚毁站污的衣物，点火烧荒等属正常燃烧，不同于火灾责任。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因烘、烤、烫、烙造成焦糊变质等损失，既无燃烧现象，又无蔓延扩大趋势，也不属于火灾责任。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电机、电器、电气设备因使用过度、超电压、碰线、孤花、漏电、自身发热所造成的本身损毁，不属于火灾责任。但如果发生了燃烧并失去控制蔓延扩大，才构成火灾责任，并对电机、电器、电气设备本身的损失负责赔偿。</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2、爆炸</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爆炸分物理性爆炸和化学性爆炸。</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物理性爆炸：由于液体变为蒸汽或气体膨胀，压力急剧增加并大大超过容器所能承受的极限压力，因而发生爆炸。如锅炉、空气压缩机、压缩气体钢瓶、液化气罐爆炸等。关于锅炉、压力容器爆炸的定义是：锅炉或区力容器在使用中或试压时发生破裂，使压力瞬时降到等于外界大气压力的事故，称为“爆炸事故”。</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（2）化学性爆炸：物体在瞬息分解或燃烧时放出大量的热和气体，并以很大的压力向四周扩散的现象。如火药爆炸、可燃性粉尘纤维爆炸、可燃气体爆炸及各种化学物品的爆炸等。</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因物体本身的瑕疵，使用损耗或产品质量低劣以及由于容器内部承受“负压”（内压比外压小）造成的损失，不属于爆炸责任。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（三）应保险金额：根据本保险合同第九条（一）、（二）款确定的保险金额。</w:t>
      </w:r>
    </w:p>
    <w:p>
      <w:pPr>
        <w:pStyle w:val="7"/>
        <w:tabs>
          <w:tab w:val="left" w:pos="720"/>
        </w:tabs>
        <w:adjustRightInd w:val="0"/>
        <w:snapToGrid w:val="0"/>
        <w:spacing w:before="0" w:after="0" w:line="360" w:lineRule="auto"/>
        <w:rPr>
          <w:rFonts w:ascii="宋体" w:hAnsi="宋体"/>
          <w:sz w:val="24"/>
          <w:szCs w:val="24"/>
          <w:highlight w:val="none"/>
        </w:rPr>
        <w:sectPr>
          <w:pgSz w:w="11906" w:h="16838"/>
          <w:pgMar w:top="1304" w:right="1304" w:bottom="1304" w:left="1304" w:header="851" w:footer="992" w:gutter="0"/>
          <w:pgBorders>
            <w:top w:val="none" w:sz="0" w:space="0"/>
            <w:left w:val="none" w:sz="0" w:space="0"/>
            <w:bottom w:val="none" w:sz="0" w:space="0"/>
            <w:right w:val="none" w:sz="0" w:space="0"/>
          </w:pgBorders>
          <w:cols w:space="720" w:num="1"/>
          <w:docGrid w:linePitch="312" w:charSpace="0"/>
        </w:sectPr>
      </w:pPr>
    </w:p>
    <w:p>
      <w:pPr>
        <w:adjustRightInd w:val="0"/>
        <w:snapToGrid w:val="0"/>
        <w:spacing w:line="360" w:lineRule="auto"/>
        <w:jc w:val="center"/>
        <w:outlineLvl w:val="1"/>
        <w:rPr>
          <w:rFonts w:ascii="宋体" w:hAnsi="宋体"/>
          <w:b/>
          <w:sz w:val="28"/>
          <w:szCs w:val="28"/>
          <w:highlight w:val="none"/>
        </w:rPr>
      </w:pPr>
      <w:bookmarkStart w:id="775" w:name="_Toc1395"/>
      <w:bookmarkStart w:id="776" w:name="_Toc4285"/>
      <w:bookmarkStart w:id="777" w:name="_Toc24853"/>
      <w:bookmarkStart w:id="778" w:name="_Toc4138990"/>
      <w:bookmarkStart w:id="779" w:name="_Toc2541"/>
      <w:r>
        <w:rPr>
          <w:rFonts w:hint="eastAsia" w:ascii="宋体" w:hAnsi="宋体"/>
          <w:b/>
          <w:sz w:val="28"/>
          <w:szCs w:val="28"/>
          <w:highlight w:val="none"/>
        </w:rPr>
        <w:t>3. 安装工程一切险基本条款</w:t>
      </w:r>
      <w:bookmarkEnd w:id="775"/>
      <w:bookmarkEnd w:id="776"/>
      <w:bookmarkEnd w:id="777"/>
      <w:bookmarkEnd w:id="778"/>
      <w:bookmarkEnd w:id="779"/>
    </w:p>
    <w:p>
      <w:pPr>
        <w:adjustRightInd w:val="0"/>
        <w:snapToGrid w:val="0"/>
        <w:spacing w:line="360" w:lineRule="auto"/>
        <w:ind w:firstLine="482" w:firstLineChars="200"/>
        <w:jc w:val="center"/>
        <w:rPr>
          <w:rFonts w:ascii="宋体" w:hAnsi="宋体"/>
          <w:sz w:val="24"/>
          <w:highlight w:val="none"/>
        </w:rPr>
      </w:pPr>
      <w:r>
        <w:rPr>
          <w:rFonts w:hint="eastAsia" w:ascii="宋体" w:hAnsi="宋体"/>
          <w:b/>
          <w:sz w:val="24"/>
          <w:highlight w:val="none"/>
        </w:rPr>
        <w:t>安装工程一切险条款（2009版）</w:t>
      </w:r>
    </w:p>
    <w:p>
      <w:pPr>
        <w:adjustRightInd w:val="0"/>
        <w:snapToGrid w:val="0"/>
        <w:spacing w:line="360" w:lineRule="auto"/>
        <w:ind w:firstLine="482" w:firstLineChars="200"/>
        <w:jc w:val="center"/>
        <w:rPr>
          <w:rFonts w:hint="eastAsia" w:ascii="宋体" w:hAnsi="宋体"/>
          <w:b/>
          <w:bCs/>
          <w:sz w:val="24"/>
          <w:highlight w:val="none"/>
        </w:rPr>
      </w:pPr>
      <w:r>
        <w:rPr>
          <w:rFonts w:hint="eastAsia" w:ascii="宋体" w:hAnsi="宋体"/>
          <w:b/>
          <w:bCs/>
          <w:sz w:val="24"/>
          <w:highlight w:val="none"/>
        </w:rPr>
        <w:t>总则</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本保险合同由保险条款、投保单、保险单以及批单组成。凡涉及本保险合同的约定，均应采用书面形式。</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第一部分  物质损失保险部分</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保险标的</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本保险合同的保险标的为：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本保险合同明细表中分项列明的在列明工地范围内的与实施工程合同相关的财产或费用，属于本保险合同的保险标的。</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下列财产未经保险合同双方特别约定并在保险合同中载明应保险金额的，不属于本保险合同的保险标的：</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（一）施工用机具、设备、机械装置；</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（二）在保险工程开始以前已经存在或形成的位于工地范围内或其周围的属于被保险人的财产；</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三）在本保险合同保险期间终止前，已经投入商业运行或业主已经接受、实际占有的财产或其中的任何一部分财产，或已经签发工程竣工证书或工程承包人已经正式提出申请验收并经业主代表验收合格的财产或其中任何一部分财产；</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（四）清除残骸费用。该费用指发生保险事故后，被保险人为修复保险标的而清理施工现场所发生的必要、合理的费用。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下列财产不属于本保险合同的保险标的：</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（一）文件、账册、图表、技术资料、计算机软件、计算机数据资料等无法鉴定价值的财产；</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（二）便携式通讯装置、便携式计算机设备、便携式照相摄像器材以及其他便携式装置、设备；</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（三）土地、海床、矿藏、水资源、动物、植物、农作物；</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（四）领有公共运输行驶执照的，或已由其他保险予以保障的车辆、船舶、航空器；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（五）违章安装、危险安装、非法占用的财产。</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保险责任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在保险期间内，本保险合同分项列明的保险财产在列明的工地范围内，因本保险合同责任免除以外的任何自然灾害或意外事故造成的物质损坏或灭失(以下简称“损失”)，保险人按本保险合同的约定负责赔偿。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在保险期间内，由于第五条保险责任事故发生造成保险标的的损失所产生的以下费用，保险人按照本保险合同的约定负责赔偿：</w:t>
      </w:r>
    </w:p>
    <w:p>
      <w:pPr>
        <w:pStyle w:val="38"/>
        <w:adjustRightInd w:val="0"/>
        <w:snapToGrid w:val="0"/>
        <w:spacing w:before="0" w:beforeLines="0" w:after="0" w:line="360" w:lineRule="auto"/>
        <w:ind w:firstLine="480"/>
        <w:rPr>
          <w:rFonts w:hint="eastAsia" w:ascii="宋体" w:hAnsi="宋体"/>
          <w:highlight w:val="none"/>
        </w:rPr>
      </w:pPr>
      <w:r>
        <w:rPr>
          <w:rFonts w:hint="eastAsia" w:ascii="宋体" w:hAnsi="宋体"/>
          <w:highlight w:val="none"/>
        </w:rPr>
        <w:t>（一）保险事故发生后，被保险人为防止或减少保险标的的损失所支付的必要的、合理的费用，保险人按照本保险合同的约定也负责赔偿。</w:t>
      </w:r>
    </w:p>
    <w:p>
      <w:pPr>
        <w:pStyle w:val="38"/>
        <w:adjustRightInd w:val="0"/>
        <w:snapToGrid w:val="0"/>
        <w:spacing w:before="0" w:beforeLines="0" w:after="0" w:line="360" w:lineRule="auto"/>
        <w:ind w:firstLine="480"/>
        <w:rPr>
          <w:rFonts w:hint="eastAsia" w:ascii="宋体" w:hAnsi="宋体"/>
          <w:highlight w:val="none"/>
        </w:rPr>
      </w:pPr>
      <w:r>
        <w:rPr>
          <w:rFonts w:hint="eastAsia" w:ascii="宋体" w:hAnsi="宋体"/>
          <w:highlight w:val="none"/>
        </w:rPr>
        <w:t>（二）对经本保险合同列明的因发生上述损失所产生的其他有关费用，保险人按本保险合同约定负责赔偿。</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责任免除</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下列原因造成的损失、费用，保险人不负责赔偿：</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（一）因设计错误、铸造或原材料缺陷或工艺不善引起的保险财产本身的损失以及为换置、修理或矫正这些缺点错误所支付的费用；</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（二）自然磨损、内在或潜在缺陷、物质本身变化、自燃、自热、氧化、锈蚀、渗漏、鼠咬、虫蛀、大气(气候或气温)变化、正常水位变化或其他渐变原因造成的保险财产自身的损失和费用；</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（三）由于超负荷、超电压、碰线、电弧、漏电、短路、大气放电及其他电气原因造成电气设备或电气用具本身的损失；   </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（四）施工用机具、设备、机械装置失灵造成的本身损失。</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下列损失、费用，保险人也不负责赔偿：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（一）维修保养或正常检修的费用；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（二）档案、文件、帐薄、票据、现金、各种有价证券、图表资料及包装物料的损失；</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（三）盘点时发现的短缺； </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（四）领有公共运输行驶执照的，或已由其他保险予以保障的车辆、船舶和飞机的损失；</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（五）除非另有约定，在保险工程开始以前已经存在或形成的位于工地范围内或其周围的属于被保险人的财产的损失；</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（六）除非另有约定，在本保险合同保险期间终止以前，保险财产中已由工程所有人签发完工验收证书或验收合格或实际占有或使用或接收部分的损失。</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保险金额与免赔额（率）</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 本保险合同中列明的保险金额应不低于：</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1、安装工程—保险工程安装完成时的总价值，包括设备费用、原材料费用、安装费、建造费、运输费和保险费、关税、其他税项和费用，以及由工程所有人提供的原材料和设备的费用；</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2、其他保险项目一一由投保人与保险人商定的金额。</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(二)若投保人是以保险工程合同规定的工程概算总造价投保，投保人或被保险人应：</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1、在本保险项下工程造价中包括的各项费用因涨价或升值原因而超出保险工程造价时，必须尽快以书面通知保险人，保险人据此调整保险金额；</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2、在保险期间内对相应的工程细节作出精确记录，并允许保险人在合理的时候对该项记录进行查验；</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3、若保险工程的安装期超过三年，必须从本保险合同生效日起每隔十二个月向保险人申报当时的工程实际投入金额及调整后的工程总造价，保险人将据此调整保险费；</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4、在本保险合同列明的保险期间届满后三个月内向保险人申报最终的工程总价值，保险人据此以多退少补的方式对预收保险费进行调整。</w:t>
      </w:r>
    </w:p>
    <w:p>
      <w:pPr>
        <w:autoSpaceDE w:val="0"/>
        <w:autoSpaceDN w:val="0"/>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免赔额（率）由投保人与保险人在订立保险合同时协商确定，并在保险合同中载明。</w:t>
      </w:r>
    </w:p>
    <w:p>
      <w:pPr>
        <w:adjustRightInd w:val="0"/>
        <w:snapToGrid w:val="0"/>
        <w:spacing w:line="360" w:lineRule="auto"/>
        <w:jc w:val="center"/>
        <w:rPr>
          <w:rFonts w:hint="eastAsia" w:ascii="宋体" w:hAnsi="宋体"/>
          <w:b/>
          <w:sz w:val="24"/>
          <w:highlight w:val="none"/>
        </w:rPr>
      </w:pPr>
      <w:r>
        <w:rPr>
          <w:rFonts w:hint="eastAsia" w:ascii="宋体" w:hAnsi="宋体"/>
          <w:b/>
          <w:sz w:val="24"/>
          <w:highlight w:val="none"/>
        </w:rPr>
        <w:t>赔偿处理</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对保险标的遭受的损失，保险人可选择以支付赔款或以修复、重置受损项目的方式予以赔偿，对保险标的在修复或替换过程中，被保险人进行的任何变更、性能增加或改进所产生的额外费用，保险人不负责赔偿。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在发生本保险单项下的损失后，保险人按下列方式确定损失金额：</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可以修复的部分损失：以将保险财产修复至其基本恢复受损前状态的费用考虑本保险合同第四十五条约定的残值处理方式后确定的赔偿金额为准。但若修复费用等于或超过保险财产损失前的价值时，则按下列第（二）款的规定处理；</w:t>
      </w:r>
    </w:p>
    <w:p>
      <w:pPr>
        <w:pStyle w:val="20"/>
        <w:tabs>
          <w:tab w:val="left" w:pos="3400"/>
        </w:tabs>
        <w:adjustRightInd w:val="0"/>
        <w:snapToGrid w:val="0"/>
        <w:spacing w:before="0" w:beforeLines="0" w:after="0"/>
        <w:ind w:left="0" w:leftChars="0" w:firstLine="480"/>
        <w:rPr>
          <w:rFonts w:hint="eastAsia" w:ascii="宋体" w:hAnsi="宋体"/>
          <w:highlight w:val="none"/>
        </w:rPr>
      </w:pPr>
      <w:r>
        <w:rPr>
          <w:rFonts w:hint="eastAsia" w:ascii="宋体" w:hAnsi="宋体"/>
          <w:highlight w:val="none"/>
        </w:rPr>
        <w:t>（二）全部损失或推定全损：以保险财产损失前的实际价值考虑本保险合同第四十五条约定的残值处理方式后确定的赔偿金额为准；</w:t>
      </w:r>
    </w:p>
    <w:p>
      <w:pPr>
        <w:pStyle w:val="20"/>
        <w:tabs>
          <w:tab w:val="left" w:pos="3400"/>
        </w:tabs>
        <w:adjustRightInd w:val="0"/>
        <w:snapToGrid w:val="0"/>
        <w:spacing w:before="0" w:beforeLines="0" w:after="0"/>
        <w:ind w:left="0" w:leftChars="0" w:firstLine="480"/>
        <w:rPr>
          <w:rFonts w:hint="eastAsia" w:ascii="宋体" w:hAnsi="宋体"/>
          <w:highlight w:val="none"/>
        </w:rPr>
      </w:pPr>
      <w:r>
        <w:rPr>
          <w:rFonts w:hint="eastAsia" w:ascii="宋体" w:hAnsi="宋体"/>
          <w:highlight w:val="none"/>
        </w:rPr>
        <w:t>（三）任何属于成对或成套的设备项目，若发生损失，保险人的赔偿责任不超过该受损项目在所属整对或整套设备项目的保险金额中所占的比例。</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保险标的发生保险责任范围内的损失，保险人按以下方式计算赔偿：</w:t>
      </w:r>
    </w:p>
    <w:p>
      <w:pPr>
        <w:pStyle w:val="20"/>
        <w:tabs>
          <w:tab w:val="left" w:pos="3400"/>
        </w:tabs>
        <w:adjustRightInd w:val="0"/>
        <w:snapToGrid w:val="0"/>
        <w:spacing w:before="0" w:beforeLines="0" w:after="0"/>
        <w:ind w:left="0" w:leftChars="0" w:firstLine="480"/>
        <w:rPr>
          <w:rFonts w:hint="eastAsia" w:ascii="宋体" w:hAnsi="宋体"/>
          <w:highlight w:val="none"/>
        </w:rPr>
      </w:pPr>
      <w:r>
        <w:rPr>
          <w:rFonts w:hint="eastAsia" w:ascii="宋体" w:hAnsi="宋体"/>
          <w:highlight w:val="none"/>
        </w:rPr>
        <w:t>（一）保险金额等于或高于应保险金额时，按实际损失计算赔偿，最高不超过应保险金额；</w:t>
      </w:r>
    </w:p>
    <w:p>
      <w:pPr>
        <w:pStyle w:val="20"/>
        <w:tabs>
          <w:tab w:val="left" w:pos="3400"/>
        </w:tabs>
        <w:adjustRightInd w:val="0"/>
        <w:snapToGrid w:val="0"/>
        <w:spacing w:before="0" w:beforeLines="0" w:after="0"/>
        <w:ind w:left="0" w:leftChars="0" w:firstLine="480"/>
        <w:rPr>
          <w:rFonts w:hint="eastAsia" w:ascii="宋体" w:hAnsi="宋体"/>
          <w:highlight w:val="none"/>
        </w:rPr>
      </w:pPr>
      <w:r>
        <w:rPr>
          <w:rFonts w:hint="eastAsia" w:ascii="宋体" w:hAnsi="宋体"/>
          <w:highlight w:val="none"/>
        </w:rPr>
        <w:t>（二）保险金额低于应保险金额时，按保险金额与应保险金额的比例乘以实际损失计算赔偿，最高不超过保险金额。</w:t>
      </w:r>
    </w:p>
    <w:p>
      <w:pPr>
        <w:adjustRightInd w:val="0"/>
        <w:snapToGrid w:val="0"/>
        <w:spacing w:line="360" w:lineRule="auto"/>
        <w:ind w:firstLine="480" w:firstLineChars="200"/>
        <w:rPr>
          <w:rFonts w:hint="eastAsia" w:ascii="宋体" w:hAnsi="宋体"/>
          <w:bCs/>
          <w:sz w:val="24"/>
          <w:highlight w:val="none"/>
        </w:rPr>
      </w:pPr>
      <w:r>
        <w:rPr>
          <w:rFonts w:hint="eastAsia" w:ascii="宋体" w:hAnsi="宋体"/>
          <w:vanish/>
          <w:sz w:val="24"/>
          <w:highlight w:val="none"/>
        </w:rPr>
        <w:t>［标的损失计算按照保险财产损失前的实际价值扣除残值后的金额赔偿；</w:t>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Fonts w:hint="eastAsia" w:ascii="宋体" w:hAnsi="宋体"/>
          <w:vanish/>
          <w:sz w:val="24"/>
          <w:highlight w:val="none"/>
        </w:rPr>
        <w:pgNum/>
      </w:r>
      <w:r>
        <w:rPr>
          <w:rStyle w:val="54"/>
          <w:rFonts w:hint="eastAsia" w:ascii="宋体" w:hAnsi="宋体"/>
          <w:highlight w:val="none"/>
        </w:rPr>
        <w:t>每次事故保险人的赔偿金额为根据第十三条约定计算的金额扣除每次事故免赔额后的金额,或者为根据第十三条约定计算的金额扣除该金额与免赔率乘积后的金额。</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标的在连续72小时内遭受暴雨、台风、洪水或其它连续发生的自然灾害所致损失视为一次单独事件，在计算赔偿时视为一次保险事故，并扣减一个相应的免赔额（率）。被保险人可自行决定72小时的起始时间，但若在连续数个72小时时间内发生损失，任何两个或两个以上72小时期限不得重叠。</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若本保险合同所列标的不止一项时，应分项计算赔偿，保险人对每一保险项目的赔偿责任均不得超过本保险合同明细表对应列明的分项保险金额，以及本保险合同特别条款或批单中规定的其他适用的赔偿限额。在任何情况下，保险人在本保险合同下承担的对物质损失的最高赔偿金额不得超过保险合同明细表中列明的总保险金额。</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保险标的的保险金额大于或等于其应保险金额时，被保险人为防止或减少保险标的的损失所支付的必要的、合理的费用，在保险标的损失赔偿金额之外另行计算，最高不超过被施救标的的应保险金额。</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保险标的的保险金额小于其应保险金额时，上述费用按被施救标的的保险金额与其应保险金额的比例在保险标的损失赔偿金额之外另行计算，最高不超过被施救标的的保险金额。</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被施救的财产中，含有本保险合同未承保财产的，按被施救保险标的的应保险金额与全部被施救财产价值的比例分摊施救费用。</w:t>
      </w:r>
    </w:p>
    <w:p>
      <w:pPr>
        <w:adjustRightInd w:val="0"/>
        <w:snapToGrid w:val="0"/>
        <w:spacing w:line="360" w:lineRule="auto"/>
        <w:ind w:firstLine="440" w:firstLineChars="200"/>
        <w:rPr>
          <w:rFonts w:hint="eastAsia" w:ascii="宋体" w:hAnsi="宋体"/>
          <w:sz w:val="22"/>
          <w:szCs w:val="28"/>
          <w:highlight w:val="none"/>
        </w:rPr>
      </w:pPr>
      <w:r>
        <w:rPr>
          <w:rFonts w:hint="eastAsia" w:ascii="宋体" w:hAnsi="宋体"/>
          <w:sz w:val="22"/>
          <w:szCs w:val="28"/>
          <w:highlight w:val="none"/>
        </w:rPr>
        <w:t>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第二部分  第三者责任保险部分</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保险责任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在保险期间内，因发生与本保险合同所承保工程直接相关的意外事故引起工地内及邻近区域的第三者人身伤亡、疾病或财产损失,依法应由被保险人承担的经济赔偿责任，保险人按照本保险合同约定负责赔偿。</w:t>
      </w:r>
    </w:p>
    <w:p>
      <w:pPr>
        <w:adjustRightInd w:val="0"/>
        <w:snapToGrid w:val="0"/>
        <w:spacing w:line="360" w:lineRule="auto"/>
        <w:ind w:firstLine="440" w:firstLineChars="200"/>
        <w:rPr>
          <w:rFonts w:hint="eastAsia" w:ascii="宋体" w:hAnsi="宋体"/>
          <w:sz w:val="22"/>
          <w:szCs w:val="28"/>
          <w:highlight w:val="none"/>
        </w:rPr>
      </w:pPr>
      <w:r>
        <w:rPr>
          <w:rFonts w:hint="eastAsia" w:ascii="宋体" w:hAnsi="宋体"/>
          <w:sz w:val="22"/>
          <w:szCs w:val="28"/>
          <w:highlight w:val="none"/>
        </w:rPr>
        <w:t>本项保险事故发生后，被保险人因保险事故而被提起仲裁或者诉讼的，对应由被保险人支付的仲裁或诉讼费用以及其他必要的、合理的费用（以下简称“法律费用”），经保险人书面同意，保险人按照本保险合同约定也负责赔偿。</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责任免除</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下列损失、费用，保险人不负责赔偿：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（一）本保险合同物质损失项下或本应在该项下予以负责的损失及各种费用； </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（二）工程所有人、承包人或其他关系方或其所雇用的在工地现场从事与工程有关工作的职员、工人及上述人员的家庭成员的人身伤亡或疾病；</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（三）工程所有人、承包人或其他关系方或其所雇用的职员、工人所有的或由上述人员所照管、控制的财产发生的损失；</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（四）领有公共运输行驶执照的车辆、船舶、航空器造成的事故</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（五）被保险人应该承担的合同责任，但无合同存在时仍然应由被保险人承担的法律责任不在此限。</w:t>
      </w:r>
    </w:p>
    <w:p>
      <w:pPr>
        <w:autoSpaceDE w:val="0"/>
        <w:autoSpaceDN w:val="0"/>
        <w:adjustRightInd w:val="0"/>
        <w:snapToGrid w:val="0"/>
        <w:spacing w:line="360" w:lineRule="auto"/>
        <w:ind w:firstLine="435"/>
        <w:jc w:val="center"/>
        <w:rPr>
          <w:rFonts w:hint="eastAsia" w:ascii="宋体" w:hAnsi="宋体"/>
          <w:b/>
          <w:bCs/>
          <w:sz w:val="24"/>
          <w:highlight w:val="none"/>
        </w:rPr>
      </w:pPr>
      <w:r>
        <w:rPr>
          <w:rFonts w:hint="eastAsia" w:ascii="宋体" w:hAnsi="宋体"/>
          <w:b/>
          <w:bCs/>
          <w:sz w:val="24"/>
          <w:highlight w:val="none"/>
        </w:rPr>
        <w:t>责任限额与免赔额（率）</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责任限额包括每次事故责任限额、每人人身伤亡责任限额、累计责任限额，由投保人与保险人协商确定，并在保险合同中载明。</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每次事故免赔额（率）由投保人与保险人在订立保险合同时协商确定，并在保险合同中载明。</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赔偿处理</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保险人的赔偿以下列方式之一确定的被保险人的赔偿责任为基础：</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被保险人和向其提出损害赔偿请求的索赔方协商并经保险人确认；</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仲裁机构裁决；</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人民法院判决；</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保险人认可的其他方式。</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在保险期间内发生保险责任范围内的损失，保险人按以下方式计算赔偿：</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（一）对于每次事故造成的损失，保险人在每次事故责任限额内计算赔偿，其中对每人人身伤亡的赔偿金额不得超过每人人身伤亡责任限额；</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（二）1、在依据本条第（一）项计算的基础上，保险人在扣除本保险合同载明的每次事故免赔额后进行赔偿，但对于人身伤亡的赔偿不扣除每次事故免赔额；</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2、在依据本条第（一）项计算的基础上，保险人在扣除按本保险合同载明的每次事故免赔率计算的每次事故免赔额后进行赔偿，但对于人身伤亡的赔偿不扣除每次事故免赔额；</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（三）保险人对多次事故损失的累计赔偿金额不超过本保险合同列明的累计赔偿限额。</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对每次事故法律费用的赔偿金额，保险人在第二十四条计算的赔偿金额以外按本保险合同的约定另行计算。</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保险人对被保险人给第三者造成的损害，可以依照法律的规定或者合同的约定，直接向该第三者赔偿保险金。</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被保险人给第三者造成损害，被保险人对第三者应负的赔偿责任确定的，根据被保险人的请求，保险人应当直接向该第三者赔偿保险金。被保险人怠于请求的，第三者有权就其应获赔偿部分直接向保险人请求赔偿保险金。被保险人给第三者造成损害，被保险人未向该第三者赔偿的，保险人不得向被保险人赔偿保险金。</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第三部分  通用条款</w:t>
      </w:r>
    </w:p>
    <w:p>
      <w:pPr>
        <w:adjustRightInd w:val="0"/>
        <w:snapToGrid w:val="0"/>
        <w:spacing w:line="360" w:lineRule="auto"/>
        <w:jc w:val="center"/>
        <w:rPr>
          <w:rFonts w:hint="eastAsia" w:ascii="宋体" w:hAnsi="宋体"/>
          <w:b/>
          <w:sz w:val="24"/>
          <w:highlight w:val="none"/>
        </w:rPr>
      </w:pPr>
      <w:r>
        <w:rPr>
          <w:rFonts w:hint="eastAsia" w:ascii="宋体" w:hAnsi="宋体"/>
          <w:b/>
          <w:sz w:val="24"/>
          <w:highlight w:val="none"/>
        </w:rPr>
        <w:t>责任免除</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下列原因造成的损失、费用，保险人不负责赔偿：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（一）战争、类似战争行为、敌对行为、武装冲突、恐怖活动、谋反、政变；</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（二）行政行为或司法行为；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（三）罢工、暴动、民众骚乱；</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（四）被保险人及其代表的故意行为或重大过失行为；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（五）核裂变、核聚变、核武器、核材料、核辐射、核爆炸、核污染及其他放射性污染；</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（六）大气污染、土地污染、水污染及其他各种污染；</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下列损失、费用，保险人也不负责赔偿：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（一）工程部分停工或全部停工引起的任何损失、费用和责任。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（二）罚金、延误、丧失合同及其他后果损失；</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（三）1.本保险合同中载明的免赔额；</w:t>
      </w:r>
    </w:p>
    <w:p>
      <w:pPr>
        <w:adjustRightInd w:val="0"/>
        <w:snapToGrid w:val="0"/>
        <w:spacing w:line="360" w:lineRule="auto"/>
        <w:ind w:firstLine="1200" w:firstLineChars="500"/>
        <w:rPr>
          <w:rFonts w:hint="eastAsia" w:ascii="宋体" w:hAnsi="宋体"/>
          <w:sz w:val="24"/>
          <w:highlight w:val="none"/>
        </w:rPr>
      </w:pPr>
      <w:r>
        <w:rPr>
          <w:rFonts w:hint="eastAsia" w:ascii="宋体" w:hAnsi="宋体"/>
          <w:sz w:val="24"/>
          <w:highlight w:val="none"/>
        </w:rPr>
        <w:t>2.按本保险合同中载明的免赔率计算的免赔额。</w:t>
      </w:r>
    </w:p>
    <w:p>
      <w:pPr>
        <w:autoSpaceDE w:val="0"/>
        <w:autoSpaceDN w:val="0"/>
        <w:adjustRightInd w:val="0"/>
        <w:snapToGrid w:val="0"/>
        <w:spacing w:line="360" w:lineRule="auto"/>
        <w:jc w:val="center"/>
        <w:rPr>
          <w:rFonts w:hint="eastAsia" w:ascii="宋体" w:hAnsi="宋体"/>
          <w:b/>
          <w:sz w:val="24"/>
          <w:highlight w:val="none"/>
        </w:rPr>
      </w:pPr>
      <w:r>
        <w:rPr>
          <w:rFonts w:hint="eastAsia" w:ascii="宋体" w:hAnsi="宋体"/>
          <w:b/>
          <w:bCs/>
          <w:sz w:val="24"/>
          <w:highlight w:val="none"/>
        </w:rPr>
        <w:t>保险期间</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本保险合同保险期间遵循如下约定：</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一）保险人的保险责任自保险工程在工地动工或用于保险工程的材料、设备运抵工地之时起始，至工程所有人对部分或全部工程签发完工验收证书或验收合格，或工程所有人实际占有或使用或接收该部分或全部工程之时终止，以先发生者为准。但在任何情况下，安工期保险责任的起始或终止不得超出本保险合同载明的安工保险期间范围。</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二）不论有关合同中对试车和考核期如何规定，保险人仅在本保险合同明细表中列明的试车和考核期间内对试车和考核所引发的损失、费用和责任负责赔偿；若保险设备本身是在本次安装前已被使用过的设备或转手设备，则自其试车之时起，保险人对该项设备的保险责任即行终止。</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（三）上述保险期间的展延，投保人须事先获得保险人的书面同意，否则，从本保险合同明细表中列明的安工期保险期间终止日之后发生的任何损失、费用和责任，保险人不负责赔偿。</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保险人义务</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批单上作出足以引起投保人注意的提示，并对该条款的内容以书面或者口头形式向投保人作出明确说明；未作提示或者明确说明的，该条款不产生效力。</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本保险合同成立后，保险人应当及时向投保人签发保险单或批单。</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保险人依据第三十六条所取得的保险合同解除权，自保险人知道有解除事由之日起，超过三十日不行使而消灭。自保险合同成立之日起超过二年的，保险人不得解除合同；发生保险事故的，保险人承担赔偿责任。</w:t>
      </w:r>
    </w:p>
    <w:p>
      <w:pPr>
        <w:adjustRightInd w:val="0"/>
        <w:snapToGrid w:val="0"/>
        <w:spacing w:line="360" w:lineRule="auto"/>
        <w:ind w:firstLine="440" w:firstLineChars="200"/>
        <w:jc w:val="left"/>
        <w:rPr>
          <w:rFonts w:hint="eastAsia" w:ascii="宋体" w:hAnsi="宋体"/>
          <w:sz w:val="22"/>
          <w:szCs w:val="28"/>
          <w:highlight w:val="none"/>
        </w:rPr>
      </w:pPr>
      <w:r>
        <w:rPr>
          <w:rFonts w:hint="eastAsia" w:ascii="宋体" w:hAnsi="宋体"/>
          <w:sz w:val="22"/>
          <w:szCs w:val="28"/>
          <w:highlight w:val="none"/>
        </w:rPr>
        <w:t>保险人在合同订立时已经知道投保人未如实告知的情况的，保险人不得解除合同；发生保险事故的，保险人应当承担赔偿责任。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保险人按照第四十二条的约定，认为被保险人提供的有关索赔的证明和资料不完整的，应当及时一次性通知投保人、被保险人补充提供。</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保险人收到被保险人的赔偿保险金的请求后，应当及时作出是否属于保险责任的核定；情形复杂的，应当在三十日内作出核定，但保险合同另有约定的除外。</w:t>
      </w:r>
    </w:p>
    <w:p>
      <w:pPr>
        <w:adjustRightInd w:val="0"/>
        <w:snapToGrid w:val="0"/>
        <w:spacing w:line="360" w:lineRule="auto"/>
        <w:ind w:firstLine="440" w:firstLineChars="200"/>
        <w:rPr>
          <w:rFonts w:hint="eastAsia" w:ascii="宋体" w:hAnsi="宋体"/>
          <w:sz w:val="22"/>
          <w:szCs w:val="28"/>
          <w:highlight w:val="none"/>
        </w:rPr>
      </w:pPr>
      <w:r>
        <w:rPr>
          <w:rFonts w:hint="eastAsia" w:ascii="宋体" w:hAnsi="宋体"/>
          <w:sz w:val="22"/>
          <w:szCs w:val="28"/>
          <w:highlight w:val="none"/>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保险人自收到赔偿保险金的请求和有关证明、资料之日起六十日内，对其赔偿保险金的数额不能确定的，应当根据已有证明和资料可以确定的数额先予支付；保险人最终确定赔偿的数额后，应当支付相应的差额。 </w:t>
      </w:r>
    </w:p>
    <w:p>
      <w:pPr>
        <w:adjustRightInd w:val="0"/>
        <w:snapToGrid w:val="0"/>
        <w:spacing w:line="360" w:lineRule="auto"/>
        <w:ind w:firstLine="482" w:firstLineChars="200"/>
        <w:jc w:val="center"/>
        <w:rPr>
          <w:rFonts w:hint="eastAsia" w:ascii="宋体" w:hAnsi="宋体"/>
          <w:b/>
          <w:sz w:val="24"/>
          <w:highlight w:val="none"/>
        </w:rPr>
      </w:pPr>
      <w:r>
        <w:rPr>
          <w:rFonts w:hint="eastAsia" w:ascii="宋体" w:hAnsi="宋体"/>
          <w:b/>
          <w:sz w:val="24"/>
          <w:highlight w:val="none"/>
        </w:rPr>
        <w:t>投保人、被保险人义务</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订立保险合同，保险人就保险标的或者被保险人的有关情况提出询问的，投保人应当如实告知。</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投保人故意或者因重大过失未履行前款规定的如实告知义务，足以影响保险人决定是否同意承保或者提高保险费率的，保险人有权解除保险合同。</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投保人故意不履行如实告知义务的，保险人对于合同解除前发生的保险事故，不承担赔偿责任，并不退还保险费。</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投保人因重大过失未履行如实告知义务，对保险事故的发生有严重影响的，保险人对于合同解除前发生的保险事故，不承担赔偿责任，但应当退还保险费。</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投保人应按约定交付保险费。</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约定一次性交付保险费的，投保人在约定交费日后交付保险费的，保险人对交费之前发生的保险事故不承担保险责任。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被保险人应当遵守国家有关消防、安全、生产操作等方面的相关法律、法规及规定，谨慎选用施工人员，遵守一切与施工有关的法规、技术规程和安全操作规程，维护保险标的的安全。</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人及其代表有权在适当的时候对保险标的的风险情况进行现场查验。被保险人应提供一切便利及保险人要求的用以评估有关风险的详情和资料，但上述查验并不构成保险人对被保险人的任何承诺。保险人向投保人、被保险人提出消除不安全因素和隐患的书面建议，投保人、被保险人应该认真付诸实施。</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投保人、被保险人未按照约定履行其对保险标的的安全应尽责任的，保险人有权要求增加保险费或者解除合同。</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保险标的转让的，被保险人或者受让人应当及时通知保险人。</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被保险人、受让人未履行本条规定的通知义务的，因转让导致保险标的危险程度显著增加而发生的保险事故，保险人不承担赔偿责任。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在保险期间内，被保险人在工程设计、施工方式、工艺、技术手段等方面发生改变致使保险工程风险程度显著增加或其他足以影响保险人决定是否继续承保或是否增加保险费的保险合同重要事项变更，被保险人应及时书面通知保险人，保险人有权要求增加保险费或者解除合同。保险人解除合同的，应当将已收取的保险费，按照合同约定扣除自保险责任开始之日起至合同解除之日止应收的部分后，退还投保人。</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被保险人未履行通知义务，因上述保险合同重要事项变更而导致保险事故发生的，保险人不承担赔偿责任。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投保人、被保险人知道保险事故发生后，应当立即通知保险人，被保险人应该：</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（一）尽力采取必要、合理的措施，防止或减少损失，否则，对因此扩大的损失，保险人不承担赔偿责任；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二）立即通知保险人，并书面说明事故发生的原因、经过和损失情况；故意或者因重大过失未及时通知，致使保险事故的性质、原因、损失程度等难以确定的，保险人对无法确定的部分，不承担赔偿责任，但保险人通过其他途径已经及时知道或者应当及时知道保险事故发生的除外；</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（三）保护事故现场，允许并且协助保险人进行事故调查；对于拒绝或者妨碍保险人进行事故调查导致无法认定事故原因或核实损失情况的，保险人对无法核实的部分不承担赔偿责任；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（四）在保险财产遭受盗窃或恶意破坏时，立即向公安部门报案；</w:t>
      </w:r>
    </w:p>
    <w:p>
      <w:pPr>
        <w:adjustRightInd w:val="0"/>
        <w:snapToGrid w:val="0"/>
        <w:spacing w:line="360" w:lineRule="auto"/>
        <w:ind w:firstLine="440" w:firstLineChars="200"/>
        <w:jc w:val="left"/>
        <w:rPr>
          <w:rFonts w:hint="eastAsia" w:ascii="宋体" w:hAnsi="宋体"/>
          <w:sz w:val="22"/>
          <w:szCs w:val="28"/>
          <w:highlight w:val="none"/>
        </w:rPr>
      </w:pPr>
      <w:r>
        <w:rPr>
          <w:rFonts w:hint="eastAsia" w:ascii="宋体" w:hAnsi="宋体"/>
          <w:sz w:val="22"/>
          <w:szCs w:val="28"/>
          <w:highlight w:val="none"/>
        </w:rPr>
        <w:t>（五）在预知可能引起第三者责任险项下的诉讼时，立即以书面形式通知保险人，并在接到法院传票或其他法律文件后，立即将其送交保险人。</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被保险人向保险人请求赔偿时，应向保险人提交保险单、索赔申请、财产损失清单、有关部门的损失证明以及其他投保人、被保险人所能提供的与确认保险事故的性质、原因、损失程度等有关的证明和资料。</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投保人、被保险人未履行前款约定的索赔材料提供义务，导致保险人无法核实损失情况的，保险人对无法核实的部分不承担赔偿责任。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若在某一保险财产中发现的缺陷表明或预示类似缺陷亦存在于其他被保险财产中时，被保险人应立即自付费用进行调查并纠正该缺陷。否则，由该缺陷或类似缺陷造成的损失保险人不承担赔偿责任。</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赔偿处理</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保险事故发生时，被保险人对保险标的不具有保险利益的，不得向保险人请求赔偿保险金。</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保险标的遭受损失后，如果有残余价值，应由双方协商处理。若协商残值归被保险人所有，应在赔偿金额中扣减残值。</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保险事故发生时，如果存在重复保险，保险人按照本保险合同的相应保险金额与其他保险合同及本保险合同相应保险金额总和的比例承担赔偿责任。</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其他保险人应承担的赔偿金额，本保险人不负责垫付。若被保险人未如实告知导致保险人多支付赔偿金的，保险人有权向被保险人追回多支付的部分。</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被保险人已经从有关责任方取得赔偿的，保险人赔偿保险金时，可以相应扣减被保险人已从有关责任方取得的赔偿金额。</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被保险人向保险人请求赔偿的诉讼时效期间为二年，自其知道或者应当知道保险事故发生之日起计算。 </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争议处理</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因履行本保险合同发生的争议，由当事人协商解决。协商不成的，提交保险单载明的仲裁机构仲裁；保险单未载明仲裁机构且争议发生后未达成仲裁协议的，依法向人民法院起诉。</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与本保险合同有关的以及履行本保险合同产生的一切争议，适用中华人民共和国法律（不包括港澳台地区法律）。</w:t>
      </w:r>
    </w:p>
    <w:p>
      <w:pPr>
        <w:adjustRightInd w:val="0"/>
        <w:snapToGrid w:val="0"/>
        <w:spacing w:line="360" w:lineRule="auto"/>
        <w:jc w:val="center"/>
        <w:rPr>
          <w:rFonts w:hint="eastAsia" w:ascii="宋体" w:hAnsi="宋体"/>
          <w:b/>
          <w:sz w:val="24"/>
          <w:highlight w:val="none"/>
        </w:rPr>
      </w:pPr>
      <w:r>
        <w:rPr>
          <w:rFonts w:hint="eastAsia" w:ascii="宋体" w:hAnsi="宋体"/>
          <w:b/>
          <w:sz w:val="24"/>
          <w:highlight w:val="none"/>
        </w:rPr>
        <w:t>其他事项</w:t>
      </w:r>
    </w:p>
    <w:p>
      <w:pPr>
        <w:adjustRightInd w:val="0"/>
        <w:snapToGrid w:val="0"/>
        <w:spacing w:line="360" w:lineRule="auto"/>
        <w:ind w:firstLine="440" w:firstLineChars="200"/>
        <w:rPr>
          <w:rFonts w:hint="eastAsia" w:ascii="宋体" w:hAnsi="宋体"/>
          <w:sz w:val="22"/>
          <w:szCs w:val="28"/>
          <w:highlight w:val="none"/>
        </w:rPr>
      </w:pPr>
      <w:r>
        <w:rPr>
          <w:rFonts w:hint="eastAsia" w:ascii="宋体" w:hAnsi="宋体"/>
          <w:sz w:val="22"/>
          <w:szCs w:val="28"/>
          <w:highlight w:val="none"/>
        </w:rPr>
        <w:t>保险标的发生部分损失的，自保险人赔偿之日起三十日内，投保人可以解除合同；除合同另有约定外，保险人也可以解除合同，但应当提前十五日通知投保人。</w:t>
      </w:r>
    </w:p>
    <w:p>
      <w:pPr>
        <w:adjustRightInd w:val="0"/>
        <w:snapToGrid w:val="0"/>
        <w:spacing w:line="360" w:lineRule="auto"/>
        <w:ind w:firstLine="480" w:firstLineChars="200"/>
        <w:rPr>
          <w:rStyle w:val="54"/>
          <w:rFonts w:hint="eastAsia" w:ascii="宋体" w:hAnsi="宋体"/>
          <w:highlight w:val="none"/>
        </w:rPr>
      </w:pPr>
      <w:r>
        <w:rPr>
          <w:rFonts w:hint="eastAsia" w:ascii="宋体" w:hAnsi="宋体"/>
          <w:sz w:val="24"/>
          <w:highlight w:val="none"/>
        </w:rPr>
        <w:t>保险合同依据前款规定</w:t>
      </w:r>
      <w:r>
        <w:rPr>
          <w:rStyle w:val="54"/>
          <w:rFonts w:hint="eastAsia" w:ascii="宋体" w:hAnsi="宋体"/>
          <w:highlight w:val="none"/>
        </w:rPr>
        <w:t>解除的，保险人应当将保险标的未受损失部分的保险费，按照合同约定扣除自保险责任开始之日起至合同解除之日止应收的部分后，退还投保人。</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保险责任开始前，投保人要求解除保险合同的，应当按本保险合同的约定向保险人支付手续费，保险人应当退还保险费。保险人要求解除保险合同的，不得向投保人收取手续费并应退还已收取的保险费。</w:t>
      </w:r>
    </w:p>
    <w:p>
      <w:pPr>
        <w:adjustRightInd w:val="0"/>
        <w:snapToGrid w:val="0"/>
        <w:spacing w:line="360" w:lineRule="auto"/>
        <w:ind w:firstLine="480" w:firstLineChars="200"/>
        <w:rPr>
          <w:rStyle w:val="54"/>
          <w:rFonts w:hint="eastAsia" w:ascii="宋体" w:hAnsi="宋体"/>
          <w:highlight w:val="none"/>
        </w:rPr>
      </w:pPr>
      <w:r>
        <w:rPr>
          <w:rFonts w:hint="eastAsia" w:ascii="宋体" w:hAnsi="宋体"/>
          <w:sz w:val="24"/>
          <w:highlight w:val="none"/>
        </w:rPr>
        <w:t>保险责任开始后，投保人要求解除保险合同的，自通知保险人之日起，保险合同解除，保险人按照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adjustRightInd w:val="0"/>
        <w:snapToGrid w:val="0"/>
        <w:spacing w:line="360" w:lineRule="auto"/>
        <w:ind w:firstLine="480" w:firstLineChars="200"/>
        <w:jc w:val="left"/>
        <w:rPr>
          <w:rFonts w:hint="eastAsia" w:ascii="宋体" w:hAnsi="宋体"/>
          <w:sz w:val="24"/>
          <w:highlight w:val="none"/>
        </w:rPr>
      </w:pPr>
      <w:r>
        <w:rPr>
          <w:rFonts w:hint="eastAsia" w:ascii="宋体" w:hAnsi="宋体"/>
          <w:sz w:val="24"/>
          <w:highlight w:val="none"/>
        </w:rPr>
        <w:t>保险标的发生全部损失，属于保险责任的，保险人在履行赔偿义务后，本保险合同终止；不属于保险责任的，本保险合同终止，保险人按照保险责任开始之日起至合同解除之日止期间与保险期间的日比例计收保险费，并退还剩余部分保险费。</w:t>
      </w:r>
    </w:p>
    <w:p>
      <w:pPr>
        <w:adjustRightInd w:val="0"/>
        <w:snapToGrid w:val="0"/>
        <w:spacing w:line="360" w:lineRule="auto"/>
        <w:jc w:val="center"/>
        <w:rPr>
          <w:rFonts w:hint="eastAsia" w:ascii="宋体" w:hAnsi="宋体"/>
          <w:b/>
          <w:bCs/>
          <w:sz w:val="24"/>
          <w:highlight w:val="none"/>
        </w:rPr>
      </w:pPr>
      <w:r>
        <w:rPr>
          <w:rFonts w:hint="eastAsia" w:ascii="宋体" w:hAnsi="宋体"/>
          <w:b/>
          <w:bCs/>
          <w:sz w:val="24"/>
          <w:highlight w:val="none"/>
        </w:rPr>
        <w:t>释  义</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（一）自然灾害：指地震、海啸、雷击、暴雨、洪水、暴风、龙卷风、冰雹、台风、飓风、沙尘暴、暴雪、冰凌、突发性滑坡、崩塌、泥石流、地面突然下陷下沉及其他人力不可抗拒的破坏力强大的自然现象。</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1、地震：指地下岩石的构造活动或火山爆发产生的地面震动。由于地震的强度不同，其破坏力也存在很大的区别，一般保险针对的是破坏性地震，根据国家地震局的有关规定，震级在</w:t>
      </w:r>
      <w:r>
        <w:rPr>
          <w:rFonts w:ascii="宋体" w:hAnsi="宋体"/>
          <w:sz w:val="24"/>
          <w:highlight w:val="none"/>
        </w:rPr>
        <w:t>4.75</w:t>
      </w:r>
      <w:r>
        <w:rPr>
          <w:rFonts w:hint="eastAsia" w:ascii="宋体" w:hAnsi="宋体"/>
          <w:sz w:val="24"/>
          <w:highlight w:val="none"/>
        </w:rPr>
        <w:t>级以上且烈度在</w:t>
      </w:r>
      <w:r>
        <w:rPr>
          <w:rFonts w:ascii="宋体" w:hAnsi="宋体"/>
          <w:sz w:val="24"/>
          <w:highlight w:val="none"/>
        </w:rPr>
        <w:t>6</w:t>
      </w:r>
      <w:r>
        <w:rPr>
          <w:rFonts w:hint="eastAsia" w:ascii="宋体" w:hAnsi="宋体"/>
          <w:sz w:val="24"/>
          <w:highlight w:val="none"/>
        </w:rPr>
        <w:t>级以上的地震为破坏性地震。</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海啸：指由于地震或风暴而造成的海面巨大涨落现象，按成因分为地震海啸和风暴海啸两种。地震海啸是伴随地震而形成的，即海底地壳发生断裂，引起剧烈的震动，产生巨大的波浪。风暴海啸是强大低气压在通过时，海面异常升起的现象。</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3、雷击指由雷电造成的灾害。雷电为积雨云中、云间或云地之间产生的放电现象。雷击的破坏形式分直接雷击与感应雷击两种。</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（1）直接雷击：由于雷电直接击中保险标的造成损失，属直接雷击责任。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4、暴雨：指每小时降雨量达16毫米以上，或连续12小时降雨量达30毫米以上，或连续24小时降雨量达50毫米以上的降雨。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5、洪水：指山洪暴发、江河泛滥、潮水上岸及倒灌。但规律性的涨潮、自动灭火设施漏水以及在常年水位以下或地下渗水、水管暴裂不属于洪水责任。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6、暴风：指风力达8级、风速在17.2米/秒以上的自然风。</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7、龙卷风：指一种范围小而时间短的猛烈旋风，陆地上平均最大风速在79米/秒-103米/秒，极端最大风速在100米/秒以上。</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8、冰雹：指从强烈对流的积雨云中降落到地面的冰块或冰球，直径大于5毫米，核心坚硬的固体降水。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9、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10、沙尘暴：指强风将地面大量尘沙吹起，使空气很混浊，水平能见度小于1公里的天气现象。</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11、暴雪：指连续12小时的降雪量大于或等于10毫米的降雪现象。</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12、冰凌：指春季江河解冻期时冰块飘浮遇阻，堆积成坝，堵塞江道，造成水位急剧上升，以致江水溢出江道，漫延成灾。</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陆上有些地区，如山谷风口或酷寒致使雨雪在物体上结成冰块，成下垂形状，越结越厚，重量增加，由于下垂的拉力致使物体毁坏，也属冰凌责任。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13、突发性滑坡：斜坡上不稳的岩土体或人为堆积物在重力作用下突然整体向下滑动的现象。</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14、崩塌：石崖、土崖、岩石受自然风化、雨蚀造成崩溃下塌，以及大量积雪在重力作用下从高处突然崩塌滚落。</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15、泥石流：由于雨水、冰雪融化等水源激发的、含有大量泥沙石块的特殊洪流。</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16、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（二）意外事故：指不可预料的以及被保险人无法控制并造成物质损失或人身伤亡的突发性事件，包括火灾和爆炸。</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1、火灾</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在时间或空间上失去控制的燃烧所造成的灾害。构成本保险的火灾责任必须同时具备以下三个条件：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（1）有燃烧现象，即有热有光有火焰；</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（2）偶然、意外发生的燃烧；</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（3）燃烧失去控制并有蔓延扩大的趋势。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因此，仅有燃烧现象并不等于构成本保险中的火灾责任。在生产、生活中有目的用火，如为了防疫而焚毁站污的衣物，点火烧荒等属正常燃烧，不同于火灾责任。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因烘、烤、烫、烙造成焦糊变质等损失，既无燃烧现象，又无蔓延扩大趋势，也不属于火灾责任。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电机、电器、电气设备因使用过度、超电压、碰线、孤花、漏电、自身发热所造成的本身损毁，不属于火灾责任。但如果发生了燃烧并失去控制蔓延扩大，才构成火灾责任，并对电机、电器、电气设备本身的损失负责赔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2、爆炸</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爆炸分物理性爆炸和化学性爆炸。</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物理性爆炸：由于液体变为蒸汽或气体膨胀，压力急剧增加并大大超过容器所能承受的极限压力，因而发生爆炸。如锅炉、空气压缩机、压缩气体钢瓶、液化气罐爆炸等。关于锅炉、压力容器爆炸的定义是：锅炉或区力容器在使用中或试压时发生破裂，使压力瞬时降到等于外界大气压力的事故，称为“爆炸事故”。</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（2）化学性爆炸：物体在瞬息分解或燃烧时放出大量的热和气体，并以很大的压力向四周扩散的现象。如火药爆炸、可燃性粉尘纤维爆炸、可燃气体爆炸及各种化学物品的爆炸等。</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因物体本身的瑕疵，使用损耗或产品质量低劣以及由于容器内部承受“负压’（内压比外压小）造成的损失，不属于爆炸责任。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（三）应保险金额：根据本保险合同第九条（一）、（二）款确定的保险金额。</w:t>
      </w:r>
    </w:p>
    <w:bookmarkEnd w:id="774"/>
    <w:p>
      <w:pPr>
        <w:rPr>
          <w:rFonts w:hint="eastAsia"/>
          <w:color w:val="auto"/>
          <w:sz w:val="24"/>
          <w:szCs w:val="32"/>
          <w:highlight w:val="none"/>
          <w:lang w:val="en-US" w:eastAsia="zh-CN"/>
        </w:rPr>
      </w:pPr>
      <w:r>
        <w:rPr>
          <w:rFonts w:hint="eastAsia"/>
          <w:color w:val="auto"/>
          <w:sz w:val="24"/>
          <w:szCs w:val="32"/>
          <w:highlight w:val="none"/>
          <w:lang w:val="en-US" w:eastAsia="zh-CN"/>
        </w:rPr>
        <w:br w:type="page"/>
      </w:r>
    </w:p>
    <w:p>
      <w:pPr>
        <w:rPr>
          <w:rFonts w:hint="eastAsia"/>
          <w:color w:val="auto"/>
          <w:highlight w:val="none"/>
          <w:lang w:val="en-US" w:eastAsia="zh-CN"/>
        </w:rPr>
      </w:pPr>
    </w:p>
    <w:p>
      <w:pPr>
        <w:pStyle w:val="5"/>
        <w:spacing w:before="0" w:after="0"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rPr>
        <w:t>第</w:t>
      </w:r>
      <w:r>
        <w:rPr>
          <w:rFonts w:hint="eastAsia" w:ascii="宋体" w:hAnsi="宋体" w:cs="宋体"/>
          <w:color w:val="auto"/>
          <w:highlight w:val="none"/>
          <w:lang w:val="en-US" w:eastAsia="zh-CN"/>
        </w:rPr>
        <w:t>八</w:t>
      </w:r>
      <w:r>
        <w:rPr>
          <w:rFonts w:hint="eastAsia" w:ascii="宋体" w:hAnsi="宋体" w:eastAsia="宋体" w:cs="宋体"/>
          <w:color w:val="auto"/>
          <w:highlight w:val="none"/>
        </w:rPr>
        <w:t xml:space="preserve">章  </w:t>
      </w:r>
      <w:bookmarkEnd w:id="742"/>
      <w:bookmarkEnd w:id="743"/>
      <w:bookmarkEnd w:id="744"/>
      <w:r>
        <w:rPr>
          <w:rFonts w:hint="eastAsia" w:ascii="宋体" w:hAnsi="宋体" w:eastAsia="宋体" w:cs="宋体"/>
          <w:color w:val="auto"/>
          <w:highlight w:val="none"/>
          <w:lang w:val="en-US" w:eastAsia="zh-CN"/>
        </w:rPr>
        <w:t>合同范本</w:t>
      </w:r>
      <w:bookmarkEnd w:id="745"/>
    </w:p>
    <w:p>
      <w:pPr>
        <w:rPr>
          <w:rFonts w:hint="eastAsia"/>
          <w:b/>
          <w:color w:val="auto"/>
          <w:sz w:val="44"/>
          <w:szCs w:val="44"/>
          <w:highlight w:val="none"/>
        </w:rPr>
      </w:pPr>
    </w:p>
    <w:p>
      <w:pPr>
        <w:pStyle w:val="6"/>
        <w:adjustRightInd w:val="0"/>
        <w:snapToGrid w:val="0"/>
        <w:spacing w:before="0" w:after="0" w:line="360" w:lineRule="auto"/>
        <w:jc w:val="center"/>
        <w:rPr>
          <w:rFonts w:ascii="宋体" w:hAnsi="宋体" w:eastAsia="宋体"/>
          <w:highlight w:val="none"/>
          <w:u w:val="single"/>
        </w:rPr>
      </w:pPr>
      <w:bookmarkStart w:id="780" w:name="_Toc513633965"/>
      <w:r>
        <w:rPr>
          <w:rFonts w:hint="eastAsia" w:ascii="宋体" w:hAnsi="宋体" w:eastAsia="宋体"/>
          <w:sz w:val="28"/>
          <w:szCs w:val="28"/>
          <w:highlight w:val="none"/>
        </w:rPr>
        <w:t>保险协议书</w:t>
      </w:r>
    </w:p>
    <w:p>
      <w:pPr>
        <w:adjustRightInd w:val="0"/>
        <w:snapToGrid w:val="0"/>
        <w:spacing w:line="360" w:lineRule="auto"/>
        <w:ind w:firstLine="480" w:firstLineChars="200"/>
        <w:rPr>
          <w:rFonts w:ascii="宋体" w:hAnsi="宋体"/>
          <w:sz w:val="24"/>
          <w:highlight w:val="none"/>
        </w:rPr>
      </w:pPr>
      <w:r>
        <w:rPr>
          <w:rFonts w:hint="eastAsia" w:ascii="宋体" w:hAnsi="宋体"/>
          <w:snapToGrid w:val="0"/>
          <w:kern w:val="0"/>
          <w:sz w:val="24"/>
          <w:highlight w:val="none"/>
        </w:rPr>
        <w:t>甲</w:t>
      </w:r>
      <w:r>
        <w:rPr>
          <w:rFonts w:hint="eastAsia" w:ascii="宋体" w:hAnsi="宋体"/>
          <w:sz w:val="24"/>
          <w:highlight w:val="none"/>
        </w:rPr>
        <w:t xml:space="preserve">方 (投保人)： </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 xml:space="preserve">地  址: </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联系人:              电话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 xml:space="preserve">乙方 (首席承保人)：         </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地  址:</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联系人:              电话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其他共保体保险公司如下：</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地  址:</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联系人:              电话</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地  址:</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联系人:              电话</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w:t>
      </w:r>
    </w:p>
    <w:p>
      <w:pPr>
        <w:adjustRightInd w:val="0"/>
        <w:snapToGrid w:val="0"/>
        <w:spacing w:line="360" w:lineRule="auto"/>
        <w:ind w:firstLine="480" w:firstLineChars="200"/>
        <w:rPr>
          <w:rFonts w:hint="eastAsia" w:ascii="宋体" w:hAnsi="宋体"/>
          <w:sz w:val="24"/>
          <w:highlight w:val="none"/>
        </w:rPr>
      </w:pP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鉴于甲方及其项下的被保险人（详见附件“保险明细表”）同意将</w:t>
      </w:r>
      <w:r>
        <w:rPr>
          <w:rFonts w:hint="eastAsia" w:ascii="宋体" w:hAnsi="宋体"/>
          <w:spacing w:val="1"/>
          <w:sz w:val="24"/>
          <w:highlight w:val="none"/>
        </w:rPr>
        <w:t>重XXXXXXXXXX工程</w:t>
      </w:r>
      <w:r>
        <w:rPr>
          <w:rFonts w:hint="eastAsia" w:ascii="宋体" w:hAnsi="宋体"/>
          <w:sz w:val="24"/>
          <w:highlight w:val="none"/>
        </w:rPr>
        <w:t>向乙方投保</w:t>
      </w:r>
      <w:r>
        <w:rPr>
          <w:rFonts w:ascii="宋体" w:hAnsi="宋体"/>
          <w:sz w:val="24"/>
          <w:highlight w:val="none"/>
        </w:rPr>
        <w:t>建筑</w:t>
      </w:r>
      <w:r>
        <w:rPr>
          <w:rFonts w:hint="eastAsia" w:ascii="宋体" w:hAnsi="宋体"/>
          <w:sz w:val="24"/>
          <w:highlight w:val="none"/>
        </w:rPr>
        <w:t>、安装</w:t>
      </w:r>
      <w:r>
        <w:rPr>
          <w:rFonts w:ascii="宋体" w:hAnsi="宋体"/>
          <w:sz w:val="24"/>
          <w:highlight w:val="none"/>
        </w:rPr>
        <w:t>工程一切险</w:t>
      </w:r>
      <w:r>
        <w:rPr>
          <w:rFonts w:hint="eastAsia" w:ascii="宋体" w:hAnsi="宋体"/>
          <w:sz w:val="24"/>
          <w:highlight w:val="none"/>
        </w:rPr>
        <w:t>及第三者责任险</w:t>
      </w:r>
      <w:r>
        <w:rPr>
          <w:rFonts w:hint="eastAsia" w:ascii="宋体" w:hAnsi="宋体"/>
          <w:sz w:val="24"/>
          <w:highlight w:val="none"/>
          <w:lang w:eastAsia="zh-CN"/>
        </w:rPr>
        <w:t>、</w:t>
      </w:r>
      <w:r>
        <w:rPr>
          <w:rFonts w:hint="eastAsia" w:ascii="宋体" w:hAnsi="宋体"/>
          <w:sz w:val="24"/>
          <w:highlight w:val="none"/>
          <w:lang w:val="en-US" w:eastAsia="zh-CN"/>
        </w:rPr>
        <w:t>以及建筑、安装工程团体人身意外伤害险</w:t>
      </w:r>
      <w:r>
        <w:rPr>
          <w:rFonts w:hint="eastAsia" w:ascii="宋体" w:hAnsi="宋体"/>
          <w:sz w:val="24"/>
          <w:highlight w:val="none"/>
        </w:rPr>
        <w:t>并享受保险保障。乙方应按照有关险种标准条款和具体保险方案、附加条款、特别约定、招标补遗等条件予以承保，出具有效的保险单，并由乙方负责处理保险事故查勘、理赔等有关事宜。对保险期限内属于本合同项下保险责任的损失，根据本合同的约定，由乙方负责赔偿。甲、乙双方本着友好协商、平等互利的原则，经充分协商，现就重XXXXXXXXXX工程</w:t>
      </w:r>
      <w:r>
        <w:rPr>
          <w:rFonts w:ascii="宋体" w:hAnsi="宋体"/>
          <w:spacing w:val="1"/>
          <w:sz w:val="24"/>
          <w:highlight w:val="none"/>
        </w:rPr>
        <w:t>项目</w:t>
      </w:r>
      <w:r>
        <w:rPr>
          <w:rFonts w:hint="eastAsia" w:ascii="宋体" w:hAnsi="宋体"/>
          <w:sz w:val="24"/>
          <w:highlight w:val="none"/>
        </w:rPr>
        <w:t>的</w:t>
      </w:r>
      <w:r>
        <w:rPr>
          <w:rFonts w:ascii="宋体" w:hAnsi="宋体"/>
          <w:sz w:val="24"/>
          <w:highlight w:val="none"/>
        </w:rPr>
        <w:t>建筑</w:t>
      </w:r>
      <w:r>
        <w:rPr>
          <w:rFonts w:hint="eastAsia" w:ascii="宋体" w:hAnsi="宋体"/>
          <w:sz w:val="24"/>
          <w:highlight w:val="none"/>
        </w:rPr>
        <w:t>、安装</w:t>
      </w:r>
      <w:r>
        <w:rPr>
          <w:rFonts w:ascii="宋体" w:hAnsi="宋体"/>
          <w:sz w:val="24"/>
          <w:highlight w:val="none"/>
        </w:rPr>
        <w:t>工程一切险</w:t>
      </w:r>
      <w:r>
        <w:rPr>
          <w:rFonts w:hint="eastAsia" w:ascii="宋体" w:hAnsi="宋体"/>
          <w:sz w:val="24"/>
          <w:highlight w:val="none"/>
        </w:rPr>
        <w:t>及第三者责任险达成如下协议：</w:t>
      </w:r>
    </w:p>
    <w:p>
      <w:pPr>
        <w:adjustRightInd w:val="0"/>
        <w:snapToGrid w:val="0"/>
        <w:spacing w:line="360" w:lineRule="auto"/>
        <w:ind w:firstLine="474" w:firstLineChars="200"/>
        <w:rPr>
          <w:rFonts w:ascii="宋体" w:hAnsi="宋体"/>
          <w:b/>
          <w:bCs/>
          <w:sz w:val="24"/>
          <w:highlight w:val="none"/>
        </w:rPr>
      </w:pPr>
      <w:r>
        <w:rPr>
          <w:rFonts w:hint="eastAsia" w:ascii="宋体" w:hAnsi="宋体"/>
          <w:b/>
          <w:spacing w:val="-2"/>
          <w:sz w:val="24"/>
          <w:highlight w:val="none"/>
        </w:rPr>
        <w:t>一、</w:t>
      </w:r>
      <w:r>
        <w:rPr>
          <w:rFonts w:hint="eastAsia" w:ascii="宋体" w:hAnsi="宋体"/>
          <w:b/>
          <w:bCs/>
          <w:sz w:val="24"/>
          <w:highlight w:val="none"/>
        </w:rPr>
        <w:t>本协议的组成：</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1、下列文件均作为本协议的有效组成部分：</w:t>
      </w:r>
    </w:p>
    <w:p>
      <w:pPr>
        <w:numPr>
          <w:ilvl w:val="0"/>
          <w:numId w:val="9"/>
        </w:numPr>
        <w:adjustRightInd w:val="0"/>
        <w:snapToGrid w:val="0"/>
        <w:spacing w:line="360" w:lineRule="auto"/>
        <w:ind w:left="0" w:firstLine="480" w:firstLineChars="200"/>
        <w:rPr>
          <w:rFonts w:ascii="宋体" w:hAnsi="宋体"/>
          <w:sz w:val="24"/>
          <w:highlight w:val="none"/>
        </w:rPr>
      </w:pPr>
      <w:r>
        <w:rPr>
          <w:rFonts w:hint="eastAsia" w:ascii="宋体" w:hAnsi="宋体"/>
          <w:sz w:val="24"/>
          <w:highlight w:val="none"/>
        </w:rPr>
        <w:t>本保险协议（由甲、乙方签章确认）；</w:t>
      </w:r>
    </w:p>
    <w:p>
      <w:pPr>
        <w:numPr>
          <w:ilvl w:val="0"/>
          <w:numId w:val="9"/>
        </w:numPr>
        <w:adjustRightInd w:val="0"/>
        <w:snapToGrid w:val="0"/>
        <w:spacing w:line="360" w:lineRule="auto"/>
        <w:ind w:left="0" w:firstLine="480" w:firstLineChars="200"/>
        <w:rPr>
          <w:rFonts w:ascii="宋体" w:hAnsi="宋体"/>
          <w:sz w:val="24"/>
          <w:highlight w:val="none"/>
        </w:rPr>
      </w:pPr>
      <w:r>
        <w:rPr>
          <w:rFonts w:hint="eastAsia" w:ascii="宋体" w:hAnsi="宋体"/>
          <w:sz w:val="24"/>
          <w:highlight w:val="none"/>
        </w:rPr>
        <w:t>补充协议或批单（在本协议签订后，需要对保单补充变更事项时，经甲、乙方沟通后，由乙方出具）；</w:t>
      </w:r>
    </w:p>
    <w:p>
      <w:pPr>
        <w:numPr>
          <w:ilvl w:val="0"/>
          <w:numId w:val="9"/>
        </w:numPr>
        <w:adjustRightInd w:val="0"/>
        <w:snapToGrid w:val="0"/>
        <w:spacing w:line="360" w:lineRule="auto"/>
        <w:ind w:left="0" w:firstLine="480" w:firstLineChars="200"/>
        <w:rPr>
          <w:rFonts w:hint="eastAsia" w:ascii="宋体" w:hAnsi="宋体"/>
          <w:sz w:val="24"/>
          <w:highlight w:val="none"/>
        </w:rPr>
      </w:pPr>
      <w:r>
        <w:rPr>
          <w:rFonts w:hint="eastAsia" w:ascii="宋体" w:hAnsi="宋体"/>
          <w:sz w:val="24"/>
          <w:highlight w:val="none"/>
        </w:rPr>
        <w:t>中标通知书</w:t>
      </w:r>
    </w:p>
    <w:p>
      <w:pPr>
        <w:numPr>
          <w:ilvl w:val="0"/>
          <w:numId w:val="9"/>
        </w:numPr>
        <w:adjustRightInd w:val="0"/>
        <w:snapToGrid w:val="0"/>
        <w:spacing w:line="360" w:lineRule="auto"/>
        <w:ind w:left="0" w:firstLine="480" w:firstLineChars="200"/>
        <w:rPr>
          <w:rFonts w:hint="eastAsia" w:ascii="宋体" w:hAnsi="宋体"/>
          <w:sz w:val="24"/>
          <w:highlight w:val="none"/>
        </w:rPr>
      </w:pPr>
      <w:r>
        <w:rPr>
          <w:rFonts w:hint="eastAsia" w:ascii="宋体" w:hAnsi="宋体"/>
          <w:sz w:val="24"/>
          <w:highlight w:val="none"/>
        </w:rPr>
        <w:t>招标文件及补遗（答疑）文件；</w:t>
      </w:r>
    </w:p>
    <w:p>
      <w:pPr>
        <w:numPr>
          <w:ilvl w:val="0"/>
          <w:numId w:val="9"/>
        </w:numPr>
        <w:adjustRightInd w:val="0"/>
        <w:snapToGrid w:val="0"/>
        <w:spacing w:line="360" w:lineRule="auto"/>
        <w:ind w:left="0" w:firstLine="480" w:firstLineChars="200"/>
        <w:rPr>
          <w:rFonts w:hint="eastAsia" w:ascii="宋体" w:hAnsi="宋体"/>
          <w:sz w:val="24"/>
          <w:highlight w:val="none"/>
        </w:rPr>
      </w:pPr>
      <w:r>
        <w:rPr>
          <w:rFonts w:hint="eastAsia" w:ascii="宋体" w:hAnsi="宋体" w:cs="宋体"/>
          <w:sz w:val="24"/>
          <w:highlight w:val="none"/>
        </w:rPr>
        <w:t>投标文件及其修改、补充文件；</w:t>
      </w:r>
    </w:p>
    <w:p>
      <w:pPr>
        <w:numPr>
          <w:ilvl w:val="0"/>
          <w:numId w:val="9"/>
        </w:numPr>
        <w:adjustRightInd w:val="0"/>
        <w:snapToGrid w:val="0"/>
        <w:spacing w:line="360" w:lineRule="auto"/>
        <w:ind w:left="0" w:firstLine="480" w:firstLineChars="200"/>
        <w:rPr>
          <w:rFonts w:hint="eastAsia" w:ascii="宋体" w:hAnsi="宋体" w:cs="宋体"/>
          <w:sz w:val="24"/>
          <w:highlight w:val="none"/>
        </w:rPr>
      </w:pPr>
      <w:r>
        <w:rPr>
          <w:rFonts w:hint="eastAsia" w:ascii="宋体" w:hAnsi="宋体" w:cs="宋体"/>
          <w:sz w:val="24"/>
          <w:highlight w:val="none"/>
        </w:rPr>
        <w:t>特别约定；</w:t>
      </w:r>
    </w:p>
    <w:p>
      <w:pPr>
        <w:numPr>
          <w:ilvl w:val="0"/>
          <w:numId w:val="9"/>
        </w:numPr>
        <w:adjustRightInd w:val="0"/>
        <w:snapToGrid w:val="0"/>
        <w:spacing w:line="360" w:lineRule="auto"/>
        <w:ind w:left="0" w:firstLine="480" w:firstLineChars="200"/>
        <w:rPr>
          <w:rFonts w:ascii="宋体" w:hAnsi="宋体"/>
          <w:sz w:val="24"/>
          <w:highlight w:val="none"/>
        </w:rPr>
      </w:pPr>
      <w:r>
        <w:rPr>
          <w:rFonts w:hint="eastAsia" w:ascii="宋体" w:hAnsi="宋体"/>
          <w:sz w:val="24"/>
          <w:highlight w:val="none"/>
        </w:rPr>
        <w:t>保险理赔服务承诺；</w:t>
      </w:r>
    </w:p>
    <w:p>
      <w:pPr>
        <w:numPr>
          <w:ilvl w:val="0"/>
          <w:numId w:val="9"/>
        </w:numPr>
        <w:adjustRightInd w:val="0"/>
        <w:snapToGrid w:val="0"/>
        <w:spacing w:line="360" w:lineRule="auto"/>
        <w:ind w:left="0" w:firstLine="480" w:firstLineChars="200"/>
        <w:rPr>
          <w:rFonts w:hint="eastAsia" w:ascii="宋体" w:hAnsi="宋体"/>
          <w:sz w:val="24"/>
          <w:highlight w:val="none"/>
        </w:rPr>
      </w:pPr>
      <w:r>
        <w:rPr>
          <w:rFonts w:hint="eastAsia" w:ascii="宋体" w:hAnsi="宋体"/>
          <w:sz w:val="24"/>
          <w:highlight w:val="none"/>
        </w:rPr>
        <w:t>共保协议；</w:t>
      </w:r>
    </w:p>
    <w:p>
      <w:pPr>
        <w:numPr>
          <w:ilvl w:val="0"/>
          <w:numId w:val="9"/>
        </w:numPr>
        <w:adjustRightInd w:val="0"/>
        <w:snapToGrid w:val="0"/>
        <w:spacing w:line="360" w:lineRule="auto"/>
        <w:ind w:left="0" w:firstLine="480" w:firstLineChars="200"/>
        <w:rPr>
          <w:rFonts w:hint="eastAsia" w:ascii="宋体" w:hAnsi="宋体" w:cs="宋体"/>
          <w:sz w:val="24"/>
          <w:highlight w:val="none"/>
        </w:rPr>
      </w:pPr>
      <w:r>
        <w:rPr>
          <w:rFonts w:hint="eastAsia" w:ascii="宋体" w:hAnsi="宋体" w:cs="宋体"/>
          <w:sz w:val="24"/>
          <w:highlight w:val="none"/>
        </w:rPr>
        <w:t>保险单，包括保单明细表、附加条款等；</w:t>
      </w:r>
    </w:p>
    <w:p>
      <w:pPr>
        <w:numPr>
          <w:ilvl w:val="0"/>
          <w:numId w:val="9"/>
        </w:numPr>
        <w:adjustRightInd w:val="0"/>
        <w:snapToGrid w:val="0"/>
        <w:spacing w:line="360" w:lineRule="auto"/>
        <w:ind w:left="0" w:firstLine="480" w:firstLineChars="200"/>
        <w:rPr>
          <w:rFonts w:ascii="宋体" w:hAnsi="宋体"/>
          <w:sz w:val="24"/>
          <w:highlight w:val="none"/>
        </w:rPr>
      </w:pPr>
      <w:r>
        <w:rPr>
          <w:rFonts w:hint="eastAsia" w:ascii="宋体" w:hAnsi="宋体" w:cs="宋体"/>
          <w:sz w:val="24"/>
          <w:highlight w:val="none"/>
        </w:rPr>
        <w:t>经甲乙双方确认进入合同的其他文件。</w:t>
      </w:r>
    </w:p>
    <w:p>
      <w:pPr>
        <w:adjustRightInd w:val="0"/>
        <w:snapToGrid w:val="0"/>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2、上述文件互相补充和解释，如有不明确或不一致之处，以上述排列次序在先者效力优先。</w:t>
      </w:r>
    </w:p>
    <w:p>
      <w:pPr>
        <w:adjustRightInd w:val="0"/>
        <w:snapToGrid w:val="0"/>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3、本保险协议为保险人不可撤销的合同。</w:t>
      </w:r>
    </w:p>
    <w:p>
      <w:pPr>
        <w:adjustRightInd w:val="0"/>
        <w:snapToGrid w:val="0"/>
        <w:spacing w:line="360" w:lineRule="auto"/>
        <w:ind w:firstLine="474" w:firstLineChars="200"/>
        <w:jc w:val="left"/>
        <w:rPr>
          <w:rFonts w:ascii="宋体" w:hAnsi="宋体"/>
          <w:b/>
          <w:spacing w:val="-2"/>
          <w:sz w:val="24"/>
          <w:highlight w:val="none"/>
        </w:rPr>
      </w:pPr>
      <w:r>
        <w:rPr>
          <w:rFonts w:hint="eastAsia" w:ascii="宋体" w:hAnsi="宋体"/>
          <w:b/>
          <w:spacing w:val="-2"/>
          <w:sz w:val="24"/>
          <w:highlight w:val="none"/>
        </w:rPr>
        <w:t>二、共保体及共保事宜</w:t>
      </w:r>
    </w:p>
    <w:p>
      <w:pPr>
        <w:adjustRightInd w:val="0"/>
        <w:snapToGrid w:val="0"/>
        <w:spacing w:line="360" w:lineRule="auto"/>
        <w:ind w:firstLine="480" w:firstLineChars="200"/>
        <w:rPr>
          <w:rFonts w:hint="default" w:ascii="宋体" w:hAnsi="宋体" w:eastAsia="宋体"/>
          <w:sz w:val="24"/>
          <w:highlight w:val="none"/>
          <w:lang w:val="en-US" w:eastAsia="zh-CN"/>
        </w:rPr>
      </w:pPr>
      <w:r>
        <w:rPr>
          <w:rFonts w:hint="eastAsia" w:ascii="宋体" w:hAnsi="宋体"/>
          <w:sz w:val="24"/>
          <w:highlight w:val="none"/>
          <w:lang w:val="en-US" w:eastAsia="zh-CN"/>
        </w:rPr>
        <w:t>本项目的建筑、安装工程团体人身意外伤害险允许</w:t>
      </w:r>
      <w:r>
        <w:rPr>
          <w:rFonts w:hint="eastAsia" w:ascii="宋体" w:hAnsi="宋体"/>
          <w:sz w:val="24"/>
          <w:highlight w:val="none"/>
        </w:rPr>
        <w:t>共保</w:t>
      </w:r>
      <w:r>
        <w:rPr>
          <w:rFonts w:hint="eastAsia" w:ascii="宋体" w:hAnsi="宋体"/>
          <w:sz w:val="24"/>
          <w:highlight w:val="none"/>
          <w:lang w:eastAsia="zh-CN"/>
        </w:rPr>
        <w:t>，</w:t>
      </w:r>
      <w:r>
        <w:rPr>
          <w:rFonts w:hint="eastAsia" w:ascii="宋体" w:hAnsi="宋体"/>
          <w:sz w:val="24"/>
          <w:highlight w:val="none"/>
          <w:lang w:val="en-US" w:eastAsia="zh-CN"/>
        </w:rPr>
        <w:t>首席承包人未本项目建筑、安装工程一切险及第三者责任险承保人。</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（一）共保体</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乙方（即“共保体”）按照本协议约定比例共同承保本项目的</w:t>
      </w:r>
      <w:r>
        <w:rPr>
          <w:rFonts w:hint="eastAsia" w:ascii="宋体" w:hAnsi="宋体"/>
          <w:sz w:val="24"/>
          <w:highlight w:val="none"/>
          <w:lang w:eastAsia="zh-CN"/>
        </w:rPr>
        <w:t>建筑、安装工程团体人身意外伤害险</w:t>
      </w:r>
      <w:r>
        <w:rPr>
          <w:rFonts w:hint="eastAsia" w:ascii="宋体" w:hAnsi="宋体"/>
          <w:sz w:val="24"/>
          <w:highlight w:val="none"/>
          <w:lang w:val="en-US" w:eastAsia="zh-CN"/>
        </w:rPr>
        <w:t xml:space="preserve"> </w:t>
      </w:r>
      <w:r>
        <w:rPr>
          <w:rFonts w:hint="eastAsia" w:ascii="宋体" w:hAnsi="宋体"/>
          <w:sz w:val="24"/>
          <w:highlight w:val="none"/>
        </w:rPr>
        <w:t>。其中，</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1、首席承保人</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w:t>
      </w:r>
      <w:r>
        <w:rPr>
          <w:rFonts w:ascii="宋体" w:hAnsi="宋体"/>
          <w:sz w:val="24"/>
          <w:highlight w:val="none"/>
        </w:rPr>
        <w:t>公司作为本保险项目首席承保人，</w:t>
      </w:r>
      <w:r>
        <w:rPr>
          <w:rFonts w:hint="eastAsia" w:ascii="宋体" w:hAnsi="宋体"/>
          <w:sz w:val="24"/>
          <w:highlight w:val="none"/>
        </w:rPr>
        <w:t>其</w:t>
      </w:r>
      <w:r>
        <w:rPr>
          <w:rFonts w:ascii="宋体" w:hAnsi="宋体"/>
          <w:sz w:val="24"/>
          <w:highlight w:val="none"/>
        </w:rPr>
        <w:t>承保比例为</w:t>
      </w:r>
      <w:r>
        <w:rPr>
          <w:rFonts w:hint="eastAsia" w:ascii="宋体" w:hAnsi="宋体"/>
          <w:sz w:val="24"/>
          <w:highlight w:val="none"/>
          <w:u w:val="single"/>
        </w:rPr>
        <w:t xml:space="preserve">   </w:t>
      </w:r>
      <w:r>
        <w:rPr>
          <w:rFonts w:ascii="宋体" w:hAnsi="宋体"/>
          <w:sz w:val="24"/>
          <w:highlight w:val="none"/>
        </w:rPr>
        <w:t>%；</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2、共同承保人</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下述保险公司作为本保险项目的共同承保人，其承保比例</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具体承保份额如下：</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**保险</w:t>
      </w:r>
      <w:r>
        <w:rPr>
          <w:rFonts w:ascii="宋体" w:hAnsi="宋体"/>
          <w:sz w:val="24"/>
          <w:highlight w:val="none"/>
        </w:rPr>
        <w:t xml:space="preserve">公司      份额 </w:t>
      </w:r>
      <w:r>
        <w:rPr>
          <w:rFonts w:hint="eastAsia" w:ascii="宋体" w:hAnsi="宋体"/>
          <w:sz w:val="24"/>
          <w:highlight w:val="none"/>
          <w:u w:val="single"/>
        </w:rPr>
        <w:t xml:space="preserve">   </w:t>
      </w:r>
      <w:r>
        <w:rPr>
          <w:rFonts w:ascii="宋体" w:hAnsi="宋体"/>
          <w:sz w:val="24"/>
          <w:highlight w:val="none"/>
        </w:rPr>
        <w:t>%</w:t>
      </w:r>
    </w:p>
    <w:p>
      <w:pPr>
        <w:adjustRightInd w:val="0"/>
        <w:snapToGrid w:val="0"/>
        <w:spacing w:line="360" w:lineRule="auto"/>
        <w:ind w:firstLine="480" w:firstLineChars="200"/>
        <w:rPr>
          <w:rFonts w:hint="eastAsia" w:ascii="宋体" w:hAnsi="宋体"/>
          <w:sz w:val="24"/>
          <w:highlight w:val="none"/>
        </w:rPr>
      </w:pPr>
      <w:r>
        <w:rPr>
          <w:rFonts w:ascii="宋体" w:hAnsi="宋体"/>
          <w:sz w:val="24"/>
          <w:highlight w:val="none"/>
        </w:rPr>
        <w:t>（二）共保事宜</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1、乙方各成员</w:t>
      </w:r>
      <w:r>
        <w:rPr>
          <w:rFonts w:hint="eastAsia" w:ascii="宋体" w:hAnsi="宋体"/>
          <w:sz w:val="24"/>
          <w:highlight w:val="none"/>
        </w:rPr>
        <w:t>应</w:t>
      </w:r>
      <w:r>
        <w:rPr>
          <w:rFonts w:ascii="宋体" w:hAnsi="宋体"/>
          <w:sz w:val="24"/>
          <w:highlight w:val="none"/>
        </w:rPr>
        <w:t>充分理解并同意按照本协议约定，以上述共同承保的比例享有各自权利，并承担各自的义务。</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2、乙方各成员应签订共保协议明确各方的权利和义务，以保证对甲方的优质服务。若共保协议与本保险协议存在矛盾或不一致之处，应按本保险协议的规定优先执行。</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3、本项目采取首席承保人负责制，首席承保人代表乙方负责签发被保险人的保险单、出具全额保费发票、收取全额保费</w:t>
      </w:r>
      <w:r>
        <w:rPr>
          <w:rFonts w:hint="eastAsia" w:ascii="宋体" w:hAnsi="宋体"/>
          <w:sz w:val="24"/>
          <w:highlight w:val="none"/>
        </w:rPr>
        <w:t>并按照约定进行保费的分配</w:t>
      </w:r>
      <w:r>
        <w:rPr>
          <w:rFonts w:ascii="宋体" w:hAnsi="宋体"/>
          <w:sz w:val="24"/>
          <w:highlight w:val="none"/>
        </w:rPr>
        <w:t>及向共同承保人划转保费等工作；共同承保人在收到首席承保人划转的保费后</w:t>
      </w:r>
      <w:r>
        <w:rPr>
          <w:rFonts w:hint="eastAsia" w:ascii="宋体" w:hAnsi="宋体"/>
          <w:sz w:val="24"/>
          <w:highlight w:val="none"/>
        </w:rPr>
        <w:t>5</w:t>
      </w:r>
      <w:r>
        <w:rPr>
          <w:rFonts w:ascii="宋体" w:hAnsi="宋体"/>
          <w:sz w:val="24"/>
          <w:highlight w:val="none"/>
        </w:rPr>
        <w:t xml:space="preserve">个工作日内向首席承保人出具保费发票及相关费用。 </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同时，首席承保人负责组织、代表乙方各成员为被保险人提供包括但不限于</w:t>
      </w:r>
      <w:r>
        <w:rPr>
          <w:rFonts w:hint="eastAsia" w:ascii="宋体" w:hAnsi="宋体"/>
          <w:sz w:val="24"/>
          <w:highlight w:val="none"/>
        </w:rPr>
        <w:t>事故</w:t>
      </w:r>
      <w:r>
        <w:rPr>
          <w:rFonts w:ascii="宋体" w:hAnsi="宋体"/>
          <w:sz w:val="24"/>
          <w:highlight w:val="none"/>
        </w:rPr>
        <w:t>查勘、理赔、培训、防灾防损等服务工作，并根据被保险人的要求组织、提供其他承诺的相关服务工作</w:t>
      </w:r>
      <w:r>
        <w:rPr>
          <w:rFonts w:hint="eastAsia" w:ascii="宋体" w:hAnsi="宋体"/>
          <w:sz w:val="24"/>
          <w:highlight w:val="none"/>
        </w:rPr>
        <w:t>，所发生的费用由保险人按其共保比例分摊。</w:t>
      </w:r>
    </w:p>
    <w:p>
      <w:pPr>
        <w:adjustRightInd w:val="0"/>
        <w:snapToGrid w:val="0"/>
        <w:spacing w:line="360" w:lineRule="auto"/>
        <w:ind w:firstLine="480" w:firstLineChars="200"/>
        <w:rPr>
          <w:rFonts w:ascii="宋体" w:hAnsi="宋体"/>
          <w:sz w:val="24"/>
          <w:highlight w:val="none"/>
        </w:rPr>
      </w:pPr>
      <w:r>
        <w:rPr>
          <w:rFonts w:ascii="宋体" w:hAnsi="宋体"/>
          <w:sz w:val="24"/>
          <w:highlight w:val="none"/>
        </w:rPr>
        <w:t>对于以上服务，首席承保人在不损害共同承保人利益的前提下有最终决定权。共同承保人承诺接受、并遵守首席承保公司与甲方就有关保险承保、理赔等事宜所作的任何书面决定。</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4、各共保人同意按各自份额保费的</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rPr>
        <w:t>向首席承保人支付出单费用，首席承保人向各共保人出具出单费用的有效发票。</w:t>
      </w:r>
    </w:p>
    <w:p>
      <w:pPr>
        <w:adjustRightInd w:val="0"/>
        <w:snapToGrid w:val="0"/>
        <w:spacing w:line="360" w:lineRule="auto"/>
        <w:ind w:firstLine="482" w:firstLineChars="200"/>
        <w:rPr>
          <w:rFonts w:ascii="宋体" w:hAnsi="宋体"/>
          <w:b/>
          <w:sz w:val="24"/>
          <w:highlight w:val="none"/>
        </w:rPr>
      </w:pPr>
      <w:r>
        <w:rPr>
          <w:rFonts w:hint="eastAsia" w:ascii="宋体" w:hAnsi="宋体"/>
          <w:b/>
          <w:sz w:val="24"/>
          <w:highlight w:val="none"/>
        </w:rPr>
        <w:t>三、投保出单</w:t>
      </w:r>
    </w:p>
    <w:p>
      <w:pPr>
        <w:widowControl/>
        <w:tabs>
          <w:tab w:val="left" w:pos="1815"/>
        </w:tabs>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甲方应在约定的时间内向乙方办理投保手续并支付相应保险费，乙方将根据甲方确认的承保方案及承保条件出具正式保险单，并同意保费自甲方账户划出之日即视为缴费之日。</w:t>
      </w:r>
    </w:p>
    <w:p>
      <w:pPr>
        <w:widowControl/>
        <w:tabs>
          <w:tab w:val="left" w:pos="1815"/>
        </w:tabs>
        <w:adjustRightInd w:val="0"/>
        <w:snapToGrid w:val="0"/>
        <w:spacing w:line="360" w:lineRule="auto"/>
        <w:ind w:firstLine="474" w:firstLineChars="200"/>
        <w:rPr>
          <w:rFonts w:ascii="宋体" w:hAnsi="宋体"/>
          <w:b/>
          <w:spacing w:val="-2"/>
          <w:sz w:val="24"/>
          <w:highlight w:val="none"/>
        </w:rPr>
      </w:pPr>
      <w:r>
        <w:rPr>
          <w:rFonts w:hint="eastAsia" w:ascii="宋体" w:hAnsi="宋体"/>
          <w:b/>
          <w:spacing w:val="-2"/>
          <w:sz w:val="24"/>
          <w:highlight w:val="none"/>
        </w:rPr>
        <w:t>四、保险险种</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ascii="宋体" w:hAnsi="宋体"/>
          <w:sz w:val="24"/>
          <w:highlight w:val="none"/>
        </w:rPr>
        <w:t>建筑</w:t>
      </w:r>
      <w:r>
        <w:rPr>
          <w:rFonts w:hint="eastAsia" w:ascii="宋体" w:hAnsi="宋体"/>
          <w:sz w:val="24"/>
          <w:highlight w:val="none"/>
        </w:rPr>
        <w:t>、安装</w:t>
      </w:r>
      <w:r>
        <w:rPr>
          <w:rFonts w:ascii="宋体" w:hAnsi="宋体"/>
          <w:sz w:val="24"/>
          <w:highlight w:val="none"/>
        </w:rPr>
        <w:t>工程一切险</w:t>
      </w:r>
      <w:r>
        <w:rPr>
          <w:rFonts w:hint="eastAsia" w:ascii="宋体" w:hAnsi="宋体"/>
          <w:sz w:val="24"/>
          <w:highlight w:val="none"/>
        </w:rPr>
        <w:t>及第三者责任险</w:t>
      </w:r>
      <w:r>
        <w:rPr>
          <w:rFonts w:hint="eastAsia" w:ascii="宋体" w:hAnsi="宋体"/>
          <w:sz w:val="24"/>
          <w:highlight w:val="none"/>
          <w:lang w:eastAsia="zh-CN"/>
        </w:rPr>
        <w:t>；（</w:t>
      </w:r>
      <w:r>
        <w:rPr>
          <w:rFonts w:hint="eastAsia" w:ascii="宋体" w:hAnsi="宋体"/>
          <w:sz w:val="24"/>
          <w:highlight w:val="none"/>
          <w:lang w:val="en-US" w:eastAsia="zh-CN"/>
        </w:rPr>
        <w:t>2）建筑、安装工程团体人身意外伤害险</w:t>
      </w:r>
      <w:r>
        <w:rPr>
          <w:rFonts w:hint="eastAsia" w:ascii="宋体" w:hAnsi="宋体"/>
          <w:sz w:val="24"/>
          <w:highlight w:val="none"/>
        </w:rPr>
        <w:t>。</w:t>
      </w:r>
    </w:p>
    <w:p>
      <w:pPr>
        <w:adjustRightInd w:val="0"/>
        <w:snapToGrid w:val="0"/>
        <w:spacing w:line="360" w:lineRule="auto"/>
        <w:ind w:firstLine="474" w:firstLineChars="200"/>
        <w:rPr>
          <w:rFonts w:hint="eastAsia" w:ascii="宋体" w:hAnsi="宋体"/>
          <w:b/>
          <w:spacing w:val="-2"/>
          <w:sz w:val="24"/>
          <w:highlight w:val="none"/>
        </w:rPr>
      </w:pPr>
      <w:r>
        <w:rPr>
          <w:rFonts w:hint="eastAsia" w:ascii="宋体" w:hAnsi="宋体"/>
          <w:b/>
          <w:spacing w:val="-2"/>
          <w:sz w:val="24"/>
          <w:highlight w:val="none"/>
        </w:rPr>
        <w:t>五、保险期限</w:t>
      </w:r>
    </w:p>
    <w:p>
      <w:pPr>
        <w:adjustRightInd w:val="0"/>
        <w:snapToGrid w:val="0"/>
        <w:spacing w:line="360" w:lineRule="auto"/>
        <w:ind w:firstLine="474" w:firstLineChars="200"/>
        <w:rPr>
          <w:rFonts w:hint="eastAsia" w:ascii="宋体" w:hAnsi="宋体"/>
          <w:b/>
          <w:spacing w:val="-2"/>
          <w:sz w:val="24"/>
          <w:highlight w:val="none"/>
        </w:rPr>
      </w:pPr>
      <w:r>
        <w:rPr>
          <w:rFonts w:hint="eastAsia" w:ascii="宋体" w:hAnsi="宋体"/>
          <w:b/>
          <w:spacing w:val="-2"/>
          <w:sz w:val="24"/>
          <w:highlight w:val="none"/>
          <w:u w:val="single"/>
        </w:rPr>
        <w:t xml:space="preserve"> </w:t>
      </w:r>
      <w:r>
        <w:rPr>
          <w:rFonts w:hint="eastAsia" w:ascii="宋体" w:hAnsi="宋体"/>
          <w:b/>
          <w:spacing w:val="-2"/>
          <w:sz w:val="24"/>
          <w:highlight w:val="none"/>
          <w:u w:val="single"/>
          <w:lang w:val="en-US" w:eastAsia="zh-CN"/>
        </w:rPr>
        <w:t>详见招标文件</w:t>
      </w:r>
      <w:r>
        <w:rPr>
          <w:rFonts w:hint="eastAsia" w:ascii="宋体" w:hAnsi="宋体"/>
          <w:b/>
          <w:spacing w:val="-2"/>
          <w:sz w:val="24"/>
          <w:highlight w:val="none"/>
          <w:u w:val="single"/>
        </w:rPr>
        <w:t xml:space="preserve">                 </w:t>
      </w:r>
      <w:r>
        <w:rPr>
          <w:rFonts w:hint="eastAsia" w:ascii="宋体" w:hAnsi="宋体"/>
          <w:b/>
          <w:spacing w:val="-2"/>
          <w:sz w:val="24"/>
          <w:highlight w:val="none"/>
        </w:rPr>
        <w:t>。</w:t>
      </w:r>
    </w:p>
    <w:p>
      <w:pPr>
        <w:numPr>
          <w:ilvl w:val="0"/>
          <w:numId w:val="10"/>
        </w:numPr>
        <w:adjustRightInd w:val="0"/>
        <w:snapToGrid w:val="0"/>
        <w:spacing w:line="360" w:lineRule="auto"/>
        <w:ind w:firstLine="480" w:firstLineChars="200"/>
        <w:rPr>
          <w:rFonts w:hint="eastAsia" w:ascii="宋体" w:hAnsi="宋体"/>
          <w:bCs/>
          <w:sz w:val="24"/>
          <w:highlight w:val="none"/>
        </w:rPr>
      </w:pPr>
      <w:r>
        <w:rPr>
          <w:rFonts w:hint="eastAsia" w:ascii="宋体" w:hAnsi="宋体"/>
          <w:bCs/>
          <w:sz w:val="24"/>
          <w:highlight w:val="none"/>
        </w:rPr>
        <w:t>建筑安装保险期限</w:t>
      </w:r>
    </w:p>
    <w:p>
      <w:pPr>
        <w:numPr>
          <w:ilvl w:val="0"/>
          <w:numId w:val="0"/>
        </w:numPr>
        <w:adjustRightInd w:val="0"/>
        <w:snapToGrid w:val="0"/>
        <w:spacing w:line="360" w:lineRule="auto"/>
        <w:ind w:firstLine="240" w:firstLineChars="100"/>
        <w:rPr>
          <w:rFonts w:hint="eastAsia" w:ascii="宋体" w:hAnsi="宋体"/>
          <w:bCs/>
          <w:sz w:val="24"/>
          <w:highlight w:val="none"/>
        </w:rPr>
      </w:pPr>
      <w:r>
        <w:rPr>
          <w:rFonts w:hint="eastAsia" w:ascii="宋体" w:hAnsi="宋体"/>
          <w:bCs/>
          <w:sz w:val="24"/>
          <w:highlight w:val="none"/>
        </w:rPr>
        <w:t>暂定为：</w:t>
      </w:r>
      <w:r>
        <w:rPr>
          <w:rFonts w:hint="eastAsia" w:ascii="宋体" w:hAnsi="宋体"/>
          <w:bCs/>
          <w:sz w:val="24"/>
          <w:highlight w:val="none"/>
          <w:u w:val="single"/>
        </w:rPr>
        <w:t>　年　月   日</w:t>
      </w:r>
      <w:r>
        <w:rPr>
          <w:rFonts w:hint="eastAsia" w:ascii="宋体" w:hAnsi="宋体"/>
          <w:bCs/>
          <w:sz w:val="24"/>
          <w:highlight w:val="none"/>
        </w:rPr>
        <w:t>零时起至</w:t>
      </w:r>
      <w:r>
        <w:rPr>
          <w:rFonts w:hint="eastAsia" w:ascii="宋体" w:hAnsi="宋体"/>
          <w:bCs/>
          <w:sz w:val="24"/>
          <w:highlight w:val="none"/>
          <w:u w:val="single"/>
        </w:rPr>
        <w:t xml:space="preserve">   　年  月  日</w:t>
      </w:r>
      <w:r>
        <w:rPr>
          <w:rFonts w:hint="eastAsia" w:ascii="宋体" w:hAnsi="宋体"/>
          <w:bCs/>
          <w:sz w:val="24"/>
          <w:highlight w:val="none"/>
        </w:rPr>
        <w:t>二十四时止（北京时间）。</w:t>
      </w:r>
    </w:p>
    <w:p>
      <w:pPr>
        <w:adjustRightInd w:val="0"/>
        <w:snapToGrid w:val="0"/>
        <w:spacing w:line="360" w:lineRule="auto"/>
        <w:ind w:firstLine="480" w:firstLineChars="200"/>
        <w:rPr>
          <w:rFonts w:hint="eastAsia" w:ascii="宋体" w:hAnsi="宋体"/>
          <w:bCs/>
          <w:sz w:val="24"/>
          <w:highlight w:val="none"/>
        </w:rPr>
      </w:pPr>
      <w:r>
        <w:rPr>
          <w:rFonts w:hint="eastAsia" w:ascii="宋体" w:hAnsi="宋体"/>
          <w:bCs/>
          <w:sz w:val="24"/>
          <w:highlight w:val="none"/>
        </w:rPr>
        <w:t>（二）保证期保险期限</w:t>
      </w:r>
    </w:p>
    <w:p>
      <w:pPr>
        <w:adjustRightInd w:val="0"/>
        <w:snapToGrid w:val="0"/>
        <w:spacing w:line="360" w:lineRule="auto"/>
        <w:ind w:firstLine="480" w:firstLineChars="200"/>
        <w:rPr>
          <w:rFonts w:hint="eastAsia" w:ascii="宋体" w:hAnsi="宋体"/>
          <w:bCs/>
          <w:sz w:val="24"/>
          <w:highlight w:val="none"/>
        </w:rPr>
      </w:pPr>
      <w:r>
        <w:rPr>
          <w:rFonts w:hint="eastAsia" w:ascii="宋体" w:hAnsi="宋体"/>
          <w:bCs/>
          <w:sz w:val="24"/>
          <w:highlight w:val="none"/>
        </w:rPr>
        <w:t>暂定为：</w:t>
      </w:r>
      <w:r>
        <w:rPr>
          <w:rFonts w:hint="eastAsia" w:ascii="宋体" w:hAnsi="宋体"/>
          <w:bCs/>
          <w:sz w:val="24"/>
          <w:highlight w:val="none"/>
          <w:u w:val="single"/>
        </w:rPr>
        <w:t>　年  月  日</w:t>
      </w:r>
      <w:r>
        <w:rPr>
          <w:rFonts w:hint="eastAsia" w:ascii="宋体" w:hAnsi="宋体"/>
          <w:bCs/>
          <w:sz w:val="24"/>
          <w:highlight w:val="none"/>
        </w:rPr>
        <w:t>零时起至</w:t>
      </w:r>
      <w:r>
        <w:rPr>
          <w:rFonts w:hint="eastAsia" w:ascii="宋体" w:hAnsi="宋体"/>
          <w:bCs/>
          <w:sz w:val="24"/>
          <w:highlight w:val="none"/>
          <w:u w:val="single"/>
        </w:rPr>
        <w:t xml:space="preserve">   　年  月  日</w:t>
      </w:r>
      <w:r>
        <w:rPr>
          <w:rFonts w:hint="eastAsia" w:ascii="宋体" w:hAnsi="宋体"/>
          <w:bCs/>
          <w:sz w:val="24"/>
          <w:highlight w:val="none"/>
        </w:rPr>
        <w:t>二十四时止(共24个月)。</w:t>
      </w:r>
    </w:p>
    <w:p>
      <w:pPr>
        <w:adjustRightInd w:val="0"/>
        <w:snapToGrid w:val="0"/>
        <w:spacing w:line="360" w:lineRule="auto"/>
        <w:ind w:firstLine="474" w:firstLineChars="200"/>
        <w:rPr>
          <w:rFonts w:hint="eastAsia" w:ascii="宋体" w:hAnsi="宋体"/>
          <w:b/>
          <w:spacing w:val="-2"/>
          <w:sz w:val="24"/>
          <w:highlight w:val="none"/>
        </w:rPr>
      </w:pPr>
      <w:r>
        <w:rPr>
          <w:rFonts w:hint="eastAsia" w:ascii="宋体" w:hAnsi="宋体"/>
          <w:b/>
          <w:spacing w:val="-2"/>
          <w:sz w:val="24"/>
          <w:highlight w:val="none"/>
        </w:rPr>
        <w:t>六、保险条款</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建筑、安装工程一切险</w:t>
      </w:r>
      <w:r>
        <w:rPr>
          <w:rFonts w:hint="eastAsia" w:ascii="宋体" w:hAnsi="宋体"/>
          <w:sz w:val="24"/>
          <w:highlight w:val="none"/>
          <w:lang w:val="en-US" w:eastAsia="zh-CN"/>
        </w:rPr>
        <w:t>条款、</w:t>
      </w:r>
      <w:r>
        <w:rPr>
          <w:rFonts w:hint="eastAsia" w:ascii="宋体" w:hAnsi="宋体"/>
          <w:sz w:val="24"/>
          <w:highlight w:val="none"/>
        </w:rPr>
        <w:t>附加</w:t>
      </w:r>
      <w:r>
        <w:rPr>
          <w:rFonts w:ascii="宋体" w:hAnsi="宋体"/>
          <w:sz w:val="24"/>
          <w:highlight w:val="none"/>
        </w:rPr>
        <w:t>条款</w:t>
      </w:r>
      <w:r>
        <w:rPr>
          <w:rFonts w:hint="eastAsia" w:ascii="宋体" w:hAnsi="宋体"/>
          <w:sz w:val="24"/>
          <w:highlight w:val="none"/>
        </w:rPr>
        <w:t>、</w:t>
      </w:r>
      <w:r>
        <w:rPr>
          <w:rFonts w:ascii="宋体" w:hAnsi="宋体"/>
          <w:sz w:val="24"/>
          <w:highlight w:val="none"/>
        </w:rPr>
        <w:t>特别约定</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建筑工程一切险：适用于土建工程的保险，承保建筑工程中保险财产在列明的工地范围内，因保险单除外责任以外的任何自然灾害或意外事故造成直接物质损坏或灭失，保险公司按保险单的规定负责赔偿的保险。</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安装工程一切险：适用于设备安装工程的保险，承保安装工程中保险财产在列明的工地范围内，因保险单除外责任以外的任何自然灾害或意外事故造成直接物质损坏或灭失，保险公司按保险单的规定负责赔偿的保险。</w:t>
      </w:r>
    </w:p>
    <w:p>
      <w:pPr>
        <w:adjustRightInd w:val="0"/>
        <w:snapToGrid w:val="0"/>
        <w:spacing w:line="360" w:lineRule="auto"/>
        <w:ind w:firstLine="482" w:firstLineChars="200"/>
        <w:rPr>
          <w:rFonts w:hint="eastAsia" w:ascii="宋体" w:hAnsi="宋体" w:cs="Arial"/>
          <w:b/>
          <w:sz w:val="24"/>
          <w:highlight w:val="none"/>
        </w:rPr>
      </w:pPr>
      <w:r>
        <w:rPr>
          <w:rFonts w:hint="eastAsia" w:ascii="宋体" w:hAnsi="宋体" w:cs="Arial"/>
          <w:b/>
          <w:sz w:val="24"/>
          <w:highlight w:val="none"/>
        </w:rPr>
        <w:t>七、保险单及保费支付</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（一）保险单</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首席承保人以中国银行保险监督管理委员会批准的建筑、安装工程一切险及第三者责任保险及附加险条款</w:t>
      </w:r>
      <w:r>
        <w:rPr>
          <w:rFonts w:hint="eastAsia" w:ascii="宋体" w:hAnsi="宋体" w:cs="Arial"/>
          <w:sz w:val="24"/>
          <w:highlight w:val="none"/>
          <w:lang w:eastAsia="zh-CN"/>
        </w:rPr>
        <w:t>，</w:t>
      </w:r>
      <w:r>
        <w:rPr>
          <w:rFonts w:hint="eastAsia" w:ascii="宋体" w:hAnsi="宋体" w:cs="Arial"/>
          <w:sz w:val="24"/>
          <w:highlight w:val="none"/>
          <w:lang w:val="en-US" w:eastAsia="zh-CN"/>
        </w:rPr>
        <w:t>以及建筑、安装工程团体人身意外伤害险</w:t>
      </w:r>
      <w:r>
        <w:rPr>
          <w:rFonts w:hint="eastAsia" w:ascii="宋体" w:hAnsi="宋体"/>
          <w:sz w:val="24"/>
          <w:highlight w:val="none"/>
          <w:lang w:val="en-US" w:eastAsia="zh-CN"/>
        </w:rPr>
        <w:t>及附加条款</w:t>
      </w:r>
      <w:r>
        <w:rPr>
          <w:rFonts w:hint="eastAsia" w:ascii="宋体" w:hAnsi="宋体" w:cs="Arial"/>
          <w:sz w:val="24"/>
          <w:highlight w:val="none"/>
        </w:rPr>
        <w:t>为基础，按照甲乙双方协商一致的保险条件及相关约定出具正式的保险单，保单中列明共保体成员的相应共保比例，其权利、义务应按有关的保险协议及保险单等相关规定执行，若有关保险单条款与本协议存在矛盾或不一致之处，应按本协议的规定优先执行。</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（二）保险费及支付方式</w:t>
      </w:r>
    </w:p>
    <w:p>
      <w:pPr>
        <w:adjustRightInd w:val="0"/>
        <w:snapToGrid w:val="0"/>
        <w:spacing w:line="360" w:lineRule="auto"/>
        <w:ind w:firstLine="480" w:firstLineChars="200"/>
        <w:rPr>
          <w:rFonts w:hint="eastAsia" w:ascii="宋体" w:hAnsi="宋体" w:cs="Arial"/>
          <w:sz w:val="24"/>
          <w:highlight w:val="none"/>
        </w:rPr>
      </w:pPr>
      <w:r>
        <w:rPr>
          <w:rFonts w:ascii="宋体" w:hAnsi="宋体" w:cs="Arial"/>
          <w:sz w:val="24"/>
          <w:highlight w:val="none"/>
        </w:rPr>
        <w:t>1</w:t>
      </w:r>
      <w:r>
        <w:rPr>
          <w:rFonts w:hint="eastAsia" w:ascii="宋体" w:hAnsi="宋体" w:cs="Arial"/>
          <w:sz w:val="24"/>
          <w:highlight w:val="none"/>
        </w:rPr>
        <w:t>、保险费计取方式</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保险费计算公式：保险金额</w:t>
      </w:r>
      <w:r>
        <w:rPr>
          <w:rFonts w:ascii="宋体" w:hAnsi="宋体" w:cs="Arial"/>
          <w:sz w:val="24"/>
          <w:highlight w:val="none"/>
        </w:rPr>
        <w:t>*</w:t>
      </w:r>
      <w:r>
        <w:rPr>
          <w:rFonts w:hint="eastAsia" w:ascii="宋体" w:hAnsi="宋体" w:cs="Arial"/>
          <w:sz w:val="24"/>
          <w:highlight w:val="none"/>
        </w:rPr>
        <w:t>保险费率</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其中：</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保险费</w:t>
      </w:r>
      <w:r>
        <w:rPr>
          <w:rFonts w:ascii="宋体" w:hAnsi="宋体" w:cs="Arial"/>
          <w:sz w:val="24"/>
          <w:highlight w:val="none"/>
        </w:rPr>
        <w:t>=</w:t>
      </w:r>
      <w:r>
        <w:rPr>
          <w:rFonts w:hint="eastAsia" w:ascii="宋体" w:hAnsi="宋体" w:cs="Arial"/>
          <w:sz w:val="24"/>
          <w:highlight w:val="none"/>
        </w:rPr>
        <w:t>保险金额</w:t>
      </w:r>
      <w:r>
        <w:rPr>
          <w:rFonts w:ascii="宋体" w:hAnsi="宋体" w:cs="Arial"/>
          <w:sz w:val="24"/>
          <w:highlight w:val="none"/>
        </w:rPr>
        <w:t>*****</w:t>
      </w:r>
      <w:r>
        <w:rPr>
          <w:rFonts w:hint="eastAsia" w:ascii="宋体" w:hAnsi="宋体" w:cs="Arial"/>
          <w:sz w:val="24"/>
          <w:highlight w:val="none"/>
        </w:rPr>
        <w:t>元</w:t>
      </w:r>
      <w:r>
        <w:rPr>
          <w:rFonts w:ascii="宋体" w:hAnsi="宋体" w:cs="Arial"/>
          <w:sz w:val="24"/>
          <w:highlight w:val="none"/>
        </w:rPr>
        <w:t xml:space="preserve"> *</w:t>
      </w:r>
      <w:r>
        <w:rPr>
          <w:rFonts w:hint="eastAsia" w:ascii="宋体" w:hAnsi="宋体" w:cs="Arial"/>
          <w:sz w:val="24"/>
          <w:highlight w:val="none"/>
        </w:rPr>
        <w:t>保险费率</w:t>
      </w:r>
      <w:r>
        <w:rPr>
          <w:rFonts w:ascii="宋体" w:hAnsi="宋体" w:cs="Arial"/>
          <w:sz w:val="24"/>
          <w:highlight w:val="none"/>
        </w:rPr>
        <w:t>=***</w:t>
      </w:r>
      <w:r>
        <w:rPr>
          <w:rFonts w:hint="eastAsia" w:ascii="宋体" w:hAnsi="宋体" w:cs="Arial"/>
          <w:sz w:val="24"/>
          <w:highlight w:val="none"/>
        </w:rPr>
        <w:t>元。</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甲方向乙方支付的保险费已含相应税金，在每次支付保费前乙方（或者乙方的省级</w:t>
      </w:r>
      <w:r>
        <w:rPr>
          <w:rFonts w:hint="eastAsia" w:ascii="宋体" w:hAnsi="宋体"/>
          <w:sz w:val="24"/>
          <w:highlight w:val="none"/>
        </w:rPr>
        <w:t>（</w:t>
      </w:r>
      <w:r>
        <w:rPr>
          <w:rFonts w:ascii="宋体" w:hAnsi="宋体"/>
          <w:sz w:val="24"/>
          <w:highlight w:val="none"/>
        </w:rPr>
        <w:t>或直辖市</w:t>
      </w:r>
      <w:r>
        <w:rPr>
          <w:rFonts w:hint="eastAsia" w:ascii="宋体" w:hAnsi="宋体"/>
          <w:sz w:val="24"/>
          <w:highlight w:val="none"/>
        </w:rPr>
        <w:t>）</w:t>
      </w:r>
      <w:r>
        <w:rPr>
          <w:rFonts w:hint="eastAsia" w:ascii="宋体" w:hAnsi="宋体" w:cs="Arial"/>
          <w:sz w:val="24"/>
          <w:highlight w:val="none"/>
        </w:rPr>
        <w:t>分公司）应按甲方要求向甲方出具合法的增值税专用发票。上述保险费中含乙方自行承诺的风险管理及防灾防损专项费用。</w:t>
      </w:r>
    </w:p>
    <w:p>
      <w:pPr>
        <w:adjustRightInd w:val="0"/>
        <w:snapToGrid w:val="0"/>
        <w:spacing w:line="360" w:lineRule="auto"/>
        <w:ind w:firstLine="480" w:firstLineChars="200"/>
        <w:rPr>
          <w:rFonts w:hint="eastAsia" w:ascii="宋体" w:hAnsi="宋体" w:cs="Arial"/>
          <w:sz w:val="24"/>
          <w:highlight w:val="none"/>
        </w:rPr>
      </w:pPr>
      <w:r>
        <w:rPr>
          <w:rFonts w:ascii="宋体" w:hAnsi="宋体" w:cs="Arial"/>
          <w:sz w:val="24"/>
          <w:highlight w:val="none"/>
        </w:rPr>
        <w:t>2</w:t>
      </w:r>
      <w:r>
        <w:rPr>
          <w:rFonts w:hint="eastAsia" w:ascii="宋体" w:hAnsi="宋体" w:cs="Arial"/>
          <w:sz w:val="24"/>
          <w:highlight w:val="none"/>
        </w:rPr>
        <w:t>、保险费支付：</w:t>
      </w:r>
    </w:p>
    <w:p>
      <w:pPr>
        <w:adjustRightInd w:val="0"/>
        <w:snapToGrid w:val="0"/>
        <w:spacing w:line="360" w:lineRule="auto"/>
        <w:ind w:firstLine="480" w:firstLineChars="200"/>
        <w:rPr>
          <w:rFonts w:hint="eastAsia" w:ascii="宋体" w:hAnsi="宋体" w:eastAsia="宋体" w:cs="Arial"/>
          <w:sz w:val="24"/>
          <w:highlight w:val="none"/>
        </w:rPr>
      </w:pPr>
      <w:r>
        <w:rPr>
          <w:rFonts w:hint="eastAsia" w:ascii="宋体" w:hAnsi="宋体" w:eastAsia="宋体" w:cs="Arial"/>
          <w:sz w:val="24"/>
          <w:highlight w:val="none"/>
        </w:rPr>
        <w:t>合同签订后30天内保费一次性支付。</w:t>
      </w:r>
    </w:p>
    <w:p>
      <w:pPr>
        <w:adjustRightInd w:val="0"/>
        <w:snapToGrid w:val="0"/>
        <w:spacing w:line="360" w:lineRule="auto"/>
        <w:ind w:firstLine="482" w:firstLineChars="200"/>
        <w:rPr>
          <w:rFonts w:hint="eastAsia" w:ascii="宋体" w:hAnsi="宋体" w:cs="Arial"/>
          <w:b/>
          <w:sz w:val="24"/>
          <w:highlight w:val="none"/>
        </w:rPr>
      </w:pPr>
      <w:r>
        <w:rPr>
          <w:rFonts w:hint="eastAsia" w:ascii="宋体" w:hAnsi="宋体" w:cs="Arial"/>
          <w:b/>
          <w:sz w:val="24"/>
          <w:highlight w:val="none"/>
        </w:rPr>
        <w:t>八、保险期内服务</w:t>
      </w:r>
    </w:p>
    <w:p>
      <w:pPr>
        <w:adjustRightInd w:val="0"/>
        <w:snapToGrid w:val="0"/>
        <w:spacing w:line="360" w:lineRule="auto"/>
        <w:ind w:firstLine="482" w:firstLineChars="200"/>
        <w:rPr>
          <w:rFonts w:hint="eastAsia" w:ascii="宋体" w:hAnsi="宋体" w:cs="Arial"/>
          <w:b/>
          <w:sz w:val="24"/>
          <w:highlight w:val="none"/>
        </w:rPr>
      </w:pPr>
      <w:r>
        <w:rPr>
          <w:rFonts w:hint="eastAsia" w:ascii="宋体" w:hAnsi="宋体" w:cs="Arial"/>
          <w:b/>
          <w:sz w:val="24"/>
          <w:highlight w:val="none"/>
        </w:rPr>
        <w:t>在如下期内服务中，由首席承保人全权代表乙方履行服务职责，如乙方各方之间存在争议，均以首席承保人最终意见为准。</w:t>
      </w:r>
    </w:p>
    <w:p>
      <w:pPr>
        <w:adjustRightInd w:val="0"/>
        <w:snapToGrid w:val="0"/>
        <w:spacing w:line="360" w:lineRule="auto"/>
        <w:ind w:firstLine="482" w:firstLineChars="200"/>
        <w:rPr>
          <w:rFonts w:hint="eastAsia" w:ascii="宋体" w:hAnsi="宋体" w:cs="Arial"/>
          <w:b/>
          <w:sz w:val="24"/>
          <w:highlight w:val="none"/>
        </w:rPr>
      </w:pPr>
      <w:r>
        <w:rPr>
          <w:rFonts w:hint="eastAsia" w:ascii="宋体" w:hAnsi="宋体" w:cs="Arial"/>
          <w:b/>
          <w:sz w:val="24"/>
          <w:highlight w:val="none"/>
        </w:rPr>
        <w:t>（一）项目服务小组</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乙方成立本项目保险项目服务小组，在本协议生效后立即投入正式工作，负责处理一切保险事宜。共保体项目各小组组长为本项目乙方投标文件中拟派的项目负责人并不得更换，其他成员人员变动须提前  日书面通知甲方并获得甲方同意。如擅自变更项目小组组长、副组长，甲方有权选择终止本协议，同时有权没收乙方履约担保的</w:t>
      </w:r>
      <w:r>
        <w:rPr>
          <w:rFonts w:ascii="宋体" w:hAnsi="宋体" w:cs="Arial"/>
          <w:sz w:val="24"/>
          <w:highlight w:val="none"/>
        </w:rPr>
        <w:t>2%</w:t>
      </w:r>
      <w:r>
        <w:rPr>
          <w:rFonts w:hint="eastAsia" w:ascii="宋体" w:hAnsi="宋体" w:cs="Arial"/>
          <w:sz w:val="24"/>
          <w:highlight w:val="none"/>
        </w:rPr>
        <w:t>作为违约金，若给甲方造成经济损失，乙方无条件负责赔偿甲方所有损失；如擅自变更项目小组成员，甲方有权没收乙方交纳的履约担保的</w:t>
      </w:r>
      <w:r>
        <w:rPr>
          <w:rFonts w:ascii="宋体" w:hAnsi="宋体" w:cs="Arial"/>
          <w:sz w:val="24"/>
          <w:highlight w:val="none"/>
        </w:rPr>
        <w:t>1%</w:t>
      </w:r>
      <w:r>
        <w:rPr>
          <w:rFonts w:hint="eastAsia" w:ascii="宋体" w:hAnsi="宋体" w:cs="Arial"/>
          <w:sz w:val="24"/>
          <w:highlight w:val="none"/>
        </w:rPr>
        <w:t>，若给甲方造成经济损失，乙方无条件负责赔偿甲方所有损失。</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乙方授权代表不得无故缺席甲方组织的会议，如确实无法出席会议，乙方或者乙方的省级</w:t>
      </w:r>
      <w:r>
        <w:rPr>
          <w:rFonts w:hint="eastAsia" w:ascii="宋体" w:hAnsi="宋体"/>
          <w:sz w:val="24"/>
          <w:highlight w:val="none"/>
        </w:rPr>
        <w:t>（</w:t>
      </w:r>
      <w:r>
        <w:rPr>
          <w:rFonts w:ascii="宋体" w:hAnsi="宋体"/>
          <w:sz w:val="24"/>
          <w:highlight w:val="none"/>
        </w:rPr>
        <w:t>或直辖市</w:t>
      </w:r>
      <w:r>
        <w:rPr>
          <w:rFonts w:hint="eastAsia" w:ascii="宋体" w:hAnsi="宋体"/>
          <w:sz w:val="24"/>
          <w:highlight w:val="none"/>
        </w:rPr>
        <w:t>）</w:t>
      </w:r>
      <w:r>
        <w:rPr>
          <w:rFonts w:hint="eastAsia" w:ascii="宋体" w:hAnsi="宋体" w:cs="Arial"/>
          <w:sz w:val="24"/>
          <w:highlight w:val="none"/>
        </w:rPr>
        <w:t>分公司应提前向甲方书面报备并授权相关人员出席会议。（注：项目小组组长每半年总结考评和年终总结考评不得缺席）如项目期内乙方授权代表无故缺席，第一次缺席，甲方有权进行书面警告，乙方授权代表要进行书面回复并进行说明原因。第二次及以上缺席，乙方授权代表每缺席一次，甲方有权没收乙方交纳的履约担保的</w:t>
      </w:r>
      <w:r>
        <w:rPr>
          <w:rFonts w:ascii="宋体" w:hAnsi="宋体" w:cs="Arial"/>
          <w:sz w:val="24"/>
          <w:highlight w:val="none"/>
        </w:rPr>
        <w:t>1%</w:t>
      </w:r>
      <w:r>
        <w:rPr>
          <w:rFonts w:hint="eastAsia" w:ascii="宋体" w:hAnsi="宋体" w:cs="Arial"/>
          <w:sz w:val="24"/>
          <w:highlight w:val="none"/>
        </w:rPr>
        <w:t>。</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其他共保体应明确各自相应的联系人，处理相关共保事项。</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共保体各方的项目服务小组成员，各方应保证服务人员的长期稳定性。</w:t>
      </w:r>
    </w:p>
    <w:p>
      <w:pPr>
        <w:adjustRightInd w:val="0"/>
        <w:snapToGrid w:val="0"/>
        <w:spacing w:line="360" w:lineRule="auto"/>
        <w:ind w:firstLine="482" w:firstLineChars="200"/>
        <w:rPr>
          <w:rFonts w:hint="eastAsia" w:ascii="宋体" w:hAnsi="宋体" w:cs="Arial"/>
          <w:b/>
          <w:kern w:val="0"/>
          <w:sz w:val="24"/>
          <w:highlight w:val="none"/>
        </w:rPr>
      </w:pPr>
      <w:r>
        <w:rPr>
          <w:rFonts w:hint="eastAsia" w:ascii="宋体" w:hAnsi="宋体" w:cs="Arial"/>
          <w:b/>
          <w:kern w:val="0"/>
          <w:sz w:val="24"/>
          <w:highlight w:val="none"/>
        </w:rPr>
        <w:t>（二）培训服务</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在保险有效期内，乙方承诺应按照甲方要求为甲方至少举办一次风险管理、防灾防损、保险知识等专题培训，以提高甲方相关人员的安全意识和防灾防损技能，应包括但不限于：（</w:t>
      </w:r>
      <w:r>
        <w:rPr>
          <w:rFonts w:ascii="宋体" w:hAnsi="宋体" w:cs="Arial"/>
          <w:sz w:val="24"/>
          <w:highlight w:val="none"/>
        </w:rPr>
        <w:t>1</w:t>
      </w:r>
      <w:r>
        <w:rPr>
          <w:rFonts w:hint="eastAsia" w:ascii="宋体" w:hAnsi="宋体" w:cs="Arial"/>
          <w:sz w:val="24"/>
          <w:highlight w:val="none"/>
        </w:rPr>
        <w:t>）保险知识系列培训：保险基础知识、风险与保险、保险索赔与理赔知识及流程等保险系列讲座；</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w:t>
      </w:r>
      <w:r>
        <w:rPr>
          <w:rFonts w:ascii="宋体" w:hAnsi="宋体" w:cs="Arial"/>
          <w:sz w:val="24"/>
          <w:highlight w:val="none"/>
        </w:rPr>
        <w:t>2</w:t>
      </w:r>
      <w:r>
        <w:rPr>
          <w:rFonts w:hint="eastAsia" w:ascii="宋体" w:hAnsi="宋体" w:cs="Arial"/>
          <w:sz w:val="24"/>
          <w:highlight w:val="none"/>
        </w:rPr>
        <w:t>）风险防范系列培训：从本工程风险防范与施工安全的角度聘请专家举办讲座、研讨、安排有关安全检查等系列交流活动；</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w:t>
      </w:r>
      <w:r>
        <w:rPr>
          <w:rFonts w:ascii="宋体" w:hAnsi="宋体" w:cs="Arial"/>
          <w:sz w:val="24"/>
          <w:highlight w:val="none"/>
        </w:rPr>
        <w:t>3</w:t>
      </w:r>
      <w:r>
        <w:rPr>
          <w:rFonts w:hint="eastAsia" w:ascii="宋体" w:hAnsi="宋体" w:cs="Arial"/>
          <w:sz w:val="24"/>
          <w:highlight w:val="none"/>
        </w:rPr>
        <w:t>）全面风险管理概念、全面风险管理流程、全面风险管理技术咨询培训：促进相关人员了解工程风险管理的最新理论、最佳实践及本项目的风险管理体系建设方案。</w:t>
      </w:r>
    </w:p>
    <w:p>
      <w:pPr>
        <w:adjustRightInd w:val="0"/>
        <w:snapToGrid w:val="0"/>
        <w:spacing w:line="360" w:lineRule="auto"/>
        <w:ind w:firstLine="482" w:firstLineChars="200"/>
        <w:rPr>
          <w:rFonts w:hint="eastAsia" w:ascii="宋体" w:hAnsi="宋体" w:cs="Arial"/>
          <w:b/>
          <w:kern w:val="0"/>
          <w:sz w:val="24"/>
          <w:highlight w:val="none"/>
        </w:rPr>
      </w:pPr>
      <w:r>
        <w:rPr>
          <w:rFonts w:hint="eastAsia" w:ascii="宋体" w:hAnsi="宋体" w:cs="Arial"/>
          <w:b/>
          <w:kern w:val="0"/>
          <w:sz w:val="24"/>
          <w:highlight w:val="none"/>
        </w:rPr>
        <w:t>（三）理赔服务</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乙方同意，一般情况下，首席承保人代表乙方处理理赔相关事务并作出理赔决定；</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若其他共同承保人参与理赔处理，且与首席承保人之间存在意见分歧，则以首席承保人意见为准。</w:t>
      </w:r>
    </w:p>
    <w:p>
      <w:pPr>
        <w:adjustRightInd w:val="0"/>
        <w:snapToGrid w:val="0"/>
        <w:spacing w:line="360" w:lineRule="auto"/>
        <w:ind w:firstLine="482" w:firstLineChars="200"/>
        <w:rPr>
          <w:rFonts w:hint="eastAsia" w:ascii="宋体" w:hAnsi="宋体" w:cs="Arial"/>
          <w:b/>
          <w:kern w:val="0"/>
          <w:sz w:val="24"/>
          <w:highlight w:val="none"/>
        </w:rPr>
      </w:pPr>
      <w:r>
        <w:rPr>
          <w:rFonts w:ascii="宋体" w:hAnsi="宋体" w:cs="Arial"/>
          <w:b/>
          <w:kern w:val="0"/>
          <w:sz w:val="24"/>
          <w:highlight w:val="none"/>
        </w:rPr>
        <w:t>1</w:t>
      </w:r>
      <w:r>
        <w:rPr>
          <w:rFonts w:hint="eastAsia" w:ascii="宋体" w:hAnsi="宋体" w:cs="Arial"/>
          <w:b/>
          <w:kern w:val="0"/>
          <w:sz w:val="24"/>
          <w:highlight w:val="none"/>
        </w:rPr>
        <w:t>、出险通知</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甲方在获悉发生损失后，应及时通知首席承保人。首席承保人接到出险通知后应在</w:t>
      </w:r>
      <w:r>
        <w:rPr>
          <w:rFonts w:ascii="宋体" w:hAnsi="宋体" w:cs="Arial"/>
          <w:sz w:val="24"/>
          <w:highlight w:val="none"/>
        </w:rPr>
        <w:t xml:space="preserve">1 </w:t>
      </w:r>
      <w:r>
        <w:rPr>
          <w:rFonts w:hint="eastAsia" w:ascii="宋体" w:hAnsi="宋体" w:cs="Arial"/>
          <w:sz w:val="24"/>
          <w:highlight w:val="none"/>
        </w:rPr>
        <w:t>个工作日内以邮件、电话或传真等形式通知其他共保体成员，但在首席承保人处理权限（报损金额</w:t>
      </w:r>
      <w:r>
        <w:rPr>
          <w:rFonts w:hint="eastAsia" w:ascii="宋体" w:hAnsi="宋体" w:cs="Arial"/>
          <w:sz w:val="24"/>
          <w:highlight w:val="none"/>
          <w:lang w:val="en-US" w:eastAsia="zh-CN"/>
        </w:rPr>
        <w:t>3</w:t>
      </w:r>
      <w:r>
        <w:rPr>
          <w:rFonts w:hint="eastAsia" w:ascii="宋体" w:hAnsi="宋体" w:cs="Arial"/>
          <w:sz w:val="24"/>
          <w:highlight w:val="none"/>
        </w:rPr>
        <w:t>00万元）以内的除外。</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首席保险人有义务提供</w:t>
      </w:r>
      <w:r>
        <w:rPr>
          <w:rFonts w:ascii="宋体" w:hAnsi="宋体" w:cs="Arial"/>
          <w:sz w:val="24"/>
          <w:highlight w:val="none"/>
        </w:rPr>
        <w:t>24</w:t>
      </w:r>
      <w:r>
        <w:rPr>
          <w:rFonts w:hint="eastAsia" w:ascii="宋体" w:hAnsi="宋体" w:cs="Arial"/>
          <w:sz w:val="24"/>
          <w:highlight w:val="none"/>
        </w:rPr>
        <w:t>小时专线电话、传真、邮件以及理赔服务，接受被保险人的出险报案。</w:t>
      </w:r>
    </w:p>
    <w:p>
      <w:pPr>
        <w:adjustRightInd w:val="0"/>
        <w:snapToGrid w:val="0"/>
        <w:spacing w:line="360" w:lineRule="auto"/>
        <w:ind w:firstLine="480" w:firstLineChars="200"/>
        <w:rPr>
          <w:rFonts w:hint="eastAsia" w:ascii="宋体" w:hAnsi="宋体" w:cs="Arial"/>
          <w:sz w:val="24"/>
          <w:highlight w:val="none"/>
          <w:u w:val="single"/>
        </w:rPr>
      </w:pPr>
      <w:r>
        <w:rPr>
          <w:rFonts w:ascii="宋体" w:hAnsi="宋体" w:cs="Arial"/>
          <w:sz w:val="24"/>
          <w:highlight w:val="none"/>
        </w:rPr>
        <w:t>24</w:t>
      </w:r>
      <w:r>
        <w:rPr>
          <w:rFonts w:hint="eastAsia" w:ascii="宋体" w:hAnsi="宋体" w:cs="Arial"/>
          <w:sz w:val="24"/>
          <w:highlight w:val="none"/>
        </w:rPr>
        <w:t>小时专线电话:</w:t>
      </w:r>
      <w:r>
        <w:rPr>
          <w:rFonts w:hint="eastAsia" w:ascii="宋体" w:hAnsi="宋体" w:cs="Arial"/>
          <w:sz w:val="24"/>
          <w:highlight w:val="none"/>
          <w:u w:val="single"/>
        </w:rPr>
        <w:t xml:space="preserve">                         </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u w:val="single"/>
        </w:rPr>
      </w:pPr>
      <w:r>
        <w:rPr>
          <w:rFonts w:hint="eastAsia" w:ascii="宋体" w:hAnsi="宋体" w:cs="Arial"/>
          <w:sz w:val="24"/>
          <w:highlight w:val="none"/>
        </w:rPr>
        <w:t>传真:</w:t>
      </w:r>
      <w:r>
        <w:rPr>
          <w:rFonts w:hint="eastAsia" w:ascii="宋体" w:hAnsi="宋体" w:cs="Arial"/>
          <w:sz w:val="24"/>
          <w:highlight w:val="none"/>
          <w:u w:val="single"/>
        </w:rPr>
        <w:t xml:space="preserve">                                   </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u w:val="single"/>
        </w:rPr>
      </w:pPr>
      <w:r>
        <w:rPr>
          <w:rFonts w:hint="eastAsia" w:ascii="宋体" w:hAnsi="宋体" w:cs="Arial"/>
          <w:sz w:val="24"/>
          <w:highlight w:val="none"/>
        </w:rPr>
        <w:t xml:space="preserve">邮件: </w:t>
      </w:r>
      <w:r>
        <w:rPr>
          <w:rFonts w:hint="eastAsia" w:ascii="宋体" w:hAnsi="宋体" w:cs="Arial"/>
          <w:sz w:val="24"/>
          <w:highlight w:val="none"/>
          <w:u w:val="single"/>
        </w:rPr>
        <w:t xml:space="preserve">                                  </w:t>
      </w:r>
    </w:p>
    <w:p>
      <w:pPr>
        <w:pStyle w:val="2"/>
        <w:tabs>
          <w:tab w:val="left" w:pos="840"/>
        </w:tabs>
        <w:adjustRightInd w:val="0"/>
        <w:snapToGrid w:val="0"/>
        <w:spacing w:after="0" w:line="360" w:lineRule="auto"/>
        <w:ind w:left="0" w:firstLine="482" w:firstLineChars="200"/>
        <w:rPr>
          <w:rFonts w:hint="eastAsia" w:ascii="宋体" w:hAnsi="宋体" w:cs="Arial"/>
          <w:b/>
          <w:kern w:val="0"/>
          <w:sz w:val="24"/>
          <w:highlight w:val="none"/>
        </w:rPr>
      </w:pPr>
      <w:r>
        <w:rPr>
          <w:rFonts w:ascii="宋体" w:hAnsi="宋体" w:cs="Arial"/>
          <w:b/>
          <w:kern w:val="0"/>
          <w:sz w:val="24"/>
          <w:highlight w:val="none"/>
        </w:rPr>
        <w:t>2</w:t>
      </w:r>
      <w:r>
        <w:rPr>
          <w:rFonts w:hint="eastAsia" w:ascii="宋体" w:hAnsi="宋体" w:cs="Arial"/>
          <w:b/>
          <w:kern w:val="0"/>
          <w:sz w:val="24"/>
          <w:highlight w:val="none"/>
        </w:rPr>
        <w:t>、现场查勘时限</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rPr>
      </w:pPr>
      <w:r>
        <w:rPr>
          <w:rFonts w:hint="eastAsia" w:ascii="宋体" w:hAnsi="宋体" w:cs="Arial"/>
          <w:sz w:val="24"/>
          <w:highlight w:val="none"/>
        </w:rPr>
        <w:t>首席承保人严格执行</w:t>
      </w:r>
      <w:r>
        <w:rPr>
          <w:rFonts w:ascii="宋体" w:hAnsi="宋体" w:cs="Arial"/>
          <w:sz w:val="24"/>
          <w:highlight w:val="none"/>
        </w:rPr>
        <w:t>365</w:t>
      </w:r>
      <w:r>
        <w:rPr>
          <w:rFonts w:hint="eastAsia" w:ascii="宋体" w:hAnsi="宋体" w:cs="Arial"/>
          <w:sz w:val="24"/>
          <w:highlight w:val="none"/>
        </w:rPr>
        <w:t>天、</w:t>
      </w:r>
      <w:r>
        <w:rPr>
          <w:rFonts w:ascii="宋体" w:hAnsi="宋体" w:cs="Arial"/>
          <w:sz w:val="24"/>
          <w:highlight w:val="none"/>
        </w:rPr>
        <w:t>24</w:t>
      </w:r>
      <w:r>
        <w:rPr>
          <w:rFonts w:hint="eastAsia" w:ascii="宋体" w:hAnsi="宋体" w:cs="Arial"/>
          <w:sz w:val="24"/>
          <w:highlight w:val="none"/>
        </w:rPr>
        <w:t>小时的全天候接报案制度，接到甲方及其经纪人的报案通知后，首席承保人必须立即答复是否需要保留现场，并有义务在</w:t>
      </w:r>
      <w:r>
        <w:rPr>
          <w:rFonts w:ascii="宋体" w:hAnsi="宋体" w:cs="Arial"/>
          <w:sz w:val="24"/>
          <w:highlight w:val="none"/>
        </w:rPr>
        <w:t>1</w:t>
      </w:r>
      <w:r>
        <w:rPr>
          <w:rFonts w:hint="eastAsia" w:ascii="宋体" w:hAnsi="宋体" w:cs="Arial"/>
          <w:sz w:val="24"/>
          <w:highlight w:val="none"/>
        </w:rPr>
        <w:t>小时内派人前往事故现场进行查勘；查勘人员未按上述规定及时到达现场，则以甲方提供的事故现场事实照片以及相应证明文件作为理赔依据。</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rPr>
      </w:pPr>
      <w:r>
        <w:rPr>
          <w:rFonts w:hint="eastAsia" w:ascii="宋体" w:hAnsi="宋体" w:cs="Arial"/>
          <w:sz w:val="24"/>
          <w:highlight w:val="none"/>
        </w:rPr>
        <w:t>首席承保人接到人员伤亡事故的报案通知后，有义务在</w:t>
      </w:r>
      <w:r>
        <w:rPr>
          <w:rFonts w:ascii="宋体" w:hAnsi="宋体" w:cs="Arial"/>
          <w:sz w:val="24"/>
          <w:highlight w:val="none"/>
        </w:rPr>
        <w:t>1</w:t>
      </w:r>
      <w:r>
        <w:rPr>
          <w:rFonts w:hint="eastAsia" w:ascii="宋体" w:hAnsi="宋体" w:cs="Arial"/>
          <w:sz w:val="24"/>
          <w:highlight w:val="none"/>
        </w:rPr>
        <w:t>小时内派员前往现场调查、处理人伤事故有关事宜，并将处理伤亡事故人员的联系方式书面通知甲方或其保险经纪人。</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rPr>
      </w:pPr>
      <w:r>
        <w:rPr>
          <w:rFonts w:hint="eastAsia" w:ascii="宋体" w:hAnsi="宋体" w:cs="Arial"/>
          <w:sz w:val="24"/>
          <w:highlight w:val="none"/>
        </w:rPr>
        <w:t>查勘人员到达事故现场后，应立即对出险时间、地点、原因、经过展开调查，现场查勘范围包括</w:t>
      </w:r>
      <w:r>
        <w:rPr>
          <w:rFonts w:ascii="宋体" w:hAnsi="宋体" w:cs="Arial"/>
          <w:sz w:val="24"/>
          <w:highlight w:val="none"/>
        </w:rPr>
        <w:t>(</w:t>
      </w:r>
      <w:r>
        <w:rPr>
          <w:rFonts w:hint="eastAsia" w:ascii="宋体" w:hAnsi="宋体" w:cs="Arial"/>
          <w:sz w:val="24"/>
          <w:highlight w:val="none"/>
        </w:rPr>
        <w:t>但不限于</w:t>
      </w:r>
      <w:r>
        <w:rPr>
          <w:rFonts w:ascii="宋体" w:hAnsi="宋体" w:cs="Arial"/>
          <w:sz w:val="24"/>
          <w:highlight w:val="none"/>
        </w:rPr>
        <w:t>)</w:t>
      </w:r>
      <w:r>
        <w:rPr>
          <w:rFonts w:hint="eastAsia" w:ascii="宋体" w:hAnsi="宋体" w:cs="Arial"/>
          <w:sz w:val="24"/>
          <w:highlight w:val="none"/>
        </w:rPr>
        <w:t>：</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1</w:t>
      </w:r>
      <w:r>
        <w:rPr>
          <w:rFonts w:hint="eastAsia" w:ascii="宋体" w:hAnsi="宋体" w:cs="Arial"/>
          <w:sz w:val="24"/>
          <w:highlight w:val="none"/>
        </w:rPr>
        <w:t>）与甲方及其经纪人共同进行事故现场调查；</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2</w:t>
      </w:r>
      <w:r>
        <w:rPr>
          <w:rFonts w:hint="eastAsia" w:ascii="宋体" w:hAnsi="宋体" w:cs="Arial"/>
          <w:sz w:val="24"/>
          <w:highlight w:val="none"/>
        </w:rPr>
        <w:t>）了解事故发生经过、原因；查验人员伤亡、清点受损财产情况；</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3</w:t>
      </w:r>
      <w:r>
        <w:rPr>
          <w:rFonts w:hint="eastAsia" w:ascii="宋体" w:hAnsi="宋体" w:cs="Arial"/>
          <w:sz w:val="24"/>
          <w:highlight w:val="none"/>
        </w:rPr>
        <w:t>）了解事故前后施救措施、施工条件以及重建修复方案；</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rPr>
      </w:pPr>
      <w:r>
        <w:rPr>
          <w:rFonts w:hint="eastAsia" w:ascii="宋体" w:hAnsi="宋体" w:cs="Arial"/>
          <w:sz w:val="24"/>
          <w:highlight w:val="none"/>
        </w:rPr>
        <w:t>（</w:t>
      </w:r>
      <w:r>
        <w:rPr>
          <w:rFonts w:ascii="宋体" w:hAnsi="宋体" w:cs="Arial"/>
          <w:sz w:val="24"/>
          <w:highlight w:val="none"/>
        </w:rPr>
        <w:t>4</w:t>
      </w:r>
      <w:r>
        <w:rPr>
          <w:rFonts w:hint="eastAsia" w:ascii="宋体" w:hAnsi="宋体" w:cs="Arial"/>
          <w:sz w:val="24"/>
          <w:highlight w:val="none"/>
        </w:rPr>
        <w:t>）与甲方对现场查勘记录进行签字确认等。</w:t>
      </w:r>
    </w:p>
    <w:p>
      <w:pPr>
        <w:pStyle w:val="2"/>
        <w:tabs>
          <w:tab w:val="left" w:pos="840"/>
        </w:tabs>
        <w:adjustRightInd w:val="0"/>
        <w:snapToGrid w:val="0"/>
        <w:spacing w:after="0" w:line="360" w:lineRule="auto"/>
        <w:ind w:left="0" w:firstLine="482" w:firstLineChars="200"/>
        <w:rPr>
          <w:rFonts w:hint="eastAsia" w:ascii="宋体" w:hAnsi="宋体" w:cs="Arial"/>
          <w:b/>
          <w:kern w:val="0"/>
          <w:sz w:val="24"/>
          <w:highlight w:val="none"/>
        </w:rPr>
      </w:pPr>
      <w:r>
        <w:rPr>
          <w:rFonts w:ascii="宋体" w:hAnsi="宋体" w:cs="Arial"/>
          <w:b/>
          <w:kern w:val="0"/>
          <w:sz w:val="24"/>
          <w:highlight w:val="none"/>
        </w:rPr>
        <w:t>3</w:t>
      </w:r>
      <w:r>
        <w:rPr>
          <w:rFonts w:hint="eastAsia" w:ascii="宋体" w:hAnsi="宋体" w:cs="Arial"/>
          <w:b/>
          <w:kern w:val="0"/>
          <w:sz w:val="24"/>
          <w:highlight w:val="none"/>
        </w:rPr>
        <w:t>、单证审核及补充单证资料与拒赔举证时限</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甲方及其经纪人以</w:t>
      </w:r>
      <w:r>
        <w:rPr>
          <w:rFonts w:ascii="宋体" w:hAnsi="宋体" w:cs="Arial"/>
          <w:sz w:val="24"/>
          <w:highlight w:val="none"/>
        </w:rPr>
        <w:t>EMS</w:t>
      </w:r>
      <w:r>
        <w:rPr>
          <w:rFonts w:hint="eastAsia" w:ascii="宋体" w:hAnsi="宋体" w:cs="Arial"/>
          <w:sz w:val="24"/>
          <w:highlight w:val="none"/>
        </w:rPr>
        <w:t>、邮寄、传真或其他方式向首席承保人提交必需的、有效的、真实的索赔单证和资料。</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1</w:t>
      </w:r>
      <w:r>
        <w:rPr>
          <w:rFonts w:hint="eastAsia" w:ascii="宋体" w:hAnsi="宋体" w:cs="Arial"/>
          <w:sz w:val="24"/>
          <w:highlight w:val="none"/>
        </w:rPr>
        <w:t>）签收、审核索赔申请以及相关文件时限</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乙方或检验人有责任实时签收甲方提交的事故损失索赔文件；在接到甲方的索赔申请以及相关单证后</w:t>
      </w:r>
      <w:r>
        <w:rPr>
          <w:rFonts w:ascii="宋体" w:hAnsi="宋体" w:cs="Arial"/>
          <w:sz w:val="24"/>
          <w:highlight w:val="none"/>
        </w:rPr>
        <w:t xml:space="preserve">15 </w:t>
      </w:r>
      <w:r>
        <w:rPr>
          <w:rFonts w:hint="eastAsia" w:ascii="宋体" w:hAnsi="宋体" w:cs="Arial"/>
          <w:sz w:val="24"/>
          <w:highlight w:val="none"/>
        </w:rPr>
        <w:t>个日历天内完成审查工作。</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2</w:t>
      </w:r>
      <w:r>
        <w:rPr>
          <w:rFonts w:hint="eastAsia" w:ascii="宋体" w:hAnsi="宋体" w:cs="Arial"/>
          <w:sz w:val="24"/>
          <w:highlight w:val="none"/>
        </w:rPr>
        <w:t>）要求补充单证资料时限</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若乙方或检验人认为被保险人对事故过程的客观描述及施救、恢复措施及相关费用的索赔证明资料不完整，或与本细则规定的索赔单证不符，应在接到甲方的索赔申请以及相关单证后</w:t>
      </w:r>
      <w:r>
        <w:rPr>
          <w:rFonts w:ascii="宋体" w:hAnsi="宋体" w:cs="Arial"/>
          <w:sz w:val="24"/>
          <w:highlight w:val="none"/>
        </w:rPr>
        <w:t xml:space="preserve"> 15 </w:t>
      </w:r>
      <w:r>
        <w:rPr>
          <w:rFonts w:hint="eastAsia" w:ascii="宋体" w:hAnsi="宋体" w:cs="Arial"/>
          <w:sz w:val="24"/>
          <w:highlight w:val="none"/>
        </w:rPr>
        <w:t>个日历天内，向甲方书面提出要求补充的资料。若在接到索赔资料后</w:t>
      </w:r>
      <w:r>
        <w:rPr>
          <w:rFonts w:ascii="宋体" w:hAnsi="宋体" w:cs="Arial"/>
          <w:sz w:val="24"/>
          <w:highlight w:val="none"/>
        </w:rPr>
        <w:t xml:space="preserve">15 </w:t>
      </w:r>
      <w:r>
        <w:rPr>
          <w:rFonts w:hint="eastAsia" w:ascii="宋体" w:hAnsi="宋体" w:cs="Arial"/>
          <w:sz w:val="24"/>
          <w:highlight w:val="none"/>
        </w:rPr>
        <w:t>个日历天内未提出补充提供的有关证明或资料意见或通知，则视为首席承保人认可索赔资料完整。</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3</w:t>
      </w:r>
      <w:r>
        <w:rPr>
          <w:rFonts w:hint="eastAsia" w:ascii="宋体" w:hAnsi="宋体" w:cs="Arial"/>
          <w:sz w:val="24"/>
          <w:highlight w:val="none"/>
        </w:rPr>
        <w:t>）审查《检验理算报告》时限</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乙方有责任在收到检验理算人发给保险双方的《检验理算报告》后</w:t>
      </w:r>
      <w:r>
        <w:rPr>
          <w:rFonts w:ascii="宋体" w:hAnsi="宋体" w:cs="Arial"/>
          <w:sz w:val="24"/>
          <w:highlight w:val="none"/>
        </w:rPr>
        <w:t xml:space="preserve">15 </w:t>
      </w:r>
      <w:r>
        <w:rPr>
          <w:rFonts w:hint="eastAsia" w:ascii="宋体" w:hAnsi="宋体" w:cs="Arial"/>
          <w:sz w:val="24"/>
          <w:highlight w:val="none"/>
        </w:rPr>
        <w:t>日历天完成审查工作；并将审查意见以书面形式发给乙方及检验理算人。乙方在上述时间内未书面提出审查核实异议，即视为索赔证明资料完整、真实、有效，事故保险责任成立。</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4</w:t>
      </w:r>
      <w:r>
        <w:rPr>
          <w:rFonts w:hint="eastAsia" w:ascii="宋体" w:hAnsi="宋体" w:cs="Arial"/>
          <w:sz w:val="24"/>
          <w:highlight w:val="none"/>
        </w:rPr>
        <w:t>）拒赔举证责任</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乙方在收到被保险人的索赔申请及资料后，若认为全部或部分责任不属于保险责任，应在</w:t>
      </w:r>
      <w:r>
        <w:rPr>
          <w:rFonts w:ascii="宋体" w:hAnsi="宋体" w:cs="Arial"/>
          <w:sz w:val="24"/>
          <w:highlight w:val="none"/>
        </w:rPr>
        <w:t xml:space="preserve">30 </w:t>
      </w:r>
      <w:r>
        <w:rPr>
          <w:rFonts w:hint="eastAsia" w:ascii="宋体" w:hAnsi="宋体" w:cs="Arial"/>
          <w:sz w:val="24"/>
          <w:highlight w:val="none"/>
        </w:rPr>
        <w:t>个工作日内向甲方及其经纪人发出书面拒绝赔偿或拒付保险赔偿金的通知，并附载明拒赔依据以及检验理算人的拒赔报告。</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5</w:t>
      </w:r>
      <w:r>
        <w:rPr>
          <w:rFonts w:hint="eastAsia" w:ascii="宋体" w:hAnsi="宋体" w:cs="Arial"/>
          <w:sz w:val="24"/>
          <w:highlight w:val="none"/>
        </w:rPr>
        <w:t>）乙方抗辩澄清责任</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rPr>
      </w:pPr>
      <w:r>
        <w:rPr>
          <w:rFonts w:hint="eastAsia" w:ascii="宋体" w:hAnsi="宋体" w:cs="Arial"/>
          <w:sz w:val="24"/>
          <w:highlight w:val="none"/>
        </w:rPr>
        <w:t>乙方以及检验理算人在收到甲方对事故责任或金额的书面抗辩意见后，应在</w:t>
      </w:r>
      <w:r>
        <w:rPr>
          <w:rFonts w:ascii="宋体" w:hAnsi="宋体" w:cs="Arial"/>
          <w:sz w:val="24"/>
          <w:highlight w:val="none"/>
        </w:rPr>
        <w:t xml:space="preserve">5 </w:t>
      </w:r>
      <w:r>
        <w:rPr>
          <w:rFonts w:hint="eastAsia" w:ascii="宋体" w:hAnsi="宋体" w:cs="Arial"/>
          <w:sz w:val="24"/>
          <w:highlight w:val="none"/>
        </w:rPr>
        <w:t>个日历天内做出书面回复。乙方有责任根据甲方的要求，组织召开或参加索赔与理赔的争议抗辩澄清会议，就争议事项进行沟通与协商。</w:t>
      </w:r>
    </w:p>
    <w:p>
      <w:pPr>
        <w:pStyle w:val="2"/>
        <w:tabs>
          <w:tab w:val="left" w:pos="840"/>
        </w:tabs>
        <w:adjustRightInd w:val="0"/>
        <w:snapToGrid w:val="0"/>
        <w:spacing w:after="0" w:line="360" w:lineRule="auto"/>
        <w:ind w:left="0" w:firstLine="482" w:firstLineChars="200"/>
        <w:rPr>
          <w:rFonts w:hint="eastAsia" w:ascii="宋体" w:hAnsi="宋体" w:cs="Arial"/>
          <w:b/>
          <w:kern w:val="0"/>
          <w:sz w:val="24"/>
          <w:highlight w:val="none"/>
        </w:rPr>
      </w:pPr>
      <w:r>
        <w:rPr>
          <w:rFonts w:ascii="宋体" w:hAnsi="宋体" w:cs="Arial"/>
          <w:b/>
          <w:kern w:val="0"/>
          <w:sz w:val="24"/>
          <w:highlight w:val="none"/>
        </w:rPr>
        <w:t>4</w:t>
      </w:r>
      <w:r>
        <w:rPr>
          <w:rFonts w:hint="eastAsia" w:ascii="宋体" w:hAnsi="宋体" w:cs="Arial"/>
          <w:b/>
          <w:kern w:val="0"/>
          <w:sz w:val="24"/>
          <w:highlight w:val="none"/>
        </w:rPr>
        <w:t>、损失处理</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1</w:t>
      </w:r>
      <w:r>
        <w:rPr>
          <w:rFonts w:hint="eastAsia" w:ascii="宋体" w:hAnsi="宋体" w:cs="Arial"/>
          <w:sz w:val="24"/>
          <w:highlight w:val="none"/>
        </w:rPr>
        <w:t>）乙方一致同意，授权首席承保人负责全面处理报损出险情况，其他共保体成员认为必要时，可派人（相关人员需经首席承保人认同）参加查勘定损工作或委托首席承保人全权处理。无论其他共保体成员是否共同参与赔案处理工作，所有赔付意见以首席承保人与甲方达成的最终一致意见为准。</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w:t>
      </w:r>
      <w:r>
        <w:rPr>
          <w:rFonts w:ascii="宋体" w:hAnsi="宋体" w:cs="Arial"/>
          <w:sz w:val="24"/>
          <w:highlight w:val="none"/>
        </w:rPr>
        <w:t>2</w:t>
      </w:r>
      <w:r>
        <w:rPr>
          <w:rFonts w:hint="eastAsia" w:ascii="宋体" w:hAnsi="宋体" w:cs="Arial"/>
          <w:sz w:val="24"/>
          <w:highlight w:val="none"/>
        </w:rPr>
        <w:t>）如赔款金额（扣除免赔后），由首席承保人先行按本协议规定支付赔款。理赔结束后，首席承保人应将最终理算报告及相关材料复印件、赔款支付证明材料送交其他共保体成员，其他共保体成员在确认收到上述理赔资料后</w:t>
      </w:r>
      <w:r>
        <w:rPr>
          <w:rFonts w:ascii="宋体" w:hAnsi="宋体" w:cs="Arial"/>
          <w:sz w:val="24"/>
          <w:highlight w:val="none"/>
        </w:rPr>
        <w:t xml:space="preserve">5 </w:t>
      </w:r>
      <w:r>
        <w:rPr>
          <w:rFonts w:hint="eastAsia" w:ascii="宋体" w:hAnsi="宋体" w:cs="Arial"/>
          <w:sz w:val="24"/>
          <w:highlight w:val="none"/>
        </w:rPr>
        <w:t>个工作日内按照共保比例将各自应分摊的赔款额度支付给首席承保人。相关理赔费用（包括但不限于现场查勘、聘请公估、检验代理、律师、诉讼等费用）由共保体各方按共保比例分摊。</w:t>
      </w:r>
    </w:p>
    <w:p>
      <w:pPr>
        <w:pStyle w:val="2"/>
        <w:tabs>
          <w:tab w:val="left" w:pos="840"/>
        </w:tabs>
        <w:adjustRightInd w:val="0"/>
        <w:snapToGrid w:val="0"/>
        <w:spacing w:after="0" w:line="360" w:lineRule="auto"/>
        <w:ind w:left="0" w:firstLine="482" w:firstLineChars="200"/>
        <w:rPr>
          <w:rFonts w:ascii="宋体" w:hAnsi="宋体" w:cs="Arial"/>
          <w:b/>
          <w:kern w:val="0"/>
          <w:sz w:val="24"/>
          <w:highlight w:val="none"/>
        </w:rPr>
      </w:pPr>
      <w:r>
        <w:rPr>
          <w:rFonts w:hint="eastAsia" w:ascii="宋体" w:hAnsi="宋体" w:cs="Arial"/>
          <w:b/>
          <w:kern w:val="0"/>
          <w:sz w:val="24"/>
          <w:highlight w:val="none"/>
          <w:lang w:val="en-US" w:eastAsia="zh-CN"/>
        </w:rPr>
        <w:t>5</w:t>
      </w:r>
      <w:r>
        <w:rPr>
          <w:rFonts w:hint="eastAsia" w:ascii="宋体" w:hAnsi="宋体" w:cs="Arial"/>
          <w:b/>
          <w:kern w:val="0"/>
          <w:sz w:val="24"/>
          <w:highlight w:val="none"/>
        </w:rPr>
        <w:t>、预约检验公估理算人</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兹经保险双方同意，本保险工程项下物质损失预估金额超过50万元人民币或保险双方就事故的保险责任或赔偿金额不能达到一致时，乙方同意甲方可以选派：其他由甲方指定的公估公司协助认定责任和金额。</w:t>
      </w:r>
    </w:p>
    <w:p>
      <w:pPr>
        <w:pStyle w:val="2"/>
        <w:tabs>
          <w:tab w:val="left" w:pos="840"/>
        </w:tabs>
        <w:adjustRightInd w:val="0"/>
        <w:snapToGrid w:val="0"/>
        <w:spacing w:after="0" w:line="360" w:lineRule="auto"/>
        <w:ind w:left="0" w:firstLine="480" w:firstLineChars="200"/>
        <w:rPr>
          <w:rFonts w:ascii="宋体" w:hAnsi="宋体" w:cs="Arial"/>
          <w:sz w:val="24"/>
          <w:highlight w:val="none"/>
        </w:rPr>
      </w:pPr>
      <w:r>
        <w:rPr>
          <w:rFonts w:hint="eastAsia" w:ascii="宋体" w:hAnsi="宋体" w:cs="Arial"/>
          <w:sz w:val="24"/>
          <w:highlight w:val="none"/>
        </w:rPr>
        <w:t>如选定的保险公估公司不在首席承保人的公估名单中，将依据首席承保人</w:t>
      </w:r>
      <w:r>
        <w:rPr>
          <w:rFonts w:ascii="宋体" w:hAnsi="宋体" w:cs="Arial"/>
          <w:sz w:val="24"/>
          <w:highlight w:val="none"/>
        </w:rPr>
        <w:t xml:space="preserve">B </w:t>
      </w:r>
      <w:r>
        <w:rPr>
          <w:rFonts w:hint="eastAsia" w:ascii="宋体" w:hAnsi="宋体" w:cs="Arial"/>
          <w:sz w:val="24"/>
          <w:highlight w:val="none"/>
        </w:rPr>
        <w:t>类公估公司标准计算公估费。</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rPr>
      </w:pPr>
      <w:r>
        <w:rPr>
          <w:rFonts w:hint="eastAsia" w:ascii="宋体" w:hAnsi="宋体" w:cs="Arial"/>
          <w:sz w:val="24"/>
          <w:highlight w:val="none"/>
        </w:rPr>
        <w:t>检验公估理算费用由乙方按照共保体成员承保比例分摊。共保体成员方同意在收到检验或公估理算报告及赔款计算书后</w:t>
      </w:r>
      <w:r>
        <w:rPr>
          <w:rFonts w:ascii="宋体" w:hAnsi="宋体" w:cs="Arial"/>
          <w:sz w:val="24"/>
          <w:highlight w:val="none"/>
        </w:rPr>
        <w:t xml:space="preserve">10 </w:t>
      </w:r>
      <w:r>
        <w:rPr>
          <w:rFonts w:hint="eastAsia" w:ascii="宋体" w:hAnsi="宋体" w:cs="Arial"/>
          <w:sz w:val="24"/>
          <w:highlight w:val="none"/>
        </w:rPr>
        <w:t>个工作日内按各自共保比例将分摊的理算费和查勘费划付给首席承保人。</w:t>
      </w:r>
    </w:p>
    <w:p>
      <w:pPr>
        <w:pStyle w:val="2"/>
        <w:tabs>
          <w:tab w:val="left" w:pos="840"/>
        </w:tabs>
        <w:adjustRightInd w:val="0"/>
        <w:snapToGrid w:val="0"/>
        <w:spacing w:after="0" w:line="360" w:lineRule="auto"/>
        <w:ind w:left="0" w:firstLine="482" w:firstLineChars="200"/>
        <w:rPr>
          <w:rFonts w:hint="eastAsia" w:ascii="宋体" w:hAnsi="宋体" w:cs="Arial"/>
          <w:b/>
          <w:kern w:val="0"/>
          <w:sz w:val="24"/>
          <w:highlight w:val="none"/>
        </w:rPr>
      </w:pPr>
      <w:r>
        <w:rPr>
          <w:rFonts w:hint="eastAsia" w:ascii="宋体" w:hAnsi="宋体" w:cs="Arial"/>
          <w:b/>
          <w:kern w:val="0"/>
          <w:sz w:val="24"/>
          <w:highlight w:val="none"/>
          <w:lang w:val="en-US" w:eastAsia="zh-CN"/>
        </w:rPr>
        <w:t>6</w:t>
      </w:r>
      <w:r>
        <w:rPr>
          <w:rFonts w:hint="eastAsia" w:ascii="宋体" w:hAnsi="宋体" w:cs="Arial"/>
          <w:b/>
          <w:kern w:val="0"/>
          <w:sz w:val="24"/>
          <w:highlight w:val="none"/>
        </w:rPr>
        <w:t>、共保追偿</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rPr>
      </w:pPr>
      <w:r>
        <w:rPr>
          <w:rFonts w:hint="eastAsia" w:ascii="宋体" w:hAnsi="宋体" w:cs="Arial"/>
          <w:sz w:val="24"/>
          <w:highlight w:val="none"/>
        </w:rPr>
        <w:t>经共保体各方协商同意向第三方进行追偿的保险赔案，由首席承保人负责一切追偿事务，并定期将进展情况通告其他共保体成员（重大事项及时通告）；追偿费用按实际发生的合理费用为准，由共保体各方按共保比例分摊。首席承保人应在收到追偿款后</w:t>
      </w:r>
      <w:r>
        <w:rPr>
          <w:rFonts w:ascii="宋体" w:hAnsi="宋体" w:cs="Arial"/>
          <w:sz w:val="24"/>
          <w:highlight w:val="none"/>
        </w:rPr>
        <w:t>15</w:t>
      </w:r>
      <w:r>
        <w:rPr>
          <w:rFonts w:hint="eastAsia" w:ascii="宋体" w:hAnsi="宋体" w:cs="Arial"/>
          <w:sz w:val="24"/>
          <w:highlight w:val="none"/>
        </w:rPr>
        <w:t>个工作日内在扣除追偿费之后，按共保比例将其他共保体成员应得的追偿款划付其他共保体成员。</w:t>
      </w:r>
    </w:p>
    <w:p>
      <w:pPr>
        <w:pStyle w:val="2"/>
        <w:tabs>
          <w:tab w:val="left" w:pos="840"/>
        </w:tabs>
        <w:adjustRightInd w:val="0"/>
        <w:snapToGrid w:val="0"/>
        <w:spacing w:after="0" w:line="360" w:lineRule="auto"/>
        <w:ind w:left="0" w:firstLine="480" w:firstLineChars="200"/>
        <w:rPr>
          <w:rFonts w:hint="eastAsia" w:ascii="宋体" w:hAnsi="宋体" w:cs="Arial"/>
          <w:sz w:val="24"/>
          <w:highlight w:val="none"/>
        </w:rPr>
      </w:pPr>
      <w:r>
        <w:rPr>
          <w:rFonts w:hint="eastAsia" w:ascii="宋体" w:hAnsi="宋体" w:cs="Arial"/>
          <w:sz w:val="24"/>
          <w:highlight w:val="none"/>
        </w:rPr>
        <w:t>如委托他人代位追偿，追偿费和追偿款均按共保比例由共保体各方分摊。</w:t>
      </w:r>
    </w:p>
    <w:p>
      <w:pPr>
        <w:pStyle w:val="2"/>
        <w:tabs>
          <w:tab w:val="left" w:pos="840"/>
        </w:tabs>
        <w:adjustRightInd w:val="0"/>
        <w:snapToGrid w:val="0"/>
        <w:spacing w:after="0" w:line="360" w:lineRule="auto"/>
        <w:ind w:left="0" w:firstLine="482" w:firstLineChars="200"/>
        <w:rPr>
          <w:rFonts w:ascii="宋体" w:hAnsi="宋体" w:cs="Arial"/>
          <w:b/>
          <w:kern w:val="0"/>
          <w:sz w:val="24"/>
          <w:highlight w:val="none"/>
        </w:rPr>
      </w:pPr>
      <w:r>
        <w:rPr>
          <w:rFonts w:hint="eastAsia" w:ascii="宋体" w:hAnsi="宋体" w:cs="Arial"/>
          <w:b/>
          <w:kern w:val="0"/>
          <w:sz w:val="24"/>
          <w:highlight w:val="none"/>
          <w:lang w:val="en-US" w:eastAsia="zh-CN"/>
        </w:rPr>
        <w:t>7</w:t>
      </w:r>
      <w:r>
        <w:rPr>
          <w:rFonts w:hint="eastAsia" w:ascii="宋体" w:hAnsi="宋体" w:cs="Arial"/>
          <w:b/>
          <w:kern w:val="0"/>
          <w:sz w:val="24"/>
          <w:highlight w:val="none"/>
        </w:rPr>
        <w:t>、违约金约定</w:t>
      </w:r>
    </w:p>
    <w:p>
      <w:pPr>
        <w:adjustRightInd w:val="0"/>
        <w:snapToGrid w:val="0"/>
        <w:spacing w:line="360" w:lineRule="auto"/>
        <w:ind w:firstLine="480" w:firstLineChars="200"/>
        <w:rPr>
          <w:rFonts w:hint="eastAsia" w:ascii="宋体" w:hAnsi="宋体" w:cs="Arial"/>
          <w:sz w:val="24"/>
          <w:highlight w:val="none"/>
        </w:rPr>
      </w:pPr>
      <w:r>
        <w:rPr>
          <w:rFonts w:hint="eastAsia" w:ascii="宋体" w:hAnsi="宋体" w:cs="Arial"/>
          <w:sz w:val="24"/>
          <w:highlight w:val="none"/>
        </w:rPr>
        <w:t>除非另有约定，本协议约定的赔款支付事项，协议各方必须按约定及时划付，否则视为违约，违约方除了需支付相关应付款项之外，每逾期一天支付应付款项的万分之六的违约金。</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若保险公司有下列情形之一者，甲方有权按照投保人及工程所有人共同签署的意见追究保险公司的违约责任：</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）查勘人员未在承诺时间到达的，按履约担保的</w:t>
      </w:r>
      <w:r>
        <w:rPr>
          <w:rFonts w:ascii="宋体" w:hAnsi="宋体"/>
          <w:sz w:val="24"/>
          <w:highlight w:val="none"/>
        </w:rPr>
        <w:t>1</w:t>
      </w:r>
      <w:r>
        <w:rPr>
          <w:rFonts w:hint="eastAsia" w:ascii="宋体" w:hAnsi="宋体"/>
          <w:sz w:val="24"/>
          <w:highlight w:val="none"/>
        </w:rPr>
        <w:t>％扣罚；</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）保险公司服务人员在确认接到索赔资料</w:t>
      </w:r>
      <w:r>
        <w:rPr>
          <w:rFonts w:ascii="宋体" w:hAnsi="宋体"/>
          <w:sz w:val="24"/>
          <w:highlight w:val="none"/>
        </w:rPr>
        <w:t>5</w:t>
      </w:r>
      <w:r>
        <w:rPr>
          <w:rFonts w:hint="eastAsia" w:ascii="宋体" w:hAnsi="宋体"/>
          <w:sz w:val="24"/>
          <w:highlight w:val="none"/>
        </w:rPr>
        <w:t>个工作日内未提出有关审核意见，但后又要求补充材料的，按履约担保的2％扣罚，并以</w:t>
      </w:r>
      <w:r>
        <w:rPr>
          <w:rFonts w:hint="eastAsia" w:ascii="宋体" w:hAnsi="宋体"/>
          <w:sz w:val="24"/>
          <w:highlight w:val="none"/>
          <w:u w:val="single"/>
        </w:rPr>
        <w:t>最终赔付金额</w:t>
      </w:r>
      <w:r>
        <w:rPr>
          <w:rFonts w:hint="eastAsia" w:ascii="宋体" w:hAnsi="宋体"/>
          <w:sz w:val="24"/>
          <w:highlight w:val="none"/>
        </w:rPr>
        <w:t>为基数按每日万分之六支付延迟支付违约金；</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）未在自收到完整索赔资料之日起</w:t>
      </w:r>
      <w:r>
        <w:rPr>
          <w:rFonts w:ascii="宋体" w:hAnsi="宋体"/>
          <w:sz w:val="24"/>
          <w:highlight w:val="none"/>
        </w:rPr>
        <w:t>20</w:t>
      </w:r>
      <w:r>
        <w:rPr>
          <w:rFonts w:hint="eastAsia" w:ascii="宋体" w:hAnsi="宋体"/>
          <w:sz w:val="24"/>
          <w:highlight w:val="none"/>
        </w:rPr>
        <w:t>个工作日内完成定责定损的，按最终赔付金额的</w:t>
      </w:r>
      <w:r>
        <w:rPr>
          <w:rFonts w:ascii="宋体" w:hAnsi="宋体"/>
          <w:sz w:val="24"/>
          <w:highlight w:val="none"/>
        </w:rPr>
        <w:t>3</w:t>
      </w:r>
      <w:r>
        <w:rPr>
          <w:rFonts w:hint="eastAsia" w:ascii="宋体" w:hAnsi="宋体"/>
          <w:sz w:val="24"/>
          <w:highlight w:val="none"/>
        </w:rPr>
        <w:t>％扣罚，并以</w:t>
      </w:r>
      <w:r>
        <w:rPr>
          <w:rFonts w:hint="eastAsia" w:ascii="宋体" w:hAnsi="宋体"/>
          <w:sz w:val="24"/>
          <w:highlight w:val="none"/>
          <w:u w:val="single"/>
        </w:rPr>
        <w:t>最终赔付金额</w:t>
      </w:r>
      <w:r>
        <w:rPr>
          <w:rFonts w:hint="eastAsia" w:ascii="宋体" w:hAnsi="宋体"/>
          <w:sz w:val="24"/>
          <w:highlight w:val="none"/>
        </w:rPr>
        <w:t>为基数按每日万分之六支付延迟支付违约金；</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w:t>
      </w:r>
      <w:r>
        <w:rPr>
          <w:rFonts w:ascii="宋体" w:hAnsi="宋体"/>
          <w:sz w:val="24"/>
          <w:highlight w:val="none"/>
        </w:rPr>
        <w:t>4</w:t>
      </w:r>
      <w:r>
        <w:rPr>
          <w:rFonts w:hint="eastAsia" w:ascii="宋体" w:hAnsi="宋体"/>
          <w:sz w:val="24"/>
          <w:highlight w:val="none"/>
        </w:rPr>
        <w:t>）双方就赔偿结果达成一致后，未按协议要求时限内支付赔款的，按最终赔付金额的</w:t>
      </w:r>
      <w:r>
        <w:rPr>
          <w:rFonts w:ascii="宋体" w:hAnsi="宋体"/>
          <w:sz w:val="24"/>
          <w:highlight w:val="none"/>
        </w:rPr>
        <w:t>3</w:t>
      </w:r>
      <w:r>
        <w:rPr>
          <w:rFonts w:hint="eastAsia" w:ascii="宋体" w:hAnsi="宋体"/>
          <w:sz w:val="24"/>
          <w:highlight w:val="none"/>
        </w:rPr>
        <w:t>％扣罚，并以最终赔付金额为准，从投保人提交的索赔申请书之日起，每日万分之六支付延迟支付违约金；</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w:t>
      </w:r>
      <w:r>
        <w:rPr>
          <w:rFonts w:ascii="宋体" w:hAnsi="宋体"/>
          <w:sz w:val="24"/>
          <w:highlight w:val="none"/>
        </w:rPr>
        <w:t>5</w:t>
      </w:r>
      <w:r>
        <w:rPr>
          <w:rFonts w:hint="eastAsia" w:ascii="宋体" w:hAnsi="宋体"/>
          <w:sz w:val="24"/>
          <w:highlight w:val="none"/>
        </w:rPr>
        <w:t>）对属于协议约定预付赔款范围的赔案的，根据投保人书面申请，收到申请后的</w:t>
      </w:r>
      <w:r>
        <w:rPr>
          <w:rFonts w:ascii="宋体" w:hAnsi="宋体"/>
          <w:sz w:val="24"/>
          <w:highlight w:val="none"/>
        </w:rPr>
        <w:t>5</w:t>
      </w:r>
      <w:r>
        <w:rPr>
          <w:rFonts w:hint="eastAsia" w:ascii="宋体" w:hAnsi="宋体"/>
          <w:sz w:val="24"/>
          <w:highlight w:val="none"/>
        </w:rPr>
        <w:t>个工作日内未支付预付赔偿金的，按履约担保的</w:t>
      </w:r>
      <w:r>
        <w:rPr>
          <w:rFonts w:ascii="宋体" w:hAnsi="宋体"/>
          <w:sz w:val="24"/>
          <w:highlight w:val="none"/>
        </w:rPr>
        <w:t>5</w:t>
      </w:r>
      <w:r>
        <w:rPr>
          <w:rFonts w:hint="eastAsia" w:ascii="宋体" w:hAnsi="宋体"/>
          <w:sz w:val="24"/>
          <w:highlight w:val="none"/>
        </w:rPr>
        <w:t>％扣罚，并以</w:t>
      </w:r>
      <w:r>
        <w:rPr>
          <w:rFonts w:hint="eastAsia" w:ascii="宋体" w:hAnsi="宋体"/>
          <w:sz w:val="24"/>
          <w:highlight w:val="none"/>
          <w:u w:val="single"/>
        </w:rPr>
        <w:t>预付赔款金额</w:t>
      </w:r>
      <w:r>
        <w:rPr>
          <w:rFonts w:hint="eastAsia" w:ascii="宋体" w:hAnsi="宋体"/>
          <w:sz w:val="24"/>
          <w:highlight w:val="none"/>
        </w:rPr>
        <w:t>为基数按每日万分之六支付延迟支付违约金。</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6</w:t>
      </w:r>
      <w:r>
        <w:rPr>
          <w:rFonts w:hint="eastAsia" w:ascii="宋体" w:hAnsi="宋体"/>
          <w:sz w:val="24"/>
          <w:highlight w:val="none"/>
        </w:rPr>
        <w:t>）未按协议约定提供培训、防灾防损等服务的，或未按约定告知保险服务人员更换情况的，每次按履约担保的</w:t>
      </w:r>
      <w:r>
        <w:rPr>
          <w:rFonts w:ascii="宋体" w:hAnsi="宋体"/>
          <w:sz w:val="24"/>
          <w:highlight w:val="none"/>
        </w:rPr>
        <w:t>1%</w:t>
      </w:r>
      <w:r>
        <w:rPr>
          <w:rFonts w:hint="eastAsia" w:ascii="宋体" w:hAnsi="宋体"/>
          <w:sz w:val="24"/>
          <w:highlight w:val="none"/>
        </w:rPr>
        <w:t>扣罚。</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7</w:t>
      </w:r>
      <w:r>
        <w:rPr>
          <w:rFonts w:hint="eastAsia" w:ascii="宋体" w:hAnsi="宋体"/>
          <w:sz w:val="24"/>
          <w:highlight w:val="none"/>
        </w:rPr>
        <w:t>）保险公司该项目保险服务小组人员因服务原因被被保险人有效投诉</w:t>
      </w:r>
      <w:r>
        <w:rPr>
          <w:rFonts w:ascii="宋体" w:hAnsi="宋体"/>
          <w:sz w:val="24"/>
          <w:highlight w:val="none"/>
        </w:rPr>
        <w:t>2</w:t>
      </w:r>
      <w:r>
        <w:rPr>
          <w:rFonts w:hint="eastAsia" w:ascii="宋体" w:hAnsi="宋体"/>
          <w:sz w:val="24"/>
          <w:highlight w:val="none"/>
        </w:rPr>
        <w:t>次及以上，经查实确属违约情况的，自第三次起按每次</w:t>
      </w:r>
      <w:r>
        <w:rPr>
          <w:rFonts w:ascii="宋体" w:hAnsi="宋体"/>
          <w:sz w:val="24"/>
          <w:highlight w:val="none"/>
        </w:rPr>
        <w:t>3%</w:t>
      </w:r>
      <w:r>
        <w:rPr>
          <w:rFonts w:hint="eastAsia" w:ascii="宋体" w:hAnsi="宋体"/>
          <w:sz w:val="24"/>
          <w:highlight w:val="none"/>
        </w:rPr>
        <w:t>扣罚履约保证金。</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如保险公司因不可抗力特殊情况不能履约，经将投保人及工程所有人共同签署认可，可不扣除履约担保。</w:t>
      </w:r>
    </w:p>
    <w:p>
      <w:pPr>
        <w:adjustRightInd w:val="0"/>
        <w:snapToGrid w:val="0"/>
        <w:spacing w:line="360" w:lineRule="auto"/>
        <w:ind w:firstLine="482" w:firstLineChars="200"/>
        <w:rPr>
          <w:rFonts w:hint="eastAsia" w:ascii="宋体" w:hAnsi="宋体"/>
          <w:b/>
          <w:sz w:val="24"/>
          <w:highlight w:val="none"/>
        </w:rPr>
      </w:pPr>
      <w:r>
        <w:rPr>
          <w:rFonts w:hint="eastAsia" w:ascii="宋体" w:hAnsi="宋体"/>
          <w:b/>
          <w:sz w:val="24"/>
          <w:highlight w:val="none"/>
        </w:rPr>
        <w:t>九、履约担保</w:t>
      </w:r>
    </w:p>
    <w:p>
      <w:pPr>
        <w:adjustRightInd w:val="0"/>
        <w:snapToGrid w:val="0"/>
        <w:spacing w:line="360" w:lineRule="auto"/>
        <w:ind w:firstLine="480" w:firstLineChars="200"/>
        <w:rPr>
          <w:rFonts w:hint="eastAsia" w:ascii="宋体" w:hAnsi="宋体" w:eastAsia="宋体" w:cs="Arial"/>
          <w:sz w:val="24"/>
          <w:highlight w:val="none"/>
        </w:rPr>
      </w:pPr>
      <w:r>
        <w:rPr>
          <w:rFonts w:hint="eastAsia" w:ascii="宋体" w:hAnsi="宋体" w:eastAsia="宋体" w:cs="Arial"/>
          <w:sz w:val="24"/>
          <w:highlight w:val="none"/>
          <w:lang w:eastAsia="zh-CN"/>
        </w:rPr>
        <w:t>（</w:t>
      </w:r>
      <w:r>
        <w:rPr>
          <w:rFonts w:hint="eastAsia" w:ascii="宋体" w:hAnsi="宋体" w:eastAsia="宋体" w:cs="Arial"/>
          <w:sz w:val="24"/>
          <w:highlight w:val="none"/>
          <w:lang w:val="en-US" w:eastAsia="zh-CN"/>
        </w:rPr>
        <w:t>1）</w:t>
      </w:r>
      <w:r>
        <w:rPr>
          <w:rFonts w:hint="eastAsia" w:ascii="宋体" w:hAnsi="宋体" w:eastAsia="宋体" w:cs="Arial"/>
          <w:sz w:val="24"/>
          <w:highlight w:val="none"/>
        </w:rPr>
        <w:t>履约保证金的金额：中标合同额的10%  。</w:t>
      </w:r>
    </w:p>
    <w:p>
      <w:pPr>
        <w:adjustRightInd w:val="0"/>
        <w:snapToGrid w:val="0"/>
        <w:spacing w:line="360" w:lineRule="auto"/>
        <w:ind w:firstLine="480" w:firstLineChars="200"/>
        <w:rPr>
          <w:rFonts w:hint="eastAsia" w:ascii="宋体" w:hAnsi="宋体" w:eastAsia="宋体" w:cs="Arial"/>
          <w:sz w:val="24"/>
          <w:highlight w:val="none"/>
        </w:rPr>
      </w:pPr>
      <w:r>
        <w:rPr>
          <w:rFonts w:hint="eastAsia" w:ascii="宋体" w:hAnsi="宋体" w:eastAsia="宋体" w:cs="Arial"/>
          <w:sz w:val="24"/>
          <w:highlight w:val="none"/>
        </w:rPr>
        <w:t>（</w:t>
      </w:r>
      <w:r>
        <w:rPr>
          <w:rFonts w:hint="eastAsia" w:ascii="宋体" w:hAnsi="宋体" w:eastAsia="宋体" w:cs="Arial"/>
          <w:sz w:val="24"/>
          <w:highlight w:val="none"/>
          <w:lang w:val="en-US" w:eastAsia="zh-CN"/>
        </w:rPr>
        <w:t>2</w:t>
      </w:r>
      <w:r>
        <w:rPr>
          <w:rFonts w:hint="eastAsia" w:ascii="宋体" w:hAnsi="宋体" w:eastAsia="宋体" w:cs="Arial"/>
          <w:sz w:val="24"/>
          <w:highlight w:val="none"/>
        </w:rPr>
        <w:t>）履约保证金的提交时间：中标人收到中标通知书后 30 日内提交。</w:t>
      </w:r>
    </w:p>
    <w:p>
      <w:pPr>
        <w:adjustRightInd w:val="0"/>
        <w:snapToGrid w:val="0"/>
        <w:spacing w:line="360" w:lineRule="auto"/>
        <w:ind w:firstLine="480" w:firstLineChars="200"/>
        <w:rPr>
          <w:rFonts w:hint="eastAsia" w:ascii="宋体" w:hAnsi="宋体" w:eastAsia="宋体" w:cs="Arial"/>
          <w:sz w:val="24"/>
          <w:highlight w:val="none"/>
        </w:rPr>
      </w:pPr>
      <w:r>
        <w:rPr>
          <w:rFonts w:hint="eastAsia" w:ascii="宋体" w:hAnsi="宋体" w:eastAsia="宋体" w:cs="Arial"/>
          <w:sz w:val="24"/>
          <w:highlight w:val="none"/>
        </w:rPr>
        <w:t>（</w:t>
      </w:r>
      <w:r>
        <w:rPr>
          <w:rFonts w:hint="eastAsia" w:ascii="宋体" w:hAnsi="宋体" w:eastAsia="宋体" w:cs="Arial"/>
          <w:sz w:val="24"/>
          <w:highlight w:val="none"/>
          <w:lang w:val="en-US" w:eastAsia="zh-CN"/>
        </w:rPr>
        <w:t>4</w:t>
      </w:r>
      <w:r>
        <w:rPr>
          <w:rFonts w:hint="eastAsia" w:ascii="宋体" w:hAnsi="宋体" w:eastAsia="宋体" w:cs="Arial"/>
          <w:sz w:val="24"/>
          <w:highlight w:val="none"/>
        </w:rPr>
        <w:t>）履约保证金的期限：自提交履约担保之日起至项目完工之日止。</w:t>
      </w:r>
    </w:p>
    <w:p>
      <w:pPr>
        <w:adjustRightInd w:val="0"/>
        <w:snapToGrid w:val="0"/>
        <w:spacing w:line="360" w:lineRule="auto"/>
        <w:ind w:firstLine="480" w:firstLineChars="200"/>
        <w:rPr>
          <w:rFonts w:hint="eastAsia" w:ascii="宋体" w:hAnsi="宋体"/>
          <w:b/>
          <w:sz w:val="24"/>
          <w:highlight w:val="none"/>
        </w:rPr>
      </w:pPr>
      <w:r>
        <w:rPr>
          <w:rFonts w:hint="eastAsia" w:ascii="宋体" w:hAnsi="宋体" w:eastAsia="宋体" w:cs="Arial"/>
          <w:sz w:val="24"/>
          <w:highlight w:val="none"/>
        </w:rPr>
        <w:t>（</w:t>
      </w:r>
      <w:r>
        <w:rPr>
          <w:rFonts w:hint="eastAsia" w:ascii="宋体" w:hAnsi="宋体" w:eastAsia="宋体" w:cs="Arial"/>
          <w:sz w:val="24"/>
          <w:highlight w:val="none"/>
          <w:lang w:val="en-US" w:eastAsia="zh-CN"/>
        </w:rPr>
        <w:t>4</w:t>
      </w:r>
      <w:r>
        <w:rPr>
          <w:rFonts w:hint="eastAsia" w:ascii="宋体" w:hAnsi="宋体" w:eastAsia="宋体" w:cs="Arial"/>
          <w:sz w:val="24"/>
          <w:highlight w:val="none"/>
        </w:rPr>
        <w:t>）履约保证金的退还时间：采用现金担保的，合同工程完工证书颁发后28天内一次性退还；采用银行保函的，合同工程完工证书颁发后28天内内退还。</w:t>
      </w:r>
    </w:p>
    <w:p>
      <w:pPr>
        <w:adjustRightInd w:val="0"/>
        <w:snapToGrid w:val="0"/>
        <w:spacing w:line="360" w:lineRule="auto"/>
        <w:ind w:firstLine="482" w:firstLineChars="200"/>
        <w:rPr>
          <w:rFonts w:ascii="宋体" w:hAnsi="宋体"/>
          <w:b/>
          <w:sz w:val="24"/>
          <w:highlight w:val="none"/>
        </w:rPr>
      </w:pPr>
      <w:r>
        <w:rPr>
          <w:rFonts w:hint="eastAsia" w:ascii="宋体" w:hAnsi="宋体"/>
          <w:b/>
          <w:sz w:val="24"/>
          <w:highlight w:val="none"/>
        </w:rPr>
        <w:t>十、一般条款</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（一）协议有效期</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本协议自签订之日起生效，如果保险期限结束后，存在遗留问题，</w:t>
      </w:r>
      <w:r>
        <w:rPr>
          <w:rFonts w:hint="eastAsia" w:ascii="宋体" w:hAnsi="宋体"/>
          <w:snapToGrid w:val="0"/>
          <w:kern w:val="0"/>
          <w:sz w:val="24"/>
          <w:highlight w:val="none"/>
        </w:rPr>
        <w:t>在本协议有效期间内出具的保险单，本协议的所有条款针对该保险单持续有效</w:t>
      </w:r>
      <w:r>
        <w:rPr>
          <w:rFonts w:hint="eastAsia" w:ascii="宋体" w:hAnsi="宋体"/>
          <w:sz w:val="24"/>
          <w:highlight w:val="none"/>
        </w:rPr>
        <w:t>，直至保险单涉及的各项遗留事宜最终处理完毕时为止。</w:t>
      </w:r>
    </w:p>
    <w:p>
      <w:pPr>
        <w:adjustRightInd w:val="0"/>
        <w:snapToGrid w:val="0"/>
        <w:spacing w:line="360" w:lineRule="auto"/>
        <w:ind w:firstLine="480" w:firstLineChars="200"/>
        <w:rPr>
          <w:rFonts w:ascii="宋体" w:hAnsi="宋体"/>
          <w:sz w:val="24"/>
          <w:highlight w:val="none"/>
        </w:rPr>
      </w:pPr>
      <w:r>
        <w:rPr>
          <w:rFonts w:hint="eastAsia" w:ascii="宋体" w:hAnsi="宋体"/>
          <w:bCs/>
          <w:sz w:val="24"/>
          <w:highlight w:val="none"/>
        </w:rPr>
        <w:t>（二）协议的变更和续订</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本协议如有未尽事宜，经甲、乙双方协商后可随时以书面形式修改或补充，并作为本协议的组成部分。</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如因特殊原因确有需要解除本协议的，甲方可随时书面通知乙方终止本协议，注销保单，甲方不承担任何责任，并由乙方按未到期天数退还相应保费。</w:t>
      </w:r>
    </w:p>
    <w:p>
      <w:pPr>
        <w:adjustRightInd w:val="0"/>
        <w:snapToGrid w:val="0"/>
        <w:spacing w:line="360" w:lineRule="auto"/>
        <w:ind w:firstLine="480" w:firstLineChars="200"/>
        <w:rPr>
          <w:rFonts w:ascii="宋体" w:hAnsi="宋体"/>
          <w:sz w:val="24"/>
          <w:highlight w:val="none"/>
        </w:rPr>
      </w:pPr>
      <w:r>
        <w:rPr>
          <w:rFonts w:hint="eastAsia" w:ascii="宋体" w:hAnsi="宋体"/>
          <w:bCs/>
          <w:sz w:val="24"/>
          <w:highlight w:val="none"/>
        </w:rPr>
        <w:t>（三）保密条款</w:t>
      </w:r>
    </w:p>
    <w:p>
      <w:pPr>
        <w:pStyle w:val="15"/>
        <w:adjustRightInd w:val="0"/>
        <w:snapToGrid w:val="0"/>
        <w:spacing w:before="0" w:beforeLines="0"/>
        <w:ind w:firstLine="480"/>
        <w:rPr>
          <w:rFonts w:ascii="宋体" w:hAnsi="宋体"/>
          <w:highlight w:val="none"/>
        </w:rPr>
      </w:pPr>
      <w:r>
        <w:rPr>
          <w:rFonts w:hint="eastAsia" w:ascii="宋体" w:hAnsi="宋体"/>
          <w:highlight w:val="none"/>
        </w:rPr>
        <w:t>除非下列情况，自本协议生效之日起，甲、乙双方不得将本协议涉及的所有有形、无形的信息及资料（包括但不限于双方的往来书面文字文件、电子邮件及信息、软盘资料等）泄露给其他方：</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（1）提供给为执行本协议而提供相关服务的雇员或顾问；</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（2）应法律或司法管辖要求而提供；</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（3）经甲、乙双方书面同意。</w:t>
      </w:r>
    </w:p>
    <w:p>
      <w:pPr>
        <w:pStyle w:val="15"/>
        <w:adjustRightInd w:val="0"/>
        <w:snapToGrid w:val="0"/>
        <w:spacing w:before="0" w:beforeLines="0"/>
        <w:ind w:firstLine="480"/>
        <w:rPr>
          <w:rFonts w:ascii="宋体" w:hAnsi="宋体"/>
          <w:highlight w:val="none"/>
        </w:rPr>
      </w:pPr>
      <w:r>
        <w:rPr>
          <w:rFonts w:hint="eastAsia" w:ascii="宋体" w:hAnsi="宋体"/>
          <w:highlight w:val="none"/>
        </w:rPr>
        <w:t>本协议一方因过错造成泄密而给另两方造成损失的，过错一方承担经济赔偿责任。</w:t>
      </w:r>
    </w:p>
    <w:p>
      <w:pPr>
        <w:pStyle w:val="15"/>
        <w:adjustRightInd w:val="0"/>
        <w:snapToGrid w:val="0"/>
        <w:spacing w:before="0" w:beforeLines="0"/>
        <w:ind w:firstLine="480"/>
        <w:rPr>
          <w:rFonts w:ascii="宋体" w:hAnsi="宋体"/>
          <w:bCs/>
          <w:highlight w:val="none"/>
        </w:rPr>
      </w:pPr>
      <w:r>
        <w:rPr>
          <w:rFonts w:hint="eastAsia" w:ascii="宋体" w:hAnsi="宋体"/>
          <w:bCs/>
          <w:highlight w:val="none"/>
        </w:rPr>
        <w:t>（四）法律责任</w:t>
      </w:r>
    </w:p>
    <w:p>
      <w:pPr>
        <w:pStyle w:val="15"/>
        <w:adjustRightInd w:val="0"/>
        <w:snapToGrid w:val="0"/>
        <w:spacing w:before="0" w:beforeLines="0"/>
        <w:ind w:firstLine="480"/>
        <w:rPr>
          <w:rFonts w:hint="eastAsia" w:ascii="宋体" w:hAnsi="宋体"/>
          <w:highlight w:val="none"/>
        </w:rPr>
      </w:pPr>
      <w:r>
        <w:rPr>
          <w:rFonts w:hint="eastAsia" w:ascii="宋体" w:hAnsi="宋体"/>
          <w:highlight w:val="none"/>
        </w:rPr>
        <w:t>1、由于本协议一方当事人的过错，造成本协议不能履行或者不能完全履行的，由有过错的一方依法承担违约责任；如属多方当事人的过错，则根据多方当事人过错的实际情况，分别承担各自应负的违约责任；若发生违约情形，违约方依法依约承担其相应法律责任后，除非守约方同意终止本协议的，本协议仍须继续履行。</w:t>
      </w:r>
    </w:p>
    <w:p>
      <w:pPr>
        <w:pStyle w:val="15"/>
        <w:adjustRightInd w:val="0"/>
        <w:snapToGrid w:val="0"/>
        <w:spacing w:before="0" w:beforeLines="0"/>
        <w:ind w:firstLine="480"/>
        <w:rPr>
          <w:rFonts w:ascii="宋体" w:hAnsi="宋体"/>
          <w:highlight w:val="none"/>
        </w:rPr>
      </w:pPr>
      <w:r>
        <w:rPr>
          <w:rFonts w:hint="eastAsia" w:ascii="宋体" w:hAnsi="宋体"/>
          <w:highlight w:val="none"/>
        </w:rPr>
        <w:t>2、共保体内部产生的任何争议（包括但不限于是否理赔、理赔额度、费用承担、保费分配等）与甲方无关，不得因相关争议对甲方产生任何影响，不得以此延迟或拒绝履行协议义务。</w:t>
      </w:r>
    </w:p>
    <w:p>
      <w:pPr>
        <w:pStyle w:val="15"/>
        <w:adjustRightInd w:val="0"/>
        <w:snapToGrid w:val="0"/>
        <w:spacing w:before="0" w:beforeLines="0"/>
        <w:ind w:firstLine="480"/>
        <w:rPr>
          <w:rFonts w:hint="eastAsia" w:ascii="宋体" w:hAnsi="宋体"/>
          <w:highlight w:val="none"/>
        </w:rPr>
      </w:pPr>
      <w:r>
        <w:rPr>
          <w:rFonts w:hint="eastAsia" w:ascii="宋体" w:hAnsi="宋体"/>
          <w:highlight w:val="none"/>
        </w:rPr>
        <w:t>3、乙方</w:t>
      </w:r>
      <w:r>
        <w:rPr>
          <w:rFonts w:ascii="宋体" w:hAnsi="宋体"/>
          <w:highlight w:val="none"/>
        </w:rPr>
        <w:t>违约的，甲方因维护权利产生的律师费、诉讼费、调查费、保全费、公告催告费等一起费用</w:t>
      </w:r>
      <w:r>
        <w:rPr>
          <w:rFonts w:hint="eastAsia" w:ascii="宋体" w:hAnsi="宋体"/>
          <w:highlight w:val="none"/>
        </w:rPr>
        <w:t>由</w:t>
      </w:r>
      <w:r>
        <w:rPr>
          <w:rFonts w:ascii="宋体" w:hAnsi="宋体"/>
          <w:highlight w:val="none"/>
        </w:rPr>
        <w:t>乙方承担。</w:t>
      </w:r>
    </w:p>
    <w:p>
      <w:pPr>
        <w:tabs>
          <w:tab w:val="left" w:pos="540"/>
          <w:tab w:val="left" w:pos="900"/>
          <w:tab w:val="left" w:pos="2580"/>
        </w:tabs>
        <w:adjustRightInd w:val="0"/>
        <w:snapToGrid w:val="0"/>
        <w:spacing w:line="360" w:lineRule="auto"/>
        <w:ind w:firstLine="482" w:firstLineChars="200"/>
        <w:rPr>
          <w:rFonts w:ascii="宋体" w:hAnsi="宋体"/>
          <w:b/>
          <w:bCs/>
          <w:sz w:val="24"/>
          <w:highlight w:val="none"/>
        </w:rPr>
      </w:pPr>
      <w:r>
        <w:rPr>
          <w:rFonts w:hint="eastAsia" w:ascii="宋体" w:hAnsi="宋体"/>
          <w:b/>
          <w:bCs/>
          <w:sz w:val="24"/>
          <w:highlight w:val="none"/>
        </w:rPr>
        <w:t>十一、争议解决</w:t>
      </w:r>
    </w:p>
    <w:p>
      <w:pPr>
        <w:tabs>
          <w:tab w:val="left" w:pos="568"/>
        </w:tabs>
        <w:autoSpaceDE w:val="0"/>
        <w:autoSpaceDN w:val="0"/>
        <w:adjustRightInd w:val="0"/>
        <w:snapToGrid w:val="0"/>
        <w:spacing w:line="360" w:lineRule="auto"/>
        <w:ind w:firstLine="472" w:firstLineChars="200"/>
        <w:textAlignment w:val="bottom"/>
        <w:rPr>
          <w:rFonts w:ascii="宋体" w:hAnsi="宋体"/>
          <w:kern w:val="0"/>
          <w:sz w:val="24"/>
          <w:highlight w:val="none"/>
        </w:rPr>
      </w:pPr>
      <w:r>
        <w:rPr>
          <w:rFonts w:hint="eastAsia" w:ascii="宋体" w:hAnsi="宋体"/>
          <w:spacing w:val="-2"/>
          <w:sz w:val="24"/>
          <w:highlight w:val="none"/>
        </w:rPr>
        <w:t>甲、乙各方就履行本协议发生的争议，应首先通过友好协商解决。</w:t>
      </w:r>
      <w:r>
        <w:rPr>
          <w:rFonts w:hint="eastAsia" w:ascii="宋体" w:hAnsi="宋体" w:cs="宋体"/>
          <w:sz w:val="24"/>
          <w:highlight w:val="none"/>
        </w:rPr>
        <w:t>协商不成的可以向</w:t>
      </w:r>
      <w:r>
        <w:rPr>
          <w:rFonts w:hint="eastAsia" w:ascii="宋体" w:hAnsi="宋体" w:cs="宋体"/>
          <w:b/>
          <w:sz w:val="24"/>
          <w:highlight w:val="none"/>
          <w:u w:val="single"/>
        </w:rPr>
        <w:t>甲方所在地</w:t>
      </w:r>
      <w:r>
        <w:rPr>
          <w:rFonts w:hint="eastAsia" w:ascii="宋体" w:hAnsi="宋体" w:cs="宋体"/>
          <w:sz w:val="24"/>
          <w:highlight w:val="none"/>
        </w:rPr>
        <w:t>法院提请诉讼。</w:t>
      </w:r>
    </w:p>
    <w:p>
      <w:pPr>
        <w:tabs>
          <w:tab w:val="left" w:pos="568"/>
        </w:tabs>
        <w:autoSpaceDE w:val="0"/>
        <w:autoSpaceDN w:val="0"/>
        <w:adjustRightInd w:val="0"/>
        <w:snapToGrid w:val="0"/>
        <w:spacing w:line="360" w:lineRule="auto"/>
        <w:ind w:firstLine="482" w:firstLineChars="200"/>
        <w:textAlignment w:val="bottom"/>
        <w:rPr>
          <w:rFonts w:ascii="宋体" w:hAnsi="宋体"/>
          <w:b/>
          <w:bCs/>
          <w:sz w:val="24"/>
          <w:highlight w:val="none"/>
        </w:rPr>
      </w:pPr>
      <w:r>
        <w:rPr>
          <w:rFonts w:hint="eastAsia" w:ascii="宋体" w:hAnsi="宋体"/>
          <w:b/>
          <w:bCs/>
          <w:sz w:val="24"/>
          <w:highlight w:val="none"/>
        </w:rPr>
        <w:t>十二、其他</w:t>
      </w:r>
    </w:p>
    <w:p>
      <w:pPr>
        <w:pStyle w:val="15"/>
        <w:adjustRightInd w:val="0"/>
        <w:snapToGrid w:val="0"/>
        <w:spacing w:before="0" w:beforeLines="0"/>
        <w:ind w:firstLine="480"/>
        <w:rPr>
          <w:rFonts w:ascii="宋体" w:hAnsi="宋体"/>
          <w:highlight w:val="none"/>
        </w:rPr>
      </w:pPr>
      <w:r>
        <w:rPr>
          <w:rFonts w:hint="eastAsia" w:ascii="宋体" w:hAnsi="宋体"/>
          <w:highlight w:val="none"/>
        </w:rPr>
        <w:t>（一）乙方出具的保险单作为本协议的有效组成部分，保险单与本协议冲突之处，以</w:t>
      </w:r>
      <w:r>
        <w:rPr>
          <w:rFonts w:hint="eastAsia" w:ascii="宋体" w:hAnsi="宋体"/>
          <w:highlight w:val="none"/>
          <w:lang w:val="en-US" w:eastAsia="zh-CN"/>
        </w:rPr>
        <w:t>有利于投保人的原则</w:t>
      </w:r>
      <w:r>
        <w:rPr>
          <w:rFonts w:hint="eastAsia" w:ascii="宋体" w:hAnsi="宋体"/>
          <w:highlight w:val="none"/>
        </w:rPr>
        <w:t>为准，本协议另有明确约定的情况除外。</w:t>
      </w:r>
    </w:p>
    <w:p>
      <w:pPr>
        <w:pStyle w:val="15"/>
        <w:adjustRightInd w:val="0"/>
        <w:snapToGrid w:val="0"/>
        <w:spacing w:before="0" w:beforeLines="0"/>
        <w:ind w:firstLine="480"/>
        <w:rPr>
          <w:rFonts w:hint="eastAsia" w:ascii="宋体" w:hAnsi="宋体"/>
          <w:highlight w:val="none"/>
        </w:rPr>
      </w:pPr>
      <w:r>
        <w:rPr>
          <w:rFonts w:hint="eastAsia" w:ascii="宋体" w:hAnsi="宋体"/>
          <w:highlight w:val="none"/>
        </w:rPr>
        <w:t>（</w:t>
      </w:r>
      <w:r>
        <w:rPr>
          <w:rFonts w:hint="eastAsia" w:ascii="宋体" w:hAnsi="宋体"/>
          <w:highlight w:val="none"/>
          <w:lang w:val="en-US" w:eastAsia="zh-CN"/>
        </w:rPr>
        <w:t>二</w:t>
      </w:r>
      <w:r>
        <w:rPr>
          <w:rFonts w:hint="eastAsia" w:ascii="宋体" w:hAnsi="宋体"/>
          <w:highlight w:val="none"/>
        </w:rPr>
        <w:t>）本协议一式</w:t>
      </w:r>
      <w:r>
        <w:rPr>
          <w:rFonts w:hint="eastAsia" w:ascii="宋体" w:hAnsi="宋体"/>
          <w:highlight w:val="none"/>
          <w:u w:val="single"/>
        </w:rPr>
        <w:t xml:space="preserve">     </w:t>
      </w:r>
      <w:r>
        <w:rPr>
          <w:rFonts w:hint="eastAsia" w:ascii="宋体" w:hAnsi="宋体"/>
          <w:highlight w:val="none"/>
        </w:rPr>
        <w:t>份，甲方执正本</w:t>
      </w:r>
      <w:r>
        <w:rPr>
          <w:rFonts w:hint="eastAsia" w:ascii="宋体" w:hAnsi="宋体"/>
          <w:highlight w:val="none"/>
          <w:u w:val="single"/>
        </w:rPr>
        <w:t xml:space="preserve">     </w:t>
      </w:r>
      <w:r>
        <w:rPr>
          <w:rFonts w:hint="eastAsia" w:ascii="宋体" w:hAnsi="宋体"/>
          <w:highlight w:val="none"/>
        </w:rPr>
        <w:t>份，副本</w:t>
      </w:r>
      <w:r>
        <w:rPr>
          <w:rFonts w:hint="eastAsia" w:ascii="宋体" w:hAnsi="宋体"/>
          <w:highlight w:val="none"/>
          <w:u w:val="single"/>
        </w:rPr>
        <w:t xml:space="preserve">     </w:t>
      </w:r>
      <w:r>
        <w:rPr>
          <w:rFonts w:hint="eastAsia" w:ascii="宋体" w:hAnsi="宋体"/>
          <w:highlight w:val="none"/>
        </w:rPr>
        <w:t>份；乙方执正本</w:t>
      </w:r>
      <w:r>
        <w:rPr>
          <w:rFonts w:hint="eastAsia" w:ascii="宋体" w:hAnsi="宋体"/>
          <w:highlight w:val="none"/>
          <w:u w:val="single"/>
        </w:rPr>
        <w:t xml:space="preserve">     </w:t>
      </w:r>
      <w:r>
        <w:rPr>
          <w:rFonts w:hint="eastAsia" w:ascii="宋体" w:hAnsi="宋体"/>
          <w:highlight w:val="none"/>
        </w:rPr>
        <w:t>份，副本</w:t>
      </w:r>
      <w:r>
        <w:rPr>
          <w:rFonts w:hint="eastAsia" w:ascii="宋体" w:hAnsi="宋体"/>
          <w:highlight w:val="none"/>
          <w:u w:val="single"/>
        </w:rPr>
        <w:t xml:space="preserve">     </w:t>
      </w:r>
      <w:r>
        <w:rPr>
          <w:rFonts w:hint="eastAsia" w:ascii="宋体" w:hAnsi="宋体"/>
          <w:highlight w:val="none"/>
        </w:rPr>
        <w:t>份。</w:t>
      </w:r>
    </w:p>
    <w:p>
      <w:pPr>
        <w:adjustRightInd w:val="0"/>
        <w:snapToGrid w:val="0"/>
        <w:spacing w:line="360" w:lineRule="auto"/>
        <w:ind w:firstLine="3920" w:firstLineChars="1400"/>
        <w:rPr>
          <w:rFonts w:hint="eastAsia" w:ascii="宋体" w:hAnsi="宋体"/>
          <w:sz w:val="28"/>
          <w:szCs w:val="28"/>
          <w:highlight w:val="none"/>
        </w:rPr>
      </w:pPr>
      <w:r>
        <w:rPr>
          <w:rFonts w:ascii="宋体" w:hAnsi="宋体"/>
          <w:sz w:val="28"/>
          <w:szCs w:val="28"/>
          <w:highlight w:val="none"/>
        </w:rPr>
        <w:br w:type="page"/>
      </w:r>
      <w:r>
        <w:rPr>
          <w:rFonts w:hint="eastAsia" w:ascii="宋体" w:hAnsi="宋体"/>
          <w:sz w:val="28"/>
          <w:szCs w:val="28"/>
          <w:highlight w:val="none"/>
        </w:rPr>
        <w:t>【签章页】</w:t>
      </w:r>
    </w:p>
    <w:p>
      <w:pPr>
        <w:pStyle w:val="3"/>
        <w:adjustRightInd w:val="0"/>
        <w:snapToGrid w:val="0"/>
        <w:spacing w:after="0" w:line="360" w:lineRule="auto"/>
        <w:rPr>
          <w:rFonts w:hint="eastAsia" w:ascii="宋体" w:hAnsi="宋体"/>
          <w:sz w:val="28"/>
          <w:szCs w:val="28"/>
          <w:highlight w:val="none"/>
        </w:rPr>
      </w:pP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甲方（投保人）：                （盖鲜章）</w:t>
      </w:r>
    </w:p>
    <w:p>
      <w:pPr>
        <w:pStyle w:val="3"/>
        <w:adjustRightInd w:val="0"/>
        <w:snapToGrid w:val="0"/>
        <w:spacing w:after="0" w:line="360" w:lineRule="auto"/>
        <w:rPr>
          <w:rFonts w:hint="eastAsia" w:ascii="宋体" w:hAnsi="宋体" w:cs="宋体"/>
          <w:sz w:val="24"/>
          <w:highlight w:val="none"/>
        </w:rPr>
      </w:pP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地址：</w:t>
      </w:r>
    </w:p>
    <w:p>
      <w:pPr>
        <w:pStyle w:val="3"/>
        <w:adjustRightInd w:val="0"/>
        <w:snapToGrid w:val="0"/>
        <w:spacing w:after="0" w:line="360" w:lineRule="auto"/>
        <w:rPr>
          <w:rFonts w:hint="eastAsia" w:ascii="宋体" w:hAnsi="宋体" w:cs="宋体"/>
          <w:sz w:val="24"/>
          <w:highlight w:val="none"/>
        </w:rPr>
      </w:pPr>
    </w:p>
    <w:p>
      <w:pPr>
        <w:pStyle w:val="3"/>
        <w:adjustRightInd w:val="0"/>
        <w:snapToGrid w:val="0"/>
        <w:spacing w:after="0" w:line="360" w:lineRule="auto"/>
        <w:rPr>
          <w:rFonts w:hint="eastAsia" w:ascii="宋体" w:hAnsi="宋体" w:cs="宋体"/>
          <w:sz w:val="24"/>
          <w:highlight w:val="none"/>
        </w:rPr>
      </w:pPr>
      <w:r>
        <w:rPr>
          <w:rFonts w:hint="eastAsia" w:ascii="宋体" w:hAnsi="宋体" w:cs="宋体"/>
          <w:sz w:val="24"/>
          <w:highlight w:val="none"/>
        </w:rPr>
        <w:t>法定代表人或授权代理人：         （签字）</w:t>
      </w:r>
    </w:p>
    <w:p>
      <w:pPr>
        <w:adjustRightInd w:val="0"/>
        <w:snapToGrid w:val="0"/>
        <w:spacing w:line="360" w:lineRule="auto"/>
        <w:rPr>
          <w:rFonts w:hint="eastAsia" w:ascii="宋体" w:hAnsi="宋体" w:cs="宋体"/>
          <w:sz w:val="24"/>
          <w:highlight w:val="none"/>
        </w:rPr>
      </w:pPr>
    </w:p>
    <w:p>
      <w:pPr>
        <w:pStyle w:val="3"/>
        <w:adjustRightInd w:val="0"/>
        <w:snapToGrid w:val="0"/>
        <w:spacing w:after="0" w:line="360" w:lineRule="auto"/>
        <w:rPr>
          <w:rFonts w:ascii="宋体" w:hAnsi="宋体" w:cs="宋体"/>
          <w:sz w:val="24"/>
          <w:highlight w:val="none"/>
        </w:rPr>
      </w:pPr>
      <w:r>
        <w:rPr>
          <w:rFonts w:hint="eastAsia" w:ascii="宋体" w:hAnsi="宋体" w:cs="宋体"/>
          <w:sz w:val="24"/>
          <w:highlight w:val="none"/>
        </w:rPr>
        <w:t>负责人：        （签字）</w:t>
      </w:r>
    </w:p>
    <w:p>
      <w:pPr>
        <w:pStyle w:val="3"/>
        <w:adjustRightInd w:val="0"/>
        <w:snapToGrid w:val="0"/>
        <w:spacing w:after="0" w:line="360" w:lineRule="auto"/>
        <w:rPr>
          <w:rFonts w:hint="eastAsia" w:ascii="宋体" w:hAnsi="宋体" w:cs="宋体"/>
          <w:sz w:val="24"/>
          <w:highlight w:val="none"/>
        </w:rPr>
      </w:pPr>
    </w:p>
    <w:p>
      <w:pPr>
        <w:pStyle w:val="3"/>
        <w:adjustRightInd w:val="0"/>
        <w:snapToGrid w:val="0"/>
        <w:spacing w:after="0" w:line="360" w:lineRule="auto"/>
        <w:rPr>
          <w:rFonts w:hint="eastAsia" w:ascii="宋体" w:hAnsi="宋体" w:cs="宋体"/>
          <w:sz w:val="24"/>
          <w:highlight w:val="none"/>
        </w:rPr>
      </w:pPr>
      <w:r>
        <w:rPr>
          <w:rFonts w:hint="eastAsia" w:ascii="宋体" w:hAnsi="宋体" w:cs="宋体"/>
          <w:sz w:val="24"/>
          <w:highlight w:val="none"/>
        </w:rPr>
        <w:t>经办人：        （签字）</w:t>
      </w:r>
    </w:p>
    <w:p>
      <w:pPr>
        <w:pStyle w:val="3"/>
        <w:adjustRightInd w:val="0"/>
        <w:snapToGrid w:val="0"/>
        <w:spacing w:after="0" w:line="360" w:lineRule="auto"/>
        <w:rPr>
          <w:rFonts w:hint="eastAsia" w:ascii="宋体" w:hAnsi="宋体" w:cs="宋体"/>
          <w:sz w:val="24"/>
          <w:highlight w:val="none"/>
        </w:rPr>
      </w:pP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联系电话：</w:t>
      </w:r>
    </w:p>
    <w:p>
      <w:pPr>
        <w:pStyle w:val="3"/>
        <w:adjustRightInd w:val="0"/>
        <w:snapToGrid w:val="0"/>
        <w:spacing w:after="0" w:line="360" w:lineRule="auto"/>
        <w:rPr>
          <w:rFonts w:hint="eastAsia" w:ascii="宋体" w:hAnsi="宋体" w:cs="宋体"/>
          <w:sz w:val="24"/>
          <w:highlight w:val="none"/>
        </w:rPr>
      </w:pPr>
    </w:p>
    <w:p>
      <w:pPr>
        <w:adjustRightInd w:val="0"/>
        <w:snapToGrid w:val="0"/>
        <w:spacing w:line="360" w:lineRule="auto"/>
        <w:rPr>
          <w:rFonts w:hint="eastAsia" w:ascii="宋体" w:hAnsi="宋体" w:cs="宋体"/>
          <w:sz w:val="24"/>
          <w:highlight w:val="none"/>
        </w:rPr>
      </w:pPr>
    </w:p>
    <w:p>
      <w:pPr>
        <w:pStyle w:val="3"/>
        <w:adjustRightInd w:val="0"/>
        <w:snapToGrid w:val="0"/>
        <w:spacing w:after="0" w:line="360" w:lineRule="auto"/>
        <w:rPr>
          <w:rFonts w:hint="eastAsia" w:ascii="宋体" w:hAnsi="宋体" w:cs="宋体"/>
          <w:sz w:val="24"/>
          <w:highlight w:val="none"/>
        </w:rPr>
      </w:pP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乙方（首席承保人）：             （盖鲜章）</w:t>
      </w:r>
    </w:p>
    <w:p>
      <w:pPr>
        <w:pStyle w:val="3"/>
        <w:adjustRightInd w:val="0"/>
        <w:snapToGrid w:val="0"/>
        <w:spacing w:after="0" w:line="360" w:lineRule="auto"/>
        <w:rPr>
          <w:rFonts w:hint="eastAsia" w:ascii="宋体" w:hAnsi="宋体" w:cs="宋体"/>
          <w:sz w:val="24"/>
          <w:highlight w:val="none"/>
        </w:rPr>
      </w:pP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地址：</w:t>
      </w:r>
    </w:p>
    <w:p>
      <w:pPr>
        <w:pStyle w:val="3"/>
        <w:adjustRightInd w:val="0"/>
        <w:snapToGrid w:val="0"/>
        <w:spacing w:after="0" w:line="360" w:lineRule="auto"/>
        <w:rPr>
          <w:rFonts w:hint="eastAsia" w:ascii="宋体" w:hAnsi="宋体" w:cs="宋体"/>
          <w:sz w:val="24"/>
          <w:highlight w:val="none"/>
        </w:rPr>
      </w:pPr>
    </w:p>
    <w:p>
      <w:pPr>
        <w:pStyle w:val="3"/>
        <w:adjustRightInd w:val="0"/>
        <w:snapToGrid w:val="0"/>
        <w:spacing w:after="0" w:line="360" w:lineRule="auto"/>
        <w:rPr>
          <w:rFonts w:hint="eastAsia" w:ascii="宋体" w:hAnsi="宋体" w:cs="宋体"/>
          <w:sz w:val="24"/>
          <w:highlight w:val="none"/>
        </w:rPr>
      </w:pPr>
      <w:r>
        <w:rPr>
          <w:rFonts w:hint="eastAsia" w:ascii="宋体" w:hAnsi="宋体" w:cs="宋体"/>
          <w:sz w:val="24"/>
          <w:highlight w:val="none"/>
        </w:rPr>
        <w:t>法定代表人或授权代理人：         （签字）</w:t>
      </w:r>
    </w:p>
    <w:p>
      <w:pPr>
        <w:adjustRightInd w:val="0"/>
        <w:snapToGrid w:val="0"/>
        <w:spacing w:line="360" w:lineRule="auto"/>
        <w:rPr>
          <w:rFonts w:hint="eastAsia" w:ascii="宋体" w:hAnsi="宋体" w:cs="宋体"/>
          <w:sz w:val="24"/>
          <w:highlight w:val="none"/>
        </w:rPr>
      </w:pPr>
    </w:p>
    <w:p>
      <w:pPr>
        <w:pStyle w:val="3"/>
        <w:adjustRightInd w:val="0"/>
        <w:snapToGrid w:val="0"/>
        <w:spacing w:after="0" w:line="360" w:lineRule="auto"/>
        <w:rPr>
          <w:rFonts w:ascii="宋体" w:hAnsi="宋体" w:cs="宋体"/>
          <w:sz w:val="24"/>
          <w:highlight w:val="none"/>
        </w:rPr>
      </w:pPr>
      <w:r>
        <w:rPr>
          <w:rFonts w:hint="eastAsia" w:ascii="宋体" w:hAnsi="宋体" w:cs="宋体"/>
          <w:sz w:val="24"/>
          <w:highlight w:val="none"/>
        </w:rPr>
        <w:t>负责人：        （签字）</w:t>
      </w:r>
    </w:p>
    <w:p>
      <w:pPr>
        <w:pStyle w:val="3"/>
        <w:adjustRightInd w:val="0"/>
        <w:snapToGrid w:val="0"/>
        <w:spacing w:after="0" w:line="360" w:lineRule="auto"/>
        <w:rPr>
          <w:rFonts w:hint="eastAsia" w:ascii="宋体" w:hAnsi="宋体" w:cs="宋体"/>
          <w:sz w:val="24"/>
          <w:highlight w:val="none"/>
        </w:rPr>
      </w:pPr>
    </w:p>
    <w:p>
      <w:pPr>
        <w:pStyle w:val="3"/>
        <w:adjustRightInd w:val="0"/>
        <w:snapToGrid w:val="0"/>
        <w:spacing w:after="0" w:line="360" w:lineRule="auto"/>
        <w:rPr>
          <w:rFonts w:hint="eastAsia" w:ascii="宋体" w:hAnsi="宋体" w:cs="宋体"/>
          <w:sz w:val="24"/>
          <w:highlight w:val="none"/>
        </w:rPr>
      </w:pPr>
      <w:r>
        <w:rPr>
          <w:rFonts w:hint="eastAsia" w:ascii="宋体" w:hAnsi="宋体" w:cs="宋体"/>
          <w:sz w:val="24"/>
          <w:highlight w:val="none"/>
        </w:rPr>
        <w:t>经办人：        （签字）</w:t>
      </w:r>
    </w:p>
    <w:p>
      <w:pPr>
        <w:pStyle w:val="3"/>
        <w:adjustRightInd w:val="0"/>
        <w:snapToGrid w:val="0"/>
        <w:spacing w:after="0" w:line="360" w:lineRule="auto"/>
        <w:rPr>
          <w:rFonts w:hint="eastAsia" w:ascii="宋体" w:hAnsi="宋体" w:cs="宋体"/>
          <w:sz w:val="24"/>
          <w:highlight w:val="none"/>
        </w:rPr>
      </w:pP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联系电话：</w:t>
      </w:r>
    </w:p>
    <w:p>
      <w:pPr>
        <w:adjustRightInd w:val="0"/>
        <w:snapToGrid w:val="0"/>
        <w:spacing w:line="360" w:lineRule="auto"/>
        <w:rPr>
          <w:highlight w:val="none"/>
        </w:rPr>
      </w:pPr>
    </w:p>
    <w:p>
      <w:pPr>
        <w:adjustRightInd w:val="0"/>
        <w:snapToGrid w:val="0"/>
        <w:spacing w:line="360" w:lineRule="auto"/>
        <w:rPr>
          <w:rFonts w:hint="eastAsia" w:ascii="宋体" w:hAnsi="宋体" w:cs="宋体"/>
          <w:sz w:val="24"/>
          <w:highlight w:val="none"/>
        </w:rPr>
      </w:pPr>
      <w:r>
        <w:rPr>
          <w:rFonts w:ascii="宋体" w:hAnsi="宋体" w:cs="宋体"/>
          <w:sz w:val="24"/>
          <w:highlight w:val="none"/>
        </w:rPr>
        <w:br w:type="page"/>
      </w:r>
      <w:r>
        <w:rPr>
          <w:rFonts w:hint="eastAsia" w:ascii="宋体" w:hAnsi="宋体" w:cs="宋体"/>
          <w:sz w:val="24"/>
          <w:highlight w:val="none"/>
        </w:rPr>
        <w:t>乙方（共同承保人）：             （盖鲜章）</w:t>
      </w:r>
    </w:p>
    <w:p>
      <w:pPr>
        <w:pStyle w:val="3"/>
        <w:adjustRightInd w:val="0"/>
        <w:snapToGrid w:val="0"/>
        <w:spacing w:after="0" w:line="360" w:lineRule="auto"/>
        <w:rPr>
          <w:rFonts w:hint="eastAsia" w:ascii="宋体" w:hAnsi="宋体" w:cs="宋体"/>
          <w:sz w:val="24"/>
          <w:highlight w:val="none"/>
        </w:rPr>
      </w:pP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地址：</w:t>
      </w:r>
    </w:p>
    <w:p>
      <w:pPr>
        <w:pStyle w:val="3"/>
        <w:adjustRightInd w:val="0"/>
        <w:snapToGrid w:val="0"/>
        <w:spacing w:after="0" w:line="360" w:lineRule="auto"/>
        <w:rPr>
          <w:rFonts w:hint="eastAsia" w:ascii="宋体" w:hAnsi="宋体" w:cs="宋体"/>
          <w:sz w:val="24"/>
          <w:highlight w:val="none"/>
        </w:rPr>
      </w:pPr>
    </w:p>
    <w:p>
      <w:pPr>
        <w:pStyle w:val="3"/>
        <w:adjustRightInd w:val="0"/>
        <w:snapToGrid w:val="0"/>
        <w:spacing w:after="0" w:line="360" w:lineRule="auto"/>
        <w:rPr>
          <w:rFonts w:hint="eastAsia" w:ascii="宋体" w:hAnsi="宋体" w:cs="宋体"/>
          <w:sz w:val="24"/>
          <w:highlight w:val="none"/>
        </w:rPr>
      </w:pPr>
      <w:r>
        <w:rPr>
          <w:rFonts w:hint="eastAsia" w:ascii="宋体" w:hAnsi="宋体" w:cs="宋体"/>
          <w:sz w:val="24"/>
          <w:highlight w:val="none"/>
        </w:rPr>
        <w:t>法定代表人或授权代理人：         （签字）</w:t>
      </w:r>
    </w:p>
    <w:p>
      <w:pPr>
        <w:adjustRightInd w:val="0"/>
        <w:snapToGrid w:val="0"/>
        <w:spacing w:line="360" w:lineRule="auto"/>
        <w:rPr>
          <w:rFonts w:hint="eastAsia" w:ascii="宋体" w:hAnsi="宋体" w:cs="宋体"/>
          <w:sz w:val="24"/>
          <w:highlight w:val="none"/>
        </w:rPr>
      </w:pPr>
    </w:p>
    <w:p>
      <w:pPr>
        <w:pStyle w:val="3"/>
        <w:adjustRightInd w:val="0"/>
        <w:snapToGrid w:val="0"/>
        <w:spacing w:after="0" w:line="360" w:lineRule="auto"/>
        <w:rPr>
          <w:rFonts w:ascii="宋体" w:hAnsi="宋体" w:cs="宋体"/>
          <w:sz w:val="24"/>
          <w:highlight w:val="none"/>
        </w:rPr>
      </w:pPr>
      <w:r>
        <w:rPr>
          <w:rFonts w:hint="eastAsia" w:ascii="宋体" w:hAnsi="宋体" w:cs="宋体"/>
          <w:sz w:val="24"/>
          <w:highlight w:val="none"/>
        </w:rPr>
        <w:t>负责人：        （签字）</w:t>
      </w:r>
    </w:p>
    <w:p>
      <w:pPr>
        <w:pStyle w:val="3"/>
        <w:adjustRightInd w:val="0"/>
        <w:snapToGrid w:val="0"/>
        <w:spacing w:after="0" w:line="360" w:lineRule="auto"/>
        <w:rPr>
          <w:rFonts w:hint="eastAsia" w:ascii="宋体" w:hAnsi="宋体" w:cs="宋体"/>
          <w:sz w:val="24"/>
          <w:highlight w:val="none"/>
        </w:rPr>
      </w:pPr>
    </w:p>
    <w:p>
      <w:pPr>
        <w:pStyle w:val="3"/>
        <w:adjustRightInd w:val="0"/>
        <w:snapToGrid w:val="0"/>
        <w:spacing w:after="0" w:line="360" w:lineRule="auto"/>
        <w:rPr>
          <w:rFonts w:hint="eastAsia" w:ascii="宋体" w:hAnsi="宋体" w:cs="宋体"/>
          <w:sz w:val="24"/>
          <w:highlight w:val="none"/>
        </w:rPr>
      </w:pPr>
      <w:r>
        <w:rPr>
          <w:rFonts w:hint="eastAsia" w:ascii="宋体" w:hAnsi="宋体" w:cs="宋体"/>
          <w:sz w:val="24"/>
          <w:highlight w:val="none"/>
        </w:rPr>
        <w:t>经办人：        （签字）</w:t>
      </w:r>
    </w:p>
    <w:p>
      <w:pPr>
        <w:pStyle w:val="3"/>
        <w:adjustRightInd w:val="0"/>
        <w:snapToGrid w:val="0"/>
        <w:spacing w:after="0" w:line="360" w:lineRule="auto"/>
        <w:rPr>
          <w:rFonts w:hint="eastAsia" w:ascii="宋体" w:hAnsi="宋体" w:cs="宋体"/>
          <w:sz w:val="24"/>
          <w:highlight w:val="none"/>
        </w:rPr>
      </w:pP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rPr>
        <w:t>联系电话：</w:t>
      </w:r>
    </w:p>
    <w:p>
      <w:pPr>
        <w:adjustRightInd w:val="0"/>
        <w:snapToGrid w:val="0"/>
        <w:spacing w:line="360" w:lineRule="auto"/>
        <w:rPr>
          <w:highlight w:val="none"/>
        </w:rPr>
      </w:pPr>
    </w:p>
    <w:p>
      <w:pPr>
        <w:adjustRightInd w:val="0"/>
        <w:snapToGrid w:val="0"/>
        <w:spacing w:line="360" w:lineRule="auto"/>
        <w:rPr>
          <w:highlight w:val="none"/>
        </w:rPr>
      </w:pPr>
    </w:p>
    <w:p>
      <w:pPr>
        <w:adjustRightInd w:val="0"/>
        <w:snapToGrid w:val="0"/>
        <w:spacing w:line="360" w:lineRule="auto"/>
        <w:rPr>
          <w:highlight w:val="none"/>
        </w:rPr>
      </w:pPr>
    </w:p>
    <w:p>
      <w:pPr>
        <w:adjustRightInd w:val="0"/>
        <w:snapToGrid w:val="0"/>
        <w:spacing w:line="360" w:lineRule="auto"/>
        <w:rPr>
          <w:highlight w:val="none"/>
        </w:rPr>
      </w:pPr>
    </w:p>
    <w:p>
      <w:pPr>
        <w:adjustRightInd w:val="0"/>
        <w:snapToGrid w:val="0"/>
        <w:spacing w:line="360" w:lineRule="auto"/>
        <w:rPr>
          <w:highlight w:val="none"/>
        </w:rPr>
      </w:pPr>
    </w:p>
    <w:p>
      <w:pPr>
        <w:tabs>
          <w:tab w:val="center" w:pos="4684"/>
        </w:tabs>
        <w:adjustRightInd w:val="0"/>
        <w:snapToGrid w:val="0"/>
        <w:spacing w:line="360" w:lineRule="auto"/>
        <w:jc w:val="left"/>
        <w:rPr>
          <w:highlight w:val="none"/>
        </w:rPr>
        <w:sectPr>
          <w:footerReference r:id="rId11" w:type="default"/>
          <w:pgSz w:w="11920" w:h="16840"/>
          <w:pgMar w:top="1304" w:right="1304" w:bottom="1304" w:left="1304" w:header="720" w:footer="720" w:gutter="0"/>
          <w:pgBorders>
            <w:top w:val="none" w:sz="0" w:space="0"/>
            <w:left w:val="none" w:sz="0" w:space="0"/>
            <w:bottom w:val="none" w:sz="0" w:space="0"/>
            <w:right w:val="none" w:sz="0" w:space="0"/>
          </w:pgBorders>
          <w:cols w:space="720" w:num="1"/>
          <w:docGrid w:linePitch="312" w:charSpace="0"/>
        </w:sectPr>
      </w:pPr>
      <w:r>
        <w:rPr>
          <w:rFonts w:hint="eastAsia"/>
          <w:highlight w:val="none"/>
        </w:rPr>
        <w:tab/>
      </w:r>
      <w:r>
        <w:rPr>
          <w:rFonts w:hint="eastAsia"/>
          <w:sz w:val="24"/>
          <w:highlight w:val="none"/>
        </w:rPr>
        <w:t>签订地点：重庆市渝北区</w:t>
      </w:r>
    </w:p>
    <w:p>
      <w:pPr>
        <w:pStyle w:val="40"/>
        <w:spacing w:line="5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廉政合同</w:t>
      </w:r>
    </w:p>
    <w:p>
      <w:pPr>
        <w:widowControl/>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甲方：重庆首讯科技股份有限公司</w:t>
      </w:r>
    </w:p>
    <w:p>
      <w:pPr>
        <w:widowControl/>
        <w:tabs>
          <w:tab w:val="left" w:pos="3936"/>
        </w:tabs>
        <w:spacing w:line="4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乙方：XXX公司</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交通部《关于在交通基础设施建设中加强廉政建设的若干意见》和《关于在交通基础设施建设中推行廉政合同的通知》以及有关工程建设、廉政建设的规定，为搞好机电工程中的党风廉政建设，保证机电工程工作高效优质，保证机电资金的安全和有效使用及投资效益，</w:t>
      </w:r>
      <w:r>
        <w:rPr>
          <w:rFonts w:hint="eastAsia" w:ascii="宋体" w:hAnsi="宋体" w:eastAsia="宋体" w:cs="宋体"/>
          <w:color w:val="auto"/>
          <w:sz w:val="24"/>
          <w:highlight w:val="none"/>
          <w:u w:val="none"/>
        </w:rPr>
        <w:t>重庆首讯科技股份有限公司</w:t>
      </w:r>
      <w:r>
        <w:rPr>
          <w:rFonts w:hint="eastAsia" w:ascii="宋体" w:hAnsi="宋体" w:eastAsia="宋体" w:cs="宋体"/>
          <w:color w:val="auto"/>
          <w:sz w:val="24"/>
          <w:highlight w:val="none"/>
        </w:rPr>
        <w:t>（以下称甲方）与XXX公司（以下称乙方），特订立如下合同。</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一、甲乙双方的权利和义务</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（1）严格遵守党的政策规定和国家有关法律法规及交通部的有关规定。</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（2）双方的业务活动坚持公开、公正、诚信、透明的原则（除法律认定的商业秘密和合同文件另有规定之外），不得损害国家和集体利益，违反养护工程管理规章制度。</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（3）建立健全廉政制度，开展廉政教育，设立廉政告示牌，公布举报电话，监督并认真查处违法违纪行为。</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（4）发现对方在业务活动中有违反廉政规定的行为，有及时提醒对方纠正的权利和义务。</w:t>
      </w:r>
    </w:p>
    <w:p>
      <w:pPr>
        <w:widowControl/>
        <w:tabs>
          <w:tab w:val="left" w:pos="3936"/>
        </w:tabs>
        <w:spacing w:line="400" w:lineRule="exact"/>
        <w:ind w:firstLine="480" w:firstLineChars="200"/>
        <w:jc w:val="left"/>
        <w:rPr>
          <w:rFonts w:hint="eastAsia" w:ascii="宋体" w:hAnsi="宋体" w:eastAsia="宋体" w:cs="宋体"/>
          <w:color w:val="auto"/>
          <w:szCs w:val="21"/>
          <w:highlight w:val="none"/>
        </w:rPr>
      </w:pPr>
      <w:r>
        <w:rPr>
          <w:rFonts w:hint="eastAsia" w:ascii="宋体" w:hAnsi="宋体" w:eastAsia="宋体" w:cs="宋体"/>
          <w:color w:val="auto"/>
          <w:sz w:val="24"/>
          <w:highlight w:val="none"/>
        </w:rPr>
        <w:t>（5）发现对方严重违反本合同义务条款的行为，有向上级有关部门举报、建议给予处理并要求告知处理结果的权利。</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二、甲方的义务</w:t>
      </w:r>
    </w:p>
    <w:p>
      <w:pPr>
        <w:widowControl/>
        <w:tabs>
          <w:tab w:val="left" w:pos="3936"/>
        </w:tabs>
        <w:spacing w:line="400" w:lineRule="exact"/>
        <w:ind w:firstLine="420" w:firstLineChars="200"/>
        <w:jc w:val="left"/>
        <w:rPr>
          <w:rFonts w:hint="eastAsia" w:ascii="宋体" w:hAnsi="宋体" w:eastAsia="宋体" w:cs="宋体"/>
          <w:color w:val="auto"/>
          <w:sz w:val="24"/>
          <w:highlight w:val="none"/>
        </w:rPr>
      </w:pPr>
      <w:r>
        <w:rPr>
          <w:rFonts w:hint="eastAsia" w:ascii="宋体" w:hAnsi="宋体" w:eastAsia="宋体" w:cs="宋体"/>
          <w:color w:val="auto"/>
          <w:szCs w:val="21"/>
          <w:highlight w:val="none"/>
        </w:rPr>
        <w:t>（</w:t>
      </w:r>
      <w:r>
        <w:rPr>
          <w:rFonts w:hint="eastAsia" w:ascii="宋体" w:hAnsi="宋体" w:eastAsia="宋体" w:cs="宋体"/>
          <w:color w:val="auto"/>
          <w:sz w:val="24"/>
          <w:highlight w:val="none"/>
        </w:rPr>
        <w:t>1）甲方及其工作人员不得索要或接受乙方的礼金、有价证券和贵重物品，不得在乙方报销任何应由甲方或甲方工作人员个人支付的费用等。</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（2）甲方工作人员不得参加乙方安排的超标准宴请和娱乐活动；不得接受乙方提供的通讯工具、交通工具和高档办公用品等。</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（3）甲方及其工作人员不得要求或者接受乙方为其住房装修、婚丧嫁娶活动、配偶子女的工作安排以及出国出境、旅游等提供方便等。</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（4）甲方工作人员及其配偶、子女不得从事与甲方工程有关部门的材料设备供应、工程分包、劳务等经济活动等。</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（5）甲方及其工作人员不得以任何理由向乙方推荐分包单位或推销材料，不得要求乙方购买合同规定外的材料和设备。</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三、乙方义务</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（1）乙方不得以任何理由向甲方及其工作人员行贿或馈赠礼金、有价证券、贵重物品。</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（2）乙方不得以任何名义为甲方及其工作人员报销应由甲方单位或个人支付的任何费用。</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（3）乙方不得以任何理由邀请甲方工作人员外出旅游或安排甲方人员参加超标准宴请及娱乐活动。</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（4）乙方不得为甲方单位和个人购置或提供通讯工具、交通工具和高档办公用品等。</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（5）乙方及其工作人员应严格按监理规程办事，不得为谋取私利向监理人员非法行贿，私下串通，损坏甲方利益。同时必须对监理单位和工程监理人员履行向甲方承诺的上述其他廉政义务。</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乙方如果发现甲方工作人员或工程监理人员有违反廉政规定的行为，应向甲方组织或上级举报。甲方和工程监理部门均不得找任何借口对乙方进行报复。甲方对举报属实或严格遵守廉政合同的乙方，在同等条件下给予承接后续工程的优先邀请投标权。</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四、违约责任</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（1）甲方及其工作人员违反本合同第一、二条，按管理权限，依据有关部门规定给予党纪、政纪或组织处理；涉嫌犯罪的，移交司法机关追究刑事责任；给乙方单位造成经济损失的，应予以赔偿。</w:t>
      </w:r>
    </w:p>
    <w:p>
      <w:pPr>
        <w:widowControl/>
        <w:tabs>
          <w:tab w:val="left" w:pos="3936"/>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及其工作人员违反本合同第一、三条，按管理权限，依据有关部门规定给予党纪、政纪或组织处理；给甲方单位造成经济损失的，应予以赔偿；情节严重的，甲方建议交通工程建设主管部门给予乙方一至三年内不得进入其主管的交通工程建设市场的处罚。</w:t>
      </w:r>
    </w:p>
    <w:p>
      <w:pPr>
        <w:widowControl/>
        <w:spacing w:line="4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五、双方约定</w:t>
      </w:r>
      <w:r>
        <w:rPr>
          <w:rFonts w:hint="eastAsia" w:ascii="宋体" w:hAnsi="宋体" w:eastAsia="宋体" w:cs="宋体"/>
          <w:color w:val="auto"/>
          <w:szCs w:val="21"/>
          <w:highlight w:val="none"/>
        </w:rPr>
        <w:t>：</w:t>
      </w:r>
      <w:r>
        <w:rPr>
          <w:rFonts w:hint="eastAsia" w:ascii="宋体" w:hAnsi="宋体" w:eastAsia="宋体" w:cs="宋体"/>
          <w:color w:val="auto"/>
          <w:sz w:val="24"/>
          <w:highlight w:val="none"/>
        </w:rPr>
        <w:t>本合同由双方或双方上级单位的纪检监察机关负责监督执行。根据重庆市人民检察院、重庆市交通委员会《关于开展在交通基础设施建设中预防职务犯罪工作的意见》的有关规定，邀请当地检查机关作为本合同执行的法律监督单位，参与对本合同履行情况的监督检查。</w:t>
      </w:r>
    </w:p>
    <w:p>
      <w:pPr>
        <w:widowControl/>
        <w:spacing w:line="4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六、</w:t>
      </w:r>
      <w:r>
        <w:rPr>
          <w:rFonts w:hint="eastAsia" w:ascii="宋体" w:hAnsi="宋体" w:eastAsia="宋体" w:cs="宋体"/>
          <w:color w:val="auto"/>
          <w:sz w:val="24"/>
          <w:highlight w:val="none"/>
        </w:rPr>
        <w:t>本合同有效期为甲乙双方签署之日起至该工程项目竣工后止。</w:t>
      </w:r>
    </w:p>
    <w:p>
      <w:pPr>
        <w:widowControl/>
        <w:spacing w:line="400" w:lineRule="exact"/>
        <w:jc w:val="lef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七、</w:t>
      </w:r>
      <w:r>
        <w:rPr>
          <w:rFonts w:hint="eastAsia" w:ascii="宋体" w:hAnsi="宋体" w:eastAsia="宋体" w:cs="宋体"/>
          <w:color w:val="auto"/>
          <w:sz w:val="24"/>
          <w:highlight w:val="none"/>
        </w:rPr>
        <w:t>本合同一式两份，甲、乙双方各执一份。</w:t>
      </w:r>
    </w:p>
    <w:p>
      <w:pPr>
        <w:pStyle w:val="8"/>
        <w:rPr>
          <w:rFonts w:hint="eastAsia" w:ascii="宋体" w:hAnsi="宋体" w:eastAsia="宋体" w:cs="宋体"/>
          <w:color w:val="auto"/>
          <w:highlight w:val="none"/>
        </w:rPr>
      </w:pPr>
    </w:p>
    <w:p>
      <w:pPr>
        <w:widowControl/>
        <w:spacing w:line="40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甲方：重庆首讯科技股份有限公司            乙方：</w:t>
      </w:r>
      <w:r>
        <w:rPr>
          <w:rFonts w:hint="eastAsia" w:ascii="宋体" w:hAnsi="宋体" w:eastAsia="宋体" w:cs="宋体"/>
          <w:color w:val="auto"/>
          <w:sz w:val="24"/>
          <w:highlight w:val="none"/>
          <w:lang w:val="en-US" w:eastAsia="zh-CN"/>
        </w:rPr>
        <w:t>XXXXXX</w:t>
      </w:r>
    </w:p>
    <w:p>
      <w:pPr>
        <w:widowControl/>
        <w:spacing w:line="360" w:lineRule="auto"/>
        <w:jc w:val="left"/>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highlight w:val="none"/>
          <w:lang w:val="en-US" w:eastAsia="zh-CN"/>
        </w:rPr>
        <w:t>公司负责人</w:t>
      </w:r>
      <w:r>
        <w:rPr>
          <w:rFonts w:hint="eastAsia" w:ascii="宋体" w:hAnsi="宋体" w:eastAsia="宋体" w:cs="宋体"/>
          <w:b w:val="0"/>
          <w:bCs w:val="0"/>
          <w:color w:val="auto"/>
          <w:sz w:val="24"/>
          <w:highlight w:val="none"/>
        </w:rPr>
        <w:t>或授权代理人</w:t>
      </w:r>
      <w:r>
        <w:rPr>
          <w:rFonts w:hint="eastAsia" w:ascii="宋体" w:hAnsi="宋体" w:eastAsia="宋体" w:cs="宋体"/>
          <w:color w:val="auto"/>
          <w:sz w:val="24"/>
          <w:highlight w:val="none"/>
        </w:rPr>
        <w:t>：</w:t>
      </w: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sz w:val="24"/>
          <w:highlight w:val="none"/>
          <w:lang w:val="en-US" w:eastAsia="zh-CN"/>
        </w:rPr>
        <w:t xml:space="preserve">          公司负责人</w:t>
      </w:r>
      <w:r>
        <w:rPr>
          <w:rFonts w:hint="eastAsia" w:ascii="宋体" w:hAnsi="宋体" w:eastAsia="宋体" w:cs="宋体"/>
          <w:b w:val="0"/>
          <w:bCs w:val="0"/>
          <w:color w:val="auto"/>
          <w:sz w:val="24"/>
          <w:highlight w:val="none"/>
        </w:rPr>
        <w:t>或授权代理人</w:t>
      </w:r>
      <w:r>
        <w:rPr>
          <w:rFonts w:hint="eastAsia" w:ascii="宋体" w:hAnsi="宋体" w:eastAsia="宋体" w:cs="宋体"/>
          <w:color w:val="auto"/>
          <w:sz w:val="24"/>
          <w:highlight w:val="none"/>
        </w:rPr>
        <w:t>：</w:t>
      </w:r>
    </w:p>
    <w:p>
      <w:pPr>
        <w:widowControl/>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color w:val="auto"/>
          <w:sz w:val="24"/>
          <w:highlight w:val="none"/>
          <w:lang w:val="en-US" w:eastAsia="zh-CN"/>
        </w:rPr>
        <w:t>项目经理</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rPr>
        <w:tab/>
      </w: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color w:val="auto"/>
          <w:sz w:val="24"/>
          <w:highlight w:val="none"/>
          <w:lang w:val="en-US" w:eastAsia="zh-CN"/>
        </w:rPr>
        <w:t>项目经理</w:t>
      </w:r>
      <w:r>
        <w:rPr>
          <w:rFonts w:hint="eastAsia" w:ascii="宋体" w:hAnsi="宋体" w:eastAsia="宋体" w:cs="宋体"/>
          <w:b w:val="0"/>
          <w:bCs w:val="0"/>
          <w:color w:val="auto"/>
          <w:sz w:val="24"/>
          <w:highlight w:val="none"/>
        </w:rPr>
        <w:t>：</w:t>
      </w:r>
    </w:p>
    <w:p>
      <w:pPr>
        <w:widowControl/>
        <w:spacing w:line="360" w:lineRule="auto"/>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经办人：                          </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经办人：</w:t>
      </w:r>
    </w:p>
    <w:p>
      <w:pPr>
        <w:spacing w:line="440" w:lineRule="exact"/>
        <w:rPr>
          <w:rFonts w:hint="eastAsia" w:eastAsia="仿宋_GB2312"/>
          <w:color w:val="auto"/>
          <w:sz w:val="30"/>
          <w:szCs w:val="30"/>
          <w:highlight w:val="none"/>
        </w:rPr>
      </w:pPr>
      <w:r>
        <w:rPr>
          <w:rFonts w:hint="eastAsia" w:ascii="宋体" w:hAnsi="宋体" w:eastAsia="宋体" w:cs="宋体"/>
          <w:b w:val="0"/>
          <w:bCs w:val="0"/>
          <w:color w:val="auto"/>
          <w:sz w:val="24"/>
          <w:highlight w:val="none"/>
        </w:rPr>
        <w:t xml:space="preserve">日期: </w:t>
      </w:r>
      <w:r>
        <w:rPr>
          <w:rFonts w:hint="eastAsia" w:ascii="宋体" w:hAnsi="宋体" w:eastAsia="宋体" w:cs="宋体"/>
          <w:b w:val="0"/>
          <w:bCs w:val="0"/>
          <w:color w:val="auto"/>
          <w:sz w:val="24"/>
          <w:highlight w:val="none"/>
        </w:rPr>
        <w:tab/>
      </w: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日期:</w:t>
      </w:r>
    </w:p>
    <w:p>
      <w:pPr>
        <w:rPr>
          <w:color w:val="auto"/>
          <w:highlight w:val="none"/>
        </w:rPr>
      </w:pPr>
    </w:p>
    <w:p>
      <w:pPr>
        <w:rPr>
          <w:color w:val="auto"/>
          <w:highlight w:val="none"/>
        </w:rPr>
      </w:pPr>
    </w:p>
    <w:p>
      <w:pPr>
        <w:adjustRightInd w:val="0"/>
        <w:snapToGrid w:val="0"/>
        <w:spacing w:line="360" w:lineRule="auto"/>
        <w:ind w:firstLine="22" w:firstLineChars="6"/>
        <w:jc w:val="center"/>
        <w:rPr>
          <w:rFonts w:ascii="宋体" w:cs="宋体"/>
          <w:sz w:val="28"/>
          <w:szCs w:val="28"/>
          <w:highlight w:val="none"/>
        </w:rPr>
      </w:pPr>
      <w:r>
        <w:rPr>
          <w:rFonts w:ascii="宋体" w:hAnsi="宋体" w:cs="黑体"/>
          <w:b/>
          <w:bCs/>
          <w:sz w:val="36"/>
          <w:szCs w:val="36"/>
          <w:highlight w:val="none"/>
        </w:rPr>
        <w:br w:type="page"/>
      </w:r>
      <w:r>
        <w:rPr>
          <w:rFonts w:hint="eastAsia" w:ascii="宋体" w:hAnsi="宋体" w:cs="黑体"/>
          <w:b/>
          <w:bCs/>
          <w:sz w:val="36"/>
          <w:szCs w:val="36"/>
          <w:highlight w:val="none"/>
        </w:rPr>
        <w:t>履约担保</w:t>
      </w:r>
    </w:p>
    <w:p>
      <w:pPr>
        <w:adjustRightInd w:val="0"/>
        <w:snapToGrid w:val="0"/>
        <w:spacing w:line="360" w:lineRule="auto"/>
        <w:rPr>
          <w:rFonts w:hint="eastAsia" w:ascii="宋体" w:hAnsi="宋体" w:cs="宋体"/>
          <w:sz w:val="24"/>
          <w:highlight w:val="none"/>
        </w:rPr>
      </w:pPr>
      <w:r>
        <w:rPr>
          <w:rFonts w:hint="eastAsia" w:ascii="宋体" w:hAnsi="宋体" w:cs="宋体"/>
          <w:sz w:val="24"/>
          <w:highlight w:val="none"/>
          <w:u w:val="single"/>
        </w:rPr>
        <w:t>XXXXXXXXXX</w:t>
      </w:r>
      <w:r>
        <w:rPr>
          <w:rFonts w:hint="eastAsia" w:ascii="宋体" w:hAnsi="宋体" w:cs="宋体"/>
          <w:sz w:val="24"/>
          <w:highlight w:val="none"/>
        </w:rPr>
        <w:t>（发包人名称）：</w:t>
      </w:r>
    </w:p>
    <w:p>
      <w:pPr>
        <w:tabs>
          <w:tab w:val="left" w:pos="6765"/>
        </w:tabs>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鉴于</w:t>
      </w:r>
      <w:r>
        <w:rPr>
          <w:rFonts w:hint="eastAsia" w:ascii="宋体" w:hAnsi="宋体" w:cs="宋体"/>
          <w:sz w:val="24"/>
          <w:highlight w:val="none"/>
          <w:u w:val="single"/>
        </w:rPr>
        <w:t xml:space="preserve">             </w:t>
      </w:r>
      <w:r>
        <w:rPr>
          <w:rFonts w:hint="eastAsia" w:ascii="宋体" w:hAnsi="宋体" w:cs="宋体"/>
          <w:sz w:val="24"/>
          <w:highlight w:val="none"/>
        </w:rPr>
        <w:t>（承包人名称）（以下称“承包人”），于</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日收到</w:t>
      </w:r>
      <w:r>
        <w:rPr>
          <w:rFonts w:hint="eastAsia" w:ascii="宋体" w:hAnsi="宋体" w:cs="宋体"/>
          <w:sz w:val="24"/>
          <w:highlight w:val="none"/>
          <w:u w:val="single"/>
        </w:rPr>
        <w:t>XXXXXXXXXX</w:t>
      </w:r>
      <w:r>
        <w:rPr>
          <w:rFonts w:hint="eastAsia" w:ascii="宋体" w:hAnsi="宋体" w:cs="宋体"/>
          <w:sz w:val="24"/>
          <w:highlight w:val="none"/>
        </w:rPr>
        <w:t>（发包人名称，以下简称“发包人”）签发的</w:t>
      </w:r>
      <w:r>
        <w:rPr>
          <w:rFonts w:hint="eastAsia" w:ascii="宋体" w:hAnsi="宋体" w:cs="宋体"/>
          <w:sz w:val="24"/>
          <w:highlight w:val="none"/>
          <w:u w:val="single"/>
        </w:rPr>
        <w:t xml:space="preserve">   </w:t>
      </w:r>
      <w:r>
        <w:rPr>
          <w:rFonts w:hint="eastAsia" w:ascii="宋体" w:hAnsi="宋体" w:cs="宋体"/>
          <w:sz w:val="24"/>
          <w:highlight w:val="none"/>
        </w:rPr>
        <w:t>（工程名称）中标通知书，双方约定在发包人发出中标通知书后，合同签订前，承包人向发包人提供合同金额（中标金额）的10%的履约担保。我方愿意无条件地、不可撤销地就承包人履行与你方签订的合同，向你方提供连带责任担保。</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 担保金额人民币（大写）</w:t>
      </w:r>
      <w:r>
        <w:rPr>
          <w:rFonts w:hint="eastAsia" w:ascii="宋体" w:hAnsi="宋体" w:cs="宋体"/>
          <w:sz w:val="24"/>
          <w:highlight w:val="none"/>
          <w:u w:val="single"/>
        </w:rPr>
        <w:t xml:space="preserve">     </w:t>
      </w:r>
      <w:r>
        <w:rPr>
          <w:rFonts w:hint="eastAsia" w:ascii="宋体" w:hAnsi="宋体" w:cs="宋体"/>
          <w:sz w:val="24"/>
          <w:highlight w:val="none"/>
        </w:rPr>
        <w:t>（¥）。</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 担保有效期自你方与承包人签订的合同生效之日起至</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日止。</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 在本担保有效期内，因承包人违反合同约定的义务给你方造成经济损失时，我方在收到你方以书面形式提出的在担保金额内的赔偿要求后，在7天内无条件支付。</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 你方和承包人按合同约定变更合同时，我方承担本担保规定的义务不变。</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5. 因本保函发生的纠纷，可由双方协商解决，协商不成的，任何一方均可提请发包人所在地法院诉讼。</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 本保函自我方法定代表人（或其授权代理人）签字并加盖公章之日起生效。</w:t>
      </w:r>
    </w:p>
    <w:p>
      <w:pPr>
        <w:adjustRightInd w:val="0"/>
        <w:snapToGrid w:val="0"/>
        <w:spacing w:line="360" w:lineRule="auto"/>
        <w:ind w:firstLine="480" w:firstLineChars="200"/>
        <w:rPr>
          <w:rFonts w:hint="eastAsia" w:ascii="宋体" w:hAnsi="宋体" w:cs="宋体"/>
          <w:sz w:val="24"/>
          <w:highlight w:val="none"/>
        </w:rPr>
      </w:pPr>
    </w:p>
    <w:p>
      <w:pPr>
        <w:adjustRightInd w:val="0"/>
        <w:snapToGrid w:val="0"/>
        <w:spacing w:line="360" w:lineRule="auto"/>
        <w:ind w:firstLine="480" w:firstLineChars="200"/>
        <w:rPr>
          <w:rFonts w:hint="eastAsia" w:ascii="宋体" w:hAnsi="宋体" w:cs="宋体"/>
          <w:sz w:val="24"/>
          <w:highlight w:val="none"/>
        </w:rPr>
      </w:pP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担保人：（盖单位章）</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法定代表人或其委托代理人：（签字或盖章）</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地址：</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邮政编码：</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电话：</w:t>
      </w:r>
    </w:p>
    <w:p>
      <w:p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传真：</w:t>
      </w:r>
    </w:p>
    <w:p>
      <w:pPr>
        <w:adjustRightInd w:val="0"/>
        <w:snapToGrid w:val="0"/>
        <w:spacing w:line="360" w:lineRule="auto"/>
        <w:ind w:firstLine="480" w:firstLineChars="200"/>
        <w:rPr>
          <w:rFonts w:hint="eastAsia" w:ascii="宋体" w:hAnsi="宋体" w:cs="宋体"/>
          <w:sz w:val="24"/>
          <w:highlight w:val="none"/>
        </w:rPr>
      </w:pPr>
    </w:p>
    <w:p>
      <w:pPr>
        <w:jc w:val="center"/>
        <w:rPr>
          <w:rFonts w:hint="default" w:ascii="宋体" w:hAnsi="宋体" w:eastAsia="宋体" w:cs="宋体"/>
          <w:color w:val="auto"/>
          <w:highlight w:val="none"/>
          <w:lang w:val="en-US" w:eastAsia="zh-CN"/>
        </w:rPr>
      </w:pPr>
      <w:r>
        <w:rPr>
          <w:rFonts w:hint="eastAsia" w:ascii="宋体" w:hAnsi="宋体" w:cs="宋体"/>
          <w:sz w:val="24"/>
          <w:highlight w:val="none"/>
        </w:rPr>
        <w:t xml:space="preserve">                                           年    月    日</w:t>
      </w:r>
    </w:p>
    <w:p>
      <w:pPr>
        <w:pStyle w:val="8"/>
        <w:rPr>
          <w:rFonts w:hint="eastAsia" w:ascii="宋体" w:hAnsi="宋体" w:cs="宋体"/>
          <w:color w:val="auto"/>
          <w:highlight w:val="none"/>
        </w:rPr>
      </w:pPr>
    </w:p>
    <w:p>
      <w:pPr>
        <w:rPr>
          <w:rFonts w:hint="eastAsia"/>
          <w:color w:val="auto"/>
          <w:highlight w:val="none"/>
        </w:rPr>
      </w:pPr>
    </w:p>
    <w:p>
      <w:pPr>
        <w:rPr>
          <w:rFonts w:hint="eastAsia" w:ascii="宋体" w:hAnsi="宋体" w:cs="宋体"/>
          <w:color w:val="auto"/>
          <w:highlight w:val="none"/>
        </w:rPr>
      </w:pPr>
      <w:bookmarkStart w:id="781" w:name="_Toc27998"/>
      <w:bookmarkStart w:id="782" w:name="_Toc2000413"/>
      <w:bookmarkStart w:id="783" w:name="_Toc514858709"/>
      <w:r>
        <w:rPr>
          <w:rFonts w:hint="eastAsia" w:ascii="宋体" w:hAnsi="宋体" w:cs="宋体"/>
          <w:color w:val="auto"/>
          <w:highlight w:val="none"/>
        </w:rPr>
        <w:br w:type="page"/>
      </w:r>
    </w:p>
    <w:p>
      <w:pPr>
        <w:pStyle w:val="5"/>
        <w:spacing w:before="0" w:after="0" w:line="360" w:lineRule="auto"/>
        <w:jc w:val="center"/>
        <w:rPr>
          <w:rFonts w:hint="eastAsia" w:ascii="宋体" w:hAnsi="宋体" w:cs="宋体"/>
          <w:color w:val="auto"/>
          <w:highlight w:val="none"/>
        </w:rPr>
      </w:pPr>
      <w:r>
        <w:rPr>
          <w:rFonts w:hint="eastAsia" w:ascii="宋体" w:hAnsi="宋体" w:cs="宋体"/>
          <w:color w:val="auto"/>
          <w:highlight w:val="none"/>
        </w:rPr>
        <w:t>第</w:t>
      </w:r>
      <w:r>
        <w:rPr>
          <w:rFonts w:hint="eastAsia" w:ascii="宋体" w:hAnsi="宋体" w:cs="宋体"/>
          <w:color w:val="auto"/>
          <w:highlight w:val="none"/>
          <w:lang w:val="en-US" w:eastAsia="zh-CN"/>
        </w:rPr>
        <w:t>九</w:t>
      </w:r>
      <w:r>
        <w:rPr>
          <w:rFonts w:hint="eastAsia" w:ascii="宋体" w:hAnsi="宋体" w:cs="宋体"/>
          <w:color w:val="auto"/>
          <w:highlight w:val="none"/>
        </w:rPr>
        <w:t>章  竞争性比选响应文件格式</w:t>
      </w:r>
      <w:bookmarkEnd w:id="780"/>
      <w:bookmarkEnd w:id="781"/>
      <w:bookmarkEnd w:id="782"/>
      <w:bookmarkEnd w:id="783"/>
    </w:p>
    <w:p>
      <w:pPr>
        <w:rPr>
          <w:rFonts w:hint="eastAsia" w:ascii="宋体" w:hAnsi="宋体" w:cs="宋体"/>
          <w:color w:val="auto"/>
          <w:highlight w:val="none"/>
        </w:rPr>
      </w:pPr>
    </w:p>
    <w:p>
      <w:pPr>
        <w:rPr>
          <w:rFonts w:hint="eastAsia" w:ascii="宋体" w:hAnsi="宋体" w:cs="宋体"/>
          <w:color w:val="auto"/>
          <w:highlight w:val="none"/>
        </w:rPr>
        <w:sectPr>
          <w:footerReference r:id="rId12" w:type="default"/>
          <w:pgSz w:w="11906" w:h="16838"/>
          <w:pgMar w:top="1440" w:right="1576" w:bottom="1440" w:left="1463" w:header="851" w:footer="992" w:gutter="0"/>
          <w:cols w:space="0" w:num="1"/>
          <w:titlePg/>
          <w:rtlGutter w:val="0"/>
          <w:docGrid w:type="lines" w:linePitch="319" w:charSpace="0"/>
        </w:sectPr>
      </w:pPr>
    </w:p>
    <w:p>
      <w:pPr>
        <w:rPr>
          <w:rFonts w:hint="eastAsia" w:ascii="宋体" w:hAnsi="宋体" w:cs="宋体"/>
          <w:color w:val="auto"/>
          <w:highlight w:val="none"/>
        </w:rPr>
      </w:pPr>
    </w:p>
    <w:p>
      <w:pPr>
        <w:jc w:val="center"/>
        <w:rPr>
          <w:rFonts w:hint="eastAsia" w:ascii="宋体" w:hAnsi="宋体" w:cs="宋体"/>
          <w:color w:val="auto"/>
          <w:sz w:val="52"/>
          <w:szCs w:val="52"/>
          <w:highlight w:val="none"/>
          <w:u w:val="single"/>
        </w:rPr>
      </w:pPr>
      <w:bookmarkStart w:id="784" w:name="_Toc514858710"/>
      <w:bookmarkStart w:id="785" w:name="_Toc513633967"/>
      <w:bookmarkStart w:id="786" w:name="_Toc503951046"/>
      <w:bookmarkStart w:id="787" w:name="_Toc503971829"/>
      <w:bookmarkStart w:id="788" w:name="_Toc513646738"/>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sz w:val="52"/>
          <w:szCs w:val="52"/>
          <w:highlight w:val="none"/>
          <w:u w:val="single"/>
        </w:rPr>
        <w:t>（项目名称）</w:t>
      </w:r>
      <w:bookmarkEnd w:id="784"/>
      <w:bookmarkEnd w:id="785"/>
      <w:bookmarkEnd w:id="786"/>
      <w:bookmarkEnd w:id="787"/>
      <w:bookmarkEnd w:id="788"/>
      <w:r>
        <w:rPr>
          <w:rFonts w:hint="eastAsia" w:ascii="宋体" w:hAnsi="宋体" w:cs="宋体"/>
          <w:color w:val="auto"/>
          <w:sz w:val="52"/>
          <w:szCs w:val="52"/>
          <w:highlight w:val="none"/>
          <w:u w:val="single"/>
        </w:rPr>
        <w:t xml:space="preserve"> </w:t>
      </w:r>
    </w:p>
    <w:p>
      <w:pPr>
        <w:rPr>
          <w:rFonts w:hint="eastAsia" w:ascii="宋体" w:hAnsi="宋体" w:cs="宋体"/>
          <w:color w:val="auto"/>
          <w:sz w:val="20"/>
          <w:szCs w:val="20"/>
          <w:highlight w:val="none"/>
        </w:rPr>
      </w:pPr>
    </w:p>
    <w:p>
      <w:pPr>
        <w:jc w:val="center"/>
        <w:rPr>
          <w:rFonts w:hint="eastAsia" w:ascii="宋体" w:hAnsi="宋体" w:cs="宋体"/>
          <w:color w:val="auto"/>
          <w:sz w:val="44"/>
          <w:szCs w:val="44"/>
          <w:highlight w:val="none"/>
        </w:rPr>
      </w:pPr>
      <w:r>
        <w:rPr>
          <w:rFonts w:hint="eastAsia" w:ascii="宋体" w:hAnsi="宋体" w:cs="宋体"/>
          <w:color w:val="auto"/>
          <w:sz w:val="44"/>
          <w:szCs w:val="44"/>
          <w:highlight w:val="none"/>
        </w:rPr>
        <w:t xml:space="preserve"> </w:t>
      </w: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jc w:val="center"/>
        <w:rPr>
          <w:rFonts w:hint="eastAsia" w:ascii="宋体" w:hAnsi="宋体" w:cs="宋体"/>
          <w:b/>
          <w:color w:val="auto"/>
          <w:sz w:val="72"/>
          <w:szCs w:val="44"/>
          <w:highlight w:val="none"/>
        </w:rPr>
      </w:pPr>
      <w:r>
        <w:rPr>
          <w:rFonts w:hint="eastAsia" w:ascii="宋体" w:hAnsi="宋体" w:cs="宋体"/>
          <w:b/>
          <w:color w:val="auto"/>
          <w:sz w:val="72"/>
          <w:szCs w:val="44"/>
          <w:highlight w:val="none"/>
        </w:rPr>
        <w:t>竞争性比选响应文件</w:t>
      </w:r>
    </w:p>
    <w:p>
      <w:pPr>
        <w:jc w:val="center"/>
        <w:rPr>
          <w:rFonts w:hint="eastAsia" w:ascii="宋体" w:hAnsi="宋体" w:cs="宋体"/>
          <w:b/>
          <w:color w:val="auto"/>
          <w:sz w:val="32"/>
          <w:szCs w:val="32"/>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rPr>
          <w:rFonts w:hint="eastAsia" w:ascii="宋体" w:hAnsi="宋体" w:cs="宋体"/>
          <w:color w:val="auto"/>
          <w:sz w:val="28"/>
          <w:szCs w:val="28"/>
          <w:highlight w:val="none"/>
        </w:rPr>
      </w:pPr>
    </w:p>
    <w:p>
      <w:pPr>
        <w:pStyle w:val="29"/>
        <w:rPr>
          <w:rFonts w:hint="eastAsia"/>
          <w:color w:val="auto"/>
          <w:highlight w:val="none"/>
        </w:rPr>
      </w:pPr>
    </w:p>
    <w:p>
      <w:pPr>
        <w:rPr>
          <w:rFonts w:hint="eastAsia"/>
          <w:color w:val="auto"/>
          <w:highlight w:val="none"/>
        </w:rPr>
      </w:pPr>
    </w:p>
    <w:p>
      <w:pPr>
        <w:pStyle w:val="29"/>
        <w:rPr>
          <w:rFonts w:hint="eastAsia"/>
          <w:color w:val="auto"/>
          <w:highlight w:val="none"/>
        </w:rPr>
      </w:pPr>
    </w:p>
    <w:p>
      <w:pPr>
        <w:rPr>
          <w:rFonts w:hint="eastAsia"/>
          <w:color w:val="auto"/>
          <w:highlight w:val="none"/>
        </w:rPr>
      </w:pPr>
    </w:p>
    <w:p>
      <w:pPr>
        <w:pStyle w:val="29"/>
        <w:rPr>
          <w:rFonts w:hint="eastAsia"/>
          <w:color w:val="auto"/>
          <w:highlight w:val="none"/>
        </w:rPr>
      </w:pPr>
    </w:p>
    <w:p>
      <w:pPr>
        <w:jc w:val="center"/>
        <w:rPr>
          <w:rFonts w:hint="eastAsia" w:ascii="宋体" w:hAnsi="宋体" w:cs="宋体"/>
          <w:color w:val="auto"/>
          <w:sz w:val="28"/>
          <w:szCs w:val="28"/>
          <w:highlight w:val="none"/>
          <w:u w:val="single"/>
        </w:rPr>
      </w:pPr>
      <w:r>
        <w:rPr>
          <w:rFonts w:hint="eastAsia" w:ascii="宋体" w:hAnsi="宋体" w:cs="宋体"/>
          <w:color w:val="auto"/>
          <w:sz w:val="28"/>
          <w:szCs w:val="28"/>
          <w:highlight w:val="none"/>
        </w:rPr>
        <w:t>报价人：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（盖单位鲜公章）</w:t>
      </w:r>
    </w:p>
    <w:p>
      <w:pPr>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法定代表人或其委托代理人：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（签字）</w:t>
      </w:r>
    </w:p>
    <w:p>
      <w:pPr>
        <w:jc w:val="center"/>
        <w:rPr>
          <w:rFonts w:hint="eastAsia" w:ascii="宋体" w:hAnsi="宋体" w:cs="宋体"/>
          <w:color w:val="auto"/>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pStyle w:val="6"/>
        <w:jc w:val="center"/>
        <w:rPr>
          <w:rFonts w:hint="eastAsia" w:ascii="宋体" w:hAnsi="宋体" w:eastAsia="宋体" w:cs="宋体"/>
          <w:color w:val="auto"/>
          <w:highlight w:val="none"/>
        </w:rPr>
      </w:pPr>
      <w:bookmarkStart w:id="789" w:name="_Toc28780"/>
      <w:bookmarkStart w:id="790" w:name="_Toc5459"/>
      <w:bookmarkStart w:id="791" w:name="_Toc1368"/>
      <w:bookmarkStart w:id="792" w:name="_Toc26420"/>
      <w:bookmarkStart w:id="793" w:name="_Toc11329273"/>
      <w:r>
        <w:rPr>
          <w:rFonts w:hint="eastAsia" w:ascii="宋体" w:hAnsi="宋体" w:eastAsia="宋体" w:cs="宋体"/>
          <w:color w:val="auto"/>
          <w:highlight w:val="none"/>
        </w:rPr>
        <w:t>目    录</w:t>
      </w:r>
      <w:bookmarkEnd w:id="746"/>
      <w:bookmarkEnd w:id="747"/>
      <w:bookmarkEnd w:id="748"/>
      <w:bookmarkEnd w:id="749"/>
      <w:bookmarkEnd w:id="750"/>
      <w:bookmarkEnd w:id="751"/>
      <w:bookmarkEnd w:id="752"/>
      <w:bookmarkEnd w:id="753"/>
      <w:bookmarkEnd w:id="789"/>
      <w:bookmarkEnd w:id="790"/>
      <w:bookmarkEnd w:id="791"/>
      <w:bookmarkEnd w:id="792"/>
      <w:bookmarkEnd w:id="793"/>
    </w:p>
    <w:p>
      <w:pPr>
        <w:numPr>
          <w:ilvl w:val="0"/>
          <w:numId w:val="11"/>
        </w:numPr>
        <w:spacing w:line="400" w:lineRule="exact"/>
        <w:rPr>
          <w:rFonts w:hint="eastAsia" w:ascii="宋体" w:hAnsi="宋体" w:cs="宋体"/>
          <w:color w:val="auto"/>
          <w:highlight w:val="none"/>
          <w:lang w:val="en-US" w:eastAsia="zh-CN"/>
        </w:rPr>
      </w:pPr>
      <w:r>
        <w:rPr>
          <w:rFonts w:hint="eastAsia" w:ascii="宋体" w:hAnsi="宋体" w:cs="宋体"/>
          <w:color w:val="auto"/>
          <w:highlight w:val="none"/>
          <w:lang w:val="en-US" w:eastAsia="zh-CN"/>
        </w:rPr>
        <w:t>竞争性响应声明书</w:t>
      </w:r>
    </w:p>
    <w:p>
      <w:pPr>
        <w:numPr>
          <w:ilvl w:val="0"/>
          <w:numId w:val="11"/>
        </w:numPr>
        <w:spacing w:line="400" w:lineRule="exact"/>
        <w:rPr>
          <w:rFonts w:hint="default" w:ascii="宋体" w:hAnsi="宋体" w:cs="宋体"/>
          <w:color w:val="auto"/>
          <w:highlight w:val="none"/>
          <w:lang w:val="en-US" w:eastAsia="zh-CN"/>
        </w:rPr>
      </w:pPr>
      <w:r>
        <w:rPr>
          <w:rFonts w:hint="default" w:ascii="宋体" w:hAnsi="宋体" w:cs="宋体"/>
          <w:color w:val="auto"/>
          <w:highlight w:val="none"/>
          <w:lang w:val="en-US" w:eastAsia="zh-CN"/>
        </w:rPr>
        <w:t>法定代表人身份证明或法定代表人授权委托书</w:t>
      </w:r>
    </w:p>
    <w:p>
      <w:pPr>
        <w:spacing w:line="400" w:lineRule="exac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三</w:t>
      </w:r>
      <w:r>
        <w:rPr>
          <w:rFonts w:hint="eastAsia" w:ascii="宋体" w:hAnsi="宋体" w:cs="宋体"/>
          <w:color w:val="auto"/>
          <w:highlight w:val="none"/>
        </w:rPr>
        <w:t>、</w:t>
      </w:r>
      <w:r>
        <w:rPr>
          <w:rFonts w:hint="eastAsia" w:ascii="宋体" w:hAnsi="宋体" w:cs="宋体"/>
          <w:color w:val="auto"/>
          <w:highlight w:val="none"/>
          <w:lang w:val="en-US" w:eastAsia="zh-CN"/>
        </w:rPr>
        <w:t>报价一览表</w:t>
      </w:r>
    </w:p>
    <w:p>
      <w:pPr>
        <w:spacing w:line="400" w:lineRule="exact"/>
        <w:rPr>
          <w:rFonts w:hint="eastAsia" w:ascii="宋体" w:hAnsi="宋体" w:cs="宋体"/>
          <w:color w:val="auto"/>
          <w:highlight w:val="none"/>
        </w:rPr>
      </w:pPr>
      <w:r>
        <w:rPr>
          <w:rFonts w:hint="eastAsia" w:ascii="宋体" w:hAnsi="宋体" w:cs="宋体"/>
          <w:color w:val="auto"/>
          <w:highlight w:val="none"/>
          <w:lang w:val="en-US" w:eastAsia="zh-CN"/>
        </w:rPr>
        <w:t>四</w:t>
      </w:r>
      <w:r>
        <w:rPr>
          <w:rFonts w:hint="eastAsia" w:ascii="宋体" w:hAnsi="宋体" w:cs="宋体"/>
          <w:color w:val="auto"/>
          <w:highlight w:val="none"/>
        </w:rPr>
        <w:t>、审查资料</w:t>
      </w:r>
    </w:p>
    <w:p>
      <w:pPr>
        <w:spacing w:line="400" w:lineRule="exact"/>
        <w:rPr>
          <w:rFonts w:hint="eastAsia" w:ascii="宋体" w:hAnsi="宋体" w:cs="宋体"/>
          <w:color w:val="auto"/>
          <w:szCs w:val="21"/>
          <w:highlight w:val="none"/>
          <w:lang w:val="en-US" w:eastAsia="zh-CN"/>
        </w:rPr>
      </w:pPr>
      <w:r>
        <w:rPr>
          <w:rFonts w:hint="eastAsia" w:ascii="宋体" w:hAnsi="宋体" w:cs="宋体"/>
          <w:color w:val="auto"/>
          <w:highlight w:val="none"/>
          <w:lang w:val="en-US" w:eastAsia="zh-CN"/>
        </w:rPr>
        <w:t>五</w:t>
      </w:r>
      <w:r>
        <w:rPr>
          <w:rFonts w:hint="eastAsia" w:ascii="宋体" w:hAnsi="宋体" w:cs="宋体"/>
          <w:color w:val="auto"/>
          <w:highlight w:val="none"/>
        </w:rPr>
        <w:t>、</w:t>
      </w:r>
      <w:r>
        <w:rPr>
          <w:rFonts w:hint="eastAsia" w:ascii="宋体" w:hAnsi="宋体" w:cs="宋体"/>
          <w:color w:val="auto"/>
          <w:szCs w:val="21"/>
          <w:highlight w:val="none"/>
        </w:rPr>
        <w:t>报价人</w:t>
      </w:r>
      <w:r>
        <w:rPr>
          <w:rFonts w:hint="eastAsia" w:ascii="宋体" w:hAnsi="宋体" w:cs="宋体"/>
          <w:color w:val="auto"/>
          <w:szCs w:val="21"/>
          <w:highlight w:val="none"/>
          <w:lang w:val="en-US" w:eastAsia="zh-CN"/>
        </w:rPr>
        <w:t>承诺</w:t>
      </w:r>
    </w:p>
    <w:p>
      <w:pPr>
        <w:spacing w:line="400" w:lineRule="exact"/>
        <w:rPr>
          <w:rFonts w:hint="eastAsia" w:ascii="宋体" w:hAnsi="宋体" w:cs="宋体"/>
          <w:color w:val="auto"/>
          <w:highlight w:val="none"/>
        </w:rPr>
      </w:pPr>
      <w:r>
        <w:rPr>
          <w:rFonts w:hint="eastAsia" w:ascii="宋体" w:hAnsi="宋体" w:cs="宋体"/>
          <w:color w:val="auto"/>
          <w:highlight w:val="none"/>
          <w:lang w:val="en-US" w:eastAsia="zh-CN"/>
        </w:rPr>
        <w:t>六、</w:t>
      </w:r>
      <w:r>
        <w:rPr>
          <w:rFonts w:hint="eastAsia" w:ascii="宋体" w:hAnsi="宋体" w:cs="宋体"/>
          <w:color w:val="auto"/>
          <w:highlight w:val="none"/>
        </w:rPr>
        <w:t>报价人提供的其他资料（如有）</w:t>
      </w: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p>
    <w:p>
      <w:pPr>
        <w:spacing w:line="400" w:lineRule="exact"/>
        <w:rPr>
          <w:rFonts w:hint="eastAsia" w:ascii="宋体" w:hAnsi="宋体" w:cs="宋体"/>
          <w:color w:val="auto"/>
          <w:highlight w:val="none"/>
        </w:rPr>
      </w:pPr>
      <w:r>
        <w:rPr>
          <w:rFonts w:ascii="宋体" w:hAnsi="宋体" w:cs="宋体"/>
          <w:color w:val="auto"/>
          <w:highlight w:val="none"/>
        </w:rPr>
        <w:br w:type="page"/>
      </w:r>
    </w:p>
    <w:p>
      <w:pPr>
        <w:pStyle w:val="6"/>
        <w:numPr>
          <w:ilvl w:val="0"/>
          <w:numId w:val="12"/>
        </w:numPr>
        <w:spacing w:before="0" w:after="0" w:line="360" w:lineRule="auto"/>
        <w:ind w:left="0" w:leftChars="0" w:firstLine="420" w:firstLineChars="0"/>
        <w:jc w:val="center"/>
        <w:rPr>
          <w:rFonts w:hint="eastAsia" w:ascii="宋体" w:hAnsi="宋体" w:eastAsia="宋体" w:cs="宋体"/>
          <w:color w:val="auto"/>
          <w:sz w:val="28"/>
          <w:highlight w:val="none"/>
        </w:rPr>
      </w:pPr>
      <w:bookmarkStart w:id="794" w:name="_Toc15863"/>
      <w:bookmarkStart w:id="795" w:name="_Toc25874"/>
      <w:bookmarkStart w:id="796" w:name="_Toc28976"/>
      <w:bookmarkStart w:id="797" w:name="_Toc29547"/>
      <w:bookmarkStart w:id="798" w:name="_Toc503951048"/>
      <w:bookmarkStart w:id="799" w:name="_Toc447827053"/>
      <w:bookmarkStart w:id="800" w:name="_Toc513633969"/>
      <w:r>
        <w:rPr>
          <w:rFonts w:hint="eastAsia" w:ascii="宋体" w:hAnsi="宋体" w:eastAsia="宋体" w:cs="宋体"/>
          <w:color w:val="auto"/>
          <w:sz w:val="28"/>
          <w:highlight w:val="none"/>
          <w:lang w:eastAsia="zh-CN"/>
        </w:rPr>
        <w:t>竞争比选</w:t>
      </w:r>
      <w:r>
        <w:rPr>
          <w:rFonts w:hint="eastAsia" w:ascii="宋体" w:hAnsi="宋体" w:eastAsia="宋体" w:cs="宋体"/>
          <w:color w:val="auto"/>
          <w:sz w:val="28"/>
          <w:highlight w:val="none"/>
        </w:rPr>
        <w:t>响应声明书</w:t>
      </w:r>
      <w:bookmarkEnd w:id="794"/>
      <w:bookmarkEnd w:id="795"/>
      <w:bookmarkEnd w:id="796"/>
      <w:bookmarkEnd w:id="797"/>
    </w:p>
    <w:p>
      <w:pPr>
        <w:tabs>
          <w:tab w:val="left" w:pos="900"/>
        </w:tabs>
        <w:spacing w:line="300" w:lineRule="auto"/>
        <w:rPr>
          <w:rFonts w:hint="eastAsia"/>
          <w:color w:val="auto"/>
          <w:highlight w:val="none"/>
        </w:rPr>
      </w:pPr>
      <w:r>
        <w:rPr>
          <w:rFonts w:ascii="Arial" w:hAnsi="Arial" w:cs="Arial"/>
          <w:color w:val="auto"/>
          <w:sz w:val="24"/>
          <w:highlight w:val="none"/>
        </w:rPr>
        <w:t xml:space="preserve"> </w:t>
      </w:r>
      <w:r>
        <w:rPr>
          <w:rFonts w:hint="eastAsia" w:ascii="Arial" w:hAnsi="Arial" w:cs="Arial"/>
          <w:b/>
          <w:color w:val="auto"/>
          <w:sz w:val="24"/>
          <w:highlight w:val="none"/>
        </w:rPr>
        <w:t>致：</w:t>
      </w:r>
      <w:r>
        <w:rPr>
          <w:rFonts w:hint="eastAsia" w:ascii="Arial" w:hAnsi="Arial" w:cs="Arial"/>
          <w:b/>
          <w:bCs/>
          <w:color w:val="auto"/>
          <w:sz w:val="24"/>
          <w:highlight w:val="none"/>
          <w:u w:val="single"/>
          <w:lang w:eastAsia="zh-CN"/>
        </w:rPr>
        <w:t>重庆首讯科技股份有限公司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Arial" w:hAnsi="Arial" w:cs="Arial"/>
          <w:color w:val="auto"/>
          <w:sz w:val="24"/>
          <w:highlight w:val="none"/>
        </w:rPr>
      </w:pPr>
      <w:r>
        <w:rPr>
          <w:rFonts w:hint="eastAsia" w:ascii="Arial" w:hAnsi="Arial" w:cs="Arial"/>
          <w:color w:val="auto"/>
          <w:sz w:val="24"/>
          <w:highlight w:val="none"/>
        </w:rPr>
        <w:t>根据贵方</w:t>
      </w:r>
      <w:r>
        <w:rPr>
          <w:rFonts w:hint="eastAsia" w:ascii="Arial" w:hAnsi="Arial" w:cs="Arial"/>
          <w:color w:val="auto"/>
          <w:sz w:val="24"/>
          <w:highlight w:val="none"/>
          <w:u w:val="none"/>
        </w:rPr>
        <w:t>为</w:t>
      </w:r>
      <w:r>
        <w:rPr>
          <w:rFonts w:hint="eastAsia" w:ascii="宋体" w:hAnsi="宋体" w:cs="宋体"/>
          <w:sz w:val="24"/>
          <w:szCs w:val="24"/>
          <w:highlight w:val="none"/>
          <w:u w:val="single"/>
          <w:lang w:eastAsia="zh-CN"/>
        </w:rPr>
        <w:t>巫溪至开州高速公路项目机电工程工程保险服务</w:t>
      </w:r>
      <w:r>
        <w:rPr>
          <w:rFonts w:hint="eastAsia" w:ascii="Arial" w:hAnsi="Arial" w:cs="Arial"/>
          <w:color w:val="auto"/>
          <w:sz w:val="24"/>
          <w:highlight w:val="none"/>
          <w:lang w:eastAsia="zh-CN"/>
        </w:rPr>
        <w:t>竞争比</w:t>
      </w:r>
      <w:r>
        <w:rPr>
          <w:rFonts w:hint="eastAsia" w:ascii="Arial" w:hAnsi="Arial" w:eastAsia="宋体" w:cs="Arial"/>
          <w:color w:val="auto"/>
          <w:sz w:val="24"/>
          <w:highlight w:val="none"/>
          <w:lang w:eastAsia="zh-CN"/>
        </w:rPr>
        <w:t>选</w:t>
      </w:r>
      <w:r>
        <w:rPr>
          <w:rFonts w:hint="eastAsia" w:ascii="Arial" w:hAnsi="Arial" w:cs="Arial"/>
          <w:color w:val="auto"/>
          <w:sz w:val="24"/>
          <w:highlight w:val="none"/>
        </w:rPr>
        <w:t>项目的</w:t>
      </w:r>
      <w:r>
        <w:rPr>
          <w:rFonts w:hint="eastAsia" w:ascii="Arial" w:hAnsi="Arial" w:cs="Arial"/>
          <w:color w:val="auto"/>
          <w:sz w:val="24"/>
          <w:highlight w:val="none"/>
          <w:lang w:eastAsia="zh-CN"/>
        </w:rPr>
        <w:t>竞争比选</w:t>
      </w:r>
      <w:r>
        <w:rPr>
          <w:rFonts w:hint="eastAsia" w:ascii="Arial" w:hAnsi="Arial" w:cs="Arial"/>
          <w:color w:val="auto"/>
          <w:sz w:val="24"/>
          <w:highlight w:val="none"/>
          <w:lang w:val="en-US" w:eastAsia="zh-CN"/>
        </w:rPr>
        <w:t>公告</w:t>
      </w:r>
      <w:r>
        <w:rPr>
          <w:rFonts w:hint="eastAsia" w:ascii="Arial" w:hAnsi="Arial" w:cs="Arial"/>
          <w:color w:val="auto"/>
          <w:sz w:val="24"/>
          <w:highlight w:val="none"/>
        </w:rPr>
        <w:t>，签字代表</w:t>
      </w:r>
      <w:r>
        <w:rPr>
          <w:rFonts w:ascii="Arial" w:hAnsi="Arial" w:cs="Arial"/>
          <w:color w:val="auto"/>
          <w:sz w:val="24"/>
          <w:highlight w:val="none"/>
          <w:u w:val="single"/>
        </w:rPr>
        <w:t xml:space="preserve">          </w:t>
      </w:r>
      <w:r>
        <w:rPr>
          <w:rFonts w:hint="eastAsia" w:ascii="Arial" w:hAnsi="Arial" w:cs="Arial"/>
          <w:color w:val="auto"/>
          <w:sz w:val="24"/>
          <w:highlight w:val="none"/>
          <w:u w:val="single"/>
        </w:rPr>
        <w:t>（全名、职务）</w:t>
      </w:r>
      <w:r>
        <w:rPr>
          <w:rFonts w:hint="eastAsia" w:ascii="Arial" w:hAnsi="Arial" w:cs="Arial"/>
          <w:color w:val="auto"/>
          <w:sz w:val="24"/>
          <w:highlight w:val="none"/>
        </w:rPr>
        <w:t>经正式授权并代表</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w:t>
      </w:r>
      <w:r>
        <w:rPr>
          <w:rFonts w:ascii="Arial" w:hAnsi="Arial" w:cs="Arial"/>
          <w:color w:val="auto"/>
          <w:sz w:val="24"/>
          <w:highlight w:val="none"/>
          <w:u w:val="single"/>
        </w:rPr>
        <w:t xml:space="preserve"> </w:t>
      </w:r>
      <w:r>
        <w:rPr>
          <w:rFonts w:hint="eastAsia" w:ascii="Arial" w:hAnsi="Arial" w:cs="Arial"/>
          <w:color w:val="auto"/>
          <w:sz w:val="24"/>
          <w:highlight w:val="none"/>
          <w:u w:val="single"/>
        </w:rPr>
        <w:t>（</w:t>
      </w:r>
      <w:r>
        <w:rPr>
          <w:rFonts w:hint="eastAsia" w:ascii="Arial" w:hAnsi="Arial" w:cs="Arial"/>
          <w:color w:val="auto"/>
          <w:sz w:val="24"/>
          <w:highlight w:val="none"/>
          <w:u w:val="single"/>
          <w:lang w:eastAsia="zh-CN"/>
        </w:rPr>
        <w:t>竞争比选</w:t>
      </w:r>
      <w:r>
        <w:rPr>
          <w:rFonts w:hint="eastAsia" w:ascii="Arial" w:hAnsi="Arial" w:cs="Arial"/>
          <w:color w:val="auto"/>
          <w:sz w:val="24"/>
          <w:highlight w:val="none"/>
          <w:u w:val="single"/>
        </w:rPr>
        <w:t>响应单位名称）</w:t>
      </w:r>
      <w:r>
        <w:rPr>
          <w:rFonts w:ascii="Arial" w:hAnsi="Arial" w:cs="Arial"/>
          <w:color w:val="auto"/>
          <w:sz w:val="24"/>
          <w:highlight w:val="none"/>
          <w:u w:val="single"/>
        </w:rPr>
        <w:t xml:space="preserve"> </w:t>
      </w:r>
      <w:r>
        <w:rPr>
          <w:rFonts w:hint="eastAsia" w:ascii="Arial" w:hAnsi="Arial" w:cs="Arial"/>
          <w:color w:val="auto"/>
          <w:sz w:val="24"/>
          <w:highlight w:val="none"/>
        </w:rPr>
        <w:t>提交</w:t>
      </w:r>
      <w:r>
        <w:rPr>
          <w:rFonts w:hint="eastAsia" w:ascii="Arial" w:hAnsi="Arial" w:cs="Arial"/>
          <w:color w:val="auto"/>
          <w:sz w:val="24"/>
          <w:highlight w:val="none"/>
          <w:lang w:val="en-US" w:eastAsia="zh-CN"/>
        </w:rPr>
        <w:t>报价</w:t>
      </w:r>
      <w:r>
        <w:rPr>
          <w:rFonts w:hint="eastAsia" w:ascii="Arial" w:hAnsi="Arial" w:cs="Arial"/>
          <w:color w:val="auto"/>
          <w:sz w:val="24"/>
          <w:highlight w:val="none"/>
        </w:rPr>
        <w:t>文件。</w:t>
      </w:r>
    </w:p>
    <w:p>
      <w:pPr>
        <w:spacing w:line="700" w:lineRule="atLeast"/>
        <w:ind w:firstLine="480" w:firstLineChars="200"/>
        <w:rPr>
          <w:rFonts w:ascii="Arial" w:hAnsi="Arial" w:cs="Arial"/>
          <w:color w:val="auto"/>
          <w:sz w:val="24"/>
          <w:highlight w:val="none"/>
          <w:u w:val="single"/>
        </w:rPr>
      </w:pPr>
      <w:r>
        <w:rPr>
          <w:rFonts w:hint="eastAsia" w:ascii="Arial" w:hAnsi="Arial" w:cs="Arial"/>
          <w:color w:val="auto"/>
          <w:sz w:val="24"/>
          <w:highlight w:val="none"/>
          <w:u w:val="single"/>
        </w:rPr>
        <w:t>我方愿以人民币：              元（大写              元）的报价总价，按照竞争比选文件的要求，承担本次竞争比选文件要求的服务。</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rPr>
      </w:pPr>
      <w:r>
        <w:rPr>
          <w:rFonts w:hint="eastAsia" w:ascii="Arial" w:hAnsi="Arial" w:cs="Arial"/>
          <w:color w:val="auto"/>
          <w:sz w:val="24"/>
          <w:highlight w:val="none"/>
        </w:rPr>
        <w:t>据此函，签字代表宣布同意如下：</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rPr>
      </w:pPr>
      <w:r>
        <w:rPr>
          <w:rFonts w:ascii="Arial" w:hAnsi="Arial" w:cs="Arial"/>
          <w:color w:val="auto"/>
          <w:sz w:val="24"/>
          <w:highlight w:val="none"/>
        </w:rPr>
        <w:t>1</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响应单位将按</w:t>
      </w:r>
      <w:r>
        <w:rPr>
          <w:rFonts w:hint="eastAsia" w:ascii="Arial" w:hAnsi="Arial" w:cs="Arial"/>
          <w:color w:val="auto"/>
          <w:sz w:val="24"/>
          <w:highlight w:val="none"/>
          <w:lang w:eastAsia="zh-CN"/>
        </w:rPr>
        <w:t>竞争比选</w:t>
      </w:r>
      <w:r>
        <w:rPr>
          <w:rFonts w:hint="eastAsia" w:ascii="Arial" w:hAnsi="Arial" w:cs="Arial"/>
          <w:color w:val="auto"/>
          <w:sz w:val="24"/>
          <w:highlight w:val="none"/>
        </w:rPr>
        <w:t>文件规定履行合同责任和义务。</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b/>
          <w:color w:val="auto"/>
          <w:sz w:val="24"/>
          <w:highlight w:val="none"/>
        </w:rPr>
      </w:pPr>
      <w:r>
        <w:rPr>
          <w:rFonts w:ascii="Arial" w:hAnsi="Arial" w:cs="Arial"/>
          <w:color w:val="auto"/>
          <w:sz w:val="24"/>
          <w:highlight w:val="none"/>
        </w:rPr>
        <w:t>2</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响应单位已详细审查全部</w:t>
      </w:r>
      <w:r>
        <w:rPr>
          <w:rFonts w:hint="eastAsia" w:ascii="Arial" w:hAnsi="Arial" w:cs="Arial"/>
          <w:color w:val="auto"/>
          <w:sz w:val="24"/>
          <w:highlight w:val="none"/>
          <w:lang w:eastAsia="zh-CN"/>
        </w:rPr>
        <w:t>竞争比选</w:t>
      </w:r>
      <w:r>
        <w:rPr>
          <w:rFonts w:hint="eastAsia" w:ascii="Arial" w:hAnsi="Arial" w:cs="Arial"/>
          <w:color w:val="auto"/>
          <w:sz w:val="24"/>
          <w:highlight w:val="none"/>
        </w:rPr>
        <w:t>文件，包括修改文件（如有的话）以及全部参考资料和相关附件。我们完全理解并同意放弃对这方面有不明及误解的权利。</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b/>
          <w:color w:val="auto"/>
          <w:sz w:val="24"/>
          <w:highlight w:val="none"/>
        </w:rPr>
      </w:pPr>
      <w:r>
        <w:rPr>
          <w:rFonts w:hint="eastAsia" w:ascii="Arial" w:hAnsi="Arial" w:cs="Arial"/>
          <w:color w:val="auto"/>
          <w:sz w:val="24"/>
          <w:highlight w:val="none"/>
        </w:rPr>
        <w:t>3、</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响应单位同意提供</w:t>
      </w:r>
      <w:r>
        <w:rPr>
          <w:rFonts w:hint="eastAsia" w:ascii="Arial" w:hAnsi="Arial" w:cs="Arial"/>
          <w:color w:val="auto"/>
          <w:sz w:val="24"/>
          <w:highlight w:val="none"/>
          <w:lang w:val="en-US" w:eastAsia="zh-CN"/>
        </w:rPr>
        <w:t>采购</w:t>
      </w:r>
      <w:r>
        <w:rPr>
          <w:rFonts w:hint="eastAsia" w:ascii="Arial" w:hAnsi="Arial" w:cs="Arial"/>
          <w:color w:val="auto"/>
          <w:sz w:val="24"/>
          <w:highlight w:val="none"/>
        </w:rPr>
        <w:t>人可能要求的与其</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响应文件有关的一切数据或资料，完全理解</w:t>
      </w:r>
      <w:r>
        <w:rPr>
          <w:rFonts w:hint="eastAsia" w:ascii="Arial" w:hAnsi="Arial" w:cs="Arial"/>
          <w:color w:val="auto"/>
          <w:sz w:val="24"/>
          <w:highlight w:val="none"/>
          <w:lang w:val="en-US" w:eastAsia="zh-CN"/>
        </w:rPr>
        <w:t>采购</w:t>
      </w:r>
      <w:r>
        <w:rPr>
          <w:rFonts w:hint="eastAsia" w:ascii="Arial" w:hAnsi="Arial" w:cs="Arial"/>
          <w:color w:val="auto"/>
          <w:sz w:val="24"/>
          <w:highlight w:val="none"/>
        </w:rPr>
        <w:t>人不一定要接受最低报价的</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响应或收到的任何</w:t>
      </w:r>
      <w:r>
        <w:rPr>
          <w:rFonts w:hint="eastAsia" w:ascii="Arial" w:hAnsi="Arial" w:cs="Arial"/>
          <w:color w:val="auto"/>
          <w:sz w:val="24"/>
          <w:highlight w:val="none"/>
          <w:lang w:val="en-US" w:eastAsia="zh-CN"/>
        </w:rPr>
        <w:t>报价</w:t>
      </w:r>
      <w:r>
        <w:rPr>
          <w:rFonts w:hint="eastAsia" w:ascii="Arial" w:hAnsi="Arial" w:cs="Arial"/>
          <w:color w:val="auto"/>
          <w:sz w:val="24"/>
          <w:highlight w:val="none"/>
        </w:rPr>
        <w:t>。</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b/>
          <w:color w:val="auto"/>
          <w:sz w:val="24"/>
          <w:highlight w:val="none"/>
        </w:rPr>
      </w:pPr>
      <w:r>
        <w:rPr>
          <w:rFonts w:hint="eastAsia" w:ascii="Arial" w:hAnsi="Arial" w:cs="Arial"/>
          <w:color w:val="auto"/>
          <w:sz w:val="24"/>
          <w:highlight w:val="none"/>
        </w:rPr>
        <w:t>4、与本</w:t>
      </w: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响应有关的一切正式往来通讯请寄：</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b/>
          <w:color w:val="auto"/>
          <w:sz w:val="24"/>
          <w:highlight w:val="none"/>
        </w:rPr>
      </w:pPr>
      <w:r>
        <w:rPr>
          <w:rFonts w:hint="eastAsia" w:ascii="Arial" w:hAnsi="Arial" w:cs="Arial"/>
          <w:color w:val="auto"/>
          <w:sz w:val="24"/>
          <w:highlight w:val="none"/>
        </w:rPr>
        <w:t>地址：</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hint="eastAsia" w:ascii="Arial" w:hAnsi="Arial" w:cs="Arial"/>
          <w:color w:val="auto"/>
          <w:sz w:val="24"/>
          <w:highlight w:val="none"/>
        </w:rPr>
        <w:t>邮编：</w:t>
      </w:r>
      <w:r>
        <w:rPr>
          <w:rFonts w:ascii="Arial" w:hAnsi="Arial" w:cs="Arial"/>
          <w:color w:val="auto"/>
          <w:sz w:val="24"/>
          <w:highlight w:val="none"/>
          <w:u w:val="single"/>
        </w:rPr>
        <w:t xml:space="preserve">            </w:t>
      </w:r>
      <w:r>
        <w:rPr>
          <w:rFonts w:ascii="Arial" w:hAnsi="Arial" w:cs="Arial"/>
          <w:b/>
          <w:color w:val="auto"/>
          <w:sz w:val="24"/>
          <w:highlight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u w:val="single"/>
        </w:rPr>
      </w:pPr>
      <w:r>
        <w:rPr>
          <w:rFonts w:hint="eastAsia" w:ascii="Arial" w:hAnsi="Arial" w:cs="Arial"/>
          <w:color w:val="auto"/>
          <w:sz w:val="24"/>
          <w:highlight w:val="none"/>
        </w:rPr>
        <w:t>电话：</w:t>
      </w:r>
      <w:r>
        <w:rPr>
          <w:rFonts w:ascii="Arial" w:hAnsi="Arial" w:cs="Arial"/>
          <w:color w:val="auto"/>
          <w:sz w:val="24"/>
          <w:highlight w:val="none"/>
          <w:u w:val="single"/>
        </w:rPr>
        <w:t xml:space="preserve">                   </w:t>
      </w:r>
      <w:r>
        <w:rPr>
          <w:rFonts w:ascii="Arial" w:hAnsi="Arial" w:cs="Arial"/>
          <w:color w:val="auto"/>
          <w:sz w:val="24"/>
          <w:highlight w:val="none"/>
        </w:rPr>
        <w:t xml:space="preserve">         </w:t>
      </w:r>
      <w:r>
        <w:rPr>
          <w:rFonts w:hint="eastAsia" w:ascii="Arial" w:hAnsi="Arial" w:cs="Arial"/>
          <w:color w:val="auto"/>
          <w:sz w:val="24"/>
          <w:highlight w:val="none"/>
        </w:rPr>
        <w:t>传真：</w:t>
      </w:r>
      <w:r>
        <w:rPr>
          <w:rFonts w:ascii="Arial" w:hAnsi="Arial" w:cs="Arial"/>
          <w:color w:val="auto"/>
          <w:sz w:val="24"/>
          <w:highlight w:val="none"/>
          <w:u w:val="singl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hint="eastAsia" w:ascii="Arial" w:hAnsi="Arial" w:cs="Arial"/>
          <w:color w:val="auto"/>
          <w:sz w:val="24"/>
          <w:highlight w:val="none"/>
        </w:rPr>
      </w:pP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w:t>
      </w:r>
      <w:r>
        <w:rPr>
          <w:rFonts w:hint="eastAsia" w:ascii="Arial" w:hAnsi="Arial" w:cs="Arial"/>
          <w:color w:val="auto"/>
          <w:sz w:val="24"/>
          <w:highlight w:val="none"/>
          <w:lang w:eastAsia="zh-CN"/>
        </w:rPr>
        <w:t>法定代表人或授权代表人（签字）：</w:t>
      </w:r>
      <w:r>
        <w:rPr>
          <w:rFonts w:ascii="Arial" w:hAnsi="Arial" w:cs="Arial"/>
          <w:color w:val="auto"/>
          <w:sz w:val="24"/>
          <w:highlight w:val="none"/>
          <w:u w:val="single"/>
        </w:rPr>
        <w:t xml:space="preserve">             </w:t>
      </w:r>
      <w:r>
        <w:rPr>
          <w:rFonts w:ascii="Arial" w:hAnsi="Arial" w:cs="Arial"/>
          <w:color w:val="auto"/>
          <w:sz w:val="24"/>
          <w:highlight w:val="none"/>
          <w:u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rPr>
      </w:pP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w:t>
      </w:r>
      <w:r>
        <w:rPr>
          <w:rFonts w:hint="eastAsia" w:ascii="Arial" w:hAnsi="Arial" w:cs="Arial"/>
          <w:color w:val="auto"/>
          <w:sz w:val="24"/>
          <w:highlight w:val="none"/>
          <w:lang w:eastAsia="zh-CN"/>
        </w:rPr>
        <w:t>法定代表人或授权代表人</w:t>
      </w:r>
      <w:r>
        <w:rPr>
          <w:rFonts w:hint="eastAsia" w:ascii="Arial" w:hAnsi="Arial" w:cs="Arial"/>
          <w:color w:val="auto"/>
          <w:sz w:val="24"/>
          <w:highlight w:val="none"/>
        </w:rPr>
        <w:t>职务：</w:t>
      </w:r>
      <w:r>
        <w:rPr>
          <w:rFonts w:ascii="Arial" w:hAnsi="Arial" w:cs="Arial"/>
          <w:color w:val="auto"/>
          <w:sz w:val="24"/>
          <w:highlight w:val="none"/>
          <w:u w:val="single"/>
        </w:rPr>
        <w:t xml:space="preserve">             </w:t>
      </w:r>
      <w:r>
        <w:rPr>
          <w:rFonts w:ascii="Arial" w:hAnsi="Arial" w:cs="Arial"/>
          <w:color w:val="auto"/>
          <w:sz w:val="24"/>
          <w:highlight w:val="none"/>
          <w:u w:val="non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ascii="Arial" w:hAnsi="Arial" w:cs="Arial"/>
          <w:color w:val="auto"/>
          <w:sz w:val="24"/>
          <w:highlight w:val="none"/>
        </w:rPr>
      </w:pPr>
      <w:r>
        <w:rPr>
          <w:rFonts w:hint="eastAsia" w:ascii="Arial" w:hAnsi="Arial" w:cs="Arial"/>
          <w:color w:val="auto"/>
          <w:sz w:val="24"/>
          <w:highlight w:val="none"/>
          <w:lang w:eastAsia="zh-CN"/>
        </w:rPr>
        <w:t>竞争比选</w:t>
      </w:r>
      <w:r>
        <w:rPr>
          <w:rFonts w:hint="eastAsia" w:ascii="Arial" w:hAnsi="Arial" w:cs="Arial"/>
          <w:color w:val="auto"/>
          <w:sz w:val="24"/>
          <w:highlight w:val="none"/>
        </w:rPr>
        <w:t>响应单位</w:t>
      </w:r>
      <w:r>
        <w:rPr>
          <w:rFonts w:hint="eastAsia" w:ascii="Arial" w:hAnsi="Arial" w:cs="Arial"/>
          <w:color w:val="auto"/>
          <w:sz w:val="24"/>
          <w:highlight w:val="none"/>
          <w:lang w:eastAsia="zh-CN"/>
        </w:rPr>
        <w:t>名称</w:t>
      </w:r>
      <w:r>
        <w:rPr>
          <w:rFonts w:hint="eastAsia" w:ascii="Arial" w:hAnsi="Arial" w:cs="Arial"/>
          <w:color w:val="auto"/>
          <w:sz w:val="24"/>
          <w:highlight w:val="none"/>
        </w:rPr>
        <w:t>（加盖公章）：</w:t>
      </w:r>
      <w:r>
        <w:rPr>
          <w:rFonts w:ascii="Arial" w:hAnsi="Arial" w:cs="Arial"/>
          <w:color w:val="auto"/>
          <w:sz w:val="24"/>
          <w:highlight w:val="none"/>
          <w:u w:val="singl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firstLine="480" w:firstLineChars="200"/>
        <w:textAlignment w:val="auto"/>
        <w:rPr>
          <w:rFonts w:hint="eastAsia" w:ascii="Arial" w:hAnsi="Arial" w:cs="Arial"/>
          <w:color w:val="auto"/>
          <w:sz w:val="24"/>
          <w:highlight w:val="none"/>
        </w:rPr>
      </w:pPr>
      <w:r>
        <w:rPr>
          <w:rFonts w:hint="eastAsia" w:ascii="Arial" w:hAnsi="Arial" w:cs="Arial"/>
          <w:color w:val="auto"/>
          <w:sz w:val="24"/>
          <w:highlight w:val="none"/>
        </w:rPr>
        <w:t>日期：</w:t>
      </w:r>
      <w:r>
        <w:rPr>
          <w:rFonts w:hint="eastAsia" w:ascii="Arial" w:hAnsi="Arial" w:cs="Arial"/>
          <w:color w:val="auto"/>
          <w:sz w:val="24"/>
          <w:highlight w:val="none"/>
          <w:u w:val="single"/>
        </w:rPr>
        <w:t xml:space="preserve">     </w:t>
      </w:r>
      <w:r>
        <w:rPr>
          <w:rFonts w:hint="eastAsia" w:ascii="Arial" w:hAnsi="Arial" w:cs="Arial"/>
          <w:color w:val="auto"/>
          <w:sz w:val="24"/>
          <w:highlight w:val="none"/>
        </w:rPr>
        <w:t>年</w:t>
      </w:r>
      <w:r>
        <w:rPr>
          <w:rFonts w:ascii="Arial" w:hAnsi="Arial" w:cs="Arial"/>
          <w:color w:val="auto"/>
          <w:sz w:val="24"/>
          <w:highlight w:val="none"/>
          <w:u w:val="single"/>
        </w:rPr>
        <w:t xml:space="preserve">      </w:t>
      </w:r>
      <w:r>
        <w:rPr>
          <w:rFonts w:hint="eastAsia" w:ascii="Arial" w:hAnsi="Arial" w:cs="Arial"/>
          <w:color w:val="auto"/>
          <w:sz w:val="24"/>
          <w:highlight w:val="none"/>
        </w:rPr>
        <w:t>月</w:t>
      </w:r>
      <w:r>
        <w:rPr>
          <w:rFonts w:ascii="Arial" w:hAnsi="Arial" w:cs="Arial"/>
          <w:color w:val="auto"/>
          <w:sz w:val="24"/>
          <w:highlight w:val="none"/>
          <w:u w:val="single"/>
        </w:rPr>
        <w:t xml:space="preserve">    </w:t>
      </w:r>
      <w:r>
        <w:rPr>
          <w:rFonts w:hint="eastAsia" w:ascii="Arial" w:hAnsi="Arial" w:cs="Arial"/>
          <w:color w:val="auto"/>
          <w:sz w:val="24"/>
          <w:highlight w:val="none"/>
          <w:u w:val="single"/>
        </w:rPr>
        <w:t xml:space="preserve">  </w:t>
      </w:r>
      <w:r>
        <w:rPr>
          <w:rFonts w:hint="eastAsia" w:ascii="Arial" w:hAnsi="Arial" w:cs="Arial"/>
          <w:color w:val="auto"/>
          <w:sz w:val="24"/>
          <w:highlight w:val="none"/>
        </w:rPr>
        <w:t>日</w:t>
      </w:r>
      <w:r>
        <w:rPr>
          <w:rFonts w:ascii="Arial" w:hAnsi="Arial" w:cs="Arial"/>
          <w:color w:val="auto"/>
          <w:sz w:val="24"/>
          <w:highlight w:val="none"/>
        </w:rPr>
        <w:t xml:space="preserve"> </w:t>
      </w:r>
    </w:p>
    <w:p>
      <w:pPr>
        <w:pStyle w:val="6"/>
        <w:numPr>
          <w:ilvl w:val="0"/>
          <w:numId w:val="12"/>
        </w:numPr>
        <w:spacing w:before="0" w:after="0" w:line="360" w:lineRule="auto"/>
        <w:ind w:left="0" w:leftChars="0" w:firstLine="420" w:firstLineChars="0"/>
        <w:jc w:val="center"/>
        <w:rPr>
          <w:rFonts w:hint="eastAsia" w:ascii="宋体" w:hAnsi="宋体" w:eastAsia="宋体" w:cs="宋体"/>
          <w:color w:val="auto"/>
          <w:sz w:val="28"/>
          <w:highlight w:val="none"/>
          <w:lang w:eastAsia="zh-CN"/>
        </w:rPr>
      </w:pPr>
      <w:bookmarkStart w:id="801" w:name="_Toc27815"/>
      <w:bookmarkStart w:id="802" w:name="_Toc16435"/>
      <w:bookmarkStart w:id="803" w:name="_Toc491883232"/>
      <w:r>
        <w:rPr>
          <w:rFonts w:hint="eastAsia" w:ascii="宋体" w:hAnsi="宋体" w:eastAsia="宋体" w:cs="宋体"/>
          <w:color w:val="auto"/>
          <w:sz w:val="28"/>
          <w:highlight w:val="none"/>
          <w:lang w:eastAsia="zh-CN"/>
        </w:rPr>
        <w:t>法定代表人身份证明或法定代表人授权委托书</w:t>
      </w:r>
      <w:bookmarkEnd w:id="801"/>
      <w:bookmarkEnd w:id="802"/>
    </w:p>
    <w:p>
      <w:pPr>
        <w:pStyle w:val="6"/>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color w:val="auto"/>
          <w:sz w:val="24"/>
          <w:szCs w:val="24"/>
          <w:highlight w:val="none"/>
        </w:rPr>
      </w:pPr>
      <w:bookmarkStart w:id="804" w:name="_Toc14141"/>
      <w:bookmarkStart w:id="805" w:name="_Toc20985"/>
      <w:r>
        <w:rPr>
          <w:rFonts w:hint="eastAsia" w:ascii="宋体" w:hAnsi="宋体" w:eastAsia="宋体" w:cs="宋体"/>
          <w:color w:val="auto"/>
          <w:sz w:val="24"/>
          <w:szCs w:val="24"/>
          <w:highlight w:val="none"/>
        </w:rPr>
        <w:t>（一）法定代表人身份证明</w:t>
      </w:r>
      <w:bookmarkEnd w:id="803"/>
      <w:bookmarkEnd w:id="804"/>
      <w:bookmarkEnd w:id="805"/>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r>
        <w:rPr>
          <w:rFonts w:hint="eastAsia" w:ascii="宋体" w:hAnsi="宋体"/>
          <w:color w:val="auto"/>
          <w:highlight w:val="none"/>
          <w:lang w:eastAsia="zh-CN"/>
        </w:rPr>
        <w:t>报价人</w:t>
      </w:r>
      <w:r>
        <w:rPr>
          <w:rFonts w:ascii="宋体" w:hAnsi="宋体"/>
          <w:color w:val="auto"/>
          <w:highlight w:val="none"/>
        </w:rPr>
        <w:t>名称：</w:t>
      </w:r>
      <w:r>
        <w:rPr>
          <w:rFonts w:ascii="宋体" w:hAnsi="宋体"/>
          <w:color w:val="auto"/>
          <w:highlight w:val="none"/>
          <w:u w:val="single"/>
        </w:rPr>
        <w:t xml:space="preserve">                        </w:t>
      </w: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姓名：</w:t>
      </w:r>
      <w:r>
        <w:rPr>
          <w:rFonts w:ascii="宋体" w:hAnsi="宋体"/>
          <w:color w:val="auto"/>
          <w:highlight w:val="none"/>
          <w:u w:val="single"/>
        </w:rPr>
        <w:t xml:space="preserve">                </w:t>
      </w:r>
      <w:r>
        <w:rPr>
          <w:rFonts w:ascii="宋体" w:hAnsi="宋体"/>
          <w:color w:val="auto"/>
          <w:highlight w:val="none"/>
        </w:rPr>
        <w:t>性别：</w:t>
      </w:r>
      <w:bookmarkStart w:id="806" w:name="_Toc369531698"/>
      <w:bookmarkStart w:id="807" w:name="_Toc27897"/>
      <w:bookmarkStart w:id="808" w:name="_Toc352691662"/>
      <w:r>
        <w:rPr>
          <w:rFonts w:ascii="宋体" w:hAnsi="宋体"/>
          <w:color w:val="auto"/>
          <w:highlight w:val="none"/>
          <w:u w:val="single"/>
        </w:rPr>
        <w:t xml:space="preserve">        </w:t>
      </w:r>
      <w:r>
        <w:rPr>
          <w:rFonts w:ascii="宋体" w:hAnsi="宋体"/>
          <w:color w:val="auto"/>
          <w:highlight w:val="none"/>
        </w:rPr>
        <w:t>年</w:t>
      </w:r>
      <w:bookmarkEnd w:id="806"/>
      <w:bookmarkEnd w:id="807"/>
      <w:bookmarkEnd w:id="808"/>
      <w:r>
        <w:rPr>
          <w:rFonts w:ascii="宋体" w:hAnsi="宋体"/>
          <w:color w:val="auto"/>
          <w:highlight w:val="none"/>
        </w:rPr>
        <w:t>龄</w:t>
      </w:r>
      <w:bookmarkStart w:id="809" w:name="_Toc144974858"/>
      <w:bookmarkStart w:id="810" w:name="_Toc361508754"/>
      <w:bookmarkStart w:id="811" w:name="_Toc247514248"/>
      <w:bookmarkStart w:id="812" w:name="_Toc352691663"/>
      <w:bookmarkStart w:id="813" w:name="_Toc152042578"/>
      <w:bookmarkStart w:id="814" w:name="_Toc15573"/>
      <w:bookmarkStart w:id="815" w:name="_Toc369531699"/>
      <w:bookmarkStart w:id="816" w:name="_Toc152045789"/>
      <w:bookmarkStart w:id="817" w:name="_Toc384308377"/>
      <w:bookmarkStart w:id="818" w:name="_Toc247527829"/>
      <w:bookmarkStart w:id="819" w:name="_Toc300835211"/>
      <w:r>
        <w:rPr>
          <w:rFonts w:ascii="宋体" w:hAnsi="宋体"/>
          <w:color w:val="auto"/>
          <w:highlight w:val="none"/>
        </w:rPr>
        <w:t>：</w:t>
      </w:r>
      <w:bookmarkEnd w:id="809"/>
      <w:bookmarkEnd w:id="810"/>
      <w:bookmarkEnd w:id="811"/>
      <w:bookmarkEnd w:id="812"/>
      <w:bookmarkEnd w:id="813"/>
      <w:bookmarkEnd w:id="814"/>
      <w:bookmarkEnd w:id="815"/>
      <w:bookmarkEnd w:id="816"/>
      <w:bookmarkEnd w:id="817"/>
      <w:bookmarkEnd w:id="818"/>
      <w:bookmarkEnd w:id="819"/>
      <w:r>
        <w:rPr>
          <w:rFonts w:ascii="宋体" w:hAnsi="宋体"/>
          <w:color w:val="auto"/>
          <w:highlight w:val="none"/>
          <w:u w:val="single"/>
        </w:rPr>
        <w:t xml:space="preserve">        </w:t>
      </w:r>
      <w:r>
        <w:rPr>
          <w:rFonts w:ascii="宋体" w:hAnsi="宋体"/>
          <w:color w:val="auto"/>
          <w:highlight w:val="none"/>
        </w:rPr>
        <w:t>职务：</w:t>
      </w:r>
      <w:r>
        <w:rPr>
          <w:rFonts w:ascii="宋体" w:hAnsi="宋体"/>
          <w:color w:val="auto"/>
          <w:highlight w:val="none"/>
          <w:u w:val="single"/>
        </w:rPr>
        <w:t xml:space="preserve">        </w:t>
      </w: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系</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lang w:eastAsia="zh-CN"/>
        </w:rPr>
        <w:t>报价人</w:t>
      </w:r>
      <w:r>
        <w:rPr>
          <w:rFonts w:ascii="宋体" w:hAnsi="宋体"/>
          <w:color w:val="auto"/>
          <w:highlight w:val="none"/>
        </w:rPr>
        <w:t>名称）的法定代表人。</w:t>
      </w:r>
    </w:p>
    <w:p>
      <w:pPr>
        <w:pageBreakBefore w:val="0"/>
        <w:widowControl w:val="0"/>
        <w:kinsoku/>
        <w:wordWrap/>
        <w:overflowPunct/>
        <w:topLinePunct w:val="0"/>
        <w:autoSpaceDE/>
        <w:autoSpaceDN/>
        <w:bidi w:val="0"/>
        <w:adjustRightInd/>
        <w:snapToGrid/>
        <w:spacing w:line="480" w:lineRule="auto"/>
        <w:ind w:firstLine="420" w:firstLineChars="200"/>
        <w:textAlignment w:val="auto"/>
        <w:rPr>
          <w:rFonts w:ascii="宋体" w:hAnsi="宋体"/>
          <w:color w:val="auto"/>
          <w:highlight w:val="none"/>
        </w:rPr>
      </w:pPr>
      <w:r>
        <w:rPr>
          <w:rFonts w:ascii="宋体" w:hAnsi="宋体"/>
          <w:color w:val="auto"/>
          <w:highlight w:val="none"/>
        </w:rPr>
        <w:t>特此证明。</w:t>
      </w: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附：法定代表人身份证复印件</w:t>
      </w:r>
      <w:r>
        <w:rPr>
          <w:rFonts w:hint="eastAsia" w:ascii="宋体" w:hAnsi="宋体"/>
          <w:color w:val="auto"/>
          <w:highlight w:val="none"/>
        </w:rPr>
        <w:t>（正、反面）</w:t>
      </w:r>
      <w:r>
        <w:rPr>
          <w:rFonts w:ascii="宋体" w:hAnsi="宋体"/>
          <w:color w:val="auto"/>
          <w:highlight w:val="none"/>
        </w:rPr>
        <w:t>。</w:t>
      </w:r>
    </w:p>
    <w:p>
      <w:pPr>
        <w:pageBreakBefore w:val="0"/>
        <w:widowControl w:val="0"/>
        <w:kinsoku/>
        <w:wordWrap/>
        <w:overflowPunct/>
        <w:topLinePunct w:val="0"/>
        <w:autoSpaceDE/>
        <w:autoSpaceDN/>
        <w:bidi w:val="0"/>
        <w:adjustRightInd/>
        <w:snapToGrid/>
        <w:spacing w:line="480" w:lineRule="auto"/>
        <w:textAlignment w:val="auto"/>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jc w:val="center"/>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lang w:eastAsia="zh-CN"/>
        </w:rPr>
        <w:t>报价人</w:t>
      </w:r>
      <w:r>
        <w:rPr>
          <w:rFonts w:ascii="宋体" w:hAnsi="宋体"/>
          <w:color w:val="auto"/>
          <w:highlight w:val="none"/>
        </w:rPr>
        <w:t>：</w:t>
      </w:r>
      <w:r>
        <w:rPr>
          <w:rFonts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highlight w:val="none"/>
        </w:rPr>
        <w:t>（</w:t>
      </w:r>
      <w:r>
        <w:rPr>
          <w:rFonts w:hint="eastAsia" w:ascii="宋体" w:hAnsi="宋体"/>
          <w:color w:val="auto"/>
          <w:highlight w:val="none"/>
        </w:rPr>
        <w:t>盖</w:t>
      </w:r>
      <w:r>
        <w:rPr>
          <w:rFonts w:ascii="宋体" w:hAnsi="宋体"/>
          <w:color w:val="auto"/>
          <w:highlight w:val="none"/>
        </w:rPr>
        <w:t>单位</w:t>
      </w:r>
      <w:r>
        <w:rPr>
          <w:rFonts w:hint="eastAsia" w:ascii="宋体" w:hAnsi="宋体"/>
          <w:color w:val="auto"/>
          <w:highlight w:val="none"/>
        </w:rPr>
        <w:t>公章</w:t>
      </w:r>
      <w:r>
        <w:rPr>
          <w:rFonts w:ascii="宋体" w:hAnsi="宋体"/>
          <w:color w:val="auto"/>
          <w:highlight w:val="none"/>
        </w:rPr>
        <w:t>）</w:t>
      </w:r>
    </w:p>
    <w:p>
      <w:pPr>
        <w:spacing w:line="440" w:lineRule="exact"/>
        <w:rPr>
          <w:rFonts w:ascii="宋体" w:hAnsi="宋体"/>
          <w:color w:val="auto"/>
          <w:highlight w:val="none"/>
        </w:rPr>
      </w:pPr>
    </w:p>
    <w:p>
      <w:pPr>
        <w:spacing w:line="440" w:lineRule="exact"/>
        <w:ind w:firstLine="4620" w:firstLineChars="2200"/>
        <w:rPr>
          <w:rFonts w:ascii="宋体" w:hAnsi="宋体"/>
          <w:color w:val="auto"/>
          <w:highlight w:val="none"/>
        </w:rPr>
      </w:pPr>
      <w:r>
        <w:rPr>
          <w:rFonts w:ascii="宋体" w:hAnsi="宋体"/>
          <w:color w:val="auto"/>
          <w:highlight w:val="none"/>
          <w:u w:val="single"/>
        </w:rPr>
        <w:t xml:space="preserve">      </w:t>
      </w:r>
      <w:r>
        <w:rPr>
          <w:rFonts w:ascii="宋体" w:hAnsi="宋体"/>
          <w:color w:val="auto"/>
          <w:highlight w:val="none"/>
        </w:rPr>
        <w:t>年</w:t>
      </w:r>
      <w:r>
        <w:rPr>
          <w:rFonts w:ascii="宋体" w:hAnsi="宋体"/>
          <w:color w:val="auto"/>
          <w:highlight w:val="none"/>
          <w:u w:val="single"/>
        </w:rPr>
        <w:t xml:space="preserve">      </w:t>
      </w:r>
      <w:r>
        <w:rPr>
          <w:rFonts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pPr>
    </w:p>
    <w:p>
      <w:pPr>
        <w:spacing w:line="440" w:lineRule="exact"/>
        <w:rPr>
          <w:rFonts w:ascii="宋体" w:hAnsi="宋体"/>
          <w:color w:val="auto"/>
          <w:highlight w:val="none"/>
        </w:rPr>
      </w:pPr>
      <w:r>
        <w:rPr>
          <w:rFonts w:ascii="宋体" w:hAnsi="宋体"/>
          <w:color w:val="auto"/>
          <w:highlight w:val="none"/>
        </w:rPr>
        <w:t>注：本身份证明需由</w:t>
      </w:r>
      <w:r>
        <w:rPr>
          <w:rFonts w:hint="eastAsia" w:ascii="宋体" w:hAnsi="宋体"/>
          <w:color w:val="auto"/>
          <w:highlight w:val="none"/>
          <w:lang w:eastAsia="zh-CN"/>
        </w:rPr>
        <w:t>报价人</w:t>
      </w:r>
      <w:r>
        <w:rPr>
          <w:rFonts w:ascii="宋体" w:hAnsi="宋体"/>
          <w:color w:val="auto"/>
          <w:highlight w:val="none"/>
        </w:rPr>
        <w:t>加盖单位</w:t>
      </w:r>
      <w:r>
        <w:rPr>
          <w:rFonts w:hint="eastAsia" w:ascii="宋体" w:hAnsi="宋体"/>
          <w:color w:val="auto"/>
          <w:highlight w:val="none"/>
        </w:rPr>
        <w:t>公章</w:t>
      </w:r>
      <w:r>
        <w:rPr>
          <w:rFonts w:ascii="宋体" w:hAnsi="宋体"/>
          <w:color w:val="auto"/>
          <w:highlight w:val="none"/>
        </w:rPr>
        <w:t>。</w:t>
      </w:r>
    </w:p>
    <w:p>
      <w:pPr>
        <w:spacing w:line="440" w:lineRule="exact"/>
        <w:rPr>
          <w:rFonts w:ascii="宋体" w:hAnsi="宋体"/>
          <w:color w:val="auto"/>
          <w:sz w:val="20"/>
          <w:highlight w:val="none"/>
        </w:rPr>
      </w:pPr>
    </w:p>
    <w:p>
      <w:pPr>
        <w:spacing w:line="20" w:lineRule="exact"/>
        <w:jc w:val="center"/>
        <w:rPr>
          <w:rFonts w:ascii="宋体" w:hAnsi="宋体"/>
          <w:color w:val="auto"/>
          <w:sz w:val="20"/>
          <w:highlight w:val="none"/>
        </w:rPr>
      </w:pPr>
      <w:r>
        <w:rPr>
          <w:rFonts w:ascii="宋体" w:hAnsi="宋体"/>
          <w:color w:val="auto"/>
          <w:sz w:val="20"/>
          <w:highlight w:val="none"/>
        </w:rPr>
        <w:br w:type="page"/>
      </w:r>
    </w:p>
    <w:p>
      <w:pPr>
        <w:pStyle w:val="6"/>
        <w:pageBreakBefore w:val="0"/>
        <w:widowControl w:val="0"/>
        <w:kinsoku/>
        <w:wordWrap/>
        <w:overflowPunct/>
        <w:autoSpaceDE/>
        <w:autoSpaceDN/>
        <w:bidi w:val="0"/>
        <w:adjustRightInd/>
        <w:snapToGrid/>
        <w:spacing w:line="480" w:lineRule="auto"/>
        <w:jc w:val="center"/>
        <w:textAlignment w:val="auto"/>
        <w:rPr>
          <w:rFonts w:ascii="宋体" w:hAnsi="宋体"/>
          <w:color w:val="auto"/>
          <w:sz w:val="28"/>
          <w:szCs w:val="28"/>
          <w:highlight w:val="none"/>
        </w:rPr>
      </w:pPr>
      <w:bookmarkStart w:id="820" w:name="_Toc491883233"/>
      <w:bookmarkStart w:id="821" w:name="_Toc3882"/>
      <w:bookmarkStart w:id="822" w:name="_Toc58"/>
      <w:r>
        <w:rPr>
          <w:rFonts w:hint="eastAsia" w:ascii="宋体" w:hAnsi="宋体" w:eastAsia="宋体" w:cs="宋体"/>
          <w:color w:val="auto"/>
          <w:sz w:val="24"/>
          <w:szCs w:val="24"/>
          <w:highlight w:val="none"/>
        </w:rPr>
        <w:t>（二）</w:t>
      </w:r>
      <w:bookmarkEnd w:id="820"/>
      <w:r>
        <w:rPr>
          <w:rFonts w:hint="eastAsia" w:ascii="宋体" w:hAnsi="宋体" w:eastAsia="宋体" w:cs="宋体"/>
          <w:color w:val="auto"/>
          <w:sz w:val="24"/>
          <w:szCs w:val="24"/>
          <w:highlight w:val="none"/>
        </w:rPr>
        <w:t>法定代表人授权委托书</w:t>
      </w:r>
      <w:bookmarkEnd w:id="821"/>
      <w:bookmarkEnd w:id="822"/>
    </w:p>
    <w:p>
      <w:pPr>
        <w:pageBreakBefore w:val="0"/>
        <w:widowControl w:val="0"/>
        <w:kinsoku/>
        <w:wordWrap/>
        <w:overflowPunct/>
        <w:topLinePunct/>
        <w:autoSpaceDE/>
        <w:autoSpaceDN/>
        <w:bidi w:val="0"/>
        <w:adjustRightInd/>
        <w:snapToGrid/>
        <w:spacing w:line="480" w:lineRule="auto"/>
        <w:ind w:firstLine="420" w:firstLineChars="200"/>
        <w:textAlignment w:val="auto"/>
        <w:rPr>
          <w:rFonts w:ascii="宋体" w:hAnsi="宋体"/>
          <w:color w:val="auto"/>
          <w:highlight w:val="none"/>
        </w:rPr>
      </w:pPr>
      <w:r>
        <w:rPr>
          <w:rFonts w:ascii="宋体" w:hAnsi="宋体"/>
          <w:color w:val="auto"/>
          <w:highlight w:val="none"/>
        </w:rPr>
        <w:t>本人</w:t>
      </w:r>
      <w:r>
        <w:rPr>
          <w:rFonts w:ascii="宋体" w:hAnsi="宋体"/>
          <w:color w:val="auto"/>
          <w:highlight w:val="none"/>
          <w:u w:val="single"/>
        </w:rPr>
        <w:t xml:space="preserve">              </w:t>
      </w:r>
      <w:r>
        <w:rPr>
          <w:rFonts w:ascii="宋体" w:hAnsi="宋体"/>
          <w:color w:val="auto"/>
          <w:highlight w:val="none"/>
        </w:rPr>
        <w:t>（姓名）系</w:t>
      </w:r>
      <w:r>
        <w:rPr>
          <w:rFonts w:ascii="宋体" w:hAnsi="宋体"/>
          <w:color w:val="auto"/>
          <w:highlight w:val="none"/>
          <w:u w:val="single"/>
        </w:rPr>
        <w:t xml:space="preserve">                    </w:t>
      </w:r>
      <w:r>
        <w:rPr>
          <w:rFonts w:ascii="宋体" w:hAnsi="宋体"/>
          <w:color w:val="auto"/>
          <w:highlight w:val="none"/>
        </w:rPr>
        <w:t>（</w:t>
      </w:r>
      <w:r>
        <w:rPr>
          <w:rFonts w:hint="eastAsia" w:ascii="宋体" w:hAnsi="宋体"/>
          <w:color w:val="auto"/>
          <w:highlight w:val="none"/>
          <w:lang w:eastAsia="zh-CN"/>
        </w:rPr>
        <w:t>报价人</w:t>
      </w:r>
      <w:r>
        <w:rPr>
          <w:rFonts w:ascii="宋体" w:hAnsi="宋体"/>
          <w:color w:val="auto"/>
          <w:highlight w:val="none"/>
        </w:rPr>
        <w:t>名称）的法定代表人，现委托</w:t>
      </w:r>
      <w:r>
        <w:rPr>
          <w:rFonts w:ascii="宋体" w:hAnsi="宋体"/>
          <w:color w:val="auto"/>
          <w:highlight w:val="none"/>
          <w:u w:val="single"/>
        </w:rPr>
        <w:t xml:space="preserve">            </w:t>
      </w:r>
      <w:r>
        <w:rPr>
          <w:rFonts w:ascii="宋体" w:hAnsi="宋体"/>
          <w:color w:val="auto"/>
          <w:highlight w:val="none"/>
        </w:rPr>
        <w:t>（姓名）为我方代理人。代理人根据授权，以我方名义签署、澄清确认、递交、撤回、修改招标项目</w:t>
      </w:r>
      <w:r>
        <w:rPr>
          <w:rFonts w:hint="eastAsia" w:ascii="宋体" w:hAnsi="宋体"/>
          <w:color w:val="auto"/>
          <w:highlight w:val="none"/>
          <w:lang w:val="en-US" w:eastAsia="zh-CN"/>
        </w:rPr>
        <w:t>比选</w:t>
      </w:r>
      <w:r>
        <w:rPr>
          <w:rFonts w:ascii="宋体" w:hAnsi="宋体"/>
          <w:color w:val="auto"/>
          <w:highlight w:val="none"/>
        </w:rPr>
        <w:t>文件、签订合同和处理有关事宜，其法律后果由我方承担。</w:t>
      </w:r>
    </w:p>
    <w:p>
      <w:pPr>
        <w:pageBreakBefore w:val="0"/>
        <w:widowControl w:val="0"/>
        <w:kinsoku/>
        <w:wordWrap/>
        <w:overflowPunct/>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委托期限：</w:t>
      </w:r>
      <w:r>
        <w:rPr>
          <w:rFonts w:ascii="宋体" w:hAnsi="宋体"/>
          <w:color w:val="auto"/>
          <w:highlight w:val="none"/>
          <w:u w:val="single"/>
        </w:rPr>
        <w:t xml:space="preserve">                       </w:t>
      </w:r>
      <w:r>
        <w:rPr>
          <w:rFonts w:ascii="宋体" w:hAnsi="宋体"/>
          <w:color w:val="auto"/>
          <w:highlight w:val="none"/>
        </w:rPr>
        <w:t>。</w:t>
      </w:r>
    </w:p>
    <w:p>
      <w:pPr>
        <w:pageBreakBefore w:val="0"/>
        <w:widowControl w:val="0"/>
        <w:kinsoku/>
        <w:wordWrap/>
        <w:overflowPunct/>
        <w:autoSpaceDE/>
        <w:autoSpaceDN/>
        <w:bidi w:val="0"/>
        <w:adjustRightInd/>
        <w:snapToGrid/>
        <w:spacing w:line="480" w:lineRule="auto"/>
        <w:ind w:firstLine="420" w:firstLineChars="200"/>
        <w:textAlignment w:val="auto"/>
        <w:rPr>
          <w:rFonts w:ascii="宋体" w:hAnsi="宋体"/>
          <w:color w:val="auto"/>
          <w:highlight w:val="none"/>
        </w:rPr>
      </w:pPr>
      <w:r>
        <w:rPr>
          <w:rFonts w:ascii="宋体" w:hAnsi="宋体"/>
          <w:color w:val="auto"/>
          <w:highlight w:val="none"/>
        </w:rPr>
        <w:t>代理人无转委托权。</w:t>
      </w:r>
    </w:p>
    <w:p>
      <w:pPr>
        <w:pageBreakBefore w:val="0"/>
        <w:widowControl w:val="0"/>
        <w:kinsoku/>
        <w:wordWrap/>
        <w:overflowPunct/>
        <w:autoSpaceDE/>
        <w:autoSpaceDN/>
        <w:bidi w:val="0"/>
        <w:adjustRightInd/>
        <w:snapToGrid/>
        <w:spacing w:line="480" w:lineRule="auto"/>
        <w:ind w:firstLine="420" w:firstLineChars="200"/>
        <w:textAlignment w:val="auto"/>
        <w:rPr>
          <w:rFonts w:ascii="宋体" w:hAnsi="宋体"/>
          <w:color w:val="auto"/>
          <w:highlight w:val="none"/>
        </w:rPr>
      </w:pPr>
    </w:p>
    <w:p>
      <w:pPr>
        <w:pageBreakBefore w:val="0"/>
        <w:widowControl w:val="0"/>
        <w:kinsoku/>
        <w:wordWrap/>
        <w:overflowPunct/>
        <w:autoSpaceDE/>
        <w:autoSpaceDN/>
        <w:bidi w:val="0"/>
        <w:adjustRightInd/>
        <w:snapToGrid/>
        <w:spacing w:line="480" w:lineRule="auto"/>
        <w:textAlignment w:val="auto"/>
        <w:rPr>
          <w:rFonts w:ascii="宋体" w:hAnsi="宋体"/>
          <w:color w:val="auto"/>
          <w:highlight w:val="none"/>
        </w:rPr>
      </w:pPr>
      <w:r>
        <w:rPr>
          <w:rFonts w:ascii="宋体" w:hAnsi="宋体"/>
          <w:color w:val="auto"/>
          <w:highlight w:val="none"/>
        </w:rPr>
        <w:t>附：法定代表人身份证复印件及委托代理人身份证复印件</w:t>
      </w:r>
      <w:r>
        <w:rPr>
          <w:rFonts w:hint="eastAsia" w:ascii="宋体" w:hAnsi="宋体"/>
          <w:color w:val="auto"/>
          <w:highlight w:val="none"/>
        </w:rPr>
        <w:t>（正、反面）</w:t>
      </w:r>
    </w:p>
    <w:p>
      <w:pPr>
        <w:pageBreakBefore w:val="0"/>
        <w:widowControl w:val="0"/>
        <w:kinsoku/>
        <w:wordWrap/>
        <w:overflowPunct/>
        <w:autoSpaceDE/>
        <w:autoSpaceDN/>
        <w:bidi w:val="0"/>
        <w:adjustRightInd/>
        <w:snapToGrid/>
        <w:spacing w:line="480" w:lineRule="auto"/>
        <w:textAlignment w:val="auto"/>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rPr>
          <w:rFonts w:ascii="宋体" w:hAnsi="宋体"/>
          <w:color w:val="auto"/>
          <w:highlight w:val="none"/>
        </w:rPr>
      </w:pPr>
    </w:p>
    <w:p>
      <w:pPr>
        <w:spacing w:line="440" w:lineRule="exact"/>
        <w:ind w:firstLine="2692" w:firstLineChars="1282"/>
        <w:rPr>
          <w:rFonts w:ascii="宋体" w:hAnsi="宋体"/>
          <w:color w:val="auto"/>
          <w:highlight w:val="none"/>
        </w:rPr>
      </w:pPr>
      <w:r>
        <w:rPr>
          <w:rFonts w:hint="eastAsia" w:ascii="宋体" w:hAnsi="宋体"/>
          <w:color w:val="auto"/>
          <w:highlight w:val="none"/>
          <w:lang w:eastAsia="zh-CN"/>
        </w:rPr>
        <w:t>报  价  人</w:t>
      </w:r>
      <w:r>
        <w:rPr>
          <w:rFonts w:ascii="宋体" w:hAnsi="宋体"/>
          <w:color w:val="auto"/>
          <w:highlight w:val="none"/>
        </w:rPr>
        <w:t>：</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highlight w:val="none"/>
        </w:rPr>
        <w:t>（</w:t>
      </w:r>
      <w:r>
        <w:rPr>
          <w:rFonts w:hint="eastAsia" w:ascii="宋体" w:hAnsi="宋体"/>
          <w:color w:val="auto"/>
          <w:highlight w:val="none"/>
        </w:rPr>
        <w:t>盖</w:t>
      </w:r>
      <w:r>
        <w:rPr>
          <w:rFonts w:ascii="宋体" w:hAnsi="宋体"/>
          <w:color w:val="auto"/>
          <w:highlight w:val="none"/>
        </w:rPr>
        <w:t>单位</w:t>
      </w:r>
      <w:r>
        <w:rPr>
          <w:rFonts w:hint="eastAsia" w:ascii="宋体" w:hAnsi="宋体"/>
          <w:color w:val="auto"/>
          <w:highlight w:val="none"/>
        </w:rPr>
        <w:t>公章</w:t>
      </w:r>
      <w:r>
        <w:rPr>
          <w:rFonts w:ascii="宋体" w:hAnsi="宋体"/>
          <w:color w:val="auto"/>
          <w:highlight w:val="none"/>
        </w:rPr>
        <w:t>）</w:t>
      </w:r>
    </w:p>
    <w:p>
      <w:pPr>
        <w:spacing w:line="440" w:lineRule="exact"/>
        <w:ind w:firstLine="2690" w:firstLineChars="1281"/>
        <w:jc w:val="left"/>
        <w:rPr>
          <w:rFonts w:ascii="宋体" w:hAnsi="宋体"/>
          <w:color w:val="auto"/>
          <w:highlight w:val="none"/>
        </w:rPr>
      </w:pPr>
      <w:r>
        <w:rPr>
          <w:rFonts w:ascii="宋体" w:hAnsi="宋体"/>
          <w:color w:val="auto"/>
          <w:highlight w:val="none"/>
        </w:rPr>
        <w:t>法定代表人：</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highlight w:val="none"/>
        </w:rPr>
        <w:t>（签字</w:t>
      </w:r>
      <w:r>
        <w:rPr>
          <w:rFonts w:hint="eastAsia" w:ascii="宋体" w:hAnsi="宋体"/>
          <w:color w:val="auto"/>
          <w:highlight w:val="none"/>
        </w:rPr>
        <w:t xml:space="preserve"> </w:t>
      </w:r>
      <w:r>
        <w:rPr>
          <w:rFonts w:ascii="宋体" w:hAnsi="宋体"/>
          <w:color w:val="auto"/>
          <w:highlight w:val="none"/>
        </w:rPr>
        <w:t>）</w:t>
      </w:r>
    </w:p>
    <w:p>
      <w:pPr>
        <w:spacing w:line="440" w:lineRule="exact"/>
        <w:ind w:firstLine="2692" w:firstLineChars="1282"/>
        <w:rPr>
          <w:rFonts w:ascii="宋体" w:hAnsi="宋体"/>
          <w:color w:val="auto"/>
          <w:highlight w:val="none"/>
        </w:rPr>
      </w:pPr>
      <w:r>
        <w:rPr>
          <w:rFonts w:ascii="宋体" w:hAnsi="宋体"/>
          <w:color w:val="auto"/>
          <w:highlight w:val="none"/>
        </w:rPr>
        <w:t>身份证号码：</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ascii="宋体" w:hAnsi="宋体"/>
          <w:color w:val="auto"/>
          <w:szCs w:val="21"/>
          <w:highlight w:val="none"/>
          <w:u w:val="single"/>
        </w:rPr>
        <w:tab/>
      </w:r>
    </w:p>
    <w:p>
      <w:pPr>
        <w:spacing w:line="440" w:lineRule="exact"/>
        <w:ind w:firstLine="2692" w:firstLineChars="1282"/>
        <w:rPr>
          <w:rFonts w:ascii="宋体" w:hAnsi="宋体"/>
          <w:color w:val="auto"/>
          <w:highlight w:val="none"/>
        </w:rPr>
      </w:pPr>
      <w:r>
        <w:rPr>
          <w:rFonts w:ascii="宋体" w:hAnsi="宋体"/>
          <w:color w:val="auto"/>
          <w:highlight w:val="none"/>
        </w:rPr>
        <w:t>委托代理人：</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highlight w:val="none"/>
        </w:rPr>
        <w:t>（签字）</w:t>
      </w:r>
    </w:p>
    <w:p>
      <w:pPr>
        <w:spacing w:line="440" w:lineRule="exact"/>
        <w:ind w:firstLine="2692" w:firstLineChars="1282"/>
        <w:rPr>
          <w:rFonts w:ascii="宋体" w:hAnsi="宋体"/>
          <w:color w:val="auto"/>
          <w:highlight w:val="none"/>
        </w:rPr>
      </w:pPr>
      <w:r>
        <w:rPr>
          <w:rFonts w:ascii="宋体" w:hAnsi="宋体"/>
          <w:color w:val="auto"/>
          <w:highlight w:val="none"/>
        </w:rPr>
        <w:t>身份证号码：</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 xml:space="preserve">                            </w:t>
      </w:r>
      <w:r>
        <w:rPr>
          <w:rFonts w:ascii="宋体" w:hAnsi="宋体"/>
          <w:color w:val="auto"/>
          <w:szCs w:val="21"/>
          <w:highlight w:val="none"/>
          <w:u w:val="single"/>
        </w:rPr>
        <w:tab/>
      </w:r>
    </w:p>
    <w:p>
      <w:pPr>
        <w:spacing w:line="440" w:lineRule="exact"/>
        <w:ind w:firstLine="2692" w:firstLineChars="1282"/>
        <w:rPr>
          <w:rFonts w:ascii="宋体" w:hAnsi="宋体"/>
          <w:color w:val="auto"/>
          <w:highlight w:val="none"/>
        </w:rPr>
      </w:pPr>
    </w:p>
    <w:p>
      <w:pPr>
        <w:spacing w:line="440" w:lineRule="exact"/>
        <w:ind w:firstLine="4057" w:firstLineChars="1932"/>
        <w:jc w:val="right"/>
        <w:rPr>
          <w:rFonts w:ascii="宋体" w:hAnsi="宋体"/>
          <w:color w:val="auto"/>
          <w:highlight w:val="none"/>
        </w:rPr>
      </w:pPr>
      <w:r>
        <w:rPr>
          <w:rFonts w:ascii="宋体" w:hAnsi="宋体"/>
          <w:color w:val="auto"/>
          <w:highlight w:val="none"/>
          <w:u w:val="single"/>
        </w:rPr>
        <w:t xml:space="preserve">       </w:t>
      </w:r>
      <w:r>
        <w:rPr>
          <w:rFonts w:ascii="宋体" w:hAnsi="宋体"/>
          <w:color w:val="auto"/>
          <w:highlight w:val="none"/>
        </w:rPr>
        <w:t>年</w:t>
      </w:r>
      <w:r>
        <w:rPr>
          <w:rFonts w:ascii="宋体" w:hAnsi="宋体"/>
          <w:color w:val="auto"/>
          <w:highlight w:val="none"/>
          <w:u w:val="single"/>
        </w:rPr>
        <w:t xml:space="preserve">       </w:t>
      </w:r>
      <w:r>
        <w:rPr>
          <w:rFonts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pPr>
    </w:p>
    <w:p>
      <w:pPr>
        <w:spacing w:line="440" w:lineRule="exact"/>
        <w:rPr>
          <w:rFonts w:ascii="宋体" w:hAnsi="宋体"/>
          <w:color w:val="auto"/>
          <w:highlight w:val="none"/>
        </w:rPr>
      </w:pPr>
      <w:r>
        <w:rPr>
          <w:rFonts w:ascii="宋体" w:hAnsi="宋体"/>
          <w:color w:val="auto"/>
          <w:highlight w:val="none"/>
        </w:rPr>
        <w:t>注：本授权委托书需由</w:t>
      </w:r>
      <w:r>
        <w:rPr>
          <w:rFonts w:hint="eastAsia" w:ascii="宋体" w:hAnsi="宋体"/>
          <w:color w:val="auto"/>
          <w:highlight w:val="none"/>
          <w:lang w:eastAsia="zh-CN"/>
        </w:rPr>
        <w:t>报价人</w:t>
      </w:r>
      <w:r>
        <w:rPr>
          <w:rFonts w:ascii="宋体" w:hAnsi="宋体"/>
          <w:color w:val="auto"/>
          <w:highlight w:val="none"/>
        </w:rPr>
        <w:t>加盖单位</w:t>
      </w:r>
      <w:r>
        <w:rPr>
          <w:rFonts w:hint="eastAsia" w:ascii="宋体" w:hAnsi="宋体"/>
          <w:color w:val="auto"/>
          <w:highlight w:val="none"/>
        </w:rPr>
        <w:t>公章</w:t>
      </w:r>
      <w:r>
        <w:rPr>
          <w:rFonts w:ascii="宋体" w:hAnsi="宋体"/>
          <w:color w:val="auto"/>
          <w:highlight w:val="none"/>
        </w:rPr>
        <w:t>并由其法定代表人和委托代理人签</w:t>
      </w:r>
      <w:bookmarkStart w:id="823" w:name="_Toc11329275"/>
      <w:bookmarkStart w:id="824" w:name="_Toc29500"/>
    </w:p>
    <w:p>
      <w:pPr>
        <w:pStyle w:val="2"/>
        <w:rPr>
          <w:rFonts w:ascii="宋体" w:hAnsi="宋体"/>
          <w:color w:val="auto"/>
          <w:highlight w:val="none"/>
        </w:rPr>
      </w:pPr>
    </w:p>
    <w:p>
      <w:pPr>
        <w:pStyle w:val="2"/>
        <w:rPr>
          <w:rFonts w:hint="eastAsia" w:ascii="宋体" w:hAnsi="宋体"/>
          <w:b w:val="0"/>
          <w:bCs w:val="0"/>
          <w:color w:val="auto"/>
          <w:sz w:val="21"/>
          <w:highlight w:val="none"/>
        </w:rPr>
      </w:pPr>
    </w:p>
    <w:p>
      <w:pPr>
        <w:spacing w:line="440" w:lineRule="exact"/>
        <w:ind w:firstLineChars="200"/>
        <w:jc w:val="center"/>
        <w:rPr>
          <w:rFonts w:hint="default" w:ascii="宋体" w:hAnsi="宋体"/>
          <w:color w:val="auto"/>
          <w:sz w:val="21"/>
          <w:highlight w:val="none"/>
        </w:rPr>
      </w:pPr>
      <w:r>
        <w:rPr>
          <w:rFonts w:hint="eastAsia" w:ascii="宋体" w:hAnsi="宋体" w:cs="宋体"/>
          <w:b/>
          <w:bCs/>
          <w:color w:val="auto"/>
          <w:kern w:val="0"/>
          <w:sz w:val="24"/>
          <w:highlight w:val="none"/>
          <w:lang w:eastAsia="zh-CN"/>
        </w:rPr>
        <w:t>（</w:t>
      </w:r>
      <w:r>
        <w:rPr>
          <w:rFonts w:hint="eastAsia" w:ascii="宋体" w:hAnsi="宋体" w:cs="宋体"/>
          <w:b/>
          <w:bCs/>
          <w:color w:val="auto"/>
          <w:kern w:val="0"/>
          <w:sz w:val="24"/>
          <w:highlight w:val="none"/>
          <w:lang w:val="en-US" w:eastAsia="zh-CN"/>
        </w:rPr>
        <w:t>三</w:t>
      </w:r>
      <w:r>
        <w:rPr>
          <w:rFonts w:hint="eastAsia" w:ascii="宋体" w:hAnsi="宋体" w:cs="宋体"/>
          <w:b/>
          <w:bCs/>
          <w:color w:val="auto"/>
          <w:kern w:val="0"/>
          <w:sz w:val="24"/>
          <w:highlight w:val="none"/>
          <w:lang w:eastAsia="zh-CN"/>
        </w:rPr>
        <w:t>）</w:t>
      </w:r>
      <w:r>
        <w:rPr>
          <w:rFonts w:hint="default" w:ascii="宋体" w:hAnsi="宋体" w:cs="宋体"/>
          <w:b/>
          <w:bCs/>
          <w:color w:val="auto"/>
          <w:kern w:val="0"/>
          <w:sz w:val="24"/>
          <w:highlight w:val="none"/>
        </w:rPr>
        <w:t>机构授权书</w:t>
      </w:r>
    </w:p>
    <w:p>
      <w:pPr>
        <w:spacing w:line="440" w:lineRule="exact"/>
        <w:ind w:firstLineChars="200"/>
        <w:rPr>
          <w:rFonts w:hint="default" w:ascii="宋体" w:hAnsi="宋体"/>
          <w:color w:val="auto"/>
          <w:sz w:val="21"/>
          <w:highlight w:val="none"/>
        </w:rPr>
      </w:pPr>
    </w:p>
    <w:p>
      <w:pPr>
        <w:spacing w:line="440" w:lineRule="exact"/>
        <w:ind w:firstLineChars="200"/>
        <w:rPr>
          <w:rFonts w:hint="default" w:ascii="宋体" w:hAnsi="宋体"/>
          <w:color w:val="auto"/>
          <w:sz w:val="21"/>
          <w:highlight w:val="none"/>
        </w:rPr>
      </w:pPr>
      <w:r>
        <w:rPr>
          <w:rFonts w:hint="default" w:ascii="宋体" w:hAnsi="宋体"/>
          <w:color w:val="auto"/>
          <w:sz w:val="21"/>
          <w:highlight w:val="none"/>
        </w:rPr>
        <w:t>（若为省级（或直辖市）分公司投标，则须总公司向省级（或直辖市）分公司授权的机构授权书，格式自拟，加盖投标单位总公司法人章和投标单位公章）</w:t>
      </w:r>
    </w:p>
    <w:p>
      <w:pPr>
        <w:spacing w:line="440" w:lineRule="exact"/>
        <w:ind w:firstLineChars="200"/>
        <w:rPr>
          <w:rFonts w:hint="default" w:ascii="宋体" w:hAnsi="宋体"/>
          <w:color w:val="auto"/>
          <w:sz w:val="21"/>
          <w:highlight w:val="none"/>
        </w:rPr>
      </w:pPr>
    </w:p>
    <w:p>
      <w:pPr>
        <w:spacing w:line="440" w:lineRule="exact"/>
        <w:ind w:firstLineChars="200"/>
        <w:jc w:val="center"/>
        <w:rPr>
          <w:rFonts w:hint="default" w:ascii="宋体" w:hAnsi="宋体" w:cs="宋体"/>
          <w:b/>
          <w:bCs/>
          <w:color w:val="auto"/>
          <w:kern w:val="0"/>
          <w:sz w:val="24"/>
          <w:highlight w:val="none"/>
        </w:rPr>
      </w:pPr>
      <w:r>
        <w:rPr>
          <w:rFonts w:hint="default" w:ascii="宋体" w:hAnsi="宋体" w:cs="宋体"/>
          <w:b/>
          <w:bCs/>
          <w:color w:val="auto"/>
          <w:kern w:val="0"/>
          <w:sz w:val="24"/>
          <w:highlight w:val="none"/>
          <w:lang w:eastAsia="zh-CN"/>
        </w:rPr>
        <w:t>（</w:t>
      </w:r>
      <w:r>
        <w:rPr>
          <w:rFonts w:hint="default" w:ascii="宋体" w:hAnsi="宋体" w:cs="宋体"/>
          <w:b/>
          <w:bCs/>
          <w:color w:val="auto"/>
          <w:kern w:val="0"/>
          <w:sz w:val="24"/>
          <w:highlight w:val="none"/>
          <w:lang w:val="en-US" w:eastAsia="zh-CN"/>
        </w:rPr>
        <w:t>四</w:t>
      </w:r>
      <w:r>
        <w:rPr>
          <w:rFonts w:hint="default" w:ascii="宋体" w:hAnsi="宋体" w:cs="宋体"/>
          <w:b/>
          <w:bCs/>
          <w:color w:val="auto"/>
          <w:kern w:val="0"/>
          <w:sz w:val="24"/>
          <w:highlight w:val="none"/>
          <w:lang w:eastAsia="zh-CN"/>
        </w:rPr>
        <w:t>）</w:t>
      </w:r>
      <w:r>
        <w:rPr>
          <w:rFonts w:hint="default" w:ascii="宋体" w:hAnsi="宋体" w:cs="宋体"/>
          <w:b/>
          <w:bCs/>
          <w:color w:val="auto"/>
          <w:kern w:val="0"/>
          <w:sz w:val="24"/>
          <w:highlight w:val="none"/>
        </w:rPr>
        <w:t>理赔授权书</w:t>
      </w:r>
    </w:p>
    <w:p>
      <w:pPr>
        <w:spacing w:line="440" w:lineRule="exact"/>
        <w:ind w:firstLineChars="200"/>
        <w:rPr>
          <w:rFonts w:hint="default" w:ascii="宋体" w:hAnsi="宋体"/>
          <w:color w:val="auto"/>
          <w:sz w:val="21"/>
          <w:highlight w:val="none"/>
          <w:lang w:val="en-US" w:eastAsia="zh-CN"/>
        </w:rPr>
        <w:sectPr>
          <w:footerReference r:id="rId14" w:type="first"/>
          <w:footerReference r:id="rId13" w:type="default"/>
          <w:pgSz w:w="11906" w:h="16838"/>
          <w:pgMar w:top="1440" w:right="1576" w:bottom="1440" w:left="1463" w:header="851" w:footer="992" w:gutter="0"/>
          <w:cols w:space="0" w:num="1"/>
          <w:titlePg/>
          <w:rtlGutter w:val="0"/>
          <w:docGrid w:type="lines" w:linePitch="319" w:charSpace="0"/>
        </w:sectPr>
      </w:pPr>
      <w:r>
        <w:rPr>
          <w:rFonts w:hint="default" w:ascii="宋体" w:hAnsi="宋体"/>
          <w:color w:val="auto"/>
          <w:sz w:val="21"/>
          <w:highlight w:val="none"/>
        </w:rPr>
        <w:t>（若为省级（或直辖市）分公司投标，则须总公司向省级（或直辖市）分公司授权的理赔授权书，格式自拟，加盖投标单位总公司法人章和投标单位公章）</w:t>
      </w:r>
    </w:p>
    <w:bookmarkEnd w:id="798"/>
    <w:bookmarkEnd w:id="799"/>
    <w:bookmarkEnd w:id="800"/>
    <w:bookmarkEnd w:id="823"/>
    <w:p>
      <w:pPr>
        <w:pStyle w:val="6"/>
        <w:numPr>
          <w:ilvl w:val="0"/>
          <w:numId w:val="12"/>
        </w:numPr>
        <w:spacing w:before="0" w:after="0" w:line="360" w:lineRule="auto"/>
        <w:ind w:left="0" w:leftChars="0" w:firstLine="420" w:firstLineChars="0"/>
        <w:jc w:val="center"/>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val="en-US" w:eastAsia="zh-CN"/>
        </w:rPr>
        <w:t>报价一览表</w:t>
      </w:r>
      <w:bookmarkEnd w:id="824"/>
    </w:p>
    <w:p>
      <w:pPr>
        <w:pStyle w:val="41"/>
        <w:keepNext w:val="0"/>
        <w:keepLines w:val="0"/>
        <w:pageBreakBefore w:val="0"/>
        <w:widowControl w:val="0"/>
        <w:kinsoku/>
        <w:wordWrap/>
        <w:overflowPunct/>
        <w:topLinePunct w:val="0"/>
        <w:bidi w:val="0"/>
        <w:spacing w:line="480" w:lineRule="auto"/>
        <w:jc w:val="both"/>
        <w:textAlignment w:val="auto"/>
        <w:rPr>
          <w:rFonts w:hint="eastAsia" w:hAnsi="宋体"/>
          <w:color w:val="auto"/>
          <w:highlight w:val="none"/>
        </w:rPr>
      </w:pPr>
      <w:r>
        <w:rPr>
          <w:rFonts w:hint="eastAsia" w:hAnsi="宋体"/>
          <w:color w:val="auto"/>
          <w:highlight w:val="none"/>
          <w:lang w:eastAsia="zh-CN"/>
        </w:rPr>
        <w:t>重庆首讯科技股份有限公司</w:t>
      </w:r>
      <w:r>
        <w:rPr>
          <w:rFonts w:hint="eastAsia" w:hAnsi="宋体"/>
          <w:color w:val="auto"/>
          <w:highlight w:val="none"/>
        </w:rPr>
        <w:t>：</w:t>
      </w:r>
    </w:p>
    <w:p>
      <w:pPr>
        <w:keepNext w:val="0"/>
        <w:keepLines w:val="0"/>
        <w:pageBreakBefore w:val="0"/>
        <w:widowControl w:val="0"/>
        <w:kinsoku/>
        <w:wordWrap/>
        <w:overflowPunct/>
        <w:topLinePunct w:val="0"/>
        <w:bidi w:val="0"/>
        <w:spacing w:line="480" w:lineRule="auto"/>
        <w:ind w:firstLine="480" w:firstLineChars="200"/>
        <w:jc w:val="left"/>
        <w:textAlignment w:val="auto"/>
        <w:rPr>
          <w:rFonts w:hint="eastAsia" w:ascii="宋体" w:hAnsi="宋体"/>
          <w:b/>
          <w:color w:val="auto"/>
          <w:sz w:val="24"/>
          <w:highlight w:val="none"/>
        </w:rPr>
      </w:pPr>
      <w:r>
        <w:rPr>
          <w:rFonts w:hint="eastAsia" w:ascii="宋体" w:hAnsi="宋体"/>
          <w:color w:val="auto"/>
          <w:sz w:val="24"/>
          <w:highlight w:val="none"/>
        </w:rPr>
        <w:t>在研究了</w:t>
      </w:r>
      <w:r>
        <w:rPr>
          <w:rFonts w:hint="eastAsia" w:ascii="宋体" w:hAnsi="宋体"/>
          <w:color w:val="auto"/>
          <w:sz w:val="24"/>
          <w:highlight w:val="none"/>
          <w:lang w:eastAsia="zh-CN"/>
        </w:rPr>
        <w:t>竞争比选</w:t>
      </w:r>
      <w:r>
        <w:rPr>
          <w:rFonts w:hint="eastAsia" w:ascii="宋体" w:hAnsi="宋体"/>
          <w:color w:val="auto"/>
          <w:sz w:val="24"/>
          <w:highlight w:val="none"/>
        </w:rPr>
        <w:t>文件中所有文件后，我司</w:t>
      </w:r>
      <w:r>
        <w:rPr>
          <w:rFonts w:hint="eastAsia" w:ascii="宋体" w:hAnsi="宋体"/>
          <w:color w:val="auto"/>
          <w:sz w:val="24"/>
          <w:highlight w:val="none"/>
          <w:lang w:eastAsia="zh-CN"/>
        </w:rPr>
        <w:t>对</w:t>
      </w:r>
      <w:r>
        <w:rPr>
          <w:rFonts w:hint="eastAsia" w:ascii="宋体" w:hAnsi="宋体" w:cs="宋体"/>
          <w:sz w:val="24"/>
          <w:szCs w:val="24"/>
          <w:highlight w:val="none"/>
          <w:u w:val="single"/>
          <w:lang w:eastAsia="zh-CN"/>
        </w:rPr>
        <w:t>巫溪至开州高速公路项目机电工程工程保险服务</w:t>
      </w:r>
      <w:r>
        <w:rPr>
          <w:rFonts w:hint="eastAsia" w:ascii="宋体" w:hAnsi="宋体"/>
          <w:color w:val="auto"/>
          <w:sz w:val="24"/>
          <w:highlight w:val="none"/>
          <w:lang w:eastAsia="zh-CN"/>
        </w:rPr>
        <w:t>竞</w:t>
      </w:r>
      <w:r>
        <w:rPr>
          <w:rFonts w:hint="eastAsia" w:ascii="Arial" w:hAnsi="Arial" w:eastAsia="宋体" w:cs="Arial"/>
          <w:color w:val="auto"/>
          <w:sz w:val="24"/>
          <w:highlight w:val="none"/>
          <w:lang w:eastAsia="zh-CN"/>
        </w:rPr>
        <w:t>争比选</w:t>
      </w:r>
      <w:r>
        <w:rPr>
          <w:rFonts w:hint="eastAsia" w:ascii="Arial" w:hAnsi="Arial" w:cs="Arial"/>
          <w:color w:val="auto"/>
          <w:sz w:val="24"/>
          <w:highlight w:val="none"/>
        </w:rPr>
        <w:t>响应</w:t>
      </w:r>
      <w:r>
        <w:rPr>
          <w:rFonts w:hint="eastAsia" w:ascii="宋体" w:hAnsi="宋体"/>
          <w:color w:val="auto"/>
          <w:sz w:val="24"/>
          <w:highlight w:val="none"/>
        </w:rPr>
        <w:t>报价如下：</w:t>
      </w:r>
      <w:r>
        <w:rPr>
          <w:rFonts w:hint="eastAsia" w:ascii="宋体" w:hAnsi="宋体"/>
          <w:b/>
          <w:color w:val="auto"/>
          <w:sz w:val="24"/>
          <w:highlight w:val="none"/>
        </w:rPr>
        <w:t xml:space="preserve"> </w:t>
      </w:r>
    </w:p>
    <w:tbl>
      <w:tblPr>
        <w:tblStyle w:val="45"/>
        <w:tblW w:w="8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9"/>
        <w:gridCol w:w="1672"/>
        <w:gridCol w:w="2142"/>
        <w:gridCol w:w="1353"/>
        <w:gridCol w:w="3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8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巫溪至开州高速公路项目机电工程工程保险采购报价表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预计合同额（元）</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采购险种</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费率（%）</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540103068.00 </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建筑工程一切险/第三者责任险</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建筑团体意外险</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42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总计（元）</w:t>
            </w:r>
          </w:p>
        </w:tc>
        <w:tc>
          <w:tcPr>
            <w:tcW w:w="1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r>
    </w:tbl>
    <w:p>
      <w:pPr>
        <w:tabs>
          <w:tab w:val="left" w:pos="720"/>
          <w:tab w:val="left" w:pos="900"/>
          <w:tab w:val="left" w:pos="1080"/>
        </w:tabs>
        <w:adjustRightInd w:val="0"/>
        <w:snapToGrid w:val="0"/>
        <w:spacing w:line="360" w:lineRule="auto"/>
        <w:ind w:firstLine="422" w:firstLineChars="200"/>
        <w:rPr>
          <w:rFonts w:hint="eastAsia" w:ascii="宋体" w:hAnsi="宋体"/>
          <w:b/>
          <w:sz w:val="21"/>
          <w:szCs w:val="21"/>
          <w:highlight w:val="none"/>
        </w:rPr>
      </w:pPr>
      <w:r>
        <w:rPr>
          <w:rFonts w:hint="eastAsia" w:ascii="宋体" w:hAnsi="宋体"/>
          <w:b/>
          <w:sz w:val="21"/>
          <w:szCs w:val="21"/>
          <w:highlight w:val="none"/>
        </w:rPr>
        <w:t>注：</w:t>
      </w:r>
    </w:p>
    <w:p>
      <w:pPr>
        <w:tabs>
          <w:tab w:val="left" w:pos="720"/>
          <w:tab w:val="left" w:pos="900"/>
          <w:tab w:val="left" w:pos="1080"/>
        </w:tabs>
        <w:adjustRightInd w:val="0"/>
        <w:snapToGrid w:val="0"/>
        <w:spacing w:line="360" w:lineRule="auto"/>
        <w:ind w:firstLine="422" w:firstLineChars="200"/>
        <w:rPr>
          <w:rFonts w:hint="eastAsia" w:ascii="宋体" w:hAnsi="宋体"/>
          <w:b/>
          <w:bCs/>
          <w:szCs w:val="21"/>
          <w:highlight w:val="none"/>
        </w:rPr>
      </w:pPr>
      <w:r>
        <w:rPr>
          <w:rFonts w:hint="eastAsia" w:ascii="宋体" w:hAnsi="宋体"/>
          <w:b/>
          <w:bCs/>
          <w:kern w:val="0"/>
          <w:sz w:val="21"/>
          <w:szCs w:val="21"/>
          <w:highlight w:val="none"/>
        </w:rPr>
        <w:t>1、保险费总额与依据投标费率计算出的结果不一致的，以投标综合费率为准修正保险费总额。</w:t>
      </w:r>
    </w:p>
    <w:p>
      <w:pPr>
        <w:tabs>
          <w:tab w:val="left" w:pos="720"/>
          <w:tab w:val="left" w:pos="900"/>
          <w:tab w:val="left" w:pos="1080"/>
        </w:tabs>
        <w:adjustRightInd w:val="0"/>
        <w:snapToGrid w:val="0"/>
        <w:spacing w:line="360" w:lineRule="auto"/>
        <w:ind w:firstLine="422" w:firstLineChars="200"/>
        <w:rPr>
          <w:rFonts w:hint="eastAsia" w:ascii="宋体" w:hAnsi="宋体"/>
          <w:b/>
          <w:bCs/>
          <w:kern w:val="0"/>
          <w:sz w:val="21"/>
          <w:szCs w:val="21"/>
          <w:highlight w:val="none"/>
        </w:rPr>
      </w:pPr>
      <w:r>
        <w:rPr>
          <w:rFonts w:hint="eastAsia" w:ascii="宋体" w:hAnsi="宋体"/>
          <w:b/>
          <w:bCs/>
          <w:kern w:val="0"/>
          <w:sz w:val="21"/>
          <w:szCs w:val="21"/>
          <w:highlight w:val="none"/>
        </w:rPr>
        <w:t>2、保险费率报价保留到小数点后</w:t>
      </w:r>
      <w:r>
        <w:rPr>
          <w:rFonts w:hint="eastAsia" w:ascii="宋体" w:hAnsi="宋体"/>
          <w:b/>
          <w:bCs/>
          <w:kern w:val="0"/>
          <w:sz w:val="21"/>
          <w:szCs w:val="21"/>
          <w:highlight w:val="none"/>
          <w:lang w:val="en-US" w:eastAsia="zh-CN"/>
        </w:rPr>
        <w:t>三</w:t>
      </w:r>
      <w:r>
        <w:rPr>
          <w:rFonts w:hint="eastAsia" w:ascii="宋体" w:hAnsi="宋体"/>
          <w:b/>
          <w:bCs/>
          <w:kern w:val="0"/>
          <w:sz w:val="21"/>
          <w:szCs w:val="21"/>
          <w:highlight w:val="none"/>
        </w:rPr>
        <w:t>位,第五位四舍五入。</w:t>
      </w:r>
    </w:p>
    <w:p>
      <w:pPr>
        <w:pStyle w:val="3"/>
        <w:adjustRightInd w:val="0"/>
        <w:snapToGrid w:val="0"/>
        <w:spacing w:after="0" w:line="360" w:lineRule="auto"/>
        <w:ind w:firstLine="422" w:firstLineChars="200"/>
        <w:rPr>
          <w:rFonts w:hint="eastAsia" w:ascii="宋体" w:hAnsi="宋体"/>
          <w:b/>
          <w:bCs/>
          <w:sz w:val="21"/>
          <w:szCs w:val="21"/>
          <w:highlight w:val="none"/>
        </w:rPr>
      </w:pPr>
      <w:r>
        <w:rPr>
          <w:rFonts w:hint="eastAsia" w:ascii="宋体" w:hAnsi="宋体"/>
          <w:b/>
          <w:bCs/>
          <w:kern w:val="0"/>
          <w:sz w:val="21"/>
          <w:szCs w:val="21"/>
          <w:highlight w:val="none"/>
        </w:rPr>
        <w:t>3、</w:t>
      </w:r>
      <w:r>
        <w:rPr>
          <w:rFonts w:hint="eastAsia" w:ascii="宋体" w:hAnsi="宋体"/>
          <w:b/>
          <w:bCs/>
          <w:sz w:val="21"/>
          <w:szCs w:val="21"/>
          <w:highlight w:val="none"/>
        </w:rPr>
        <w:t>增值税税率按国家现行法律法规执行。</w:t>
      </w:r>
    </w:p>
    <w:p>
      <w:pPr>
        <w:pStyle w:val="3"/>
        <w:adjustRightInd w:val="0"/>
        <w:snapToGrid w:val="0"/>
        <w:spacing w:after="0" w:line="360" w:lineRule="auto"/>
        <w:ind w:firstLine="422" w:firstLineChars="200"/>
        <w:rPr>
          <w:rFonts w:hint="eastAsia" w:ascii="宋体" w:hAnsi="宋体" w:cs="宋体"/>
          <w:color w:val="auto"/>
          <w:kern w:val="0"/>
          <w:szCs w:val="21"/>
          <w:highlight w:val="none"/>
        </w:rPr>
      </w:pPr>
      <w:r>
        <w:rPr>
          <w:rFonts w:hint="eastAsia" w:ascii="宋体" w:hAnsi="宋体"/>
          <w:b/>
          <w:bCs/>
          <w:kern w:val="0"/>
          <w:sz w:val="21"/>
          <w:szCs w:val="21"/>
          <w:highlight w:val="none"/>
        </w:rPr>
        <w:t>4、</w:t>
      </w:r>
      <w:r>
        <w:rPr>
          <w:rFonts w:hint="eastAsia" w:ascii="宋体" w:hAnsi="宋体"/>
          <w:b/>
          <w:bCs/>
          <w:sz w:val="21"/>
          <w:szCs w:val="21"/>
          <w:highlight w:val="none"/>
        </w:rPr>
        <w:t>同一险种的费率应保持一致。否则由评标委员会作否决投标处理。</w:t>
      </w:r>
    </w:p>
    <w:p>
      <w:pPr>
        <w:rPr>
          <w:rFonts w:hint="eastAsia" w:ascii="宋体" w:hAnsi="宋体" w:cs="宋体"/>
          <w:color w:val="auto"/>
          <w:kern w:val="0"/>
          <w:szCs w:val="21"/>
          <w:highlight w:val="none"/>
        </w:rPr>
      </w:pPr>
    </w:p>
    <w:p>
      <w:pPr>
        <w:pStyle w:val="29"/>
        <w:rPr>
          <w:rFonts w:hint="eastAsia"/>
          <w:color w:val="auto"/>
          <w:highlight w:val="none"/>
        </w:rPr>
        <w:sectPr>
          <w:pgSz w:w="11906" w:h="16838"/>
          <w:pgMar w:top="1440" w:right="1576" w:bottom="1440" w:left="1463" w:header="851" w:footer="992" w:gutter="0"/>
          <w:cols w:space="0" w:num="1"/>
          <w:titlePg/>
          <w:rtlGutter w:val="0"/>
          <w:docGrid w:type="lines" w:linePitch="328" w:charSpace="0"/>
        </w:sectPr>
      </w:pPr>
    </w:p>
    <w:p>
      <w:pPr>
        <w:pStyle w:val="6"/>
        <w:numPr>
          <w:ilvl w:val="0"/>
          <w:numId w:val="12"/>
        </w:numPr>
        <w:spacing w:before="0" w:after="0" w:line="360" w:lineRule="auto"/>
        <w:ind w:left="0" w:leftChars="0" w:firstLine="420" w:firstLineChars="0"/>
        <w:jc w:val="center"/>
        <w:rPr>
          <w:rFonts w:hint="eastAsia" w:ascii="宋体" w:hAnsi="宋体" w:eastAsia="宋体" w:cs="宋体"/>
          <w:color w:val="auto"/>
          <w:sz w:val="28"/>
          <w:highlight w:val="none"/>
          <w:lang w:val="en-US" w:eastAsia="zh-CN"/>
        </w:rPr>
      </w:pPr>
      <w:bookmarkStart w:id="825" w:name="_Toc503951050"/>
      <w:bookmarkStart w:id="826" w:name="_Toc18757"/>
      <w:bookmarkStart w:id="827" w:name="_Toc11961"/>
      <w:bookmarkStart w:id="828" w:name="_Toc513633971"/>
      <w:bookmarkStart w:id="829" w:name="_Toc12910"/>
      <w:bookmarkStart w:id="830" w:name="_Toc23170"/>
      <w:bookmarkStart w:id="831" w:name="_Toc11329278"/>
      <w:bookmarkStart w:id="832" w:name="_Toc447827058"/>
      <w:bookmarkStart w:id="833" w:name="_Toc246996369"/>
      <w:bookmarkStart w:id="834" w:name="_Toc152042592"/>
      <w:bookmarkStart w:id="835" w:name="_Toc246997112"/>
      <w:bookmarkStart w:id="836" w:name="_Toc152045803"/>
      <w:bookmarkStart w:id="837" w:name="_Toc179632823"/>
      <w:bookmarkStart w:id="838" w:name="_Toc144974871"/>
      <w:bookmarkStart w:id="839" w:name="_Toc247085887"/>
      <w:r>
        <w:rPr>
          <w:rFonts w:hint="eastAsia" w:ascii="宋体" w:hAnsi="宋体" w:eastAsia="宋体" w:cs="宋体"/>
          <w:color w:val="auto"/>
          <w:sz w:val="28"/>
          <w:highlight w:val="none"/>
          <w:lang w:val="en-US" w:eastAsia="zh-CN"/>
        </w:rPr>
        <w:t>审查资料</w:t>
      </w:r>
      <w:bookmarkEnd w:id="825"/>
      <w:bookmarkEnd w:id="826"/>
      <w:bookmarkEnd w:id="827"/>
      <w:bookmarkEnd w:id="828"/>
      <w:bookmarkEnd w:id="829"/>
      <w:bookmarkEnd w:id="830"/>
      <w:bookmarkEnd w:id="831"/>
    </w:p>
    <w:p>
      <w:pPr>
        <w:pStyle w:val="6"/>
        <w:jc w:val="center"/>
        <w:rPr>
          <w:rFonts w:hint="eastAsia" w:ascii="宋体" w:hAnsi="宋体" w:eastAsia="宋体" w:cs="宋体"/>
          <w:bCs w:val="0"/>
          <w:color w:val="auto"/>
          <w:sz w:val="28"/>
          <w:szCs w:val="28"/>
          <w:highlight w:val="none"/>
        </w:rPr>
      </w:pPr>
      <w:r>
        <w:rPr>
          <w:rFonts w:hint="eastAsia" w:ascii="宋体" w:hAnsi="宋体" w:eastAsia="宋体" w:cs="宋体"/>
          <w:b/>
          <w:bCs/>
          <w:color w:val="auto"/>
          <w:kern w:val="0"/>
          <w:sz w:val="28"/>
          <w:szCs w:val="32"/>
          <w:highlight w:val="none"/>
          <w:lang w:val="en-US" w:eastAsia="zh-CN" w:bidi="ar-SA"/>
        </w:rPr>
        <w:t>（一）资格审查资料</w:t>
      </w:r>
      <w:bookmarkEnd w:id="832"/>
      <w:bookmarkEnd w:id="833"/>
      <w:bookmarkEnd w:id="834"/>
      <w:bookmarkEnd w:id="835"/>
      <w:bookmarkEnd w:id="836"/>
      <w:bookmarkEnd w:id="837"/>
      <w:bookmarkEnd w:id="838"/>
      <w:bookmarkEnd w:id="839"/>
      <w:bookmarkStart w:id="840" w:name="_Toc513633974"/>
      <w:bookmarkStart w:id="841" w:name="_Toc503951058"/>
      <w:r>
        <w:rPr>
          <w:rFonts w:hint="eastAsia" w:ascii="宋体" w:hAnsi="宋体" w:cs="宋体"/>
          <w:color w:val="auto"/>
          <w:szCs w:val="21"/>
          <w:highlight w:val="none"/>
        </w:rPr>
        <w:t xml:space="preserve"> </w:t>
      </w:r>
    </w:p>
    <w:tbl>
      <w:tblPr>
        <w:tblStyle w:val="45"/>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65"/>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项目</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资质要求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cs="宋体"/>
                <w:color w:val="auto"/>
                <w:szCs w:val="21"/>
                <w:highlight w:val="none"/>
                <w:shd w:val="clear" w:color="auto" w:fill="FFFFFF"/>
                <w:lang w:val="en-US" w:eastAsia="zh-CN"/>
              </w:rPr>
            </w:pPr>
            <w:r>
              <w:rPr>
                <w:rFonts w:hint="eastAsia" w:ascii="宋体" w:hAnsi="宋体" w:cs="宋体"/>
                <w:color w:val="auto"/>
                <w:szCs w:val="21"/>
                <w:highlight w:val="none"/>
                <w:shd w:val="clear" w:color="auto" w:fill="FFFFFF"/>
                <w:lang w:val="en-US" w:eastAsia="zh-CN"/>
              </w:rPr>
              <w:t>（1）报价人必须在中华人民共和国境内注册、经中国银行保险监督管理委员会批准开展财产保险业务，注册资本金不低于20亿元人民币。本次招标只接受保险公司的总公司（独立法人公司）或者经总公司唯一授权的本项目所在地省级（或直辖市）分公司参与投标。</w:t>
            </w:r>
          </w:p>
          <w:p>
            <w:pPr>
              <w:spacing w:line="400" w:lineRule="exact"/>
              <w:ind w:firstLine="420" w:firstLineChars="200"/>
              <w:rPr>
                <w:rFonts w:hint="eastAsia"/>
                <w:color w:val="auto"/>
                <w:highlight w:val="none"/>
                <w:lang w:val="en-US" w:eastAsia="zh-CN"/>
              </w:rPr>
            </w:pPr>
            <w:r>
              <w:rPr>
                <w:rFonts w:hint="eastAsia" w:ascii="宋体" w:hAnsi="宋体" w:cs="宋体"/>
                <w:color w:val="auto"/>
                <w:szCs w:val="21"/>
                <w:highlight w:val="none"/>
                <w:shd w:val="clear" w:color="auto" w:fill="FFFFFF"/>
                <w:lang w:val="en-US" w:eastAsia="zh-CN"/>
              </w:rPr>
              <w:t>（2）报价人总公司综合偿付能力充足率不得低于150%，核心偿付能力充足率不低于100%，以经2022年度审计确认的偿付能力为准。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业绩要求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shd w:val="clear" w:color="auto" w:fill="FFFFFF"/>
                <w:lang w:val="en-US" w:eastAsia="zh-CN"/>
              </w:rPr>
              <w:t>2021年1月1日至报价截止日期（以合同签订时间为准），报价人至少具有1个单项工程投保额不少于1亿元的工程项目的建筑/安装工程一切险及第三者责任险保险项目（独立承保或首席承保或共保）的保险服务业绩。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信誉要求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both"/>
              <w:rPr>
                <w:rFonts w:hint="eastAsia" w:ascii="宋体" w:hAnsi="宋体" w:cs="宋体"/>
                <w:color w:val="auto"/>
                <w:szCs w:val="21"/>
                <w:highlight w:val="none"/>
                <w:lang w:val="en-US" w:eastAsia="zh-CN"/>
              </w:rPr>
            </w:pPr>
            <w:r>
              <w:rPr>
                <w:rFonts w:hint="eastAsia" w:ascii="宋体" w:hAnsi="宋体" w:cs="宋体"/>
                <w:szCs w:val="21"/>
                <w:highlight w:val="none"/>
                <w:shd w:val="clear" w:color="auto" w:fill="FFFFFF"/>
                <w:lang w:val="en-US" w:eastAsia="zh-CN"/>
              </w:rPr>
              <w:t>报价人在国家企业信用信息公示系统（http://www.gsxt.gov.cn/）中未被列入严重违法失信企业名单（黑名单）信息；在“信用中国”网站（http://www.creditchina.gov.cn/）中未被列入失信惩戒执行人名单。报价人没有处于被责令停业、相关资格被注销、投标资格被暂停或取消、财产被接管、冻结、破产状态；2021年1月1日起至投标截止日止在项目所在地未被中国银保监会、重庆银保监局因工程类保险服务受到行政处罚，或因报价人原因而使任何合同被解除；具有依法缴纳税金和社会保障基金的良好记录；无不良诉讼记录。</w:t>
            </w:r>
          </w:p>
        </w:tc>
      </w:tr>
    </w:tbl>
    <w:p>
      <w:pPr>
        <w:spacing w:line="400" w:lineRule="exact"/>
        <w:jc w:val="left"/>
        <w:rPr>
          <w:rFonts w:hint="eastAsia" w:ascii="Times New Roman" w:hAnsi="宋体" w:eastAsia="宋体" w:cs="Times New Roman"/>
          <w:b w:val="0"/>
          <w:bCs w:val="0"/>
          <w:color w:val="auto"/>
          <w:kern w:val="0"/>
          <w:sz w:val="21"/>
          <w:szCs w:val="21"/>
          <w:highlight w:val="none"/>
          <w:lang w:val="en-US" w:eastAsia="zh-CN" w:bidi="ar-SA"/>
        </w:rPr>
      </w:pPr>
      <w:r>
        <w:rPr>
          <w:rFonts w:hint="eastAsia" w:ascii="宋体" w:hAnsi="宋体" w:cs="宋体"/>
          <w:color w:val="auto"/>
          <w:szCs w:val="21"/>
          <w:highlight w:val="none"/>
        </w:rPr>
        <w:t xml:space="preserve">  </w:t>
      </w:r>
      <w:r>
        <w:rPr>
          <w:rFonts w:hint="eastAsia" w:ascii="Times New Roman" w:hAnsi="宋体" w:eastAsia="宋体" w:cs="Times New Roman"/>
          <w:b w:val="0"/>
          <w:bCs w:val="0"/>
          <w:color w:val="auto"/>
          <w:kern w:val="0"/>
          <w:sz w:val="21"/>
          <w:szCs w:val="21"/>
          <w:highlight w:val="none"/>
          <w:lang w:val="en-US" w:eastAsia="zh-CN" w:bidi="ar-SA"/>
        </w:rPr>
        <w:t xml:space="preserve"> 注：1.提供</w:t>
      </w:r>
      <w:r>
        <w:rPr>
          <w:rFonts w:hint="eastAsia" w:hAnsi="宋体" w:cs="Times New Roman"/>
          <w:b w:val="0"/>
          <w:bCs w:val="0"/>
          <w:color w:val="auto"/>
          <w:kern w:val="0"/>
          <w:sz w:val="21"/>
          <w:szCs w:val="21"/>
          <w:highlight w:val="none"/>
          <w:lang w:val="en-US" w:eastAsia="zh-CN" w:bidi="ar-SA"/>
        </w:rPr>
        <w:t>公司</w:t>
      </w:r>
      <w:r>
        <w:rPr>
          <w:rFonts w:hint="eastAsia" w:ascii="Times New Roman" w:hAnsi="宋体" w:eastAsia="宋体" w:cs="Times New Roman"/>
          <w:b w:val="0"/>
          <w:bCs w:val="0"/>
          <w:color w:val="auto"/>
          <w:kern w:val="0"/>
          <w:sz w:val="21"/>
          <w:szCs w:val="21"/>
          <w:highlight w:val="none"/>
          <w:lang w:val="en-US" w:eastAsia="zh-CN" w:bidi="ar-SA"/>
        </w:rPr>
        <w:t>营业执照</w:t>
      </w:r>
      <w:r>
        <w:rPr>
          <w:rFonts w:hint="eastAsia" w:hAnsi="宋体" w:cs="Times New Roman"/>
          <w:b w:val="0"/>
          <w:bCs w:val="0"/>
          <w:color w:val="auto"/>
          <w:kern w:val="0"/>
          <w:sz w:val="21"/>
          <w:szCs w:val="21"/>
          <w:highlight w:val="none"/>
          <w:lang w:val="en-US" w:eastAsia="zh-CN" w:bidi="ar-SA"/>
        </w:rPr>
        <w:t>及资质证书</w:t>
      </w:r>
      <w:r>
        <w:rPr>
          <w:rFonts w:hint="eastAsia" w:ascii="Times New Roman" w:hAnsi="宋体" w:eastAsia="宋体" w:cs="Times New Roman"/>
          <w:b w:val="0"/>
          <w:bCs w:val="0"/>
          <w:color w:val="auto"/>
          <w:kern w:val="0"/>
          <w:sz w:val="21"/>
          <w:szCs w:val="21"/>
          <w:highlight w:val="none"/>
          <w:lang w:val="en-US" w:eastAsia="zh-CN" w:bidi="ar-SA"/>
        </w:rPr>
        <w:t>复印件，并加盖</w:t>
      </w:r>
      <w:r>
        <w:rPr>
          <w:rFonts w:hint="eastAsia" w:hAnsi="宋体" w:cs="Times New Roman"/>
          <w:b w:val="0"/>
          <w:bCs w:val="0"/>
          <w:color w:val="auto"/>
          <w:kern w:val="0"/>
          <w:sz w:val="21"/>
          <w:szCs w:val="21"/>
          <w:highlight w:val="none"/>
          <w:lang w:val="en-US" w:eastAsia="zh-CN" w:bidi="ar-SA"/>
        </w:rPr>
        <w:t>报价人</w:t>
      </w:r>
      <w:r>
        <w:rPr>
          <w:rFonts w:hint="eastAsia" w:ascii="Times New Roman" w:hAnsi="宋体" w:eastAsia="宋体" w:cs="Times New Roman"/>
          <w:b w:val="0"/>
          <w:bCs w:val="0"/>
          <w:color w:val="auto"/>
          <w:kern w:val="0"/>
          <w:sz w:val="21"/>
          <w:szCs w:val="21"/>
          <w:highlight w:val="none"/>
          <w:lang w:val="en-US" w:eastAsia="zh-CN" w:bidi="ar-SA"/>
        </w:rPr>
        <w:t>鲜章。</w:t>
      </w:r>
    </w:p>
    <w:p>
      <w:pPr>
        <w:numPr>
          <w:ilvl w:val="0"/>
          <w:numId w:val="13"/>
        </w:numPr>
        <w:ind w:left="735" w:leftChars="0" w:firstLine="0" w:firstLineChars="0"/>
        <w:rPr>
          <w:rFonts w:hint="default"/>
          <w:color w:val="auto"/>
          <w:highlight w:val="none"/>
          <w:lang w:val="en-US" w:eastAsia="zh-CN"/>
        </w:rPr>
      </w:pPr>
      <w:r>
        <w:rPr>
          <w:rFonts w:hint="eastAsia" w:asciiTheme="minorEastAsia" w:hAnsiTheme="minorEastAsia" w:eastAsiaTheme="minorEastAsia" w:cstheme="minorEastAsia"/>
          <w:bCs/>
          <w:color w:val="auto"/>
          <w:sz w:val="21"/>
          <w:szCs w:val="21"/>
          <w:highlight w:val="none"/>
        </w:rPr>
        <w:t>提供</w:t>
      </w:r>
      <w:r>
        <w:rPr>
          <w:rFonts w:hint="eastAsia" w:asciiTheme="minorEastAsia" w:hAnsiTheme="minorEastAsia" w:eastAsiaTheme="minorEastAsia" w:cstheme="minorEastAsia"/>
          <w:bCs/>
          <w:color w:val="auto"/>
          <w:sz w:val="21"/>
          <w:szCs w:val="21"/>
          <w:highlight w:val="none"/>
          <w:lang w:val="en-US" w:eastAsia="zh-CN"/>
        </w:rPr>
        <w:t>项目合同书（相关证明材料须能反映出相关数据和内容，否则一律视为未提供）复印件</w:t>
      </w:r>
      <w:r>
        <w:rPr>
          <w:rFonts w:hint="eastAsia" w:asciiTheme="minorEastAsia" w:hAnsiTheme="minorEastAsia" w:eastAsiaTheme="minorEastAsia" w:cstheme="minorEastAsia"/>
          <w:bCs/>
          <w:color w:val="auto"/>
          <w:sz w:val="21"/>
          <w:szCs w:val="21"/>
          <w:highlight w:val="none"/>
        </w:rPr>
        <w:t>，并加盖投标单位公章。</w:t>
      </w:r>
    </w:p>
    <w:p>
      <w:pPr>
        <w:numPr>
          <w:ilvl w:val="0"/>
          <w:numId w:val="13"/>
        </w:numPr>
        <w:ind w:left="735" w:leftChars="0" w:firstLine="0" w:firstLineChars="0"/>
        <w:rPr>
          <w:rFonts w:hint="default" w:eastAsia="宋体"/>
          <w:color w:val="auto"/>
          <w:highlight w:val="none"/>
          <w:lang w:val="en-US" w:eastAsia="zh-CN"/>
        </w:rPr>
      </w:pPr>
      <w:r>
        <w:rPr>
          <w:rFonts w:hint="eastAsia" w:eastAsia="宋体"/>
          <w:color w:val="auto"/>
          <w:highlight w:val="none"/>
          <w:lang w:val="en-US" w:eastAsia="zh-CN"/>
        </w:rPr>
        <w:t>提供企业信用信息公示系统（http://www.gsxt.gov.cn/）中未被列入严重违法失信企业名单（黑名单）信息截图</w:t>
      </w:r>
      <w:r>
        <w:rPr>
          <w:rFonts w:hint="eastAsia" w:ascii="宋体" w:hAnsi="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lang w:val="en-US" w:eastAsia="zh-CN"/>
        </w:rPr>
        <w:t>若并非企业，则无需查询）</w:t>
      </w:r>
      <w:r>
        <w:rPr>
          <w:rFonts w:hint="eastAsia"/>
          <w:color w:val="auto"/>
          <w:highlight w:val="none"/>
          <w:lang w:val="en-US" w:eastAsia="zh-CN"/>
        </w:rPr>
        <w:t>（</w:t>
      </w:r>
      <w:r>
        <w:rPr>
          <w:rFonts w:hint="eastAsia" w:eastAsia="宋体"/>
          <w:color w:val="auto"/>
          <w:highlight w:val="none"/>
          <w:lang w:val="en-US" w:eastAsia="zh-CN"/>
        </w:rPr>
        <w:t>和在“信用中国”网站（http://www.creditchina.gov.cn/）中未被列入失信惩戒执行人名单截图信息并加盖鲜章</w:t>
      </w:r>
      <w:r>
        <w:rPr>
          <w:rFonts w:hint="eastAsia"/>
          <w:color w:val="auto"/>
          <w:highlight w:val="none"/>
          <w:lang w:val="en-US" w:eastAsia="zh-CN"/>
        </w:rPr>
        <w:t>,其他由报价人自行承诺</w:t>
      </w:r>
      <w:r>
        <w:rPr>
          <w:rFonts w:hint="eastAsia" w:eastAsia="宋体"/>
          <w:color w:val="auto"/>
          <w:highlight w:val="none"/>
          <w:lang w:val="en-US" w:eastAsia="zh-CN"/>
        </w:rPr>
        <w:t>。</w:t>
      </w:r>
    </w:p>
    <w:p>
      <w:pPr>
        <w:pStyle w:val="8"/>
        <w:jc w:val="center"/>
        <w:rPr>
          <w:rFonts w:hint="eastAsia" w:ascii="宋体" w:hAnsi="宋体"/>
          <w:color w:val="auto"/>
          <w:highlight w:val="none"/>
        </w:rPr>
      </w:pPr>
      <w:r>
        <w:rPr>
          <w:rFonts w:hint="eastAsia" w:ascii="宋体" w:hAnsi="宋体" w:cs="宋体"/>
          <w:color w:val="auto"/>
          <w:sz w:val="28"/>
          <w:highlight w:val="none"/>
        </w:rPr>
        <w:br w:type="page"/>
      </w:r>
      <w:bookmarkStart w:id="842" w:name="_Toc221383654"/>
      <w:bookmarkStart w:id="843" w:name="_Toc90022625"/>
      <w:bookmarkStart w:id="844" w:name="_Toc89052560"/>
      <w:bookmarkStart w:id="845" w:name="_Toc90779473"/>
      <w:bookmarkStart w:id="846" w:name="_Toc89052435"/>
      <w:bookmarkStart w:id="847" w:name="_Toc225582756"/>
      <w:bookmarkStart w:id="848" w:name="_Toc27835"/>
      <w:bookmarkStart w:id="849" w:name="_Toc3819"/>
      <w:r>
        <w:rPr>
          <w:rFonts w:hint="eastAsia" w:ascii="宋体" w:hAnsi="宋体"/>
          <w:color w:val="auto"/>
          <w:highlight w:val="none"/>
        </w:rPr>
        <w:t>（1）</w:t>
      </w:r>
      <w:bookmarkEnd w:id="842"/>
      <w:bookmarkEnd w:id="843"/>
      <w:bookmarkEnd w:id="844"/>
      <w:bookmarkEnd w:id="845"/>
      <w:bookmarkEnd w:id="846"/>
      <w:bookmarkEnd w:id="847"/>
      <w:r>
        <w:rPr>
          <w:rFonts w:hint="eastAsia" w:ascii="宋体" w:hAnsi="宋体"/>
          <w:color w:val="auto"/>
          <w:highlight w:val="none"/>
          <w:lang w:eastAsia="zh-CN"/>
        </w:rPr>
        <w:t>报价人</w:t>
      </w:r>
      <w:r>
        <w:rPr>
          <w:rFonts w:hint="eastAsia" w:ascii="宋体" w:hAnsi="宋体"/>
          <w:color w:val="auto"/>
          <w:highlight w:val="none"/>
        </w:rPr>
        <w:t>总公司基本情况</w:t>
      </w:r>
      <w:bookmarkEnd w:id="848"/>
      <w:bookmarkEnd w:id="849"/>
    </w:p>
    <w:p>
      <w:pPr>
        <w:pStyle w:val="179"/>
        <w:snapToGrid w:val="0"/>
        <w:spacing w:line="360" w:lineRule="auto"/>
        <w:jc w:val="center"/>
        <w:outlineLvl w:val="9"/>
        <w:rPr>
          <w:rFonts w:hint="eastAsia"/>
          <w:b w:val="0"/>
          <w:color w:val="auto"/>
          <w:szCs w:val="21"/>
          <w:highlight w:val="none"/>
        </w:rPr>
      </w:pPr>
      <w:bookmarkStart w:id="850" w:name="_Toc10993"/>
      <w:bookmarkStart w:id="851" w:name="_Toc31756"/>
      <w:bookmarkStart w:id="852" w:name="_Toc225414522"/>
      <w:bookmarkStart w:id="853" w:name="_Toc3535"/>
      <w:bookmarkStart w:id="854" w:name="_Toc17205"/>
      <w:bookmarkStart w:id="855" w:name="_Toc1652"/>
      <w:bookmarkStart w:id="856" w:name="_Toc225562609"/>
      <w:bookmarkStart w:id="857" w:name="_Toc4139001"/>
      <w:r>
        <w:rPr>
          <w:rFonts w:hint="eastAsia"/>
          <w:b w:val="0"/>
          <w:color w:val="auto"/>
          <w:szCs w:val="21"/>
          <w:highlight w:val="none"/>
          <w:lang w:eastAsia="zh-CN"/>
        </w:rPr>
        <w:t>报价人</w:t>
      </w:r>
      <w:r>
        <w:rPr>
          <w:rFonts w:hint="eastAsia"/>
          <w:b w:val="0"/>
          <w:color w:val="auto"/>
          <w:szCs w:val="21"/>
          <w:highlight w:val="none"/>
        </w:rPr>
        <w:t>总公司基本情况表</w:t>
      </w:r>
      <w:bookmarkEnd w:id="850"/>
      <w:bookmarkEnd w:id="851"/>
      <w:bookmarkEnd w:id="852"/>
      <w:bookmarkEnd w:id="853"/>
      <w:bookmarkEnd w:id="854"/>
      <w:bookmarkEnd w:id="855"/>
      <w:bookmarkEnd w:id="856"/>
      <w:bookmarkEnd w:id="857"/>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040"/>
        <w:gridCol w:w="6"/>
        <w:gridCol w:w="3009"/>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lang w:eastAsia="zh-CN"/>
              </w:rPr>
              <w:t>报价人</w:t>
            </w:r>
            <w:r>
              <w:rPr>
                <w:rFonts w:hint="eastAsia" w:ascii="宋体" w:hAnsi="宋体" w:eastAsia="宋体"/>
                <w:szCs w:val="21"/>
                <w:highlight w:val="none"/>
              </w:rPr>
              <w:t>名称</w:t>
            </w:r>
          </w:p>
        </w:tc>
        <w:tc>
          <w:tcPr>
            <w:tcW w:w="6856" w:type="dxa"/>
            <w:gridSpan w:val="4"/>
            <w:noWrap w:val="0"/>
            <w:vAlign w:val="center"/>
          </w:tcPr>
          <w:p>
            <w:pPr>
              <w:pStyle w:val="180"/>
              <w:spacing w:line="360" w:lineRule="auto"/>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注册资本金</w:t>
            </w:r>
          </w:p>
        </w:tc>
        <w:tc>
          <w:tcPr>
            <w:tcW w:w="2046" w:type="dxa"/>
            <w:gridSpan w:val="2"/>
            <w:noWrap w:val="0"/>
            <w:vAlign w:val="center"/>
          </w:tcPr>
          <w:p>
            <w:pPr>
              <w:pStyle w:val="180"/>
              <w:spacing w:line="360" w:lineRule="auto"/>
              <w:rPr>
                <w:rFonts w:ascii="宋体" w:hAnsi="宋体" w:eastAsia="宋体"/>
                <w:szCs w:val="21"/>
                <w:highlight w:val="none"/>
              </w:rPr>
            </w:pPr>
          </w:p>
        </w:tc>
        <w:tc>
          <w:tcPr>
            <w:tcW w:w="3009"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成立日期</w:t>
            </w:r>
          </w:p>
        </w:tc>
        <w:tc>
          <w:tcPr>
            <w:tcW w:w="1801" w:type="dxa"/>
            <w:noWrap w:val="0"/>
            <w:vAlign w:val="center"/>
          </w:tcPr>
          <w:p>
            <w:pPr>
              <w:pStyle w:val="180"/>
              <w:spacing w:line="360" w:lineRule="auto"/>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noWrap w:val="0"/>
            <w:vAlign w:val="center"/>
          </w:tcPr>
          <w:p>
            <w:pPr>
              <w:pStyle w:val="180"/>
              <w:spacing w:line="360" w:lineRule="auto"/>
              <w:rPr>
                <w:rFonts w:hint="eastAsia" w:ascii="宋体" w:hAnsi="宋体" w:eastAsia="宋体"/>
                <w:szCs w:val="21"/>
                <w:highlight w:val="none"/>
              </w:rPr>
            </w:pPr>
            <w:r>
              <w:rPr>
                <w:rFonts w:hint="eastAsia" w:ascii="宋体" w:hAnsi="宋体" w:eastAsia="宋体"/>
                <w:szCs w:val="21"/>
                <w:highlight w:val="none"/>
              </w:rPr>
              <w:t>法人代表</w:t>
            </w:r>
          </w:p>
        </w:tc>
        <w:tc>
          <w:tcPr>
            <w:tcW w:w="2040" w:type="dxa"/>
            <w:noWrap w:val="0"/>
            <w:vAlign w:val="center"/>
          </w:tcPr>
          <w:p>
            <w:pPr>
              <w:pStyle w:val="180"/>
              <w:spacing w:line="360" w:lineRule="auto"/>
              <w:rPr>
                <w:rFonts w:ascii="宋体" w:hAnsi="宋体" w:eastAsia="宋体"/>
                <w:szCs w:val="21"/>
                <w:highlight w:val="none"/>
              </w:rPr>
            </w:pPr>
          </w:p>
        </w:tc>
        <w:tc>
          <w:tcPr>
            <w:tcW w:w="3015" w:type="dxa"/>
            <w:gridSpan w:val="2"/>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地址邮编</w:t>
            </w:r>
          </w:p>
        </w:tc>
        <w:tc>
          <w:tcPr>
            <w:tcW w:w="1801" w:type="dxa"/>
            <w:noWrap w:val="0"/>
            <w:vAlign w:val="center"/>
          </w:tcPr>
          <w:p>
            <w:pPr>
              <w:pStyle w:val="180"/>
              <w:spacing w:line="360" w:lineRule="auto"/>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主要营业范围</w:t>
            </w:r>
          </w:p>
        </w:tc>
        <w:tc>
          <w:tcPr>
            <w:tcW w:w="6856" w:type="dxa"/>
            <w:gridSpan w:val="4"/>
            <w:noWrap w:val="0"/>
            <w:vAlign w:val="center"/>
          </w:tcPr>
          <w:p>
            <w:pPr>
              <w:pStyle w:val="180"/>
              <w:spacing w:line="360" w:lineRule="auto"/>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营业执照编号</w:t>
            </w:r>
          </w:p>
        </w:tc>
        <w:tc>
          <w:tcPr>
            <w:tcW w:w="2040" w:type="dxa"/>
            <w:noWrap w:val="0"/>
            <w:vAlign w:val="center"/>
          </w:tcPr>
          <w:p>
            <w:pPr>
              <w:pStyle w:val="180"/>
              <w:spacing w:line="360" w:lineRule="auto"/>
              <w:rPr>
                <w:rFonts w:ascii="宋体" w:hAnsi="宋体" w:eastAsia="宋体"/>
                <w:szCs w:val="21"/>
                <w:highlight w:val="none"/>
              </w:rPr>
            </w:pPr>
          </w:p>
        </w:tc>
        <w:tc>
          <w:tcPr>
            <w:tcW w:w="3015" w:type="dxa"/>
            <w:gridSpan w:val="2"/>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颁发机构</w:t>
            </w:r>
          </w:p>
        </w:tc>
        <w:tc>
          <w:tcPr>
            <w:tcW w:w="1801" w:type="dxa"/>
            <w:noWrap w:val="0"/>
            <w:vAlign w:val="center"/>
          </w:tcPr>
          <w:p>
            <w:pPr>
              <w:pStyle w:val="180"/>
              <w:spacing w:line="360" w:lineRule="auto"/>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noWrap w:val="0"/>
            <w:vAlign w:val="center"/>
          </w:tcPr>
          <w:p>
            <w:pPr>
              <w:pStyle w:val="180"/>
              <w:spacing w:line="360" w:lineRule="auto"/>
              <w:rPr>
                <w:rFonts w:hint="eastAsia" w:ascii="宋体" w:hAnsi="宋体" w:eastAsia="宋体"/>
                <w:szCs w:val="21"/>
                <w:highlight w:val="none"/>
              </w:rPr>
            </w:pPr>
            <w:r>
              <w:rPr>
                <w:rFonts w:hint="eastAsia" w:ascii="宋体" w:hAnsi="宋体" w:eastAsia="宋体"/>
                <w:szCs w:val="21"/>
                <w:highlight w:val="none"/>
              </w:rPr>
              <w:t>业务许可证编号</w:t>
            </w:r>
          </w:p>
        </w:tc>
        <w:tc>
          <w:tcPr>
            <w:tcW w:w="2046" w:type="dxa"/>
            <w:gridSpan w:val="2"/>
            <w:noWrap w:val="0"/>
            <w:vAlign w:val="center"/>
          </w:tcPr>
          <w:p>
            <w:pPr>
              <w:pStyle w:val="180"/>
              <w:spacing w:line="360" w:lineRule="auto"/>
              <w:rPr>
                <w:rFonts w:ascii="宋体" w:hAnsi="宋体" w:eastAsia="宋体"/>
                <w:szCs w:val="21"/>
                <w:highlight w:val="none"/>
              </w:rPr>
            </w:pPr>
          </w:p>
        </w:tc>
        <w:tc>
          <w:tcPr>
            <w:tcW w:w="3009" w:type="dxa"/>
            <w:noWrap w:val="0"/>
            <w:vAlign w:val="center"/>
          </w:tcPr>
          <w:p>
            <w:pPr>
              <w:pStyle w:val="180"/>
              <w:spacing w:line="360" w:lineRule="auto"/>
              <w:rPr>
                <w:rFonts w:hint="eastAsia" w:ascii="宋体" w:hAnsi="宋体" w:eastAsia="宋体"/>
                <w:szCs w:val="21"/>
                <w:highlight w:val="none"/>
              </w:rPr>
            </w:pPr>
            <w:r>
              <w:rPr>
                <w:rFonts w:hint="eastAsia" w:ascii="宋体" w:hAnsi="宋体" w:eastAsia="宋体"/>
                <w:szCs w:val="21"/>
                <w:highlight w:val="none"/>
              </w:rPr>
              <w:t>颁发机构</w:t>
            </w:r>
          </w:p>
        </w:tc>
        <w:tc>
          <w:tcPr>
            <w:tcW w:w="1801" w:type="dxa"/>
            <w:noWrap w:val="0"/>
            <w:vAlign w:val="center"/>
          </w:tcPr>
          <w:p>
            <w:pPr>
              <w:pStyle w:val="180"/>
              <w:spacing w:line="360" w:lineRule="auto"/>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企业性质</w:t>
            </w:r>
          </w:p>
        </w:tc>
        <w:tc>
          <w:tcPr>
            <w:tcW w:w="6856" w:type="dxa"/>
            <w:gridSpan w:val="4"/>
            <w:noWrap w:val="0"/>
            <w:vAlign w:val="center"/>
          </w:tcPr>
          <w:p>
            <w:pPr>
              <w:pStyle w:val="180"/>
              <w:spacing w:line="360" w:lineRule="auto"/>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联</w:t>
            </w:r>
            <w:r>
              <w:rPr>
                <w:rFonts w:ascii="宋体" w:hAnsi="宋体" w:eastAsia="宋体"/>
                <w:szCs w:val="21"/>
                <w:highlight w:val="none"/>
              </w:rPr>
              <w:t xml:space="preserve"> </w:t>
            </w:r>
            <w:r>
              <w:rPr>
                <w:rFonts w:hint="eastAsia" w:ascii="宋体" w:hAnsi="宋体" w:eastAsia="宋体"/>
                <w:szCs w:val="21"/>
                <w:highlight w:val="none"/>
              </w:rPr>
              <w:t>系</w:t>
            </w:r>
            <w:r>
              <w:rPr>
                <w:rFonts w:ascii="宋体" w:hAnsi="宋体" w:eastAsia="宋体"/>
                <w:szCs w:val="21"/>
                <w:highlight w:val="none"/>
              </w:rPr>
              <w:t xml:space="preserve"> </w:t>
            </w:r>
            <w:r>
              <w:rPr>
                <w:rFonts w:hint="eastAsia" w:ascii="宋体" w:hAnsi="宋体" w:eastAsia="宋体"/>
                <w:szCs w:val="21"/>
                <w:highlight w:val="none"/>
              </w:rPr>
              <w:t>人</w:t>
            </w:r>
          </w:p>
        </w:tc>
        <w:tc>
          <w:tcPr>
            <w:tcW w:w="2046" w:type="dxa"/>
            <w:gridSpan w:val="2"/>
            <w:noWrap w:val="0"/>
            <w:vAlign w:val="center"/>
          </w:tcPr>
          <w:p>
            <w:pPr>
              <w:pStyle w:val="180"/>
              <w:spacing w:line="360" w:lineRule="auto"/>
              <w:rPr>
                <w:rFonts w:ascii="宋体" w:hAnsi="宋体" w:eastAsia="宋体"/>
                <w:szCs w:val="21"/>
                <w:highlight w:val="none"/>
              </w:rPr>
            </w:pPr>
          </w:p>
        </w:tc>
        <w:tc>
          <w:tcPr>
            <w:tcW w:w="3009"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电话</w:t>
            </w:r>
            <w:r>
              <w:rPr>
                <w:rFonts w:ascii="宋体" w:hAnsi="宋体" w:eastAsia="宋体"/>
                <w:szCs w:val="21"/>
                <w:highlight w:val="none"/>
              </w:rPr>
              <w:t>/</w:t>
            </w:r>
            <w:r>
              <w:rPr>
                <w:rFonts w:hint="eastAsia" w:ascii="宋体" w:hAnsi="宋体" w:eastAsia="宋体"/>
                <w:szCs w:val="21"/>
                <w:highlight w:val="none"/>
              </w:rPr>
              <w:t>传真</w:t>
            </w:r>
          </w:p>
        </w:tc>
        <w:tc>
          <w:tcPr>
            <w:tcW w:w="1801" w:type="dxa"/>
            <w:noWrap w:val="0"/>
            <w:vAlign w:val="center"/>
          </w:tcPr>
          <w:p>
            <w:pPr>
              <w:pStyle w:val="180"/>
              <w:spacing w:line="360" w:lineRule="auto"/>
              <w:rPr>
                <w:rFonts w:ascii="宋体" w:hAnsi="宋体" w:eastAsia="宋体"/>
                <w:szCs w:val="21"/>
                <w:highlight w:val="none"/>
              </w:rPr>
            </w:pPr>
          </w:p>
        </w:tc>
      </w:tr>
    </w:tbl>
    <w:p>
      <w:pPr>
        <w:pStyle w:val="31"/>
        <w:widowControl/>
        <w:adjustRightInd w:val="0"/>
        <w:snapToGrid w:val="0"/>
        <w:spacing w:line="360" w:lineRule="auto"/>
        <w:ind w:left="199" w:hanging="199" w:hangingChars="95"/>
        <w:rPr>
          <w:rFonts w:hint="eastAsia" w:ascii="宋体" w:hAnsi="宋体"/>
          <w:szCs w:val="21"/>
          <w:highlight w:val="none"/>
        </w:rPr>
      </w:pPr>
    </w:p>
    <w:p>
      <w:pPr>
        <w:pStyle w:val="31"/>
        <w:widowControl/>
        <w:adjustRightInd w:val="0"/>
        <w:snapToGrid w:val="0"/>
        <w:spacing w:line="360" w:lineRule="auto"/>
        <w:ind w:left="0" w:firstLineChars="0"/>
        <w:rPr>
          <w:rFonts w:ascii="宋体" w:hAnsi="宋体"/>
          <w:b/>
          <w:szCs w:val="21"/>
          <w:highlight w:val="none"/>
        </w:rPr>
      </w:pPr>
      <w:r>
        <w:rPr>
          <w:rFonts w:hint="eastAsia" w:ascii="宋体" w:hAnsi="宋体"/>
          <w:b/>
          <w:szCs w:val="21"/>
          <w:highlight w:val="none"/>
          <w:lang w:val="en-US" w:eastAsia="zh-CN"/>
        </w:rPr>
        <w:t>注：</w:t>
      </w:r>
      <w:r>
        <w:rPr>
          <w:rFonts w:hint="eastAsia" w:ascii="宋体" w:hAnsi="宋体"/>
          <w:b/>
          <w:szCs w:val="21"/>
          <w:highlight w:val="none"/>
        </w:rPr>
        <w:t>表后应附</w:t>
      </w:r>
      <w:r>
        <w:rPr>
          <w:rFonts w:hint="eastAsia" w:ascii="宋体" w:hAnsi="宋体"/>
          <w:b/>
          <w:szCs w:val="21"/>
          <w:highlight w:val="none"/>
          <w:lang w:val="en-US" w:eastAsia="zh-CN"/>
        </w:rPr>
        <w:t>相关资料（如有）</w:t>
      </w:r>
      <w:r>
        <w:rPr>
          <w:rFonts w:hint="eastAsia" w:ascii="宋体" w:hAnsi="宋体"/>
          <w:b/>
          <w:szCs w:val="21"/>
          <w:highlight w:val="none"/>
          <w:lang w:eastAsia="zh-CN"/>
        </w:rPr>
        <w:t>。</w:t>
      </w:r>
    </w:p>
    <w:p>
      <w:pPr>
        <w:pStyle w:val="31"/>
        <w:widowControl/>
        <w:adjustRightInd w:val="0"/>
        <w:snapToGrid w:val="0"/>
        <w:spacing w:line="360" w:lineRule="auto"/>
        <w:ind w:left="0" w:firstLine="422" w:firstLineChars="200"/>
        <w:rPr>
          <w:rFonts w:hint="eastAsia" w:ascii="宋体" w:hAnsi="宋体"/>
          <w:b/>
          <w:szCs w:val="21"/>
          <w:highlight w:val="none"/>
          <w:lang w:val="zh-CN"/>
        </w:rPr>
      </w:pPr>
    </w:p>
    <w:p>
      <w:pPr>
        <w:pStyle w:val="179"/>
        <w:snapToGrid w:val="0"/>
        <w:spacing w:line="360" w:lineRule="auto"/>
        <w:jc w:val="center"/>
        <w:outlineLvl w:val="9"/>
        <w:rPr>
          <w:rFonts w:hint="eastAsia"/>
          <w:b w:val="0"/>
          <w:color w:val="auto"/>
          <w:szCs w:val="21"/>
          <w:highlight w:val="none"/>
        </w:rPr>
      </w:pPr>
      <w:bookmarkStart w:id="858" w:name="_Toc22194"/>
      <w:bookmarkStart w:id="859" w:name="_Toc25030"/>
      <w:bookmarkStart w:id="860" w:name="_Toc13078"/>
      <w:bookmarkStart w:id="861" w:name="_Toc26877"/>
      <w:bookmarkStart w:id="862" w:name="_Toc4139002"/>
      <w:bookmarkStart w:id="863" w:name="_Toc9981"/>
    </w:p>
    <w:p>
      <w:pPr>
        <w:pStyle w:val="179"/>
        <w:snapToGrid w:val="0"/>
        <w:spacing w:line="360" w:lineRule="auto"/>
        <w:jc w:val="center"/>
        <w:outlineLvl w:val="9"/>
        <w:rPr>
          <w:rFonts w:hint="eastAsia"/>
          <w:b w:val="0"/>
          <w:color w:val="auto"/>
          <w:szCs w:val="21"/>
          <w:highlight w:val="none"/>
        </w:rPr>
      </w:pPr>
    </w:p>
    <w:p>
      <w:pPr>
        <w:pStyle w:val="179"/>
        <w:snapToGrid w:val="0"/>
        <w:spacing w:line="360" w:lineRule="auto"/>
        <w:jc w:val="center"/>
        <w:outlineLvl w:val="9"/>
        <w:rPr>
          <w:rFonts w:hint="eastAsia"/>
          <w:b w:val="0"/>
          <w:color w:val="auto"/>
          <w:szCs w:val="21"/>
          <w:highlight w:val="none"/>
        </w:rPr>
      </w:pPr>
    </w:p>
    <w:p>
      <w:pPr>
        <w:rPr>
          <w:rFonts w:hint="eastAsia" w:ascii="宋体" w:hAnsi="宋体"/>
          <w:color w:val="auto"/>
          <w:szCs w:val="22"/>
          <w:highlight w:val="none"/>
        </w:rPr>
      </w:pPr>
      <w:r>
        <w:rPr>
          <w:rFonts w:hint="eastAsia" w:ascii="宋体" w:hAnsi="宋体"/>
          <w:color w:val="auto"/>
          <w:szCs w:val="22"/>
          <w:highlight w:val="none"/>
        </w:rPr>
        <w:br w:type="page"/>
      </w:r>
    </w:p>
    <w:p>
      <w:pPr>
        <w:pStyle w:val="8"/>
        <w:jc w:val="center"/>
        <w:rPr>
          <w:rFonts w:hint="eastAsia" w:ascii="宋体" w:hAnsi="宋体"/>
          <w:color w:val="auto"/>
          <w:szCs w:val="22"/>
          <w:highlight w:val="none"/>
        </w:rPr>
      </w:pPr>
      <w:r>
        <w:rPr>
          <w:rFonts w:hint="eastAsia" w:ascii="宋体" w:hAnsi="宋体"/>
          <w:color w:val="auto"/>
          <w:szCs w:val="22"/>
          <w:highlight w:val="none"/>
        </w:rPr>
        <w:t>（2）</w:t>
      </w:r>
      <w:r>
        <w:rPr>
          <w:rFonts w:hint="eastAsia" w:ascii="宋体" w:hAnsi="宋体"/>
          <w:color w:val="auto"/>
          <w:szCs w:val="22"/>
          <w:highlight w:val="none"/>
          <w:lang w:eastAsia="zh-CN"/>
        </w:rPr>
        <w:t>报价人</w:t>
      </w:r>
      <w:r>
        <w:rPr>
          <w:rFonts w:hint="eastAsia" w:ascii="宋体" w:hAnsi="宋体"/>
          <w:color w:val="auto"/>
          <w:szCs w:val="22"/>
          <w:highlight w:val="none"/>
        </w:rPr>
        <w:t>总公司承保及偿付能力</w:t>
      </w:r>
    </w:p>
    <w:p>
      <w:pPr>
        <w:pStyle w:val="179"/>
        <w:snapToGrid w:val="0"/>
        <w:spacing w:line="360" w:lineRule="auto"/>
        <w:jc w:val="center"/>
        <w:outlineLvl w:val="9"/>
        <w:rPr>
          <w:rFonts w:hint="eastAsia"/>
          <w:b w:val="0"/>
          <w:color w:val="auto"/>
          <w:szCs w:val="21"/>
          <w:highlight w:val="none"/>
        </w:rPr>
      </w:pPr>
    </w:p>
    <w:p>
      <w:pPr>
        <w:pStyle w:val="179"/>
        <w:snapToGrid w:val="0"/>
        <w:spacing w:line="360" w:lineRule="auto"/>
        <w:jc w:val="center"/>
        <w:outlineLvl w:val="9"/>
        <w:rPr>
          <w:b w:val="0"/>
          <w:color w:val="auto"/>
          <w:szCs w:val="21"/>
          <w:highlight w:val="none"/>
        </w:rPr>
      </w:pPr>
      <w:r>
        <w:rPr>
          <w:rFonts w:hint="eastAsia"/>
          <w:b w:val="0"/>
          <w:color w:val="auto"/>
          <w:szCs w:val="21"/>
          <w:highlight w:val="none"/>
          <w:lang w:eastAsia="zh-CN"/>
        </w:rPr>
        <w:t>报价人</w:t>
      </w:r>
      <w:r>
        <w:rPr>
          <w:rFonts w:hint="eastAsia"/>
          <w:b w:val="0"/>
          <w:color w:val="auto"/>
          <w:szCs w:val="21"/>
          <w:highlight w:val="none"/>
        </w:rPr>
        <w:t>总公司2022年</w:t>
      </w:r>
      <w:r>
        <w:rPr>
          <w:b w:val="0"/>
          <w:color w:val="auto"/>
          <w:szCs w:val="21"/>
          <w:highlight w:val="none"/>
        </w:rPr>
        <w:t>承保及偿付能力一览表</w:t>
      </w:r>
      <w:bookmarkEnd w:id="858"/>
      <w:bookmarkEnd w:id="859"/>
      <w:bookmarkEnd w:id="860"/>
      <w:bookmarkEnd w:id="861"/>
      <w:bookmarkEnd w:id="862"/>
      <w:bookmarkEnd w:id="863"/>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1917"/>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767" w:type="dxa"/>
            <w:gridSpan w:val="2"/>
            <w:noWrap w:val="0"/>
            <w:vAlign w:val="center"/>
          </w:tcPr>
          <w:p>
            <w:pPr>
              <w:pStyle w:val="15"/>
              <w:adjustRightInd w:val="0"/>
              <w:snapToGrid w:val="0"/>
              <w:spacing w:before="0" w:beforeLines="0"/>
              <w:jc w:val="center"/>
              <w:rPr>
                <w:rFonts w:ascii="宋体" w:hAnsi="宋体"/>
                <w:sz w:val="21"/>
                <w:szCs w:val="21"/>
                <w:highlight w:val="none"/>
              </w:rPr>
            </w:pPr>
            <w:r>
              <w:rPr>
                <w:rFonts w:ascii="宋体" w:hAnsi="宋体"/>
                <w:sz w:val="21"/>
                <w:szCs w:val="21"/>
                <w:highlight w:val="none"/>
              </w:rPr>
              <w:t>项  目</w:t>
            </w:r>
          </w:p>
        </w:tc>
        <w:tc>
          <w:tcPr>
            <w:tcW w:w="3908" w:type="dxa"/>
            <w:noWrap w:val="0"/>
            <w:vAlign w:val="center"/>
          </w:tcPr>
          <w:p>
            <w:pPr>
              <w:pStyle w:val="15"/>
              <w:adjustRightInd w:val="0"/>
              <w:snapToGrid w:val="0"/>
              <w:spacing w:before="0" w:beforeLines="0"/>
              <w:ind w:firstLine="0" w:firstLineChars="0"/>
              <w:jc w:val="center"/>
              <w:rPr>
                <w:rFonts w:ascii="宋体" w:hAnsi="宋体"/>
                <w:sz w:val="21"/>
                <w:szCs w:val="21"/>
                <w:highlight w:val="none"/>
              </w:rPr>
            </w:pPr>
            <w:r>
              <w:rPr>
                <w:rFonts w:hint="eastAsia" w:ascii="宋体" w:hAnsi="宋体"/>
                <w:sz w:val="21"/>
                <w:szCs w:val="21"/>
                <w:highlight w:val="none"/>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50" w:type="dxa"/>
            <w:vMerge w:val="restart"/>
            <w:noWrap w:val="0"/>
            <w:vAlign w:val="center"/>
          </w:tcPr>
          <w:p>
            <w:pPr>
              <w:pStyle w:val="15"/>
              <w:adjustRightInd w:val="0"/>
              <w:snapToGrid w:val="0"/>
              <w:spacing w:before="0" w:beforeLines="0"/>
              <w:ind w:firstLine="0" w:firstLineChars="0"/>
              <w:jc w:val="center"/>
              <w:rPr>
                <w:rFonts w:ascii="宋体" w:hAnsi="宋体"/>
                <w:sz w:val="21"/>
                <w:szCs w:val="21"/>
                <w:highlight w:val="none"/>
              </w:rPr>
            </w:pPr>
            <w:r>
              <w:rPr>
                <w:rFonts w:ascii="宋体" w:hAnsi="宋体"/>
                <w:sz w:val="21"/>
                <w:szCs w:val="21"/>
                <w:highlight w:val="none"/>
              </w:rPr>
              <w:t>承保偿付能力</w:t>
            </w:r>
          </w:p>
        </w:tc>
        <w:tc>
          <w:tcPr>
            <w:tcW w:w="1917" w:type="dxa"/>
            <w:noWrap w:val="0"/>
            <w:vAlign w:val="center"/>
          </w:tcPr>
          <w:p>
            <w:pPr>
              <w:pStyle w:val="15"/>
              <w:adjustRightInd w:val="0"/>
              <w:snapToGrid w:val="0"/>
              <w:spacing w:before="0" w:beforeLines="0"/>
              <w:ind w:firstLine="0" w:firstLineChars="0"/>
              <w:jc w:val="center"/>
              <w:rPr>
                <w:rFonts w:ascii="宋体" w:hAnsi="宋体"/>
                <w:sz w:val="21"/>
                <w:szCs w:val="21"/>
                <w:highlight w:val="none"/>
              </w:rPr>
            </w:pPr>
            <w:r>
              <w:rPr>
                <w:rFonts w:ascii="宋体" w:hAnsi="宋体"/>
                <w:sz w:val="21"/>
                <w:szCs w:val="21"/>
                <w:highlight w:val="none"/>
              </w:rPr>
              <w:t>资本金</w:t>
            </w:r>
          </w:p>
          <w:p>
            <w:pPr>
              <w:pStyle w:val="15"/>
              <w:adjustRightInd w:val="0"/>
              <w:snapToGrid w:val="0"/>
              <w:spacing w:before="0" w:beforeLines="0"/>
              <w:ind w:firstLine="0" w:firstLineChars="0"/>
              <w:jc w:val="center"/>
              <w:rPr>
                <w:rFonts w:ascii="宋体" w:hAnsi="宋体"/>
                <w:sz w:val="21"/>
                <w:szCs w:val="21"/>
                <w:highlight w:val="none"/>
              </w:rPr>
            </w:pPr>
            <w:r>
              <w:rPr>
                <w:rFonts w:hint="eastAsia" w:ascii="宋体" w:hAnsi="宋体"/>
                <w:sz w:val="21"/>
                <w:szCs w:val="21"/>
                <w:highlight w:val="none"/>
              </w:rPr>
              <w:t>（亿元）</w:t>
            </w:r>
          </w:p>
        </w:tc>
        <w:tc>
          <w:tcPr>
            <w:tcW w:w="3908" w:type="dxa"/>
            <w:noWrap w:val="0"/>
            <w:vAlign w:val="center"/>
          </w:tcPr>
          <w:p>
            <w:pPr>
              <w:pStyle w:val="15"/>
              <w:adjustRightInd w:val="0"/>
              <w:snapToGrid w:val="0"/>
              <w:spacing w:before="0" w:beforeLines="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50" w:type="dxa"/>
            <w:vMerge w:val="continue"/>
            <w:noWrap w:val="0"/>
            <w:vAlign w:val="center"/>
          </w:tcPr>
          <w:p>
            <w:pPr>
              <w:pStyle w:val="15"/>
              <w:adjustRightInd w:val="0"/>
              <w:snapToGrid w:val="0"/>
              <w:spacing w:before="0" w:beforeLines="0"/>
              <w:jc w:val="center"/>
              <w:rPr>
                <w:rFonts w:ascii="宋体" w:hAnsi="宋体"/>
                <w:sz w:val="21"/>
                <w:szCs w:val="21"/>
                <w:highlight w:val="none"/>
              </w:rPr>
            </w:pPr>
          </w:p>
        </w:tc>
        <w:tc>
          <w:tcPr>
            <w:tcW w:w="1917" w:type="dxa"/>
            <w:noWrap w:val="0"/>
            <w:vAlign w:val="center"/>
          </w:tcPr>
          <w:p>
            <w:pPr>
              <w:pStyle w:val="15"/>
              <w:adjustRightInd w:val="0"/>
              <w:snapToGrid w:val="0"/>
              <w:spacing w:before="0" w:beforeLines="0"/>
              <w:ind w:firstLine="0" w:firstLineChars="0"/>
              <w:jc w:val="center"/>
              <w:rPr>
                <w:rFonts w:ascii="宋体" w:hAnsi="宋体"/>
                <w:sz w:val="21"/>
                <w:szCs w:val="21"/>
                <w:highlight w:val="none"/>
              </w:rPr>
            </w:pPr>
            <w:r>
              <w:rPr>
                <w:rFonts w:ascii="宋体" w:hAnsi="宋体"/>
                <w:sz w:val="21"/>
                <w:szCs w:val="21"/>
                <w:highlight w:val="none"/>
              </w:rPr>
              <w:t>公积金</w:t>
            </w:r>
          </w:p>
          <w:p>
            <w:pPr>
              <w:pStyle w:val="15"/>
              <w:adjustRightInd w:val="0"/>
              <w:snapToGrid w:val="0"/>
              <w:spacing w:before="0" w:beforeLines="0"/>
              <w:ind w:firstLine="0" w:firstLineChars="0"/>
              <w:jc w:val="center"/>
              <w:rPr>
                <w:rFonts w:ascii="宋体" w:hAnsi="宋体"/>
                <w:sz w:val="21"/>
                <w:szCs w:val="21"/>
                <w:highlight w:val="none"/>
              </w:rPr>
            </w:pPr>
            <w:r>
              <w:rPr>
                <w:rFonts w:hint="eastAsia" w:ascii="宋体" w:hAnsi="宋体"/>
                <w:sz w:val="21"/>
                <w:szCs w:val="21"/>
                <w:highlight w:val="none"/>
              </w:rPr>
              <w:t>（亿元）</w:t>
            </w:r>
          </w:p>
        </w:tc>
        <w:tc>
          <w:tcPr>
            <w:tcW w:w="3908" w:type="dxa"/>
            <w:noWrap w:val="0"/>
            <w:vAlign w:val="center"/>
          </w:tcPr>
          <w:p>
            <w:pPr>
              <w:pStyle w:val="15"/>
              <w:adjustRightInd w:val="0"/>
              <w:snapToGrid w:val="0"/>
              <w:spacing w:before="0" w:beforeLines="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50" w:type="dxa"/>
            <w:vMerge w:val="continue"/>
            <w:noWrap w:val="0"/>
            <w:vAlign w:val="center"/>
          </w:tcPr>
          <w:p>
            <w:pPr>
              <w:pStyle w:val="15"/>
              <w:adjustRightInd w:val="0"/>
              <w:snapToGrid w:val="0"/>
              <w:spacing w:before="0" w:beforeLines="0"/>
              <w:jc w:val="center"/>
              <w:rPr>
                <w:rFonts w:ascii="宋体" w:hAnsi="宋体"/>
                <w:sz w:val="21"/>
                <w:szCs w:val="21"/>
                <w:highlight w:val="none"/>
              </w:rPr>
            </w:pPr>
          </w:p>
        </w:tc>
        <w:tc>
          <w:tcPr>
            <w:tcW w:w="1917" w:type="dxa"/>
            <w:noWrap w:val="0"/>
            <w:vAlign w:val="center"/>
          </w:tcPr>
          <w:p>
            <w:pPr>
              <w:pStyle w:val="15"/>
              <w:adjustRightInd w:val="0"/>
              <w:snapToGrid w:val="0"/>
              <w:spacing w:before="0" w:beforeLines="0"/>
              <w:ind w:firstLine="0" w:firstLineChars="0"/>
              <w:jc w:val="center"/>
              <w:rPr>
                <w:rFonts w:ascii="宋体" w:hAnsi="宋体"/>
                <w:sz w:val="21"/>
                <w:szCs w:val="21"/>
                <w:highlight w:val="none"/>
              </w:rPr>
            </w:pPr>
            <w:r>
              <w:rPr>
                <w:rFonts w:ascii="宋体" w:hAnsi="宋体"/>
                <w:sz w:val="21"/>
                <w:szCs w:val="21"/>
                <w:highlight w:val="none"/>
              </w:rPr>
              <w:t>实际偿付能力</w:t>
            </w:r>
          </w:p>
          <w:p>
            <w:pPr>
              <w:pStyle w:val="15"/>
              <w:adjustRightInd w:val="0"/>
              <w:snapToGrid w:val="0"/>
              <w:spacing w:before="0" w:beforeLines="0"/>
              <w:ind w:firstLine="0" w:firstLineChars="0"/>
              <w:jc w:val="center"/>
              <w:rPr>
                <w:rFonts w:ascii="宋体" w:hAnsi="宋体"/>
                <w:sz w:val="21"/>
                <w:szCs w:val="21"/>
                <w:highlight w:val="none"/>
              </w:rPr>
            </w:pPr>
            <w:r>
              <w:rPr>
                <w:rFonts w:hint="eastAsia" w:ascii="宋体" w:hAnsi="宋体"/>
                <w:sz w:val="21"/>
                <w:szCs w:val="21"/>
                <w:highlight w:val="none"/>
              </w:rPr>
              <w:t>（亿元）</w:t>
            </w:r>
          </w:p>
        </w:tc>
        <w:tc>
          <w:tcPr>
            <w:tcW w:w="3908" w:type="dxa"/>
            <w:noWrap w:val="0"/>
            <w:vAlign w:val="center"/>
          </w:tcPr>
          <w:p>
            <w:pPr>
              <w:pStyle w:val="15"/>
              <w:adjustRightInd w:val="0"/>
              <w:snapToGrid w:val="0"/>
              <w:spacing w:before="0" w:beforeLines="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850" w:type="dxa"/>
            <w:vMerge w:val="continue"/>
            <w:noWrap w:val="0"/>
            <w:vAlign w:val="center"/>
          </w:tcPr>
          <w:p>
            <w:pPr>
              <w:pStyle w:val="15"/>
              <w:adjustRightInd w:val="0"/>
              <w:snapToGrid w:val="0"/>
              <w:spacing w:before="0" w:beforeLines="0"/>
              <w:jc w:val="center"/>
              <w:rPr>
                <w:rFonts w:ascii="宋体" w:hAnsi="宋体"/>
                <w:sz w:val="21"/>
                <w:szCs w:val="21"/>
                <w:highlight w:val="none"/>
              </w:rPr>
            </w:pPr>
          </w:p>
        </w:tc>
        <w:tc>
          <w:tcPr>
            <w:tcW w:w="1917" w:type="dxa"/>
            <w:noWrap w:val="0"/>
            <w:vAlign w:val="center"/>
          </w:tcPr>
          <w:p>
            <w:pPr>
              <w:pStyle w:val="15"/>
              <w:adjustRightInd w:val="0"/>
              <w:snapToGrid w:val="0"/>
              <w:spacing w:before="0" w:beforeLines="0"/>
              <w:ind w:firstLine="0" w:firstLineChars="0"/>
              <w:jc w:val="center"/>
              <w:rPr>
                <w:rFonts w:ascii="宋体" w:hAnsi="宋体"/>
                <w:sz w:val="21"/>
                <w:szCs w:val="21"/>
                <w:highlight w:val="none"/>
              </w:rPr>
            </w:pPr>
            <w:r>
              <w:rPr>
                <w:rFonts w:ascii="宋体" w:hAnsi="宋体"/>
                <w:sz w:val="21"/>
                <w:szCs w:val="21"/>
                <w:highlight w:val="none"/>
              </w:rPr>
              <w:t>最低偿付能力</w:t>
            </w:r>
          </w:p>
          <w:p>
            <w:pPr>
              <w:pStyle w:val="15"/>
              <w:adjustRightInd w:val="0"/>
              <w:snapToGrid w:val="0"/>
              <w:spacing w:before="0" w:beforeLines="0"/>
              <w:ind w:firstLine="0" w:firstLineChars="0"/>
              <w:jc w:val="center"/>
              <w:rPr>
                <w:rFonts w:ascii="宋体" w:hAnsi="宋体"/>
                <w:sz w:val="21"/>
                <w:szCs w:val="21"/>
                <w:highlight w:val="none"/>
              </w:rPr>
            </w:pPr>
            <w:r>
              <w:rPr>
                <w:rFonts w:hint="eastAsia" w:ascii="宋体" w:hAnsi="宋体"/>
                <w:sz w:val="21"/>
                <w:szCs w:val="21"/>
                <w:highlight w:val="none"/>
              </w:rPr>
              <w:t>（亿元）</w:t>
            </w:r>
          </w:p>
        </w:tc>
        <w:tc>
          <w:tcPr>
            <w:tcW w:w="3908" w:type="dxa"/>
            <w:noWrap w:val="0"/>
            <w:vAlign w:val="center"/>
          </w:tcPr>
          <w:p>
            <w:pPr>
              <w:pStyle w:val="15"/>
              <w:adjustRightInd w:val="0"/>
              <w:snapToGrid w:val="0"/>
              <w:spacing w:before="0" w:beforeLines="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850" w:type="dxa"/>
            <w:vMerge w:val="continue"/>
            <w:noWrap w:val="0"/>
            <w:vAlign w:val="center"/>
          </w:tcPr>
          <w:p>
            <w:pPr>
              <w:pStyle w:val="15"/>
              <w:adjustRightInd w:val="0"/>
              <w:snapToGrid w:val="0"/>
              <w:spacing w:before="0" w:beforeLines="0"/>
              <w:jc w:val="center"/>
              <w:rPr>
                <w:rFonts w:ascii="宋体" w:hAnsi="宋体"/>
                <w:sz w:val="21"/>
                <w:szCs w:val="21"/>
                <w:highlight w:val="none"/>
              </w:rPr>
            </w:pPr>
          </w:p>
        </w:tc>
        <w:tc>
          <w:tcPr>
            <w:tcW w:w="1917" w:type="dxa"/>
            <w:noWrap w:val="0"/>
            <w:vAlign w:val="center"/>
          </w:tcPr>
          <w:p>
            <w:pPr>
              <w:pStyle w:val="15"/>
              <w:adjustRightInd w:val="0"/>
              <w:snapToGrid w:val="0"/>
              <w:spacing w:before="0" w:beforeLines="0"/>
              <w:ind w:firstLine="0" w:firstLineChars="0"/>
              <w:jc w:val="center"/>
              <w:rPr>
                <w:rFonts w:ascii="宋体" w:hAnsi="宋体"/>
                <w:sz w:val="21"/>
                <w:szCs w:val="21"/>
                <w:highlight w:val="none"/>
              </w:rPr>
            </w:pPr>
            <w:r>
              <w:rPr>
                <w:rFonts w:ascii="宋体" w:hAnsi="宋体"/>
                <w:sz w:val="21"/>
                <w:szCs w:val="21"/>
                <w:highlight w:val="none"/>
              </w:rPr>
              <w:t>综合偿付能力充足率</w:t>
            </w:r>
          </w:p>
          <w:p>
            <w:pPr>
              <w:pStyle w:val="15"/>
              <w:adjustRightInd w:val="0"/>
              <w:snapToGrid w:val="0"/>
              <w:spacing w:before="0" w:beforeLines="0"/>
              <w:ind w:firstLine="0" w:firstLineChars="0"/>
              <w:jc w:val="center"/>
              <w:rPr>
                <w:rFonts w:ascii="宋体" w:hAnsi="宋体"/>
                <w:sz w:val="21"/>
                <w:szCs w:val="21"/>
                <w:highlight w:val="none"/>
              </w:rPr>
            </w:pPr>
            <w:r>
              <w:rPr>
                <w:rFonts w:hint="eastAsia" w:ascii="宋体" w:hAnsi="宋体"/>
                <w:sz w:val="21"/>
                <w:szCs w:val="21"/>
                <w:highlight w:val="none"/>
              </w:rPr>
              <w:t>（%）</w:t>
            </w:r>
          </w:p>
        </w:tc>
        <w:tc>
          <w:tcPr>
            <w:tcW w:w="3908" w:type="dxa"/>
            <w:noWrap w:val="0"/>
            <w:vAlign w:val="center"/>
          </w:tcPr>
          <w:p>
            <w:pPr>
              <w:pStyle w:val="15"/>
              <w:adjustRightInd w:val="0"/>
              <w:snapToGrid w:val="0"/>
              <w:spacing w:before="0" w:beforeLines="0"/>
              <w:jc w:val="center"/>
              <w:rPr>
                <w:rFonts w:ascii="宋体" w:hAnsi="宋体"/>
                <w:sz w:val="21"/>
                <w:szCs w:val="21"/>
                <w:highlight w:val="none"/>
              </w:rPr>
            </w:pPr>
          </w:p>
        </w:tc>
      </w:tr>
    </w:tbl>
    <w:p>
      <w:pPr>
        <w:pStyle w:val="31"/>
        <w:widowControl/>
        <w:adjustRightInd w:val="0"/>
        <w:snapToGrid w:val="0"/>
        <w:spacing w:line="360" w:lineRule="auto"/>
        <w:ind w:left="0" w:firstLine="422" w:firstLineChars="200"/>
        <w:rPr>
          <w:rFonts w:hint="eastAsia" w:ascii="宋体" w:hAnsi="宋体"/>
          <w:b/>
          <w:sz w:val="24"/>
          <w:szCs w:val="21"/>
          <w:highlight w:val="none"/>
        </w:rPr>
      </w:pPr>
      <w:r>
        <w:rPr>
          <w:rFonts w:hint="eastAsia" w:ascii="宋体" w:hAnsi="宋体"/>
          <w:b/>
          <w:szCs w:val="21"/>
          <w:highlight w:val="none"/>
        </w:rPr>
        <w:t>注：表后应附相关资料（如有）。</w:t>
      </w:r>
    </w:p>
    <w:p>
      <w:pPr>
        <w:pStyle w:val="181"/>
        <w:spacing w:beforeLines="0" w:line="360" w:lineRule="auto"/>
        <w:ind w:left="0" w:firstLine="422" w:firstLineChars="200"/>
        <w:rPr>
          <w:rFonts w:ascii="宋体" w:hAnsi="宋体" w:eastAsia="宋体"/>
          <w:b/>
          <w:bCs w:val="0"/>
          <w:color w:val="auto"/>
          <w:szCs w:val="21"/>
          <w:highlight w:val="none"/>
        </w:rPr>
      </w:pPr>
    </w:p>
    <w:p>
      <w:pPr>
        <w:pStyle w:val="7"/>
        <w:adjustRightInd w:val="0"/>
        <w:snapToGrid w:val="0"/>
        <w:spacing w:before="0" w:after="0" w:line="360" w:lineRule="auto"/>
        <w:jc w:val="center"/>
        <w:rPr>
          <w:rFonts w:hint="eastAsia" w:ascii="宋体" w:hAnsi="宋体"/>
          <w:highlight w:val="none"/>
        </w:rPr>
      </w:pPr>
      <w:bookmarkStart w:id="864" w:name="_Toc10177"/>
      <w:bookmarkStart w:id="865" w:name="_Toc26442"/>
      <w:bookmarkStart w:id="866" w:name="_Toc28570"/>
      <w:bookmarkStart w:id="867" w:name="_Toc11326"/>
      <w:bookmarkStart w:id="868" w:name="_Toc4139010"/>
      <w:bookmarkStart w:id="869" w:name="_Toc24317"/>
      <w:bookmarkStart w:id="870" w:name="_Toc225582757"/>
      <w:bookmarkStart w:id="871" w:name="_Toc221383655"/>
      <w:r>
        <w:rPr>
          <w:rFonts w:ascii="宋体" w:hAnsi="宋体"/>
          <w:highlight w:val="none"/>
        </w:rPr>
        <w:br w:type="page"/>
      </w:r>
      <w:r>
        <w:rPr>
          <w:rFonts w:hint="eastAsia" w:ascii="宋体" w:hAnsi="宋体"/>
          <w:highlight w:val="none"/>
        </w:rPr>
        <w:t>2、</w:t>
      </w:r>
      <w:r>
        <w:rPr>
          <w:rFonts w:hint="eastAsia" w:ascii="宋体" w:hAnsi="宋体"/>
          <w:highlight w:val="none"/>
          <w:lang w:eastAsia="zh-CN"/>
        </w:rPr>
        <w:t>报价人</w:t>
      </w:r>
      <w:r>
        <w:rPr>
          <w:rFonts w:hint="eastAsia" w:ascii="宋体" w:hAnsi="宋体"/>
          <w:highlight w:val="none"/>
        </w:rPr>
        <w:t>服务业绩</w:t>
      </w:r>
      <w:bookmarkEnd w:id="864"/>
      <w:bookmarkEnd w:id="865"/>
      <w:bookmarkEnd w:id="866"/>
      <w:bookmarkEnd w:id="867"/>
      <w:bookmarkEnd w:id="868"/>
      <w:bookmarkEnd w:id="869"/>
    </w:p>
    <w:p>
      <w:pPr>
        <w:pStyle w:val="8"/>
        <w:jc w:val="center"/>
        <w:rPr>
          <w:rFonts w:hint="eastAsia" w:ascii="宋体" w:hAnsi="宋体"/>
          <w:color w:val="auto"/>
          <w:highlight w:val="none"/>
        </w:rPr>
      </w:pPr>
      <w:bookmarkStart w:id="872" w:name="_Toc8364"/>
      <w:bookmarkStart w:id="873" w:name="_Toc16316"/>
      <w:r>
        <w:rPr>
          <w:rFonts w:hint="eastAsia" w:ascii="宋体" w:hAnsi="宋体"/>
          <w:color w:val="auto"/>
          <w:highlight w:val="none"/>
        </w:rPr>
        <w:t>（1）</w:t>
      </w:r>
      <w:r>
        <w:rPr>
          <w:rFonts w:hint="eastAsia" w:ascii="宋体" w:hAnsi="宋体"/>
          <w:color w:val="auto"/>
          <w:highlight w:val="none"/>
          <w:lang w:eastAsia="zh-CN"/>
        </w:rPr>
        <w:t>报价人</w:t>
      </w:r>
      <w:r>
        <w:rPr>
          <w:rFonts w:hint="eastAsia" w:ascii="宋体" w:hAnsi="宋体"/>
          <w:color w:val="auto"/>
          <w:highlight w:val="none"/>
        </w:rPr>
        <w:t>承保类似工程项目情况</w:t>
      </w:r>
      <w:bookmarkEnd w:id="872"/>
      <w:bookmarkEnd w:id="873"/>
    </w:p>
    <w:p>
      <w:pPr>
        <w:pStyle w:val="179"/>
        <w:snapToGrid w:val="0"/>
        <w:spacing w:line="360" w:lineRule="auto"/>
        <w:jc w:val="center"/>
        <w:outlineLvl w:val="9"/>
        <w:rPr>
          <w:rFonts w:hint="eastAsia"/>
          <w:b w:val="0"/>
          <w:color w:val="auto"/>
          <w:sz w:val="24"/>
          <w:szCs w:val="24"/>
          <w:highlight w:val="none"/>
        </w:rPr>
      </w:pPr>
      <w:bookmarkStart w:id="874" w:name="_Toc4139011"/>
      <w:bookmarkStart w:id="875" w:name="_Toc26467"/>
      <w:bookmarkStart w:id="876" w:name="_Toc225562618"/>
      <w:bookmarkStart w:id="877" w:name="_Toc4932"/>
      <w:bookmarkStart w:id="878" w:name="_Toc4306"/>
      <w:bookmarkStart w:id="879" w:name="_Toc577"/>
      <w:bookmarkStart w:id="880" w:name="_Toc30650"/>
      <w:r>
        <w:rPr>
          <w:rFonts w:hint="eastAsia"/>
          <w:b w:val="0"/>
          <w:color w:val="auto"/>
          <w:sz w:val="24"/>
          <w:szCs w:val="24"/>
          <w:highlight w:val="none"/>
        </w:rPr>
        <w:t>承保类似工程项目汇总表</w:t>
      </w:r>
      <w:bookmarkEnd w:id="874"/>
      <w:bookmarkEnd w:id="875"/>
      <w:bookmarkEnd w:id="876"/>
      <w:bookmarkEnd w:id="877"/>
      <w:bookmarkEnd w:id="878"/>
      <w:bookmarkEnd w:id="879"/>
      <w:bookmarkEnd w:id="880"/>
    </w:p>
    <w:p>
      <w:pPr>
        <w:pStyle w:val="179"/>
        <w:snapToGrid w:val="0"/>
        <w:spacing w:line="360" w:lineRule="auto"/>
        <w:jc w:val="center"/>
        <w:outlineLvl w:val="9"/>
        <w:rPr>
          <w:rFonts w:hint="eastAsia"/>
          <w:b w:val="0"/>
          <w:color w:val="auto"/>
          <w:sz w:val="24"/>
          <w:szCs w:val="24"/>
          <w:highlight w:val="none"/>
        </w:rPr>
      </w:pPr>
    </w:p>
    <w:tbl>
      <w:tblPr>
        <w:tblStyle w:val="45"/>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268"/>
        <w:gridCol w:w="1598"/>
        <w:gridCol w:w="1741"/>
        <w:gridCol w:w="1591"/>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33" w:type="dxa"/>
            <w:noWrap w:val="0"/>
            <w:vAlign w:val="center"/>
          </w:tcPr>
          <w:p>
            <w:pPr>
              <w:widowControl/>
              <w:adjustRightInd w:val="0"/>
              <w:snapToGrid w:val="0"/>
              <w:spacing w:line="360" w:lineRule="auto"/>
              <w:jc w:val="center"/>
              <w:rPr>
                <w:rFonts w:ascii="宋体" w:hAnsi="宋体"/>
                <w:highlight w:val="none"/>
              </w:rPr>
            </w:pPr>
            <w:r>
              <w:rPr>
                <w:rFonts w:ascii="宋体" w:hAnsi="宋体"/>
                <w:highlight w:val="none"/>
              </w:rPr>
              <w:t>序号</w:t>
            </w:r>
          </w:p>
        </w:tc>
        <w:tc>
          <w:tcPr>
            <w:tcW w:w="1268" w:type="dxa"/>
            <w:noWrap w:val="0"/>
            <w:vAlign w:val="center"/>
          </w:tcPr>
          <w:p>
            <w:pPr>
              <w:widowControl/>
              <w:adjustRightInd w:val="0"/>
              <w:snapToGrid w:val="0"/>
              <w:spacing w:line="360" w:lineRule="auto"/>
              <w:jc w:val="center"/>
              <w:rPr>
                <w:rFonts w:ascii="宋体" w:hAnsi="宋体"/>
                <w:highlight w:val="none"/>
              </w:rPr>
            </w:pPr>
            <w:r>
              <w:rPr>
                <w:rFonts w:ascii="宋体" w:hAnsi="宋体"/>
                <w:highlight w:val="none"/>
              </w:rPr>
              <w:t>项目名称</w:t>
            </w:r>
          </w:p>
        </w:tc>
        <w:tc>
          <w:tcPr>
            <w:tcW w:w="1598" w:type="dxa"/>
            <w:noWrap w:val="0"/>
            <w:vAlign w:val="center"/>
          </w:tcPr>
          <w:p>
            <w:pPr>
              <w:widowControl/>
              <w:adjustRightInd w:val="0"/>
              <w:snapToGrid w:val="0"/>
              <w:spacing w:line="360" w:lineRule="auto"/>
              <w:jc w:val="center"/>
              <w:rPr>
                <w:rFonts w:ascii="宋体" w:hAnsi="宋体"/>
                <w:highlight w:val="none"/>
              </w:rPr>
            </w:pPr>
            <w:r>
              <w:rPr>
                <w:rFonts w:ascii="宋体" w:hAnsi="宋体"/>
                <w:highlight w:val="none"/>
              </w:rPr>
              <w:t>投保金额</w:t>
            </w:r>
          </w:p>
          <w:p>
            <w:pPr>
              <w:widowControl/>
              <w:adjustRightInd w:val="0"/>
              <w:snapToGrid w:val="0"/>
              <w:spacing w:line="360" w:lineRule="auto"/>
              <w:jc w:val="center"/>
              <w:rPr>
                <w:rFonts w:ascii="宋体" w:hAnsi="宋体"/>
                <w:highlight w:val="none"/>
              </w:rPr>
            </w:pPr>
            <w:r>
              <w:rPr>
                <w:rFonts w:ascii="宋体" w:hAnsi="宋体"/>
                <w:highlight w:val="none"/>
              </w:rPr>
              <w:t>（万元）</w:t>
            </w:r>
          </w:p>
        </w:tc>
        <w:tc>
          <w:tcPr>
            <w:tcW w:w="1741" w:type="dxa"/>
            <w:noWrap w:val="0"/>
            <w:vAlign w:val="center"/>
          </w:tcPr>
          <w:p>
            <w:pPr>
              <w:widowControl/>
              <w:adjustRightInd w:val="0"/>
              <w:snapToGrid w:val="0"/>
              <w:spacing w:line="360" w:lineRule="auto"/>
              <w:jc w:val="center"/>
              <w:rPr>
                <w:rFonts w:hint="eastAsia" w:ascii="宋体" w:hAnsi="宋体"/>
                <w:highlight w:val="none"/>
              </w:rPr>
            </w:pPr>
            <w:r>
              <w:rPr>
                <w:rFonts w:hint="eastAsia" w:ascii="宋体" w:hAnsi="宋体"/>
                <w:highlight w:val="none"/>
              </w:rPr>
              <w:t>承保时间</w:t>
            </w:r>
          </w:p>
        </w:tc>
        <w:tc>
          <w:tcPr>
            <w:tcW w:w="1591" w:type="dxa"/>
            <w:noWrap w:val="0"/>
            <w:vAlign w:val="center"/>
          </w:tcPr>
          <w:p>
            <w:pPr>
              <w:widowControl/>
              <w:adjustRightInd w:val="0"/>
              <w:snapToGrid w:val="0"/>
              <w:spacing w:line="360" w:lineRule="auto"/>
              <w:jc w:val="center"/>
              <w:rPr>
                <w:rFonts w:ascii="宋体" w:hAnsi="宋体"/>
                <w:highlight w:val="none"/>
              </w:rPr>
            </w:pPr>
            <w:r>
              <w:rPr>
                <w:rFonts w:ascii="宋体" w:hAnsi="宋体"/>
                <w:highlight w:val="none"/>
              </w:rPr>
              <w:t>承保份额</w:t>
            </w:r>
          </w:p>
        </w:tc>
        <w:tc>
          <w:tcPr>
            <w:tcW w:w="1829" w:type="dxa"/>
            <w:noWrap w:val="0"/>
            <w:vAlign w:val="top"/>
          </w:tcPr>
          <w:p>
            <w:pPr>
              <w:widowControl/>
              <w:adjustRightInd w:val="0"/>
              <w:snapToGrid w:val="0"/>
              <w:spacing w:line="360" w:lineRule="auto"/>
              <w:jc w:val="center"/>
              <w:rPr>
                <w:rFonts w:hint="eastAsia" w:ascii="宋体" w:hAnsi="宋体"/>
                <w:highlight w:val="none"/>
              </w:rPr>
            </w:pPr>
            <w:r>
              <w:rPr>
                <w:rFonts w:ascii="宋体" w:hAnsi="宋体"/>
                <w:highlight w:val="none"/>
              </w:rPr>
              <w:t>是否为首席</w:t>
            </w:r>
          </w:p>
          <w:p>
            <w:pPr>
              <w:widowControl/>
              <w:adjustRightInd w:val="0"/>
              <w:snapToGrid w:val="0"/>
              <w:spacing w:line="360" w:lineRule="auto"/>
              <w:jc w:val="center"/>
              <w:rPr>
                <w:rFonts w:ascii="宋体" w:hAnsi="宋体"/>
                <w:highlight w:val="none"/>
              </w:rPr>
            </w:pPr>
            <w:r>
              <w:rPr>
                <w:rFonts w:ascii="宋体" w:hAnsi="宋体"/>
                <w:highlight w:val="none"/>
              </w:rPr>
              <w:t>承保人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433" w:type="dxa"/>
            <w:noWrap w:val="0"/>
            <w:vAlign w:val="center"/>
          </w:tcPr>
          <w:p>
            <w:pPr>
              <w:adjustRightInd w:val="0"/>
              <w:snapToGrid w:val="0"/>
              <w:spacing w:line="360" w:lineRule="auto"/>
              <w:jc w:val="center"/>
              <w:rPr>
                <w:rFonts w:hint="eastAsia" w:ascii="宋体" w:hAnsi="宋体"/>
                <w:highlight w:val="none"/>
              </w:rPr>
            </w:pPr>
            <w:r>
              <w:rPr>
                <w:rFonts w:hint="eastAsia" w:ascii="宋体" w:hAnsi="宋体"/>
                <w:highlight w:val="none"/>
              </w:rPr>
              <w:t>1</w:t>
            </w:r>
          </w:p>
        </w:tc>
        <w:tc>
          <w:tcPr>
            <w:tcW w:w="1268" w:type="dxa"/>
            <w:noWrap w:val="0"/>
            <w:vAlign w:val="center"/>
          </w:tcPr>
          <w:p>
            <w:pPr>
              <w:adjustRightInd w:val="0"/>
              <w:snapToGrid w:val="0"/>
              <w:spacing w:line="360" w:lineRule="auto"/>
              <w:jc w:val="center"/>
              <w:rPr>
                <w:rFonts w:ascii="宋体" w:hAnsi="宋体"/>
                <w:highlight w:val="none"/>
              </w:rPr>
            </w:pPr>
          </w:p>
        </w:tc>
        <w:tc>
          <w:tcPr>
            <w:tcW w:w="1598" w:type="dxa"/>
            <w:noWrap w:val="0"/>
            <w:vAlign w:val="center"/>
          </w:tcPr>
          <w:p>
            <w:pPr>
              <w:adjustRightInd w:val="0"/>
              <w:snapToGrid w:val="0"/>
              <w:spacing w:line="360" w:lineRule="auto"/>
              <w:jc w:val="center"/>
              <w:rPr>
                <w:rFonts w:ascii="宋体" w:hAnsi="宋体"/>
                <w:highlight w:val="none"/>
              </w:rPr>
            </w:pPr>
          </w:p>
        </w:tc>
        <w:tc>
          <w:tcPr>
            <w:tcW w:w="1741" w:type="dxa"/>
            <w:noWrap w:val="0"/>
            <w:vAlign w:val="center"/>
          </w:tcPr>
          <w:p>
            <w:pPr>
              <w:adjustRightInd w:val="0"/>
              <w:snapToGrid w:val="0"/>
              <w:spacing w:line="360" w:lineRule="auto"/>
              <w:jc w:val="center"/>
              <w:rPr>
                <w:rFonts w:ascii="宋体" w:hAnsi="宋体"/>
                <w:highlight w:val="none"/>
              </w:rPr>
            </w:pPr>
          </w:p>
        </w:tc>
        <w:tc>
          <w:tcPr>
            <w:tcW w:w="1591" w:type="dxa"/>
            <w:noWrap w:val="0"/>
            <w:vAlign w:val="center"/>
          </w:tcPr>
          <w:p>
            <w:pPr>
              <w:adjustRightInd w:val="0"/>
              <w:snapToGrid w:val="0"/>
              <w:spacing w:line="360" w:lineRule="auto"/>
              <w:jc w:val="center"/>
              <w:rPr>
                <w:rFonts w:ascii="宋体" w:hAnsi="宋体"/>
                <w:highlight w:val="none"/>
              </w:rPr>
            </w:pPr>
          </w:p>
        </w:tc>
        <w:tc>
          <w:tcPr>
            <w:tcW w:w="1829" w:type="dxa"/>
            <w:noWrap w:val="0"/>
            <w:vAlign w:val="top"/>
          </w:tcPr>
          <w:p>
            <w:pPr>
              <w:adjustRightInd w:val="0"/>
              <w:snapToGrid w:val="0"/>
              <w:spacing w:line="360" w:lineRule="auto"/>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33" w:type="dxa"/>
            <w:noWrap w:val="0"/>
            <w:vAlign w:val="center"/>
          </w:tcPr>
          <w:p>
            <w:pPr>
              <w:adjustRightInd w:val="0"/>
              <w:snapToGrid w:val="0"/>
              <w:spacing w:line="360" w:lineRule="auto"/>
              <w:jc w:val="center"/>
              <w:rPr>
                <w:rFonts w:hint="eastAsia" w:ascii="宋体" w:hAnsi="宋体"/>
                <w:highlight w:val="none"/>
              </w:rPr>
            </w:pPr>
            <w:r>
              <w:rPr>
                <w:rFonts w:hint="eastAsia" w:ascii="宋体" w:hAnsi="宋体"/>
                <w:highlight w:val="none"/>
              </w:rPr>
              <w:t>2</w:t>
            </w:r>
          </w:p>
        </w:tc>
        <w:tc>
          <w:tcPr>
            <w:tcW w:w="1268" w:type="dxa"/>
            <w:noWrap w:val="0"/>
            <w:vAlign w:val="center"/>
          </w:tcPr>
          <w:p>
            <w:pPr>
              <w:adjustRightInd w:val="0"/>
              <w:snapToGrid w:val="0"/>
              <w:spacing w:line="360" w:lineRule="auto"/>
              <w:jc w:val="center"/>
              <w:rPr>
                <w:rFonts w:ascii="宋体" w:hAnsi="宋体"/>
                <w:highlight w:val="none"/>
              </w:rPr>
            </w:pPr>
          </w:p>
        </w:tc>
        <w:tc>
          <w:tcPr>
            <w:tcW w:w="1598" w:type="dxa"/>
            <w:noWrap w:val="0"/>
            <w:vAlign w:val="center"/>
          </w:tcPr>
          <w:p>
            <w:pPr>
              <w:adjustRightInd w:val="0"/>
              <w:snapToGrid w:val="0"/>
              <w:spacing w:line="360" w:lineRule="auto"/>
              <w:jc w:val="center"/>
              <w:rPr>
                <w:rFonts w:ascii="宋体" w:hAnsi="宋体"/>
                <w:highlight w:val="none"/>
              </w:rPr>
            </w:pPr>
          </w:p>
        </w:tc>
        <w:tc>
          <w:tcPr>
            <w:tcW w:w="1741" w:type="dxa"/>
            <w:noWrap w:val="0"/>
            <w:vAlign w:val="center"/>
          </w:tcPr>
          <w:p>
            <w:pPr>
              <w:adjustRightInd w:val="0"/>
              <w:snapToGrid w:val="0"/>
              <w:spacing w:line="360" w:lineRule="auto"/>
              <w:jc w:val="center"/>
              <w:rPr>
                <w:rFonts w:ascii="宋体" w:hAnsi="宋体"/>
                <w:highlight w:val="none"/>
              </w:rPr>
            </w:pPr>
          </w:p>
        </w:tc>
        <w:tc>
          <w:tcPr>
            <w:tcW w:w="1591" w:type="dxa"/>
            <w:noWrap w:val="0"/>
            <w:vAlign w:val="center"/>
          </w:tcPr>
          <w:p>
            <w:pPr>
              <w:adjustRightInd w:val="0"/>
              <w:snapToGrid w:val="0"/>
              <w:spacing w:line="360" w:lineRule="auto"/>
              <w:jc w:val="center"/>
              <w:rPr>
                <w:rFonts w:ascii="宋体" w:hAnsi="宋体"/>
                <w:highlight w:val="none"/>
              </w:rPr>
            </w:pPr>
          </w:p>
        </w:tc>
        <w:tc>
          <w:tcPr>
            <w:tcW w:w="1829" w:type="dxa"/>
            <w:noWrap w:val="0"/>
            <w:vAlign w:val="top"/>
          </w:tcPr>
          <w:p>
            <w:pPr>
              <w:adjustRightInd w:val="0"/>
              <w:snapToGrid w:val="0"/>
              <w:spacing w:line="360" w:lineRule="auto"/>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33" w:type="dxa"/>
            <w:noWrap w:val="0"/>
            <w:vAlign w:val="center"/>
          </w:tcPr>
          <w:p>
            <w:pPr>
              <w:adjustRightInd w:val="0"/>
              <w:snapToGrid w:val="0"/>
              <w:spacing w:line="360" w:lineRule="auto"/>
              <w:jc w:val="center"/>
              <w:rPr>
                <w:rFonts w:hint="eastAsia" w:ascii="宋体" w:hAnsi="宋体"/>
                <w:highlight w:val="none"/>
              </w:rPr>
            </w:pPr>
            <w:r>
              <w:rPr>
                <w:rFonts w:hint="eastAsia" w:ascii="宋体" w:hAnsi="宋体"/>
                <w:highlight w:val="none"/>
              </w:rPr>
              <w:t>3</w:t>
            </w:r>
          </w:p>
        </w:tc>
        <w:tc>
          <w:tcPr>
            <w:tcW w:w="1268" w:type="dxa"/>
            <w:noWrap w:val="0"/>
            <w:vAlign w:val="center"/>
          </w:tcPr>
          <w:p>
            <w:pPr>
              <w:adjustRightInd w:val="0"/>
              <w:snapToGrid w:val="0"/>
              <w:spacing w:line="360" w:lineRule="auto"/>
              <w:jc w:val="center"/>
              <w:rPr>
                <w:rFonts w:ascii="宋体" w:hAnsi="宋体"/>
                <w:highlight w:val="none"/>
              </w:rPr>
            </w:pPr>
          </w:p>
        </w:tc>
        <w:tc>
          <w:tcPr>
            <w:tcW w:w="1598" w:type="dxa"/>
            <w:noWrap w:val="0"/>
            <w:vAlign w:val="center"/>
          </w:tcPr>
          <w:p>
            <w:pPr>
              <w:adjustRightInd w:val="0"/>
              <w:snapToGrid w:val="0"/>
              <w:spacing w:line="360" w:lineRule="auto"/>
              <w:jc w:val="center"/>
              <w:rPr>
                <w:rFonts w:ascii="宋体" w:hAnsi="宋体"/>
                <w:highlight w:val="none"/>
              </w:rPr>
            </w:pPr>
          </w:p>
        </w:tc>
        <w:tc>
          <w:tcPr>
            <w:tcW w:w="1741" w:type="dxa"/>
            <w:noWrap w:val="0"/>
            <w:vAlign w:val="center"/>
          </w:tcPr>
          <w:p>
            <w:pPr>
              <w:adjustRightInd w:val="0"/>
              <w:snapToGrid w:val="0"/>
              <w:spacing w:line="360" w:lineRule="auto"/>
              <w:jc w:val="center"/>
              <w:rPr>
                <w:rFonts w:ascii="宋体" w:hAnsi="宋体"/>
                <w:highlight w:val="none"/>
              </w:rPr>
            </w:pPr>
          </w:p>
        </w:tc>
        <w:tc>
          <w:tcPr>
            <w:tcW w:w="1591" w:type="dxa"/>
            <w:noWrap w:val="0"/>
            <w:vAlign w:val="center"/>
          </w:tcPr>
          <w:p>
            <w:pPr>
              <w:adjustRightInd w:val="0"/>
              <w:snapToGrid w:val="0"/>
              <w:spacing w:line="360" w:lineRule="auto"/>
              <w:jc w:val="center"/>
              <w:rPr>
                <w:rFonts w:ascii="宋体" w:hAnsi="宋体"/>
                <w:highlight w:val="none"/>
              </w:rPr>
            </w:pPr>
          </w:p>
        </w:tc>
        <w:tc>
          <w:tcPr>
            <w:tcW w:w="1829" w:type="dxa"/>
            <w:noWrap w:val="0"/>
            <w:vAlign w:val="top"/>
          </w:tcPr>
          <w:p>
            <w:pPr>
              <w:adjustRightInd w:val="0"/>
              <w:snapToGrid w:val="0"/>
              <w:spacing w:line="360" w:lineRule="auto"/>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33" w:type="dxa"/>
            <w:noWrap w:val="0"/>
            <w:vAlign w:val="center"/>
          </w:tcPr>
          <w:p>
            <w:pPr>
              <w:adjustRightInd w:val="0"/>
              <w:snapToGrid w:val="0"/>
              <w:spacing w:line="360" w:lineRule="auto"/>
              <w:rPr>
                <w:rFonts w:hint="eastAsia" w:ascii="宋体" w:hAnsi="宋体"/>
                <w:highlight w:val="none"/>
              </w:rPr>
            </w:pPr>
            <w:r>
              <w:rPr>
                <w:rFonts w:hint="eastAsia" w:ascii="宋体" w:hAnsi="宋体"/>
                <w:highlight w:val="none"/>
              </w:rPr>
              <w:t>4</w:t>
            </w:r>
          </w:p>
        </w:tc>
        <w:tc>
          <w:tcPr>
            <w:tcW w:w="1268" w:type="dxa"/>
            <w:noWrap w:val="0"/>
            <w:vAlign w:val="center"/>
          </w:tcPr>
          <w:p>
            <w:pPr>
              <w:adjustRightInd w:val="0"/>
              <w:snapToGrid w:val="0"/>
              <w:spacing w:line="360" w:lineRule="auto"/>
              <w:jc w:val="center"/>
              <w:rPr>
                <w:rFonts w:ascii="宋体" w:hAnsi="宋体"/>
                <w:highlight w:val="none"/>
              </w:rPr>
            </w:pPr>
          </w:p>
        </w:tc>
        <w:tc>
          <w:tcPr>
            <w:tcW w:w="1598" w:type="dxa"/>
            <w:noWrap w:val="0"/>
            <w:vAlign w:val="center"/>
          </w:tcPr>
          <w:p>
            <w:pPr>
              <w:adjustRightInd w:val="0"/>
              <w:snapToGrid w:val="0"/>
              <w:spacing w:line="360" w:lineRule="auto"/>
              <w:jc w:val="center"/>
              <w:rPr>
                <w:rFonts w:ascii="宋体" w:hAnsi="宋体"/>
                <w:highlight w:val="none"/>
              </w:rPr>
            </w:pPr>
          </w:p>
        </w:tc>
        <w:tc>
          <w:tcPr>
            <w:tcW w:w="1741" w:type="dxa"/>
            <w:noWrap w:val="0"/>
            <w:vAlign w:val="center"/>
          </w:tcPr>
          <w:p>
            <w:pPr>
              <w:adjustRightInd w:val="0"/>
              <w:snapToGrid w:val="0"/>
              <w:spacing w:line="360" w:lineRule="auto"/>
              <w:jc w:val="center"/>
              <w:rPr>
                <w:rFonts w:ascii="宋体" w:hAnsi="宋体"/>
                <w:highlight w:val="none"/>
              </w:rPr>
            </w:pPr>
          </w:p>
        </w:tc>
        <w:tc>
          <w:tcPr>
            <w:tcW w:w="1591" w:type="dxa"/>
            <w:noWrap w:val="0"/>
            <w:vAlign w:val="center"/>
          </w:tcPr>
          <w:p>
            <w:pPr>
              <w:adjustRightInd w:val="0"/>
              <w:snapToGrid w:val="0"/>
              <w:spacing w:line="360" w:lineRule="auto"/>
              <w:jc w:val="center"/>
              <w:rPr>
                <w:rFonts w:ascii="宋体" w:hAnsi="宋体"/>
                <w:highlight w:val="none"/>
              </w:rPr>
            </w:pPr>
          </w:p>
        </w:tc>
        <w:tc>
          <w:tcPr>
            <w:tcW w:w="1829" w:type="dxa"/>
            <w:noWrap w:val="0"/>
            <w:vAlign w:val="top"/>
          </w:tcPr>
          <w:p>
            <w:pPr>
              <w:adjustRightInd w:val="0"/>
              <w:snapToGrid w:val="0"/>
              <w:spacing w:line="360" w:lineRule="auto"/>
              <w:jc w:val="center"/>
              <w:rPr>
                <w:rFonts w:hint="eastAsia" w:ascii="宋体"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433" w:type="dxa"/>
            <w:noWrap w:val="0"/>
            <w:vAlign w:val="center"/>
          </w:tcPr>
          <w:p>
            <w:pPr>
              <w:adjustRightInd w:val="0"/>
              <w:snapToGrid w:val="0"/>
              <w:spacing w:line="360" w:lineRule="auto"/>
              <w:jc w:val="center"/>
              <w:rPr>
                <w:rFonts w:hint="eastAsia" w:ascii="宋体" w:hAnsi="宋体"/>
                <w:highlight w:val="none"/>
              </w:rPr>
            </w:pPr>
            <w:r>
              <w:rPr>
                <w:rFonts w:hint="eastAsia" w:ascii="宋体" w:hAnsi="宋体"/>
                <w:highlight w:val="none"/>
              </w:rPr>
              <w:t>5</w:t>
            </w:r>
          </w:p>
        </w:tc>
        <w:tc>
          <w:tcPr>
            <w:tcW w:w="1268" w:type="dxa"/>
            <w:noWrap w:val="0"/>
            <w:vAlign w:val="center"/>
          </w:tcPr>
          <w:p>
            <w:pPr>
              <w:adjustRightInd w:val="0"/>
              <w:snapToGrid w:val="0"/>
              <w:spacing w:line="360" w:lineRule="auto"/>
              <w:jc w:val="center"/>
              <w:rPr>
                <w:rFonts w:ascii="宋体" w:hAnsi="宋体"/>
                <w:highlight w:val="none"/>
              </w:rPr>
            </w:pPr>
          </w:p>
        </w:tc>
        <w:tc>
          <w:tcPr>
            <w:tcW w:w="1598" w:type="dxa"/>
            <w:noWrap w:val="0"/>
            <w:vAlign w:val="center"/>
          </w:tcPr>
          <w:p>
            <w:pPr>
              <w:adjustRightInd w:val="0"/>
              <w:snapToGrid w:val="0"/>
              <w:spacing w:line="360" w:lineRule="auto"/>
              <w:jc w:val="center"/>
              <w:rPr>
                <w:rFonts w:ascii="宋体" w:hAnsi="宋体"/>
                <w:highlight w:val="none"/>
              </w:rPr>
            </w:pPr>
          </w:p>
        </w:tc>
        <w:tc>
          <w:tcPr>
            <w:tcW w:w="1741" w:type="dxa"/>
            <w:noWrap w:val="0"/>
            <w:vAlign w:val="center"/>
          </w:tcPr>
          <w:p>
            <w:pPr>
              <w:adjustRightInd w:val="0"/>
              <w:snapToGrid w:val="0"/>
              <w:spacing w:line="360" w:lineRule="auto"/>
              <w:jc w:val="center"/>
              <w:rPr>
                <w:rFonts w:ascii="宋体" w:hAnsi="宋体"/>
                <w:highlight w:val="none"/>
              </w:rPr>
            </w:pPr>
          </w:p>
        </w:tc>
        <w:tc>
          <w:tcPr>
            <w:tcW w:w="1591" w:type="dxa"/>
            <w:noWrap w:val="0"/>
            <w:vAlign w:val="center"/>
          </w:tcPr>
          <w:p>
            <w:pPr>
              <w:adjustRightInd w:val="0"/>
              <w:snapToGrid w:val="0"/>
              <w:spacing w:line="360" w:lineRule="auto"/>
              <w:jc w:val="center"/>
              <w:rPr>
                <w:rFonts w:ascii="宋体" w:hAnsi="宋体"/>
                <w:highlight w:val="none"/>
              </w:rPr>
            </w:pPr>
          </w:p>
        </w:tc>
        <w:tc>
          <w:tcPr>
            <w:tcW w:w="1829" w:type="dxa"/>
            <w:noWrap w:val="0"/>
            <w:vAlign w:val="top"/>
          </w:tcPr>
          <w:p>
            <w:pPr>
              <w:adjustRightInd w:val="0"/>
              <w:snapToGrid w:val="0"/>
              <w:spacing w:line="360" w:lineRule="auto"/>
              <w:jc w:val="center"/>
              <w:rPr>
                <w:rFonts w:hint="eastAsia" w:ascii="宋体" w:hAnsi="宋体"/>
                <w:highlight w:val="none"/>
              </w:rPr>
            </w:pPr>
          </w:p>
        </w:tc>
      </w:tr>
    </w:tbl>
    <w:p>
      <w:pPr>
        <w:tabs>
          <w:tab w:val="left" w:pos="900"/>
        </w:tabs>
        <w:adjustRightInd w:val="0"/>
        <w:snapToGrid w:val="0"/>
        <w:spacing w:line="360" w:lineRule="auto"/>
        <w:ind w:firstLine="422" w:firstLineChars="200"/>
        <w:jc w:val="left"/>
        <w:rPr>
          <w:rFonts w:hint="eastAsia" w:ascii="宋体" w:hAnsi="宋体"/>
          <w:b/>
          <w:bCs/>
          <w:szCs w:val="21"/>
          <w:highlight w:val="none"/>
        </w:rPr>
      </w:pPr>
      <w:r>
        <w:rPr>
          <w:rFonts w:hint="eastAsia" w:ascii="宋体" w:hAnsi="宋体"/>
          <w:b/>
          <w:bCs/>
          <w:szCs w:val="21"/>
          <w:highlight w:val="none"/>
        </w:rPr>
        <w:t>注：</w:t>
      </w:r>
      <w:r>
        <w:rPr>
          <w:rFonts w:hint="eastAsia" w:ascii="宋体" w:hAnsi="宋体"/>
          <w:b/>
          <w:bCs/>
          <w:szCs w:val="21"/>
          <w:highlight w:val="none"/>
          <w:lang w:val="en-US" w:eastAsia="zh-CN"/>
        </w:rPr>
        <w:t>1.</w:t>
      </w:r>
      <w:r>
        <w:rPr>
          <w:rFonts w:hint="eastAsia" w:ascii="宋体" w:hAnsi="宋体"/>
          <w:b/>
          <w:bCs/>
          <w:szCs w:val="21"/>
          <w:highlight w:val="none"/>
        </w:rPr>
        <w:t>表后应附相关资料（如有）。</w:t>
      </w:r>
    </w:p>
    <w:p>
      <w:pPr>
        <w:pStyle w:val="181"/>
        <w:spacing w:beforeLines="0" w:line="360" w:lineRule="auto"/>
        <w:ind w:left="198" w:hanging="198" w:hangingChars="82"/>
        <w:jc w:val="center"/>
        <w:rPr>
          <w:rFonts w:hint="eastAsia" w:ascii="宋体" w:hAnsi="宋体" w:eastAsia="宋体"/>
          <w:color w:val="auto"/>
          <w:sz w:val="24"/>
          <w:highlight w:val="none"/>
        </w:rPr>
      </w:pPr>
      <w:r>
        <w:rPr>
          <w:rFonts w:hint="eastAsia" w:ascii="宋体" w:hAnsi="宋体" w:eastAsia="宋体"/>
          <w:b/>
          <w:color w:val="auto"/>
          <w:sz w:val="24"/>
          <w:highlight w:val="none"/>
        </w:rPr>
        <w:br w:type="page"/>
      </w:r>
      <w:bookmarkStart w:id="881" w:name="_Toc244343257"/>
      <w:bookmarkStart w:id="882" w:name="_Toc4701"/>
      <w:bookmarkStart w:id="883" w:name="_Toc12861"/>
      <w:bookmarkStart w:id="884" w:name="_Toc3765"/>
      <w:bookmarkStart w:id="885" w:name="_Toc225562619"/>
      <w:r>
        <w:rPr>
          <w:rFonts w:hint="eastAsia" w:ascii="宋体" w:hAnsi="宋体" w:eastAsia="宋体"/>
          <w:snapToGrid w:val="0"/>
          <w:color w:val="auto"/>
          <w:kern w:val="0"/>
          <w:sz w:val="24"/>
          <w:szCs w:val="22"/>
          <w:highlight w:val="none"/>
          <w:u w:val="none" w:color="000000"/>
        </w:rPr>
        <w:t>（2）</w:t>
      </w:r>
      <w:r>
        <w:rPr>
          <w:rFonts w:hint="eastAsia" w:ascii="宋体" w:hAnsi="宋体" w:eastAsia="宋体"/>
          <w:snapToGrid w:val="0"/>
          <w:color w:val="auto"/>
          <w:kern w:val="0"/>
          <w:sz w:val="24"/>
          <w:szCs w:val="22"/>
          <w:highlight w:val="none"/>
          <w:u w:val="none" w:color="000000"/>
          <w:lang w:eastAsia="zh-CN"/>
        </w:rPr>
        <w:t>报价人</w:t>
      </w:r>
      <w:r>
        <w:rPr>
          <w:rFonts w:hint="eastAsia" w:ascii="宋体" w:hAnsi="宋体" w:eastAsia="宋体"/>
          <w:snapToGrid w:val="0"/>
          <w:color w:val="auto"/>
          <w:kern w:val="0"/>
          <w:sz w:val="24"/>
          <w:szCs w:val="22"/>
          <w:highlight w:val="none"/>
          <w:u w:val="none" w:color="000000"/>
        </w:rPr>
        <w:t>承保类似工程明细表</w:t>
      </w:r>
      <w:bookmarkEnd w:id="881"/>
      <w:bookmarkEnd w:id="882"/>
      <w:bookmarkEnd w:id="883"/>
      <w:bookmarkEnd w:id="884"/>
    </w:p>
    <w:p>
      <w:pPr>
        <w:pStyle w:val="179"/>
        <w:snapToGrid w:val="0"/>
        <w:spacing w:line="360" w:lineRule="auto"/>
        <w:jc w:val="center"/>
        <w:outlineLvl w:val="9"/>
        <w:rPr>
          <w:rFonts w:hint="eastAsia"/>
          <w:b w:val="0"/>
          <w:color w:val="auto"/>
          <w:sz w:val="24"/>
          <w:szCs w:val="24"/>
          <w:highlight w:val="none"/>
        </w:rPr>
      </w:pPr>
      <w:bookmarkStart w:id="886" w:name="_Toc8436"/>
      <w:bookmarkStart w:id="887" w:name="_Toc4139012"/>
      <w:bookmarkStart w:id="888" w:name="_Toc30512"/>
      <w:bookmarkStart w:id="889" w:name="_Toc10708"/>
      <w:bookmarkStart w:id="890" w:name="_Toc8221"/>
      <w:bookmarkStart w:id="891" w:name="_Toc32639"/>
      <w:r>
        <w:rPr>
          <w:rFonts w:hint="eastAsia"/>
          <w:b w:val="0"/>
          <w:color w:val="auto"/>
          <w:sz w:val="24"/>
          <w:szCs w:val="24"/>
          <w:highlight w:val="none"/>
        </w:rPr>
        <w:t>承保类似工程项目明细表</w:t>
      </w:r>
      <w:bookmarkEnd w:id="885"/>
      <w:bookmarkEnd w:id="886"/>
      <w:bookmarkEnd w:id="887"/>
      <w:bookmarkEnd w:id="888"/>
      <w:bookmarkEnd w:id="889"/>
      <w:bookmarkEnd w:id="890"/>
      <w:bookmarkEnd w:id="891"/>
    </w:p>
    <w:tbl>
      <w:tblPr>
        <w:tblStyle w:val="45"/>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31"/>
        <w:gridCol w:w="66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75" w:hRule="atLeast"/>
        </w:trPr>
        <w:tc>
          <w:tcPr>
            <w:tcW w:w="9310" w:type="dxa"/>
            <w:gridSpan w:val="2"/>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一、承保工程项目保险明细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2631"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项目名称</w:t>
            </w:r>
          </w:p>
        </w:tc>
        <w:tc>
          <w:tcPr>
            <w:tcW w:w="6679" w:type="dxa"/>
            <w:noWrap w:val="0"/>
            <w:vAlign w:val="center"/>
          </w:tcPr>
          <w:p>
            <w:pPr>
              <w:pStyle w:val="180"/>
              <w:spacing w:line="360" w:lineRule="auto"/>
              <w:rPr>
                <w:rFonts w:ascii="宋体" w:hAnsi="宋体" w:eastAsia="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2631"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投保险种</w:t>
            </w:r>
          </w:p>
        </w:tc>
        <w:tc>
          <w:tcPr>
            <w:tcW w:w="6679" w:type="dxa"/>
            <w:noWrap w:val="0"/>
            <w:vAlign w:val="center"/>
          </w:tcPr>
          <w:p>
            <w:pPr>
              <w:pStyle w:val="180"/>
              <w:spacing w:line="360" w:lineRule="auto"/>
              <w:rPr>
                <w:rFonts w:ascii="宋体" w:hAnsi="宋体" w:eastAsia="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2631" w:type="dxa"/>
            <w:noWrap w:val="0"/>
            <w:vAlign w:val="center"/>
          </w:tcPr>
          <w:p>
            <w:pPr>
              <w:pStyle w:val="180"/>
              <w:spacing w:line="360" w:lineRule="auto"/>
              <w:rPr>
                <w:rFonts w:hint="eastAsia" w:ascii="宋体" w:hAnsi="宋体" w:eastAsia="宋体"/>
                <w:szCs w:val="21"/>
                <w:highlight w:val="none"/>
              </w:rPr>
            </w:pPr>
            <w:r>
              <w:rPr>
                <w:rFonts w:hint="eastAsia" w:ascii="宋体" w:hAnsi="宋体" w:eastAsia="宋体"/>
                <w:szCs w:val="21"/>
                <w:highlight w:val="none"/>
              </w:rPr>
              <w:t>投保人名称</w:t>
            </w:r>
          </w:p>
        </w:tc>
        <w:tc>
          <w:tcPr>
            <w:tcW w:w="6679" w:type="dxa"/>
            <w:noWrap w:val="0"/>
            <w:vAlign w:val="center"/>
          </w:tcPr>
          <w:p>
            <w:pPr>
              <w:pStyle w:val="180"/>
              <w:spacing w:line="360" w:lineRule="auto"/>
              <w:rPr>
                <w:rFonts w:ascii="宋体" w:hAnsi="宋体" w:eastAsia="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2631" w:type="dxa"/>
            <w:noWrap w:val="0"/>
            <w:vAlign w:val="center"/>
          </w:tcPr>
          <w:p>
            <w:pPr>
              <w:pStyle w:val="180"/>
              <w:spacing w:line="360" w:lineRule="auto"/>
              <w:rPr>
                <w:rFonts w:hint="eastAsia" w:ascii="宋体" w:hAnsi="宋体" w:eastAsia="宋体"/>
                <w:szCs w:val="21"/>
                <w:highlight w:val="none"/>
              </w:rPr>
            </w:pPr>
            <w:r>
              <w:rPr>
                <w:rFonts w:hint="eastAsia" w:ascii="宋体" w:hAnsi="宋体" w:eastAsia="宋体"/>
                <w:szCs w:val="21"/>
                <w:highlight w:val="none"/>
              </w:rPr>
              <w:t>保险地址</w:t>
            </w:r>
          </w:p>
        </w:tc>
        <w:tc>
          <w:tcPr>
            <w:tcW w:w="6679" w:type="dxa"/>
            <w:noWrap w:val="0"/>
            <w:vAlign w:val="center"/>
          </w:tcPr>
          <w:p>
            <w:pPr>
              <w:pStyle w:val="180"/>
              <w:spacing w:line="360" w:lineRule="auto"/>
              <w:rPr>
                <w:rFonts w:ascii="宋体" w:hAnsi="宋体" w:eastAsia="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2631" w:type="dxa"/>
            <w:noWrap w:val="0"/>
            <w:vAlign w:val="center"/>
          </w:tcPr>
          <w:p>
            <w:pPr>
              <w:pStyle w:val="180"/>
              <w:spacing w:line="360" w:lineRule="auto"/>
              <w:rPr>
                <w:rFonts w:hint="eastAsia" w:ascii="宋体" w:hAnsi="宋体" w:eastAsia="宋体"/>
                <w:szCs w:val="21"/>
                <w:highlight w:val="none"/>
              </w:rPr>
            </w:pPr>
            <w:r>
              <w:rPr>
                <w:rFonts w:hint="eastAsia" w:ascii="宋体" w:hAnsi="宋体" w:eastAsia="宋体"/>
                <w:szCs w:val="21"/>
                <w:highlight w:val="none"/>
              </w:rPr>
              <w:t>承保时间</w:t>
            </w:r>
          </w:p>
        </w:tc>
        <w:tc>
          <w:tcPr>
            <w:tcW w:w="6679" w:type="dxa"/>
            <w:noWrap w:val="0"/>
            <w:vAlign w:val="center"/>
          </w:tcPr>
          <w:p>
            <w:pPr>
              <w:pStyle w:val="180"/>
              <w:spacing w:line="360" w:lineRule="auto"/>
              <w:rPr>
                <w:rFonts w:ascii="宋体" w:hAnsi="宋体" w:eastAsia="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2631" w:type="dxa"/>
            <w:noWrap w:val="0"/>
            <w:vAlign w:val="center"/>
          </w:tcPr>
          <w:p>
            <w:pPr>
              <w:pStyle w:val="180"/>
              <w:spacing w:line="360" w:lineRule="auto"/>
              <w:rPr>
                <w:rFonts w:hint="eastAsia" w:ascii="宋体" w:hAnsi="宋体" w:eastAsia="宋体"/>
                <w:szCs w:val="21"/>
                <w:highlight w:val="none"/>
              </w:rPr>
            </w:pPr>
            <w:r>
              <w:rPr>
                <w:rFonts w:hint="eastAsia" w:ascii="宋体" w:hAnsi="宋体" w:eastAsia="宋体"/>
                <w:szCs w:val="21"/>
                <w:highlight w:val="none"/>
              </w:rPr>
              <w:t>保险金额（万元）</w:t>
            </w:r>
          </w:p>
        </w:tc>
        <w:tc>
          <w:tcPr>
            <w:tcW w:w="6679" w:type="dxa"/>
            <w:noWrap w:val="0"/>
            <w:vAlign w:val="center"/>
          </w:tcPr>
          <w:p>
            <w:pPr>
              <w:pStyle w:val="180"/>
              <w:spacing w:line="360" w:lineRule="auto"/>
              <w:rPr>
                <w:rFonts w:ascii="宋体" w:hAnsi="宋体" w:eastAsia="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2631" w:type="dxa"/>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保险期限</w:t>
            </w:r>
          </w:p>
        </w:tc>
        <w:tc>
          <w:tcPr>
            <w:tcW w:w="6679" w:type="dxa"/>
            <w:noWrap w:val="0"/>
            <w:vAlign w:val="center"/>
          </w:tcPr>
          <w:p>
            <w:pPr>
              <w:pStyle w:val="180"/>
              <w:spacing w:line="360" w:lineRule="auto"/>
              <w:rPr>
                <w:rFonts w:ascii="宋体" w:hAnsi="宋体" w:eastAsia="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9310" w:type="dxa"/>
            <w:gridSpan w:val="2"/>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二、项目概况（包括项目类型、投资总额、项目工期等）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19" w:hRule="atLeast"/>
        </w:trPr>
        <w:tc>
          <w:tcPr>
            <w:tcW w:w="9310" w:type="dxa"/>
            <w:gridSpan w:val="2"/>
            <w:noWrap w:val="0"/>
            <w:vAlign w:val="top"/>
          </w:tcPr>
          <w:p>
            <w:pPr>
              <w:pStyle w:val="180"/>
              <w:spacing w:line="360" w:lineRule="auto"/>
              <w:rPr>
                <w:rFonts w:ascii="宋体" w:hAnsi="宋体" w:eastAsia="宋体"/>
                <w:szCs w:val="21"/>
                <w:highlight w:val="none"/>
              </w:rPr>
            </w:pPr>
          </w:p>
          <w:p>
            <w:pPr>
              <w:pStyle w:val="180"/>
              <w:spacing w:line="360" w:lineRule="auto"/>
              <w:rPr>
                <w:rFonts w:hint="eastAsia" w:ascii="宋体" w:hAnsi="宋体" w:eastAsia="宋体"/>
                <w:szCs w:val="21"/>
                <w:highlight w:val="none"/>
              </w:rPr>
            </w:pPr>
          </w:p>
          <w:p>
            <w:pPr>
              <w:pStyle w:val="180"/>
              <w:spacing w:line="360" w:lineRule="auto"/>
              <w:rPr>
                <w:rFonts w:hint="eastAsia" w:ascii="宋体" w:hAnsi="宋体" w:eastAsia="宋体"/>
                <w:szCs w:val="21"/>
                <w:highlight w:val="none"/>
              </w:rPr>
            </w:pPr>
          </w:p>
          <w:p>
            <w:pPr>
              <w:pStyle w:val="180"/>
              <w:spacing w:line="360" w:lineRule="auto"/>
              <w:rPr>
                <w:rFonts w:hint="eastAsia" w:ascii="宋体" w:hAnsi="宋体" w:eastAsia="宋体"/>
                <w:szCs w:val="21"/>
                <w:highlight w:val="none"/>
              </w:rPr>
            </w:pPr>
          </w:p>
          <w:p>
            <w:pPr>
              <w:pStyle w:val="180"/>
              <w:spacing w:line="360" w:lineRule="auto"/>
              <w:rPr>
                <w:rFonts w:hint="eastAsia" w:ascii="宋体" w:hAnsi="宋体" w:eastAsia="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9310" w:type="dxa"/>
            <w:gridSpan w:val="2"/>
            <w:noWrap w:val="0"/>
            <w:vAlign w:val="center"/>
          </w:tcPr>
          <w:p>
            <w:pPr>
              <w:pStyle w:val="180"/>
              <w:spacing w:line="360" w:lineRule="auto"/>
              <w:rPr>
                <w:rFonts w:ascii="宋体" w:hAnsi="宋体" w:eastAsia="宋体"/>
                <w:szCs w:val="21"/>
                <w:highlight w:val="none"/>
              </w:rPr>
            </w:pPr>
            <w:r>
              <w:rPr>
                <w:rFonts w:hint="eastAsia" w:ascii="宋体" w:hAnsi="宋体" w:eastAsia="宋体"/>
                <w:szCs w:val="21"/>
                <w:highlight w:val="none"/>
              </w:rPr>
              <w:t>三、证明文件清单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62" w:hRule="atLeast"/>
        </w:trPr>
        <w:tc>
          <w:tcPr>
            <w:tcW w:w="9310" w:type="dxa"/>
            <w:gridSpan w:val="2"/>
            <w:noWrap w:val="0"/>
            <w:vAlign w:val="top"/>
          </w:tcPr>
          <w:p>
            <w:pPr>
              <w:pStyle w:val="180"/>
              <w:spacing w:line="360" w:lineRule="auto"/>
              <w:rPr>
                <w:rFonts w:hint="eastAsia" w:ascii="宋体" w:hAnsi="宋体" w:eastAsia="宋体"/>
                <w:szCs w:val="21"/>
                <w:highlight w:val="none"/>
              </w:rPr>
            </w:pPr>
          </w:p>
          <w:p>
            <w:pPr>
              <w:pStyle w:val="180"/>
              <w:spacing w:line="360" w:lineRule="auto"/>
              <w:rPr>
                <w:rFonts w:hint="eastAsia" w:ascii="宋体" w:hAnsi="宋体" w:eastAsia="宋体"/>
                <w:szCs w:val="21"/>
                <w:highlight w:val="none"/>
              </w:rPr>
            </w:pPr>
          </w:p>
          <w:p>
            <w:pPr>
              <w:pStyle w:val="180"/>
              <w:spacing w:line="360" w:lineRule="auto"/>
              <w:rPr>
                <w:rFonts w:ascii="宋体" w:hAnsi="宋体" w:eastAsia="宋体"/>
                <w:szCs w:val="21"/>
                <w:highlight w:val="none"/>
              </w:rPr>
            </w:pPr>
          </w:p>
          <w:p>
            <w:pPr>
              <w:pStyle w:val="180"/>
              <w:spacing w:line="360" w:lineRule="auto"/>
              <w:rPr>
                <w:rFonts w:hint="eastAsia" w:ascii="宋体" w:hAnsi="宋体" w:eastAsia="宋体"/>
                <w:szCs w:val="21"/>
                <w:highlight w:val="none"/>
              </w:rPr>
            </w:pPr>
          </w:p>
          <w:p>
            <w:pPr>
              <w:pStyle w:val="180"/>
              <w:spacing w:line="360" w:lineRule="auto"/>
              <w:rPr>
                <w:rFonts w:hint="eastAsia" w:ascii="宋体" w:hAnsi="宋体" w:eastAsia="宋体"/>
                <w:szCs w:val="21"/>
                <w:highlight w:val="none"/>
              </w:rPr>
            </w:pPr>
          </w:p>
        </w:tc>
      </w:tr>
    </w:tbl>
    <w:p>
      <w:pPr>
        <w:pStyle w:val="179"/>
        <w:snapToGrid w:val="0"/>
        <w:spacing w:line="360" w:lineRule="auto"/>
        <w:outlineLvl w:val="9"/>
        <w:rPr>
          <w:rFonts w:hint="eastAsia"/>
          <w:b w:val="0"/>
          <w:color w:val="auto"/>
          <w:highlight w:val="none"/>
        </w:rPr>
      </w:pPr>
    </w:p>
    <w:p>
      <w:pPr>
        <w:pStyle w:val="181"/>
        <w:spacing w:beforeLines="0" w:line="360" w:lineRule="auto"/>
        <w:ind w:left="198" w:hanging="198" w:hangingChars="82"/>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注：</w:t>
      </w:r>
    </w:p>
    <w:p>
      <w:pPr>
        <w:numPr>
          <w:ilvl w:val="0"/>
          <w:numId w:val="0"/>
        </w:numPr>
        <w:tabs>
          <w:tab w:val="left" w:pos="900"/>
        </w:tabs>
        <w:adjustRightInd w:val="0"/>
        <w:snapToGrid w:val="0"/>
        <w:spacing w:line="360" w:lineRule="auto"/>
        <w:ind w:firstLine="422" w:firstLineChars="200"/>
        <w:jc w:val="left"/>
        <w:rPr>
          <w:rFonts w:hint="eastAsia" w:ascii="宋体" w:hAnsi="宋体"/>
          <w:b/>
          <w:szCs w:val="21"/>
          <w:highlight w:val="none"/>
        </w:rPr>
      </w:pPr>
      <w:r>
        <w:rPr>
          <w:rFonts w:hint="eastAsia" w:ascii="宋体" w:hAnsi="宋体"/>
          <w:b/>
          <w:szCs w:val="21"/>
          <w:highlight w:val="none"/>
          <w:lang w:val="en-US" w:eastAsia="zh-CN"/>
        </w:rPr>
        <w:t>1.</w:t>
      </w:r>
      <w:r>
        <w:rPr>
          <w:rFonts w:hint="eastAsia" w:ascii="宋体" w:hAnsi="宋体"/>
          <w:b/>
          <w:szCs w:val="21"/>
          <w:highlight w:val="none"/>
        </w:rPr>
        <w:t>表后应附相关资料（如有）。</w:t>
      </w:r>
    </w:p>
    <w:p>
      <w:pPr>
        <w:adjustRightInd w:val="0"/>
        <w:snapToGrid w:val="0"/>
        <w:spacing w:line="360" w:lineRule="auto"/>
        <w:ind w:firstLine="413" w:firstLineChars="196"/>
        <w:rPr>
          <w:rFonts w:hint="eastAsia" w:ascii="宋体" w:hAnsi="宋体"/>
          <w:szCs w:val="21"/>
          <w:highlight w:val="none"/>
        </w:rPr>
      </w:pPr>
      <w:r>
        <w:rPr>
          <w:rFonts w:hint="eastAsia" w:ascii="宋体" w:hAnsi="宋体"/>
          <w:b/>
          <w:szCs w:val="21"/>
          <w:highlight w:val="none"/>
          <w:lang w:val="en-US" w:eastAsia="zh-CN"/>
        </w:rPr>
        <w:t>2</w:t>
      </w:r>
      <w:r>
        <w:rPr>
          <w:rFonts w:hint="eastAsia" w:ascii="宋体" w:hAnsi="宋体"/>
          <w:b/>
          <w:szCs w:val="21"/>
          <w:highlight w:val="none"/>
        </w:rPr>
        <w:t>.该表可扩展。</w:t>
      </w:r>
    </w:p>
    <w:bookmarkEnd w:id="870"/>
    <w:bookmarkEnd w:id="871"/>
    <w:p>
      <w:pPr>
        <w:adjustRightInd w:val="0"/>
        <w:snapToGrid w:val="0"/>
        <w:spacing w:line="360" w:lineRule="auto"/>
        <w:ind w:firstLine="0" w:firstLineChars="0"/>
        <w:rPr>
          <w:rFonts w:hint="eastAsia" w:ascii="宋体" w:hAnsi="宋体"/>
          <w:b/>
          <w:bCs/>
          <w:snapToGrid w:val="0"/>
          <w:szCs w:val="21"/>
          <w:highlight w:val="none"/>
        </w:rPr>
        <w:sectPr>
          <w:pgSz w:w="11920" w:h="16840"/>
          <w:pgMar w:top="1304" w:right="1304" w:bottom="1304" w:left="1304" w:header="720" w:footer="720" w:gutter="0"/>
          <w:pgBorders>
            <w:top w:val="none" w:sz="0" w:space="0"/>
            <w:left w:val="none" w:sz="0" w:space="0"/>
            <w:bottom w:val="none" w:sz="0" w:space="0"/>
            <w:right w:val="none" w:sz="0" w:space="0"/>
          </w:pgBorders>
          <w:cols w:space="720" w:num="1"/>
          <w:rtlGutter w:val="0"/>
          <w:docGrid w:linePitch="0" w:charSpace="0"/>
        </w:sectPr>
      </w:pPr>
      <w:bookmarkStart w:id="892" w:name="_Toc89052439"/>
      <w:bookmarkStart w:id="893" w:name="_Toc89052440"/>
      <w:bookmarkStart w:id="894" w:name="_Toc89052565"/>
      <w:bookmarkStart w:id="895" w:name="_Toc89052564"/>
    </w:p>
    <w:bookmarkEnd w:id="892"/>
    <w:bookmarkEnd w:id="893"/>
    <w:bookmarkEnd w:id="894"/>
    <w:bookmarkEnd w:id="895"/>
    <w:p>
      <w:pPr>
        <w:pStyle w:val="7"/>
        <w:adjustRightInd w:val="0"/>
        <w:snapToGrid w:val="0"/>
        <w:spacing w:before="0" w:after="0" w:line="360" w:lineRule="auto"/>
        <w:jc w:val="center"/>
        <w:rPr>
          <w:rFonts w:hint="eastAsia" w:ascii="宋体" w:hAnsi="宋体" w:eastAsia="宋体"/>
          <w:highlight w:val="none"/>
          <w:lang w:eastAsia="zh-CN"/>
        </w:rPr>
      </w:pPr>
      <w:bookmarkStart w:id="896" w:name="_Toc89052441"/>
      <w:bookmarkStart w:id="897" w:name="_Toc26572"/>
      <w:bookmarkStart w:id="898" w:name="_Toc90779480"/>
      <w:bookmarkStart w:id="899" w:name="_Toc29271"/>
      <w:bookmarkStart w:id="900" w:name="_Toc90022630"/>
      <w:bookmarkStart w:id="901" w:name="_Toc4139020"/>
      <w:bookmarkStart w:id="902" w:name="_Toc221383660"/>
      <w:bookmarkStart w:id="903" w:name="_Toc257735676"/>
      <w:bookmarkStart w:id="904" w:name="_Toc1770"/>
      <w:bookmarkStart w:id="905" w:name="_Toc31051"/>
      <w:bookmarkStart w:id="906" w:name="_Toc4831"/>
      <w:bookmarkStart w:id="907" w:name="_Toc89052566"/>
      <w:r>
        <w:rPr>
          <w:rFonts w:hint="eastAsia" w:ascii="宋体" w:hAnsi="宋体"/>
          <w:b w:val="0"/>
          <w:szCs w:val="21"/>
          <w:highlight w:val="none"/>
          <w:lang w:val="en-US" w:eastAsia="zh-CN"/>
        </w:rPr>
        <w:t>3</w:t>
      </w:r>
      <w:r>
        <w:rPr>
          <w:rFonts w:hint="eastAsia" w:ascii="宋体" w:hAnsi="宋体"/>
          <w:highlight w:val="none"/>
        </w:rPr>
        <w:t>、</w:t>
      </w:r>
      <w:r>
        <w:rPr>
          <w:rFonts w:hint="eastAsia" w:ascii="宋体" w:hAnsi="宋体"/>
          <w:highlight w:val="none"/>
          <w:lang w:eastAsia="zh-CN"/>
        </w:rPr>
        <w:t>报价人</w:t>
      </w:r>
      <w:bookmarkEnd w:id="896"/>
      <w:bookmarkEnd w:id="897"/>
      <w:bookmarkEnd w:id="898"/>
      <w:bookmarkEnd w:id="899"/>
      <w:bookmarkEnd w:id="900"/>
      <w:bookmarkEnd w:id="901"/>
      <w:bookmarkEnd w:id="902"/>
      <w:bookmarkEnd w:id="903"/>
      <w:bookmarkEnd w:id="904"/>
      <w:bookmarkEnd w:id="905"/>
      <w:bookmarkEnd w:id="906"/>
      <w:bookmarkEnd w:id="907"/>
      <w:r>
        <w:rPr>
          <w:rFonts w:hint="eastAsia" w:ascii="宋体" w:hAnsi="宋体"/>
          <w:highlight w:val="none"/>
          <w:lang w:val="en-US" w:eastAsia="zh-CN"/>
        </w:rPr>
        <w:t>人员</w:t>
      </w:r>
    </w:p>
    <w:p>
      <w:pPr>
        <w:pStyle w:val="8"/>
        <w:jc w:val="center"/>
        <w:rPr>
          <w:rFonts w:ascii="宋体" w:hAnsi="宋体"/>
          <w:color w:val="auto"/>
          <w:szCs w:val="22"/>
          <w:highlight w:val="none"/>
        </w:rPr>
      </w:pPr>
      <w:bookmarkStart w:id="908" w:name="_Toc90779485"/>
      <w:bookmarkStart w:id="909" w:name="_Toc70416573"/>
      <w:bookmarkStart w:id="910" w:name="_Toc27015"/>
      <w:bookmarkStart w:id="911" w:name="_Toc89052445"/>
      <w:bookmarkStart w:id="912" w:name="_Toc225582762"/>
      <w:bookmarkStart w:id="913" w:name="_Toc23248"/>
      <w:bookmarkStart w:id="914" w:name="_Toc90022635"/>
      <w:bookmarkStart w:id="915" w:name="_Toc89052570"/>
      <w:r>
        <w:rPr>
          <w:rFonts w:hint="eastAsia" w:ascii="宋体" w:hAnsi="宋体"/>
          <w:color w:val="auto"/>
          <w:szCs w:val="22"/>
          <w:highlight w:val="none"/>
        </w:rPr>
        <w:t>（1）</w:t>
      </w:r>
      <w:bookmarkEnd w:id="908"/>
      <w:bookmarkEnd w:id="909"/>
      <w:bookmarkEnd w:id="910"/>
      <w:bookmarkEnd w:id="911"/>
      <w:bookmarkEnd w:id="912"/>
      <w:bookmarkEnd w:id="913"/>
      <w:bookmarkEnd w:id="914"/>
      <w:bookmarkEnd w:id="915"/>
      <w:bookmarkStart w:id="916" w:name="_Toc225582764"/>
      <w:bookmarkStart w:id="917" w:name="_Toc6548"/>
      <w:bookmarkStart w:id="918" w:name="_Toc7140"/>
      <w:bookmarkStart w:id="919" w:name="_Toc90022636"/>
      <w:bookmarkStart w:id="920" w:name="_Toc90779486"/>
      <w:bookmarkStart w:id="921" w:name="_Toc225582763"/>
      <w:r>
        <w:rPr>
          <w:rFonts w:hint="eastAsia" w:ascii="宋体" w:hAnsi="宋体"/>
          <w:color w:val="auto"/>
          <w:szCs w:val="22"/>
          <w:highlight w:val="none"/>
        </w:rPr>
        <w:t>项目</w:t>
      </w:r>
      <w:bookmarkEnd w:id="916"/>
      <w:r>
        <w:rPr>
          <w:rFonts w:hint="eastAsia" w:ascii="宋体" w:hAnsi="宋体"/>
          <w:color w:val="auto"/>
          <w:szCs w:val="22"/>
          <w:highlight w:val="none"/>
        </w:rPr>
        <w:t>拟派项目负责人员情况</w:t>
      </w:r>
      <w:bookmarkEnd w:id="917"/>
      <w:bookmarkEnd w:id="918"/>
    </w:p>
    <w:p>
      <w:pPr>
        <w:pStyle w:val="15"/>
        <w:adjustRightInd w:val="0"/>
        <w:snapToGrid w:val="0"/>
        <w:spacing w:before="0" w:beforeLines="0"/>
        <w:ind w:firstLine="0" w:firstLineChars="0"/>
        <w:rPr>
          <w:rFonts w:ascii="宋体" w:hAnsi="宋体"/>
          <w:b/>
          <w:highlight w:val="none"/>
        </w:rPr>
      </w:pPr>
    </w:p>
    <w:tbl>
      <w:tblPr>
        <w:tblStyle w:val="45"/>
        <w:tblpPr w:leftFromText="180" w:rightFromText="180" w:vertAnchor="text" w:horzAnchor="margin" w:tblpXSpec="center" w:tblpY="78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88"/>
        <w:gridCol w:w="1020"/>
        <w:gridCol w:w="1733"/>
        <w:gridCol w:w="1290"/>
        <w:gridCol w:w="1321"/>
        <w:gridCol w:w="19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537" w:type="dxa"/>
            <w:noWrap w:val="0"/>
            <w:vAlign w:val="center"/>
          </w:tcPr>
          <w:p>
            <w:pPr>
              <w:adjustRightInd w:val="0"/>
              <w:snapToGrid w:val="0"/>
              <w:spacing w:line="360" w:lineRule="auto"/>
              <w:rPr>
                <w:rFonts w:ascii="宋体" w:hAnsi="宋体"/>
                <w:highlight w:val="none"/>
              </w:rPr>
            </w:pPr>
            <w:r>
              <w:rPr>
                <w:rFonts w:hint="eastAsia" w:ascii="宋体" w:hAnsi="宋体"/>
                <w:highlight w:val="none"/>
              </w:rPr>
              <w:t>序号</w:t>
            </w:r>
          </w:p>
        </w:tc>
        <w:tc>
          <w:tcPr>
            <w:tcW w:w="1288" w:type="dxa"/>
            <w:noWrap w:val="0"/>
            <w:vAlign w:val="center"/>
          </w:tcPr>
          <w:p>
            <w:pPr>
              <w:adjustRightInd w:val="0"/>
              <w:snapToGrid w:val="0"/>
              <w:spacing w:line="360" w:lineRule="auto"/>
              <w:jc w:val="center"/>
              <w:rPr>
                <w:rFonts w:ascii="宋体" w:hAnsi="宋体"/>
                <w:highlight w:val="none"/>
              </w:rPr>
            </w:pPr>
            <w:r>
              <w:rPr>
                <w:rFonts w:hint="eastAsia" w:ascii="宋体" w:hAnsi="宋体"/>
                <w:highlight w:val="none"/>
              </w:rPr>
              <w:t>姓名</w:t>
            </w:r>
          </w:p>
        </w:tc>
        <w:tc>
          <w:tcPr>
            <w:tcW w:w="1020" w:type="dxa"/>
            <w:noWrap w:val="0"/>
            <w:vAlign w:val="center"/>
          </w:tcPr>
          <w:p>
            <w:pPr>
              <w:adjustRightInd w:val="0"/>
              <w:snapToGrid w:val="0"/>
              <w:spacing w:line="360" w:lineRule="auto"/>
              <w:jc w:val="center"/>
              <w:rPr>
                <w:rFonts w:ascii="宋体" w:hAnsi="宋体"/>
                <w:highlight w:val="none"/>
              </w:rPr>
            </w:pPr>
            <w:r>
              <w:rPr>
                <w:rFonts w:hint="eastAsia" w:ascii="宋体" w:hAnsi="宋体"/>
                <w:highlight w:val="none"/>
              </w:rPr>
              <w:t>年龄</w:t>
            </w:r>
          </w:p>
        </w:tc>
        <w:tc>
          <w:tcPr>
            <w:tcW w:w="1733" w:type="dxa"/>
            <w:noWrap w:val="0"/>
            <w:vAlign w:val="center"/>
          </w:tcPr>
          <w:p>
            <w:pPr>
              <w:adjustRightInd w:val="0"/>
              <w:snapToGrid w:val="0"/>
              <w:spacing w:line="360" w:lineRule="auto"/>
              <w:jc w:val="center"/>
              <w:rPr>
                <w:rFonts w:ascii="宋体" w:hAnsi="宋体"/>
                <w:highlight w:val="none"/>
              </w:rPr>
            </w:pPr>
            <w:r>
              <w:rPr>
                <w:rFonts w:hint="eastAsia" w:ascii="宋体" w:hAnsi="宋体"/>
                <w:highlight w:val="none"/>
              </w:rPr>
              <w:t>服务时间</w:t>
            </w:r>
          </w:p>
        </w:tc>
        <w:tc>
          <w:tcPr>
            <w:tcW w:w="1290" w:type="dxa"/>
            <w:noWrap w:val="0"/>
            <w:vAlign w:val="center"/>
          </w:tcPr>
          <w:p>
            <w:pPr>
              <w:adjustRightInd w:val="0"/>
              <w:snapToGrid w:val="0"/>
              <w:spacing w:line="360" w:lineRule="auto"/>
              <w:jc w:val="center"/>
              <w:rPr>
                <w:rFonts w:ascii="宋体" w:hAnsi="宋体"/>
                <w:highlight w:val="none"/>
              </w:rPr>
            </w:pPr>
            <w:r>
              <w:rPr>
                <w:rFonts w:hint="eastAsia" w:ascii="宋体" w:hAnsi="宋体"/>
                <w:highlight w:val="none"/>
              </w:rPr>
              <w:t>职务</w:t>
            </w:r>
          </w:p>
        </w:tc>
        <w:tc>
          <w:tcPr>
            <w:tcW w:w="1321" w:type="dxa"/>
            <w:noWrap w:val="0"/>
            <w:vAlign w:val="center"/>
          </w:tcPr>
          <w:p>
            <w:pPr>
              <w:adjustRightInd w:val="0"/>
              <w:snapToGrid w:val="0"/>
              <w:spacing w:line="360" w:lineRule="auto"/>
              <w:jc w:val="center"/>
              <w:rPr>
                <w:rFonts w:ascii="宋体" w:hAnsi="宋体"/>
                <w:highlight w:val="none"/>
              </w:rPr>
            </w:pPr>
            <w:r>
              <w:rPr>
                <w:rFonts w:hint="eastAsia" w:ascii="宋体" w:hAnsi="宋体"/>
                <w:highlight w:val="none"/>
              </w:rPr>
              <w:t>在项目组中的职务</w:t>
            </w:r>
          </w:p>
        </w:tc>
        <w:tc>
          <w:tcPr>
            <w:tcW w:w="1920" w:type="dxa"/>
            <w:noWrap w:val="0"/>
            <w:vAlign w:val="center"/>
          </w:tcPr>
          <w:p>
            <w:pPr>
              <w:adjustRightInd w:val="0"/>
              <w:snapToGrid w:val="0"/>
              <w:spacing w:line="360" w:lineRule="auto"/>
              <w:jc w:val="center"/>
              <w:rPr>
                <w:rFonts w:ascii="宋体" w:hAnsi="宋体"/>
                <w:highlight w:val="none"/>
              </w:rPr>
            </w:pPr>
            <w:r>
              <w:rPr>
                <w:rFonts w:hint="eastAsia" w:ascii="宋体" w:hAnsi="宋体"/>
                <w:bCs/>
                <w:szCs w:val="21"/>
                <w:highlight w:val="none"/>
              </w:rPr>
              <w:t>主要责任范围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537" w:type="dxa"/>
            <w:noWrap w:val="0"/>
            <w:vAlign w:val="center"/>
          </w:tcPr>
          <w:p>
            <w:pPr>
              <w:adjustRightInd w:val="0"/>
              <w:snapToGrid w:val="0"/>
              <w:spacing w:line="360" w:lineRule="auto"/>
              <w:jc w:val="center"/>
              <w:rPr>
                <w:rFonts w:ascii="宋体" w:hAnsi="宋体"/>
                <w:highlight w:val="none"/>
              </w:rPr>
            </w:pPr>
          </w:p>
        </w:tc>
        <w:tc>
          <w:tcPr>
            <w:tcW w:w="1288" w:type="dxa"/>
            <w:noWrap w:val="0"/>
            <w:vAlign w:val="center"/>
          </w:tcPr>
          <w:p>
            <w:pPr>
              <w:adjustRightInd w:val="0"/>
              <w:snapToGrid w:val="0"/>
              <w:spacing w:line="360" w:lineRule="auto"/>
              <w:jc w:val="center"/>
              <w:rPr>
                <w:rFonts w:ascii="宋体" w:hAnsi="宋体"/>
                <w:highlight w:val="none"/>
              </w:rPr>
            </w:pPr>
          </w:p>
        </w:tc>
        <w:tc>
          <w:tcPr>
            <w:tcW w:w="1020" w:type="dxa"/>
            <w:noWrap w:val="0"/>
            <w:vAlign w:val="center"/>
          </w:tcPr>
          <w:p>
            <w:pPr>
              <w:adjustRightInd w:val="0"/>
              <w:snapToGrid w:val="0"/>
              <w:spacing w:line="360" w:lineRule="auto"/>
              <w:jc w:val="center"/>
              <w:rPr>
                <w:rFonts w:ascii="宋体" w:hAnsi="宋体"/>
                <w:highlight w:val="none"/>
              </w:rPr>
            </w:pPr>
          </w:p>
        </w:tc>
        <w:tc>
          <w:tcPr>
            <w:tcW w:w="1733" w:type="dxa"/>
            <w:noWrap w:val="0"/>
            <w:vAlign w:val="center"/>
          </w:tcPr>
          <w:p>
            <w:pPr>
              <w:adjustRightInd w:val="0"/>
              <w:snapToGrid w:val="0"/>
              <w:spacing w:line="360" w:lineRule="auto"/>
              <w:jc w:val="center"/>
              <w:rPr>
                <w:rFonts w:ascii="宋体" w:hAnsi="宋体"/>
                <w:highlight w:val="none"/>
              </w:rPr>
            </w:pPr>
          </w:p>
        </w:tc>
        <w:tc>
          <w:tcPr>
            <w:tcW w:w="1290" w:type="dxa"/>
            <w:noWrap w:val="0"/>
            <w:vAlign w:val="center"/>
          </w:tcPr>
          <w:p>
            <w:pPr>
              <w:adjustRightInd w:val="0"/>
              <w:snapToGrid w:val="0"/>
              <w:spacing w:line="360" w:lineRule="auto"/>
              <w:jc w:val="center"/>
              <w:rPr>
                <w:rFonts w:ascii="宋体" w:hAnsi="宋体"/>
                <w:highlight w:val="none"/>
              </w:rPr>
            </w:pPr>
          </w:p>
        </w:tc>
        <w:tc>
          <w:tcPr>
            <w:tcW w:w="1321" w:type="dxa"/>
            <w:noWrap w:val="0"/>
            <w:vAlign w:val="center"/>
          </w:tcPr>
          <w:p>
            <w:pPr>
              <w:adjustRightInd w:val="0"/>
              <w:snapToGrid w:val="0"/>
              <w:spacing w:line="360" w:lineRule="auto"/>
              <w:jc w:val="center"/>
              <w:rPr>
                <w:rFonts w:ascii="宋体" w:hAnsi="宋体"/>
                <w:highlight w:val="none"/>
              </w:rPr>
            </w:pPr>
          </w:p>
        </w:tc>
        <w:tc>
          <w:tcPr>
            <w:tcW w:w="1920" w:type="dxa"/>
            <w:noWrap w:val="0"/>
            <w:vAlign w:val="center"/>
          </w:tcPr>
          <w:p>
            <w:pPr>
              <w:adjustRightInd w:val="0"/>
              <w:snapToGrid w:val="0"/>
              <w:spacing w:line="360" w:lineRule="auto"/>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537" w:type="dxa"/>
            <w:noWrap w:val="0"/>
            <w:vAlign w:val="center"/>
          </w:tcPr>
          <w:p>
            <w:pPr>
              <w:adjustRightInd w:val="0"/>
              <w:snapToGrid w:val="0"/>
              <w:spacing w:line="360" w:lineRule="auto"/>
              <w:jc w:val="center"/>
              <w:rPr>
                <w:rFonts w:ascii="宋体" w:hAnsi="宋体"/>
                <w:highlight w:val="none"/>
              </w:rPr>
            </w:pPr>
          </w:p>
        </w:tc>
        <w:tc>
          <w:tcPr>
            <w:tcW w:w="1288" w:type="dxa"/>
            <w:noWrap w:val="0"/>
            <w:vAlign w:val="center"/>
          </w:tcPr>
          <w:p>
            <w:pPr>
              <w:adjustRightInd w:val="0"/>
              <w:snapToGrid w:val="0"/>
              <w:spacing w:line="360" w:lineRule="auto"/>
              <w:jc w:val="center"/>
              <w:rPr>
                <w:rFonts w:ascii="宋体" w:hAnsi="宋体"/>
                <w:highlight w:val="none"/>
              </w:rPr>
            </w:pPr>
          </w:p>
        </w:tc>
        <w:tc>
          <w:tcPr>
            <w:tcW w:w="1020" w:type="dxa"/>
            <w:noWrap w:val="0"/>
            <w:vAlign w:val="center"/>
          </w:tcPr>
          <w:p>
            <w:pPr>
              <w:adjustRightInd w:val="0"/>
              <w:snapToGrid w:val="0"/>
              <w:spacing w:line="360" w:lineRule="auto"/>
              <w:jc w:val="center"/>
              <w:rPr>
                <w:rFonts w:ascii="宋体" w:hAnsi="宋体"/>
                <w:highlight w:val="none"/>
              </w:rPr>
            </w:pPr>
          </w:p>
        </w:tc>
        <w:tc>
          <w:tcPr>
            <w:tcW w:w="1733" w:type="dxa"/>
            <w:noWrap w:val="0"/>
            <w:vAlign w:val="center"/>
          </w:tcPr>
          <w:p>
            <w:pPr>
              <w:adjustRightInd w:val="0"/>
              <w:snapToGrid w:val="0"/>
              <w:spacing w:line="360" w:lineRule="auto"/>
              <w:jc w:val="center"/>
              <w:rPr>
                <w:rFonts w:ascii="宋体" w:hAnsi="宋体"/>
                <w:highlight w:val="none"/>
              </w:rPr>
            </w:pPr>
          </w:p>
        </w:tc>
        <w:tc>
          <w:tcPr>
            <w:tcW w:w="1290" w:type="dxa"/>
            <w:noWrap w:val="0"/>
            <w:vAlign w:val="center"/>
          </w:tcPr>
          <w:p>
            <w:pPr>
              <w:adjustRightInd w:val="0"/>
              <w:snapToGrid w:val="0"/>
              <w:spacing w:line="360" w:lineRule="auto"/>
              <w:jc w:val="center"/>
              <w:rPr>
                <w:rFonts w:ascii="宋体" w:hAnsi="宋体"/>
                <w:highlight w:val="none"/>
              </w:rPr>
            </w:pPr>
          </w:p>
        </w:tc>
        <w:tc>
          <w:tcPr>
            <w:tcW w:w="1321" w:type="dxa"/>
            <w:noWrap w:val="0"/>
            <w:vAlign w:val="center"/>
          </w:tcPr>
          <w:p>
            <w:pPr>
              <w:adjustRightInd w:val="0"/>
              <w:snapToGrid w:val="0"/>
              <w:spacing w:line="360" w:lineRule="auto"/>
              <w:jc w:val="center"/>
              <w:rPr>
                <w:rFonts w:ascii="宋体" w:hAnsi="宋体"/>
                <w:highlight w:val="none"/>
              </w:rPr>
            </w:pPr>
          </w:p>
        </w:tc>
        <w:tc>
          <w:tcPr>
            <w:tcW w:w="1920" w:type="dxa"/>
            <w:noWrap w:val="0"/>
            <w:vAlign w:val="center"/>
          </w:tcPr>
          <w:p>
            <w:pPr>
              <w:adjustRightInd w:val="0"/>
              <w:snapToGrid w:val="0"/>
              <w:spacing w:line="360" w:lineRule="auto"/>
              <w:jc w:val="center"/>
              <w:rPr>
                <w:rFonts w:ascii="宋体" w:hAns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537" w:type="dxa"/>
            <w:noWrap w:val="0"/>
            <w:vAlign w:val="center"/>
          </w:tcPr>
          <w:p>
            <w:pPr>
              <w:adjustRightInd w:val="0"/>
              <w:snapToGrid w:val="0"/>
              <w:spacing w:line="360" w:lineRule="auto"/>
              <w:jc w:val="center"/>
              <w:rPr>
                <w:rFonts w:ascii="宋体" w:hAnsi="宋体"/>
                <w:highlight w:val="none"/>
              </w:rPr>
            </w:pPr>
          </w:p>
        </w:tc>
        <w:tc>
          <w:tcPr>
            <w:tcW w:w="1288" w:type="dxa"/>
            <w:noWrap w:val="0"/>
            <w:vAlign w:val="center"/>
          </w:tcPr>
          <w:p>
            <w:pPr>
              <w:adjustRightInd w:val="0"/>
              <w:snapToGrid w:val="0"/>
              <w:spacing w:line="360" w:lineRule="auto"/>
              <w:jc w:val="center"/>
              <w:rPr>
                <w:rFonts w:ascii="宋体" w:hAnsi="宋体"/>
                <w:highlight w:val="none"/>
              </w:rPr>
            </w:pPr>
          </w:p>
        </w:tc>
        <w:tc>
          <w:tcPr>
            <w:tcW w:w="1020" w:type="dxa"/>
            <w:noWrap w:val="0"/>
            <w:vAlign w:val="center"/>
          </w:tcPr>
          <w:p>
            <w:pPr>
              <w:adjustRightInd w:val="0"/>
              <w:snapToGrid w:val="0"/>
              <w:spacing w:line="360" w:lineRule="auto"/>
              <w:jc w:val="center"/>
              <w:rPr>
                <w:rFonts w:ascii="宋体" w:hAnsi="宋体"/>
                <w:highlight w:val="none"/>
              </w:rPr>
            </w:pPr>
          </w:p>
        </w:tc>
        <w:tc>
          <w:tcPr>
            <w:tcW w:w="1733" w:type="dxa"/>
            <w:noWrap w:val="0"/>
            <w:vAlign w:val="center"/>
          </w:tcPr>
          <w:p>
            <w:pPr>
              <w:adjustRightInd w:val="0"/>
              <w:snapToGrid w:val="0"/>
              <w:spacing w:line="360" w:lineRule="auto"/>
              <w:jc w:val="center"/>
              <w:rPr>
                <w:rFonts w:ascii="宋体" w:hAnsi="宋体"/>
                <w:highlight w:val="none"/>
              </w:rPr>
            </w:pPr>
          </w:p>
        </w:tc>
        <w:tc>
          <w:tcPr>
            <w:tcW w:w="1290" w:type="dxa"/>
            <w:noWrap w:val="0"/>
            <w:vAlign w:val="center"/>
          </w:tcPr>
          <w:p>
            <w:pPr>
              <w:adjustRightInd w:val="0"/>
              <w:snapToGrid w:val="0"/>
              <w:spacing w:line="360" w:lineRule="auto"/>
              <w:jc w:val="center"/>
              <w:rPr>
                <w:rFonts w:ascii="宋体" w:hAnsi="宋体"/>
                <w:highlight w:val="none"/>
              </w:rPr>
            </w:pPr>
          </w:p>
        </w:tc>
        <w:tc>
          <w:tcPr>
            <w:tcW w:w="1321" w:type="dxa"/>
            <w:noWrap w:val="0"/>
            <w:vAlign w:val="center"/>
          </w:tcPr>
          <w:p>
            <w:pPr>
              <w:adjustRightInd w:val="0"/>
              <w:snapToGrid w:val="0"/>
              <w:spacing w:line="360" w:lineRule="auto"/>
              <w:jc w:val="center"/>
              <w:rPr>
                <w:rFonts w:ascii="宋体" w:hAnsi="宋体"/>
                <w:highlight w:val="none"/>
              </w:rPr>
            </w:pPr>
          </w:p>
        </w:tc>
        <w:tc>
          <w:tcPr>
            <w:tcW w:w="1920" w:type="dxa"/>
            <w:noWrap w:val="0"/>
            <w:vAlign w:val="center"/>
          </w:tcPr>
          <w:p>
            <w:pPr>
              <w:adjustRightInd w:val="0"/>
              <w:snapToGrid w:val="0"/>
              <w:spacing w:line="360" w:lineRule="auto"/>
              <w:jc w:val="center"/>
              <w:rPr>
                <w:rFonts w:ascii="宋体" w:hAnsi="宋体"/>
                <w:highlight w:val="none"/>
              </w:rPr>
            </w:pPr>
          </w:p>
        </w:tc>
      </w:tr>
    </w:tbl>
    <w:p>
      <w:pPr>
        <w:pStyle w:val="31"/>
        <w:widowControl/>
        <w:adjustRightInd w:val="0"/>
        <w:snapToGrid w:val="0"/>
        <w:spacing w:line="360" w:lineRule="auto"/>
        <w:ind w:left="174" w:hanging="174" w:hangingChars="83"/>
        <w:jc w:val="center"/>
        <w:rPr>
          <w:rFonts w:ascii="宋体" w:hAnsi="宋体"/>
          <w:szCs w:val="21"/>
          <w:highlight w:val="none"/>
        </w:rPr>
      </w:pPr>
      <w:r>
        <w:rPr>
          <w:rFonts w:hint="eastAsia" w:ascii="宋体" w:hAnsi="宋体"/>
          <w:szCs w:val="21"/>
          <w:highlight w:val="none"/>
        </w:rPr>
        <w:t>本项目拟派项目负责人员一览表</w:t>
      </w:r>
    </w:p>
    <w:p>
      <w:pPr>
        <w:pStyle w:val="31"/>
        <w:widowControl/>
        <w:adjustRightInd w:val="0"/>
        <w:snapToGrid w:val="0"/>
        <w:spacing w:line="360" w:lineRule="auto"/>
        <w:ind w:left="174" w:hanging="174" w:hangingChars="83"/>
        <w:jc w:val="center"/>
        <w:rPr>
          <w:rFonts w:ascii="宋体" w:hAnsi="宋体"/>
          <w:szCs w:val="21"/>
          <w:highlight w:val="none"/>
        </w:rPr>
      </w:pPr>
    </w:p>
    <w:p>
      <w:pPr>
        <w:adjustRightInd w:val="0"/>
        <w:snapToGrid w:val="0"/>
        <w:spacing w:line="360" w:lineRule="auto"/>
        <w:ind w:firstLine="181"/>
        <w:rPr>
          <w:rFonts w:ascii="宋体" w:hAnsi="宋体"/>
          <w:b/>
          <w:szCs w:val="21"/>
          <w:highlight w:val="none"/>
        </w:rPr>
      </w:pPr>
      <w:r>
        <w:rPr>
          <w:rFonts w:hint="eastAsia" w:ascii="宋体" w:hAnsi="宋体"/>
          <w:b/>
          <w:szCs w:val="21"/>
          <w:highlight w:val="none"/>
        </w:rPr>
        <w:t>注：1.“服务时间”仅指在投标单位服务的时间。</w:t>
      </w:r>
    </w:p>
    <w:p>
      <w:pPr>
        <w:pStyle w:val="31"/>
        <w:widowControl/>
        <w:adjustRightInd w:val="0"/>
        <w:snapToGrid w:val="0"/>
        <w:spacing w:line="360" w:lineRule="auto"/>
        <w:ind w:left="0" w:firstLine="632" w:firstLineChars="300"/>
        <w:rPr>
          <w:rFonts w:hint="eastAsia" w:ascii="宋体" w:hAnsi="宋体"/>
          <w:b/>
          <w:bCs/>
          <w:szCs w:val="21"/>
          <w:highlight w:val="none"/>
        </w:rPr>
      </w:pPr>
      <w:r>
        <w:rPr>
          <w:rFonts w:hint="eastAsia" w:ascii="宋体" w:hAnsi="宋体"/>
          <w:b/>
          <w:bCs/>
          <w:szCs w:val="21"/>
          <w:highlight w:val="none"/>
        </w:rPr>
        <w:t>2</w:t>
      </w:r>
      <w:r>
        <w:rPr>
          <w:rFonts w:ascii="宋体" w:hAnsi="宋体"/>
          <w:b/>
          <w:bCs/>
          <w:szCs w:val="21"/>
          <w:highlight w:val="none"/>
        </w:rPr>
        <w:t>.</w:t>
      </w:r>
      <w:r>
        <w:rPr>
          <w:rFonts w:hint="eastAsia" w:ascii="宋体" w:hAnsi="宋体"/>
          <w:b/>
          <w:bCs/>
          <w:szCs w:val="21"/>
          <w:highlight w:val="none"/>
          <w:lang w:eastAsia="zh-CN"/>
        </w:rPr>
        <w:t>报价人</w:t>
      </w:r>
      <w:r>
        <w:rPr>
          <w:rFonts w:hint="eastAsia" w:ascii="宋体" w:hAnsi="宋体"/>
          <w:b/>
          <w:bCs/>
          <w:szCs w:val="21"/>
          <w:highlight w:val="none"/>
        </w:rPr>
        <w:t>可适当调整和增加该表格式，但不得减少信息内容。</w:t>
      </w:r>
    </w:p>
    <w:p>
      <w:pPr>
        <w:adjustRightInd w:val="0"/>
        <w:snapToGrid w:val="0"/>
        <w:spacing w:line="360" w:lineRule="auto"/>
        <w:ind w:firstLine="632" w:firstLineChars="300"/>
        <w:jc w:val="left"/>
        <w:rPr>
          <w:rFonts w:hint="eastAsia" w:ascii="宋体" w:hAnsi="宋体"/>
          <w:b/>
          <w:szCs w:val="21"/>
          <w:highlight w:val="none"/>
          <w:lang w:val="zh-CN"/>
        </w:rPr>
      </w:pPr>
      <w:r>
        <w:rPr>
          <w:rFonts w:hint="eastAsia" w:ascii="宋体" w:hAnsi="宋体"/>
          <w:b/>
          <w:szCs w:val="21"/>
          <w:highlight w:val="none"/>
        </w:rPr>
        <w:t>3.表后应附相关资料（如有）。</w:t>
      </w:r>
    </w:p>
    <w:p>
      <w:pPr>
        <w:adjustRightInd w:val="0"/>
        <w:snapToGrid w:val="0"/>
        <w:spacing w:line="360" w:lineRule="auto"/>
        <w:ind w:firstLine="3360" w:firstLineChars="1600"/>
        <w:jc w:val="left"/>
        <w:rPr>
          <w:rFonts w:hint="eastAsia" w:ascii="宋体" w:hAnsi="宋体"/>
          <w:szCs w:val="21"/>
          <w:highlight w:val="none"/>
        </w:rPr>
      </w:pPr>
    </w:p>
    <w:p>
      <w:pPr>
        <w:adjustRightInd w:val="0"/>
        <w:snapToGrid w:val="0"/>
        <w:spacing w:line="360" w:lineRule="auto"/>
        <w:ind w:firstLine="3360" w:firstLineChars="1600"/>
        <w:jc w:val="left"/>
        <w:rPr>
          <w:rFonts w:hint="eastAsia" w:ascii="宋体" w:hAnsi="宋体"/>
          <w:szCs w:val="21"/>
          <w:highlight w:val="none"/>
        </w:rPr>
      </w:pPr>
    </w:p>
    <w:p>
      <w:pPr>
        <w:adjustRightInd w:val="0"/>
        <w:snapToGrid w:val="0"/>
        <w:spacing w:line="360" w:lineRule="auto"/>
        <w:ind w:firstLine="3360" w:firstLineChars="1600"/>
        <w:jc w:val="left"/>
        <w:rPr>
          <w:rFonts w:hint="eastAsia" w:ascii="宋体" w:hAnsi="宋体"/>
          <w:szCs w:val="21"/>
          <w:highlight w:val="none"/>
        </w:rPr>
      </w:pPr>
    </w:p>
    <w:p>
      <w:pPr>
        <w:adjustRightInd w:val="0"/>
        <w:snapToGrid w:val="0"/>
        <w:spacing w:line="360" w:lineRule="auto"/>
        <w:ind w:firstLine="3360" w:firstLineChars="1600"/>
        <w:jc w:val="left"/>
        <w:rPr>
          <w:rFonts w:hint="eastAsia" w:ascii="宋体" w:hAnsi="宋体"/>
          <w:szCs w:val="21"/>
          <w:highlight w:val="none"/>
        </w:rPr>
      </w:pPr>
      <w:r>
        <w:rPr>
          <w:rFonts w:hint="eastAsia" w:ascii="宋体" w:hAnsi="宋体"/>
          <w:szCs w:val="21"/>
          <w:highlight w:val="none"/>
          <w:lang w:eastAsia="zh-CN"/>
        </w:rPr>
        <w:t>报价人</w:t>
      </w:r>
      <w:r>
        <w:rPr>
          <w:rFonts w:hint="eastAsia" w:ascii="宋体" w:hAnsi="宋体"/>
          <w:szCs w:val="21"/>
          <w:highlight w:val="none"/>
        </w:rPr>
        <w:t>（盖单位</w:t>
      </w:r>
      <w:r>
        <w:rPr>
          <w:rFonts w:hint="eastAsia" w:ascii="宋体" w:hAnsi="宋体"/>
          <w:szCs w:val="21"/>
          <w:highlight w:val="none"/>
          <w:lang w:val="en-US" w:eastAsia="zh-CN"/>
        </w:rPr>
        <w:t>公</w:t>
      </w:r>
      <w:r>
        <w:rPr>
          <w:rFonts w:hint="eastAsia" w:ascii="宋体" w:hAnsi="宋体"/>
          <w:szCs w:val="21"/>
          <w:highlight w:val="none"/>
        </w:rPr>
        <w:t>章）：</w:t>
      </w:r>
      <w:r>
        <w:rPr>
          <w:rFonts w:hint="eastAsia" w:ascii="宋体" w:hAnsi="宋体"/>
          <w:szCs w:val="21"/>
          <w:highlight w:val="none"/>
          <w:u w:val="single"/>
        </w:rPr>
        <w:t xml:space="preserve">                               </w:t>
      </w:r>
    </w:p>
    <w:p>
      <w:pPr>
        <w:adjustRightInd w:val="0"/>
        <w:snapToGrid w:val="0"/>
        <w:spacing w:line="360" w:lineRule="auto"/>
        <w:ind w:firstLine="3360" w:firstLineChars="1600"/>
        <w:jc w:val="left"/>
        <w:rPr>
          <w:rFonts w:hint="eastAsia" w:ascii="宋体" w:hAnsi="宋体"/>
          <w:szCs w:val="21"/>
          <w:highlight w:val="none"/>
        </w:rPr>
      </w:pPr>
      <w:r>
        <w:rPr>
          <w:rFonts w:hint="eastAsia" w:ascii="宋体" w:hAnsi="宋体"/>
          <w:szCs w:val="21"/>
          <w:highlight w:val="none"/>
        </w:rPr>
        <w:t>法定代表人或委托代理人（签字或盖章）：_________________</w:t>
      </w:r>
    </w:p>
    <w:p>
      <w:pPr>
        <w:adjustRightInd w:val="0"/>
        <w:snapToGrid w:val="0"/>
        <w:spacing w:line="360" w:lineRule="auto"/>
        <w:ind w:firstLine="3360" w:firstLineChars="1600"/>
        <w:jc w:val="left"/>
        <w:rPr>
          <w:rFonts w:hint="eastAsia" w:ascii="宋体" w:hAnsi="宋体"/>
          <w:b/>
          <w:sz w:val="24"/>
          <w:highlight w:val="none"/>
        </w:rPr>
        <w:sectPr>
          <w:pgSz w:w="11920" w:h="16840"/>
          <w:pgMar w:top="1304" w:right="1304" w:bottom="1304" w:left="1304" w:header="720" w:footer="720" w:gutter="0"/>
          <w:pgBorders>
            <w:top w:val="none" w:sz="0" w:space="0"/>
            <w:left w:val="none" w:sz="0" w:space="0"/>
            <w:bottom w:val="none" w:sz="0" w:space="0"/>
            <w:right w:val="none" w:sz="0" w:space="0"/>
          </w:pgBorders>
          <w:cols w:space="720" w:num="1"/>
          <w:rtlGutter w:val="0"/>
          <w:docGrid w:linePitch="0" w:charSpace="0"/>
        </w:sectPr>
      </w:pPr>
      <w:r>
        <w:rPr>
          <w:rFonts w:hint="eastAsia" w:ascii="宋体" w:hAnsi="宋体"/>
          <w:szCs w:val="21"/>
          <w:highlight w:val="none"/>
        </w:rPr>
        <w:t>日    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pStyle w:val="182"/>
        <w:tabs>
          <w:tab w:val="left" w:pos="2040"/>
        </w:tabs>
        <w:spacing w:beforeLines="0" w:line="360" w:lineRule="auto"/>
        <w:ind w:left="0" w:firstLine="0" w:firstLineChars="0"/>
        <w:rPr>
          <w:rFonts w:hint="eastAsia" w:ascii="宋体" w:hAnsi="宋体" w:eastAsia="宋体"/>
          <w:b/>
          <w:bCs w:val="0"/>
          <w:color w:val="auto"/>
          <w:szCs w:val="21"/>
          <w:highlight w:val="none"/>
        </w:rPr>
      </w:pPr>
    </w:p>
    <w:p>
      <w:pPr>
        <w:pStyle w:val="182"/>
        <w:tabs>
          <w:tab w:val="left" w:pos="2040"/>
        </w:tabs>
        <w:spacing w:beforeLines="0" w:line="360" w:lineRule="auto"/>
        <w:ind w:left="0" w:firstLine="0" w:firstLineChars="0"/>
        <w:rPr>
          <w:rFonts w:ascii="宋体" w:hAnsi="宋体"/>
          <w:color w:val="auto"/>
          <w:highlight w:val="none"/>
        </w:rPr>
      </w:pPr>
    </w:p>
    <w:p>
      <w:pPr>
        <w:pStyle w:val="8"/>
        <w:jc w:val="center"/>
        <w:rPr>
          <w:rFonts w:ascii="宋体" w:hAnsi="宋体"/>
          <w:b w:val="0"/>
          <w:color w:val="auto"/>
          <w:szCs w:val="21"/>
          <w:highlight w:val="none"/>
        </w:rPr>
      </w:pPr>
      <w:bookmarkStart w:id="922" w:name="_Toc156585316"/>
      <w:bookmarkStart w:id="923" w:name="_Toc24895"/>
      <w:bookmarkStart w:id="924" w:name="_Toc3934"/>
      <w:r>
        <w:rPr>
          <w:rFonts w:hint="eastAsia" w:ascii="宋体" w:hAnsi="宋体"/>
          <w:color w:val="auto"/>
          <w:szCs w:val="22"/>
          <w:highlight w:val="none"/>
        </w:rPr>
        <w:t>（</w:t>
      </w:r>
      <w:r>
        <w:rPr>
          <w:rFonts w:hint="eastAsia" w:ascii="宋体" w:hAnsi="宋体"/>
          <w:color w:val="auto"/>
          <w:szCs w:val="22"/>
          <w:highlight w:val="none"/>
          <w:lang w:val="en-US" w:eastAsia="zh-CN"/>
        </w:rPr>
        <w:t>2</w:t>
      </w:r>
      <w:r>
        <w:rPr>
          <w:rFonts w:hint="eastAsia" w:ascii="宋体" w:hAnsi="宋体"/>
          <w:color w:val="auto"/>
          <w:szCs w:val="22"/>
          <w:highlight w:val="none"/>
        </w:rPr>
        <w:t>）</w:t>
      </w:r>
      <w:bookmarkEnd w:id="922"/>
      <w:bookmarkEnd w:id="923"/>
      <w:bookmarkEnd w:id="924"/>
      <w:r>
        <w:rPr>
          <w:rFonts w:hint="eastAsia" w:ascii="宋体" w:hAnsi="宋体"/>
          <w:color w:val="auto"/>
          <w:szCs w:val="22"/>
          <w:highlight w:val="none"/>
        </w:rPr>
        <w:t>项目负责人员保险服务业绩表</w:t>
      </w:r>
    </w:p>
    <w:p>
      <w:pPr>
        <w:adjustRightInd w:val="0"/>
        <w:snapToGrid w:val="0"/>
        <w:spacing w:line="360" w:lineRule="auto"/>
        <w:ind w:firstLine="211" w:firstLineChars="100"/>
        <w:rPr>
          <w:rFonts w:hint="eastAsia" w:ascii="宋体" w:hAnsi="宋体" w:cs="宋体"/>
          <w:b/>
          <w:szCs w:val="21"/>
          <w:highlight w:val="none"/>
        </w:rPr>
      </w:pPr>
      <w:r>
        <w:rPr>
          <w:rFonts w:hint="eastAsia" w:ascii="宋体" w:hAnsi="宋体" w:cs="宋体"/>
          <w:b/>
          <w:szCs w:val="21"/>
          <w:highlight w:val="none"/>
        </w:rPr>
        <w:t>姓名</w:t>
      </w:r>
      <w:r>
        <w:rPr>
          <w:rFonts w:hint="eastAsia" w:ascii="宋体" w:hAnsi="宋体" w:cs="宋体"/>
          <w:b/>
          <w:szCs w:val="21"/>
          <w:highlight w:val="none"/>
          <w:u w:val="single"/>
        </w:rPr>
        <w:t xml:space="preserve">          </w:t>
      </w:r>
      <w:r>
        <w:rPr>
          <w:rFonts w:hint="eastAsia" w:ascii="宋体" w:hAnsi="宋体" w:cs="宋体"/>
          <w:b/>
          <w:szCs w:val="21"/>
          <w:highlight w:val="none"/>
        </w:rPr>
        <w:t>公司职务</w:t>
      </w:r>
      <w:r>
        <w:rPr>
          <w:rFonts w:hint="eastAsia" w:ascii="宋体" w:hAnsi="宋体" w:cs="宋体"/>
          <w:b/>
          <w:szCs w:val="21"/>
          <w:highlight w:val="none"/>
          <w:u w:val="single"/>
        </w:rPr>
        <w:t xml:space="preserve">         </w:t>
      </w:r>
      <w:r>
        <w:rPr>
          <w:rFonts w:hint="eastAsia" w:ascii="宋体" w:hAnsi="宋体" w:cs="宋体"/>
          <w:b/>
          <w:szCs w:val="21"/>
          <w:highlight w:val="none"/>
        </w:rPr>
        <w:t>本项目任职</w:t>
      </w:r>
      <w:r>
        <w:rPr>
          <w:rFonts w:hint="eastAsia" w:ascii="宋体" w:hAnsi="宋体" w:cs="宋体"/>
          <w:b/>
          <w:szCs w:val="21"/>
          <w:highlight w:val="none"/>
          <w:u w:val="single"/>
        </w:rPr>
        <w:t xml:space="preserve">      　</w:t>
      </w:r>
      <w:r>
        <w:rPr>
          <w:rFonts w:hint="eastAsia" w:ascii="宋体" w:hAnsi="宋体" w:cs="宋体"/>
          <w:b/>
          <w:szCs w:val="21"/>
          <w:highlight w:val="none"/>
        </w:rPr>
        <w:t xml:space="preserve">  </w:t>
      </w:r>
    </w:p>
    <w:tbl>
      <w:tblPr>
        <w:tblStyle w:val="4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046"/>
        <w:gridCol w:w="1535"/>
        <w:gridCol w:w="2299"/>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426" w:type="dxa"/>
            <w:tcBorders>
              <w:top w:val="double" w:color="auto" w:sz="4" w:space="0"/>
              <w:left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序号</w:t>
            </w:r>
          </w:p>
        </w:tc>
        <w:tc>
          <w:tcPr>
            <w:tcW w:w="2046" w:type="dxa"/>
            <w:tcBorders>
              <w:top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保险工程</w:t>
            </w:r>
          </w:p>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项目名称</w:t>
            </w:r>
          </w:p>
        </w:tc>
        <w:tc>
          <w:tcPr>
            <w:tcW w:w="1535" w:type="dxa"/>
            <w:tcBorders>
              <w:top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保险金额</w:t>
            </w:r>
          </w:p>
        </w:tc>
        <w:tc>
          <w:tcPr>
            <w:tcW w:w="2299" w:type="dxa"/>
            <w:tcBorders>
              <w:top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在本项目中的职务及职责任范围</w:t>
            </w:r>
          </w:p>
        </w:tc>
        <w:tc>
          <w:tcPr>
            <w:tcW w:w="2586" w:type="dxa"/>
            <w:tcBorders>
              <w:top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主要业绩</w:t>
            </w:r>
          </w:p>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特色成果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26" w:type="dxa"/>
            <w:tcBorders>
              <w:left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1</w:t>
            </w:r>
          </w:p>
        </w:tc>
        <w:tc>
          <w:tcPr>
            <w:tcW w:w="2046" w:type="dxa"/>
            <w:noWrap w:val="0"/>
            <w:vAlign w:val="center"/>
          </w:tcPr>
          <w:p>
            <w:pPr>
              <w:adjustRightInd w:val="0"/>
              <w:snapToGrid w:val="0"/>
              <w:spacing w:line="360" w:lineRule="auto"/>
              <w:jc w:val="center"/>
              <w:rPr>
                <w:rFonts w:hint="eastAsia" w:ascii="宋体" w:hAnsi="宋体" w:cs="宋体"/>
                <w:szCs w:val="21"/>
                <w:highlight w:val="none"/>
              </w:rPr>
            </w:pPr>
          </w:p>
        </w:tc>
        <w:tc>
          <w:tcPr>
            <w:tcW w:w="1535" w:type="dxa"/>
            <w:noWrap w:val="0"/>
            <w:vAlign w:val="center"/>
          </w:tcPr>
          <w:p>
            <w:pPr>
              <w:adjustRightInd w:val="0"/>
              <w:snapToGrid w:val="0"/>
              <w:spacing w:line="360" w:lineRule="auto"/>
              <w:jc w:val="center"/>
              <w:rPr>
                <w:rFonts w:hint="eastAsia" w:ascii="宋体" w:hAnsi="宋体" w:cs="宋体"/>
                <w:szCs w:val="21"/>
                <w:highlight w:val="none"/>
              </w:rPr>
            </w:pPr>
          </w:p>
        </w:tc>
        <w:tc>
          <w:tcPr>
            <w:tcW w:w="2299" w:type="dxa"/>
            <w:noWrap w:val="0"/>
            <w:vAlign w:val="center"/>
          </w:tcPr>
          <w:p>
            <w:pPr>
              <w:adjustRightInd w:val="0"/>
              <w:snapToGrid w:val="0"/>
              <w:spacing w:line="360" w:lineRule="auto"/>
              <w:jc w:val="center"/>
              <w:rPr>
                <w:rFonts w:hint="eastAsia" w:ascii="宋体" w:hAnsi="宋体" w:cs="宋体"/>
                <w:szCs w:val="21"/>
                <w:highlight w:val="none"/>
              </w:rPr>
            </w:pPr>
          </w:p>
        </w:tc>
        <w:tc>
          <w:tcPr>
            <w:tcW w:w="2586" w:type="dxa"/>
            <w:noWrap w:val="0"/>
            <w:vAlign w:val="center"/>
          </w:tcPr>
          <w:p>
            <w:pPr>
              <w:adjustRightInd w:val="0"/>
              <w:snapToGrid w:val="0"/>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26" w:type="dxa"/>
            <w:tcBorders>
              <w:left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2</w:t>
            </w:r>
          </w:p>
        </w:tc>
        <w:tc>
          <w:tcPr>
            <w:tcW w:w="2046" w:type="dxa"/>
            <w:noWrap w:val="0"/>
            <w:vAlign w:val="center"/>
          </w:tcPr>
          <w:p>
            <w:pPr>
              <w:adjustRightInd w:val="0"/>
              <w:snapToGrid w:val="0"/>
              <w:spacing w:line="360" w:lineRule="auto"/>
              <w:jc w:val="center"/>
              <w:rPr>
                <w:rFonts w:hint="eastAsia" w:ascii="宋体" w:hAnsi="宋体" w:cs="宋体"/>
                <w:szCs w:val="21"/>
                <w:highlight w:val="none"/>
              </w:rPr>
            </w:pPr>
          </w:p>
        </w:tc>
        <w:tc>
          <w:tcPr>
            <w:tcW w:w="1535" w:type="dxa"/>
            <w:noWrap w:val="0"/>
            <w:vAlign w:val="center"/>
          </w:tcPr>
          <w:p>
            <w:pPr>
              <w:adjustRightInd w:val="0"/>
              <w:snapToGrid w:val="0"/>
              <w:spacing w:line="360" w:lineRule="auto"/>
              <w:jc w:val="center"/>
              <w:rPr>
                <w:rFonts w:hint="eastAsia" w:ascii="宋体" w:hAnsi="宋体" w:cs="宋体"/>
                <w:szCs w:val="21"/>
                <w:highlight w:val="none"/>
              </w:rPr>
            </w:pPr>
          </w:p>
        </w:tc>
        <w:tc>
          <w:tcPr>
            <w:tcW w:w="2299" w:type="dxa"/>
            <w:noWrap w:val="0"/>
            <w:vAlign w:val="center"/>
          </w:tcPr>
          <w:p>
            <w:pPr>
              <w:adjustRightInd w:val="0"/>
              <w:snapToGrid w:val="0"/>
              <w:spacing w:line="360" w:lineRule="auto"/>
              <w:jc w:val="center"/>
              <w:rPr>
                <w:rFonts w:hint="eastAsia" w:ascii="宋体" w:hAnsi="宋体" w:cs="宋体"/>
                <w:szCs w:val="21"/>
                <w:highlight w:val="none"/>
              </w:rPr>
            </w:pPr>
          </w:p>
        </w:tc>
        <w:tc>
          <w:tcPr>
            <w:tcW w:w="2586" w:type="dxa"/>
            <w:noWrap w:val="0"/>
            <w:vAlign w:val="center"/>
          </w:tcPr>
          <w:p>
            <w:pPr>
              <w:adjustRightInd w:val="0"/>
              <w:snapToGrid w:val="0"/>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26" w:type="dxa"/>
            <w:tcBorders>
              <w:left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3</w:t>
            </w:r>
          </w:p>
        </w:tc>
        <w:tc>
          <w:tcPr>
            <w:tcW w:w="2046" w:type="dxa"/>
            <w:noWrap w:val="0"/>
            <w:vAlign w:val="center"/>
          </w:tcPr>
          <w:p>
            <w:pPr>
              <w:adjustRightInd w:val="0"/>
              <w:snapToGrid w:val="0"/>
              <w:spacing w:line="360" w:lineRule="auto"/>
              <w:jc w:val="center"/>
              <w:rPr>
                <w:rFonts w:hint="eastAsia" w:ascii="宋体" w:hAnsi="宋体" w:cs="宋体"/>
                <w:szCs w:val="21"/>
                <w:highlight w:val="none"/>
              </w:rPr>
            </w:pPr>
          </w:p>
        </w:tc>
        <w:tc>
          <w:tcPr>
            <w:tcW w:w="1535" w:type="dxa"/>
            <w:noWrap w:val="0"/>
            <w:vAlign w:val="center"/>
          </w:tcPr>
          <w:p>
            <w:pPr>
              <w:adjustRightInd w:val="0"/>
              <w:snapToGrid w:val="0"/>
              <w:spacing w:line="360" w:lineRule="auto"/>
              <w:jc w:val="center"/>
              <w:rPr>
                <w:rFonts w:hint="eastAsia" w:ascii="宋体" w:hAnsi="宋体" w:cs="宋体"/>
                <w:szCs w:val="21"/>
                <w:highlight w:val="none"/>
              </w:rPr>
            </w:pPr>
          </w:p>
        </w:tc>
        <w:tc>
          <w:tcPr>
            <w:tcW w:w="2299" w:type="dxa"/>
            <w:noWrap w:val="0"/>
            <w:vAlign w:val="center"/>
          </w:tcPr>
          <w:p>
            <w:pPr>
              <w:adjustRightInd w:val="0"/>
              <w:snapToGrid w:val="0"/>
              <w:spacing w:line="360" w:lineRule="auto"/>
              <w:jc w:val="center"/>
              <w:rPr>
                <w:rFonts w:hint="eastAsia" w:ascii="宋体" w:hAnsi="宋体" w:cs="宋体"/>
                <w:szCs w:val="21"/>
                <w:highlight w:val="none"/>
              </w:rPr>
            </w:pPr>
          </w:p>
        </w:tc>
        <w:tc>
          <w:tcPr>
            <w:tcW w:w="2586" w:type="dxa"/>
            <w:noWrap w:val="0"/>
            <w:vAlign w:val="center"/>
          </w:tcPr>
          <w:p>
            <w:pPr>
              <w:adjustRightInd w:val="0"/>
              <w:snapToGrid w:val="0"/>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426" w:type="dxa"/>
            <w:tcBorders>
              <w:left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4</w:t>
            </w:r>
          </w:p>
        </w:tc>
        <w:tc>
          <w:tcPr>
            <w:tcW w:w="2046" w:type="dxa"/>
            <w:noWrap w:val="0"/>
            <w:vAlign w:val="center"/>
          </w:tcPr>
          <w:p>
            <w:pPr>
              <w:adjustRightInd w:val="0"/>
              <w:snapToGrid w:val="0"/>
              <w:spacing w:line="360" w:lineRule="auto"/>
              <w:jc w:val="center"/>
              <w:rPr>
                <w:rFonts w:hint="eastAsia" w:ascii="宋体" w:hAnsi="宋体" w:cs="宋体"/>
                <w:szCs w:val="21"/>
                <w:highlight w:val="none"/>
              </w:rPr>
            </w:pPr>
          </w:p>
        </w:tc>
        <w:tc>
          <w:tcPr>
            <w:tcW w:w="1535" w:type="dxa"/>
            <w:noWrap w:val="0"/>
            <w:vAlign w:val="center"/>
          </w:tcPr>
          <w:p>
            <w:pPr>
              <w:adjustRightInd w:val="0"/>
              <w:snapToGrid w:val="0"/>
              <w:spacing w:line="360" w:lineRule="auto"/>
              <w:jc w:val="center"/>
              <w:rPr>
                <w:rFonts w:hint="eastAsia" w:ascii="宋体" w:hAnsi="宋体" w:cs="宋体"/>
                <w:szCs w:val="21"/>
                <w:highlight w:val="none"/>
              </w:rPr>
            </w:pPr>
          </w:p>
        </w:tc>
        <w:tc>
          <w:tcPr>
            <w:tcW w:w="2299" w:type="dxa"/>
            <w:noWrap w:val="0"/>
            <w:vAlign w:val="center"/>
          </w:tcPr>
          <w:p>
            <w:pPr>
              <w:adjustRightInd w:val="0"/>
              <w:snapToGrid w:val="0"/>
              <w:spacing w:line="360" w:lineRule="auto"/>
              <w:jc w:val="center"/>
              <w:rPr>
                <w:rFonts w:hint="eastAsia" w:ascii="宋体" w:hAnsi="宋体" w:cs="宋体"/>
                <w:szCs w:val="21"/>
                <w:highlight w:val="none"/>
              </w:rPr>
            </w:pPr>
          </w:p>
        </w:tc>
        <w:tc>
          <w:tcPr>
            <w:tcW w:w="2586" w:type="dxa"/>
            <w:noWrap w:val="0"/>
            <w:vAlign w:val="center"/>
          </w:tcPr>
          <w:p>
            <w:pPr>
              <w:adjustRightInd w:val="0"/>
              <w:snapToGrid w:val="0"/>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26" w:type="dxa"/>
            <w:tcBorders>
              <w:left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5</w:t>
            </w:r>
          </w:p>
        </w:tc>
        <w:tc>
          <w:tcPr>
            <w:tcW w:w="2046" w:type="dxa"/>
            <w:noWrap w:val="0"/>
            <w:vAlign w:val="center"/>
          </w:tcPr>
          <w:p>
            <w:pPr>
              <w:adjustRightInd w:val="0"/>
              <w:snapToGrid w:val="0"/>
              <w:spacing w:line="360" w:lineRule="auto"/>
              <w:jc w:val="center"/>
              <w:rPr>
                <w:rFonts w:hint="eastAsia" w:ascii="宋体" w:hAnsi="宋体" w:cs="宋体"/>
                <w:szCs w:val="21"/>
                <w:highlight w:val="none"/>
              </w:rPr>
            </w:pPr>
          </w:p>
        </w:tc>
        <w:tc>
          <w:tcPr>
            <w:tcW w:w="1535" w:type="dxa"/>
            <w:noWrap w:val="0"/>
            <w:vAlign w:val="center"/>
          </w:tcPr>
          <w:p>
            <w:pPr>
              <w:adjustRightInd w:val="0"/>
              <w:snapToGrid w:val="0"/>
              <w:spacing w:line="360" w:lineRule="auto"/>
              <w:jc w:val="center"/>
              <w:rPr>
                <w:rFonts w:hint="eastAsia" w:ascii="宋体" w:hAnsi="宋体" w:cs="宋体"/>
                <w:szCs w:val="21"/>
                <w:highlight w:val="none"/>
              </w:rPr>
            </w:pPr>
          </w:p>
        </w:tc>
        <w:tc>
          <w:tcPr>
            <w:tcW w:w="2299" w:type="dxa"/>
            <w:noWrap w:val="0"/>
            <w:vAlign w:val="center"/>
          </w:tcPr>
          <w:p>
            <w:pPr>
              <w:adjustRightInd w:val="0"/>
              <w:snapToGrid w:val="0"/>
              <w:spacing w:line="360" w:lineRule="auto"/>
              <w:jc w:val="center"/>
              <w:rPr>
                <w:rFonts w:hint="eastAsia" w:ascii="宋体" w:hAnsi="宋体" w:cs="宋体"/>
                <w:szCs w:val="21"/>
                <w:highlight w:val="none"/>
              </w:rPr>
            </w:pPr>
          </w:p>
        </w:tc>
        <w:tc>
          <w:tcPr>
            <w:tcW w:w="2586" w:type="dxa"/>
            <w:noWrap w:val="0"/>
            <w:vAlign w:val="center"/>
          </w:tcPr>
          <w:p>
            <w:pPr>
              <w:adjustRightInd w:val="0"/>
              <w:snapToGrid w:val="0"/>
              <w:spacing w:line="360" w:lineRule="auto"/>
              <w:jc w:val="center"/>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26" w:type="dxa"/>
            <w:tcBorders>
              <w:left w:val="double" w:color="auto" w:sz="4" w:space="0"/>
              <w:bottom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r>
              <w:rPr>
                <w:rFonts w:hint="eastAsia" w:ascii="宋体" w:hAnsi="宋体" w:cs="宋体"/>
                <w:szCs w:val="21"/>
                <w:highlight w:val="none"/>
              </w:rPr>
              <w:t>6</w:t>
            </w:r>
          </w:p>
        </w:tc>
        <w:tc>
          <w:tcPr>
            <w:tcW w:w="2046" w:type="dxa"/>
            <w:tcBorders>
              <w:bottom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p>
        </w:tc>
        <w:tc>
          <w:tcPr>
            <w:tcW w:w="1535" w:type="dxa"/>
            <w:tcBorders>
              <w:bottom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p>
        </w:tc>
        <w:tc>
          <w:tcPr>
            <w:tcW w:w="2299" w:type="dxa"/>
            <w:tcBorders>
              <w:bottom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p>
        </w:tc>
        <w:tc>
          <w:tcPr>
            <w:tcW w:w="2586" w:type="dxa"/>
            <w:tcBorders>
              <w:bottom w:val="double" w:color="auto" w:sz="4" w:space="0"/>
            </w:tcBorders>
            <w:noWrap w:val="0"/>
            <w:vAlign w:val="center"/>
          </w:tcPr>
          <w:p>
            <w:pPr>
              <w:adjustRightInd w:val="0"/>
              <w:snapToGrid w:val="0"/>
              <w:spacing w:line="360" w:lineRule="auto"/>
              <w:jc w:val="center"/>
              <w:rPr>
                <w:rFonts w:hint="eastAsia" w:ascii="宋体" w:hAnsi="宋体" w:cs="宋体"/>
                <w:szCs w:val="21"/>
                <w:highlight w:val="none"/>
              </w:rPr>
            </w:pPr>
          </w:p>
        </w:tc>
      </w:tr>
    </w:tbl>
    <w:p>
      <w:pPr>
        <w:adjustRightInd w:val="0"/>
        <w:snapToGrid w:val="0"/>
        <w:spacing w:line="360" w:lineRule="auto"/>
        <w:jc w:val="center"/>
        <w:rPr>
          <w:rFonts w:hint="eastAsia" w:ascii="宋体" w:hAnsi="宋体" w:cs="宋体"/>
          <w:b/>
          <w:szCs w:val="21"/>
          <w:highlight w:val="none"/>
        </w:rPr>
      </w:pPr>
    </w:p>
    <w:p>
      <w:pPr>
        <w:adjustRightInd w:val="0"/>
        <w:snapToGrid w:val="0"/>
        <w:spacing w:line="360" w:lineRule="auto"/>
        <w:ind w:firstLine="422" w:firstLineChars="200"/>
        <w:rPr>
          <w:rFonts w:hint="eastAsia" w:ascii="宋体" w:hAnsi="宋体" w:cs="宋体"/>
          <w:b/>
          <w:szCs w:val="21"/>
          <w:highlight w:val="none"/>
        </w:rPr>
      </w:pPr>
      <w:r>
        <w:rPr>
          <w:rFonts w:hint="eastAsia" w:ascii="宋体" w:hAnsi="宋体" w:cs="宋体"/>
          <w:b/>
          <w:szCs w:val="21"/>
          <w:highlight w:val="none"/>
        </w:rPr>
        <w:t>注：1.表后应附相关资料</w:t>
      </w:r>
      <w:r>
        <w:rPr>
          <w:rFonts w:hint="eastAsia" w:ascii="宋体" w:hAnsi="宋体" w:cs="宋体"/>
          <w:b/>
          <w:szCs w:val="21"/>
          <w:highlight w:val="none"/>
          <w:lang w:eastAsia="zh-CN"/>
        </w:rPr>
        <w:t>（</w:t>
      </w:r>
      <w:r>
        <w:rPr>
          <w:rFonts w:hint="eastAsia" w:ascii="宋体" w:hAnsi="宋体" w:cs="宋体"/>
          <w:b/>
          <w:szCs w:val="21"/>
          <w:highlight w:val="none"/>
          <w:lang w:val="en-US" w:eastAsia="zh-CN"/>
        </w:rPr>
        <w:t>如有</w:t>
      </w:r>
      <w:r>
        <w:rPr>
          <w:rFonts w:hint="eastAsia" w:ascii="宋体" w:hAnsi="宋体" w:cs="宋体"/>
          <w:b/>
          <w:szCs w:val="21"/>
          <w:highlight w:val="none"/>
          <w:lang w:eastAsia="zh-CN"/>
        </w:rPr>
        <w:t>）</w:t>
      </w:r>
      <w:r>
        <w:rPr>
          <w:rFonts w:hint="eastAsia" w:ascii="宋体" w:hAnsi="宋体" w:cs="宋体"/>
          <w:b/>
          <w:szCs w:val="21"/>
          <w:highlight w:val="none"/>
        </w:rPr>
        <w:t>。</w:t>
      </w:r>
    </w:p>
    <w:p>
      <w:pPr>
        <w:adjustRightInd w:val="0"/>
        <w:snapToGrid w:val="0"/>
        <w:spacing w:line="360" w:lineRule="auto"/>
        <w:ind w:firstLine="422" w:firstLineChars="200"/>
        <w:rPr>
          <w:rFonts w:hint="eastAsia" w:ascii="宋体" w:hAnsi="宋体" w:cs="宋体"/>
          <w:b/>
          <w:szCs w:val="21"/>
          <w:highlight w:val="none"/>
        </w:rPr>
      </w:pPr>
      <w:r>
        <w:rPr>
          <w:rFonts w:hint="eastAsia" w:ascii="宋体" w:hAnsi="宋体" w:cs="宋体"/>
          <w:b/>
          <w:szCs w:val="21"/>
          <w:highlight w:val="none"/>
        </w:rPr>
        <w:t>2.</w:t>
      </w:r>
      <w:r>
        <w:rPr>
          <w:rFonts w:hint="eastAsia" w:ascii="宋体" w:hAnsi="宋体" w:cs="宋体"/>
          <w:b/>
          <w:szCs w:val="21"/>
          <w:highlight w:val="none"/>
          <w:lang w:eastAsia="zh-CN"/>
        </w:rPr>
        <w:t>报价人</w:t>
      </w:r>
      <w:r>
        <w:rPr>
          <w:rFonts w:hint="eastAsia" w:ascii="宋体" w:hAnsi="宋体" w:cs="宋体"/>
          <w:b/>
          <w:szCs w:val="21"/>
          <w:highlight w:val="none"/>
        </w:rPr>
        <w:t>可适当调整和增加该表格式，但不得减少信息内容。</w:t>
      </w:r>
    </w:p>
    <w:p>
      <w:pPr>
        <w:adjustRightInd w:val="0"/>
        <w:snapToGrid w:val="0"/>
        <w:spacing w:line="360" w:lineRule="auto"/>
        <w:ind w:firstLine="422" w:firstLineChars="200"/>
        <w:rPr>
          <w:rFonts w:hint="eastAsia" w:ascii="宋体" w:hAnsi="宋体" w:cs="宋体"/>
          <w:b/>
          <w:szCs w:val="21"/>
          <w:highlight w:val="none"/>
        </w:rPr>
      </w:pPr>
    </w:p>
    <w:p>
      <w:pPr>
        <w:adjustRightInd w:val="0"/>
        <w:snapToGrid w:val="0"/>
        <w:spacing w:line="360" w:lineRule="auto"/>
        <w:ind w:firstLine="420" w:firstLineChars="200"/>
        <w:rPr>
          <w:rFonts w:hint="eastAsia" w:ascii="宋体" w:hAnsi="宋体" w:cs="宋体"/>
          <w:szCs w:val="21"/>
          <w:highlight w:val="none"/>
        </w:rPr>
      </w:pPr>
    </w:p>
    <w:p>
      <w:pPr>
        <w:adjustRightInd w:val="0"/>
        <w:snapToGrid w:val="0"/>
        <w:spacing w:line="360" w:lineRule="auto"/>
        <w:ind w:firstLine="3360" w:firstLineChars="1600"/>
        <w:jc w:val="left"/>
        <w:rPr>
          <w:rFonts w:hint="eastAsia" w:ascii="宋体" w:hAnsi="宋体"/>
          <w:szCs w:val="21"/>
          <w:highlight w:val="none"/>
        </w:rPr>
      </w:pPr>
      <w:r>
        <w:rPr>
          <w:rFonts w:hint="eastAsia" w:ascii="宋体" w:hAnsi="宋体"/>
          <w:szCs w:val="21"/>
          <w:highlight w:val="none"/>
          <w:lang w:eastAsia="zh-CN"/>
        </w:rPr>
        <w:t>报价人</w:t>
      </w:r>
      <w:r>
        <w:rPr>
          <w:rFonts w:hint="eastAsia" w:ascii="宋体" w:hAnsi="宋体"/>
          <w:szCs w:val="21"/>
          <w:highlight w:val="none"/>
        </w:rPr>
        <w:t>（盖单位</w:t>
      </w:r>
      <w:r>
        <w:rPr>
          <w:rFonts w:hint="eastAsia" w:ascii="宋体" w:hAnsi="宋体"/>
          <w:szCs w:val="21"/>
          <w:highlight w:val="none"/>
          <w:lang w:val="en-US" w:eastAsia="zh-CN"/>
        </w:rPr>
        <w:t>公</w:t>
      </w:r>
      <w:r>
        <w:rPr>
          <w:rFonts w:hint="eastAsia" w:ascii="宋体" w:hAnsi="宋体"/>
          <w:szCs w:val="21"/>
          <w:highlight w:val="none"/>
        </w:rPr>
        <w:t>章）：</w:t>
      </w:r>
      <w:r>
        <w:rPr>
          <w:rFonts w:hint="eastAsia" w:ascii="宋体" w:hAnsi="宋体"/>
          <w:szCs w:val="21"/>
          <w:highlight w:val="none"/>
          <w:u w:val="single"/>
        </w:rPr>
        <w:t xml:space="preserve">                               </w:t>
      </w:r>
    </w:p>
    <w:p>
      <w:pPr>
        <w:adjustRightInd w:val="0"/>
        <w:snapToGrid w:val="0"/>
        <w:spacing w:line="360" w:lineRule="auto"/>
        <w:ind w:firstLine="3360" w:firstLineChars="1600"/>
        <w:jc w:val="left"/>
        <w:rPr>
          <w:rFonts w:hint="eastAsia" w:ascii="宋体" w:hAnsi="宋体"/>
          <w:szCs w:val="21"/>
          <w:highlight w:val="none"/>
        </w:rPr>
      </w:pPr>
      <w:r>
        <w:rPr>
          <w:rFonts w:hint="eastAsia" w:ascii="宋体" w:hAnsi="宋体"/>
          <w:szCs w:val="21"/>
          <w:highlight w:val="none"/>
        </w:rPr>
        <w:t>法定代表人或委托代理人（签字或盖章）：_________________</w:t>
      </w:r>
    </w:p>
    <w:p>
      <w:pPr>
        <w:adjustRightInd w:val="0"/>
        <w:snapToGrid w:val="0"/>
        <w:spacing w:line="360" w:lineRule="auto"/>
        <w:ind w:firstLine="3360" w:firstLineChars="1600"/>
        <w:jc w:val="left"/>
        <w:rPr>
          <w:rFonts w:ascii="宋体" w:hAnsi="宋体"/>
          <w:sz w:val="24"/>
          <w:highlight w:val="none"/>
        </w:rPr>
      </w:pPr>
      <w:r>
        <w:rPr>
          <w:rFonts w:hint="eastAsia" w:ascii="宋体" w:hAnsi="宋体"/>
          <w:szCs w:val="21"/>
          <w:highlight w:val="none"/>
        </w:rPr>
        <w:t>日    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bookmarkEnd w:id="919"/>
    <w:bookmarkEnd w:id="920"/>
    <w:bookmarkEnd w:id="921"/>
    <w:p>
      <w:pPr>
        <w:rPr>
          <w:rFonts w:hint="eastAsia" w:ascii="宋体" w:hAnsi="宋体" w:cs="宋体"/>
          <w:color w:val="auto"/>
          <w:sz w:val="28"/>
          <w:highlight w:val="none"/>
        </w:rPr>
      </w:pPr>
    </w:p>
    <w:p>
      <w:pPr>
        <w:spacing w:line="360" w:lineRule="auto"/>
        <w:jc w:val="center"/>
        <w:outlineLvl w:val="1"/>
        <w:rPr>
          <w:rFonts w:ascii="宋体" w:hAnsi="宋体" w:cs="宋体"/>
          <w:b/>
          <w:bCs/>
          <w:color w:val="auto"/>
          <w:sz w:val="24"/>
          <w:szCs w:val="28"/>
          <w:highlight w:val="none"/>
        </w:rPr>
      </w:pPr>
      <w:bookmarkStart w:id="925" w:name="_Toc8299"/>
      <w:r>
        <w:rPr>
          <w:rFonts w:hint="eastAsia" w:ascii="宋体" w:hAnsi="宋体" w:cs="宋体"/>
          <w:b/>
          <w:bCs/>
          <w:color w:val="auto"/>
          <w:kern w:val="0"/>
          <w:sz w:val="28"/>
          <w:szCs w:val="32"/>
          <w:highlight w:val="none"/>
        </w:rPr>
        <w:t>（二）商务评分资料</w:t>
      </w:r>
      <w:bookmarkEnd w:id="925"/>
    </w:p>
    <w:p>
      <w:pPr>
        <w:rPr>
          <w:color w:val="auto"/>
          <w:highlight w:val="none"/>
        </w:rPr>
      </w:pPr>
    </w:p>
    <w:p>
      <w:pPr>
        <w:rPr>
          <w:rFonts w:hint="eastAsia" w:ascii="宋体" w:hAnsi="宋体" w:cs="宋体"/>
          <w:color w:val="auto"/>
          <w:sz w:val="28"/>
          <w:highlight w:val="none"/>
        </w:rPr>
      </w:pPr>
    </w:p>
    <w:p>
      <w:pPr>
        <w:pStyle w:val="3"/>
        <w:rPr>
          <w:rFonts w:hint="eastAsia" w:ascii="宋体" w:hAnsi="宋体" w:cs="宋体"/>
          <w:color w:val="auto"/>
          <w:sz w:val="28"/>
          <w:highlight w:val="none"/>
        </w:rPr>
      </w:pPr>
    </w:p>
    <w:p>
      <w:pPr>
        <w:spacing w:line="360" w:lineRule="auto"/>
        <w:jc w:val="center"/>
        <w:outlineLvl w:val="1"/>
        <w:rPr>
          <w:rFonts w:hint="eastAsia" w:ascii="宋体" w:hAnsi="宋体" w:cs="宋体"/>
          <w:b/>
          <w:bCs/>
          <w:color w:val="auto"/>
          <w:kern w:val="0"/>
          <w:sz w:val="28"/>
          <w:szCs w:val="32"/>
          <w:highlight w:val="none"/>
        </w:rPr>
      </w:pPr>
      <w:bookmarkStart w:id="926" w:name="_Toc30447"/>
    </w:p>
    <w:p>
      <w:pPr>
        <w:pStyle w:val="3"/>
        <w:rPr>
          <w:rFonts w:hint="eastAsia"/>
          <w:color w:val="auto"/>
          <w:highlight w:val="none"/>
        </w:rPr>
      </w:pPr>
    </w:p>
    <w:p>
      <w:pPr>
        <w:spacing w:line="360" w:lineRule="auto"/>
        <w:jc w:val="center"/>
        <w:outlineLvl w:val="1"/>
        <w:rPr>
          <w:rFonts w:ascii="宋体" w:hAnsi="宋体" w:cs="宋体"/>
          <w:b/>
          <w:bCs/>
          <w:color w:val="auto"/>
          <w:kern w:val="0"/>
          <w:sz w:val="28"/>
          <w:szCs w:val="32"/>
          <w:highlight w:val="none"/>
        </w:rPr>
      </w:pPr>
      <w:r>
        <w:rPr>
          <w:rFonts w:hint="eastAsia" w:ascii="宋体" w:hAnsi="宋体" w:cs="宋体"/>
          <w:b/>
          <w:bCs/>
          <w:color w:val="auto"/>
          <w:kern w:val="0"/>
          <w:sz w:val="28"/>
          <w:szCs w:val="32"/>
          <w:highlight w:val="none"/>
        </w:rPr>
        <w:t>（三）</w:t>
      </w:r>
      <w:r>
        <w:rPr>
          <w:rFonts w:hint="eastAsia" w:ascii="宋体" w:hAnsi="宋体" w:cs="宋体"/>
          <w:b/>
          <w:bCs/>
          <w:color w:val="auto"/>
          <w:kern w:val="0"/>
          <w:sz w:val="28"/>
          <w:szCs w:val="32"/>
          <w:highlight w:val="none"/>
          <w:lang w:val="en-US" w:eastAsia="zh-CN"/>
        </w:rPr>
        <w:t>技术</w:t>
      </w:r>
      <w:r>
        <w:rPr>
          <w:rFonts w:hint="eastAsia" w:ascii="宋体" w:hAnsi="宋体" w:cs="宋体"/>
          <w:b/>
          <w:bCs/>
          <w:color w:val="auto"/>
          <w:kern w:val="0"/>
          <w:sz w:val="28"/>
          <w:szCs w:val="32"/>
          <w:highlight w:val="none"/>
        </w:rPr>
        <w:t>评分资料</w:t>
      </w:r>
    </w:p>
    <w:p>
      <w:pPr>
        <w:ind w:firstLine="420" w:firstLineChars="200"/>
        <w:rPr>
          <w:rFonts w:hint="eastAsia" w:ascii="宋体" w:hAnsi="宋体" w:eastAsia="宋体" w:cs="宋体"/>
          <w:color w:val="auto"/>
          <w:sz w:val="28"/>
          <w:highlight w:val="none"/>
          <w:lang w:val="en-US" w:eastAsia="zh-CN"/>
        </w:rPr>
      </w:pPr>
      <w:r>
        <w:rPr>
          <w:rFonts w:hint="eastAsia" w:ascii="宋体" w:hAnsi="宋体"/>
          <w:szCs w:val="21"/>
          <w:highlight w:val="none"/>
        </w:rPr>
        <w:t>（格式自拟，至少应包括项目服务团队组</w:t>
      </w:r>
      <w:r>
        <w:rPr>
          <w:rFonts w:hint="eastAsia" w:ascii="宋体" w:hAnsi="宋体"/>
          <w:szCs w:val="21"/>
          <w:highlight w:val="none"/>
          <w:lang w:val="en-US" w:eastAsia="zh-CN"/>
        </w:rPr>
        <w:t>建</w:t>
      </w:r>
      <w:r>
        <w:rPr>
          <w:rFonts w:hint="eastAsia" w:ascii="宋体" w:hAnsi="宋体"/>
          <w:szCs w:val="21"/>
          <w:highlight w:val="none"/>
          <w:lang w:eastAsia="zh-CN"/>
        </w:rPr>
        <w:t>、</w:t>
      </w:r>
      <w:r>
        <w:rPr>
          <w:rFonts w:hint="eastAsia" w:ascii="宋体" w:hAnsi="宋体"/>
          <w:szCs w:val="21"/>
          <w:highlight w:val="none"/>
          <w:lang w:val="en-US" w:eastAsia="zh-CN"/>
        </w:rPr>
        <w:t>各成员的职务职责权限、</w:t>
      </w:r>
      <w:r>
        <w:rPr>
          <w:rFonts w:hint="eastAsia" w:ascii="宋体" w:hAnsi="宋体"/>
          <w:szCs w:val="21"/>
          <w:highlight w:val="none"/>
        </w:rPr>
        <w:t>风险管理、防灾防损、保险知识等培训服务</w:t>
      </w:r>
      <w:r>
        <w:rPr>
          <w:rFonts w:hint="eastAsia" w:ascii="宋体" w:hAnsi="宋体"/>
          <w:szCs w:val="21"/>
          <w:highlight w:val="none"/>
          <w:lang w:val="en-US" w:eastAsia="zh-CN"/>
        </w:rPr>
        <w:t>、</w:t>
      </w:r>
      <w:r>
        <w:rPr>
          <w:rFonts w:hint="eastAsia" w:ascii="宋体" w:hAnsi="宋体"/>
          <w:szCs w:val="21"/>
          <w:highlight w:val="none"/>
        </w:rPr>
        <w:t>理赔服务</w:t>
      </w:r>
      <w:r>
        <w:rPr>
          <w:rFonts w:hint="eastAsia" w:ascii="宋体" w:hAnsi="宋体"/>
          <w:szCs w:val="21"/>
          <w:highlight w:val="none"/>
          <w:lang w:val="en-US" w:eastAsia="zh-CN"/>
        </w:rPr>
        <w:t>以及</w:t>
      </w:r>
      <w:r>
        <w:rPr>
          <w:rFonts w:hint="eastAsia" w:ascii="宋体" w:hAnsi="宋体"/>
          <w:szCs w:val="21"/>
          <w:highlight w:val="none"/>
        </w:rPr>
        <w:t>对保险项目拟实施的理赔流程及时限等）</w:t>
      </w:r>
      <w:r>
        <w:rPr>
          <w:rFonts w:hint="eastAsia" w:ascii="宋体" w:hAnsi="宋体" w:eastAsia="宋体" w:cs="宋体"/>
          <w:color w:val="auto"/>
          <w:sz w:val="28"/>
          <w:highlight w:val="none"/>
          <w:lang w:val="en-US" w:eastAsia="zh-CN"/>
        </w:rPr>
        <w:br w:type="page"/>
      </w:r>
    </w:p>
    <w:p>
      <w:pPr>
        <w:pStyle w:val="6"/>
        <w:numPr>
          <w:ilvl w:val="0"/>
          <w:numId w:val="12"/>
        </w:numPr>
        <w:spacing w:before="0" w:after="0" w:line="360" w:lineRule="auto"/>
        <w:ind w:left="0" w:leftChars="0" w:firstLine="420" w:firstLineChars="0"/>
        <w:jc w:val="center"/>
        <w:rPr>
          <w:rFonts w:hint="default"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报价人承诺</w:t>
      </w:r>
      <w:bookmarkEnd w:id="926"/>
    </w:p>
    <w:p>
      <w:pPr>
        <w:pStyle w:val="3"/>
        <w:rPr>
          <w:rFonts w:hint="eastAsia"/>
          <w:color w:val="auto"/>
          <w:highlight w:val="none"/>
        </w:rPr>
      </w:pPr>
    </w:p>
    <w:p>
      <w:pPr>
        <w:pStyle w:val="41"/>
        <w:keepNext w:val="0"/>
        <w:keepLines w:val="0"/>
        <w:pageBreakBefore w:val="0"/>
        <w:widowControl w:val="0"/>
        <w:kinsoku/>
        <w:wordWrap/>
        <w:overflowPunct/>
        <w:topLinePunct w:val="0"/>
        <w:bidi w:val="0"/>
        <w:spacing w:line="480" w:lineRule="auto"/>
        <w:jc w:val="both"/>
        <w:textAlignment w:val="auto"/>
        <w:rPr>
          <w:rFonts w:hint="eastAsia" w:hAnsi="宋体"/>
          <w:color w:val="auto"/>
          <w:highlight w:val="none"/>
        </w:rPr>
      </w:pPr>
      <w:r>
        <w:rPr>
          <w:rFonts w:hint="eastAsia" w:hAnsi="宋体"/>
          <w:color w:val="auto"/>
          <w:highlight w:val="none"/>
          <w:lang w:val="en-US" w:eastAsia="zh-CN"/>
        </w:rPr>
        <w:t>致：</w:t>
      </w:r>
      <w:r>
        <w:rPr>
          <w:rFonts w:hint="eastAsia" w:hAnsi="宋体"/>
          <w:color w:val="auto"/>
          <w:highlight w:val="none"/>
          <w:u w:val="single"/>
          <w:lang w:eastAsia="zh-CN"/>
        </w:rPr>
        <w:t>重庆首讯科技股份有限公司</w:t>
      </w:r>
    </w:p>
    <w:p>
      <w:pPr>
        <w:rPr>
          <w:rFonts w:hint="eastAsia"/>
          <w:color w:val="auto"/>
          <w:highlight w:val="none"/>
        </w:rPr>
      </w:pPr>
    </w:p>
    <w:p>
      <w:pPr>
        <w:keepNext w:val="0"/>
        <w:keepLines w:val="0"/>
        <w:pageBreakBefore w:val="0"/>
        <w:widowControl w:val="0"/>
        <w:numPr>
          <w:ilvl w:val="0"/>
          <w:numId w:val="0"/>
        </w:numPr>
        <w:tabs>
          <w:tab w:val="left" w:pos="1680"/>
          <w:tab w:val="left" w:pos="4215"/>
          <w:tab w:val="left" w:pos="4305"/>
          <w:tab w:val="left" w:pos="8000"/>
        </w:tabs>
        <w:kinsoku/>
        <w:wordWrap/>
        <w:overflowPunct/>
        <w:topLinePunct w:val="0"/>
        <w:autoSpaceDE w:val="0"/>
        <w:autoSpaceDN w:val="0"/>
        <w:bidi w:val="0"/>
        <w:adjustRightInd w:val="0"/>
        <w:snapToGrid w:val="0"/>
        <w:spacing w:line="480" w:lineRule="auto"/>
        <w:ind w:firstLine="720" w:firstLineChars="300"/>
        <w:jc w:val="both"/>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在研究</w:t>
      </w:r>
      <w:r>
        <w:rPr>
          <w:rFonts w:hint="eastAsia" w:ascii="宋体" w:hAnsi="宋体" w:cs="宋体"/>
          <w:sz w:val="24"/>
          <w:szCs w:val="24"/>
          <w:highlight w:val="none"/>
          <w:u w:val="single"/>
          <w:lang w:eastAsia="zh-CN"/>
        </w:rPr>
        <w:t>巫溪至开州高速公路项目机电工程工程保险服务</w:t>
      </w:r>
      <w:r>
        <w:rPr>
          <w:rFonts w:hint="eastAsia" w:ascii="宋体" w:hAnsi="宋体"/>
          <w:color w:val="auto"/>
          <w:sz w:val="24"/>
          <w:highlight w:val="none"/>
          <w:u w:val="single"/>
          <w:lang w:val="en-US" w:eastAsia="zh-CN"/>
        </w:rPr>
        <w:t>项目</w:t>
      </w:r>
      <w:r>
        <w:rPr>
          <w:rFonts w:hint="eastAsia" w:ascii="宋体" w:hAnsi="宋体"/>
          <w:color w:val="auto"/>
          <w:sz w:val="24"/>
          <w:highlight w:val="none"/>
          <w:lang w:val="en-US" w:eastAsia="zh-CN"/>
        </w:rPr>
        <w:t>竞争比选文件后，在此郑重承诺我司满足本项目一切报价内容、报价、工期要求及质量标准等相关要求，响应比选函的一切内容，同时申明将按照自行给出的商务、技术方案组建服务团队、履行服务义务。若我司中标本项目且无法满足业主相关需求，我司愿承担由此给采购人造成的一切损失。</w:t>
      </w:r>
    </w:p>
    <w:p>
      <w:pPr>
        <w:pStyle w:val="3"/>
        <w:keepNext w:val="0"/>
        <w:keepLines w:val="0"/>
        <w:pageBreakBefore w:val="0"/>
        <w:widowControl w:val="0"/>
        <w:kinsoku/>
        <w:wordWrap/>
        <w:overflowPunct/>
        <w:topLinePunct w:val="0"/>
        <w:bidi w:val="0"/>
        <w:spacing w:line="480" w:lineRule="auto"/>
        <w:textAlignment w:val="auto"/>
        <w:rPr>
          <w:rFonts w:hint="eastAsia" w:ascii="宋体" w:hAnsi="宋体"/>
          <w:color w:val="auto"/>
          <w:sz w:val="24"/>
          <w:highlight w:val="none"/>
          <w:lang w:val="en-US" w:eastAsia="zh-CN"/>
        </w:rPr>
      </w:pPr>
    </w:p>
    <w:p>
      <w:pPr>
        <w:keepNext w:val="0"/>
        <w:keepLines w:val="0"/>
        <w:pageBreakBefore w:val="0"/>
        <w:widowControl w:val="0"/>
        <w:kinsoku/>
        <w:wordWrap/>
        <w:overflowPunct/>
        <w:topLinePunct w:val="0"/>
        <w:bidi w:val="0"/>
        <w:spacing w:line="480" w:lineRule="auto"/>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                                        承诺人：XX公司</w:t>
      </w:r>
    </w:p>
    <w:p>
      <w:pPr>
        <w:pStyle w:val="3"/>
        <w:keepNext w:val="0"/>
        <w:keepLines w:val="0"/>
        <w:pageBreakBefore w:val="0"/>
        <w:widowControl w:val="0"/>
        <w:kinsoku/>
        <w:wordWrap/>
        <w:overflowPunct/>
        <w:topLinePunct w:val="0"/>
        <w:bidi w:val="0"/>
        <w:spacing w:line="480" w:lineRule="auto"/>
        <w:textAlignment w:val="auto"/>
        <w:rPr>
          <w:rFonts w:hint="default"/>
          <w:color w:val="auto"/>
          <w:highlight w:val="none"/>
          <w:lang w:val="en-US" w:eastAsia="zh-CN"/>
        </w:rPr>
      </w:pPr>
      <w:r>
        <w:rPr>
          <w:rFonts w:hint="eastAsia" w:ascii="宋体" w:hAnsi="宋体"/>
          <w:color w:val="auto"/>
          <w:sz w:val="24"/>
          <w:highlight w:val="none"/>
          <w:lang w:val="en-US" w:eastAsia="zh-CN"/>
        </w:rPr>
        <w:t xml:space="preserve">                                        日期：</w:t>
      </w:r>
      <w:r>
        <w:rPr>
          <w:rFonts w:ascii="宋体" w:hAnsi="宋体"/>
          <w:color w:val="auto"/>
          <w:highlight w:val="none"/>
          <w:u w:val="single"/>
        </w:rPr>
        <w:t xml:space="preserve">       </w:t>
      </w:r>
      <w:r>
        <w:rPr>
          <w:rFonts w:ascii="宋体" w:hAnsi="宋体"/>
          <w:color w:val="auto"/>
          <w:highlight w:val="none"/>
        </w:rPr>
        <w:t>年</w:t>
      </w:r>
      <w:r>
        <w:rPr>
          <w:rFonts w:ascii="宋体" w:hAnsi="宋体"/>
          <w:color w:val="auto"/>
          <w:highlight w:val="none"/>
          <w:u w:val="single"/>
        </w:rPr>
        <w:t xml:space="preserve">       </w:t>
      </w:r>
      <w:r>
        <w:rPr>
          <w:rFonts w:ascii="宋体" w:hAnsi="宋体"/>
          <w:color w:val="auto"/>
          <w:highlight w:val="none"/>
        </w:rPr>
        <w:t>月</w:t>
      </w:r>
      <w:r>
        <w:rPr>
          <w:rFonts w:ascii="宋体" w:hAnsi="宋体"/>
          <w:color w:val="auto"/>
          <w:highlight w:val="none"/>
          <w:u w:val="single"/>
        </w:rPr>
        <w:t xml:space="preserve">       </w:t>
      </w:r>
      <w:r>
        <w:rPr>
          <w:rFonts w:ascii="宋体" w:hAnsi="宋体"/>
          <w:color w:val="auto"/>
          <w:highlight w:val="none"/>
        </w:rPr>
        <w:t>日</w:t>
      </w:r>
    </w:p>
    <w:p>
      <w:pPr>
        <w:pStyle w:val="3"/>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p>
      <w:pPr>
        <w:pStyle w:val="44"/>
        <w:rPr>
          <w:rFonts w:hint="eastAsia"/>
          <w:color w:val="auto"/>
          <w:highlight w:val="none"/>
          <w:lang w:val="en-US" w:eastAsia="zh-CN"/>
        </w:rPr>
      </w:pPr>
    </w:p>
    <w:p>
      <w:pPr>
        <w:rPr>
          <w:rFonts w:hint="eastAsia" w:ascii="宋体" w:hAnsi="宋体" w:eastAsia="宋体" w:cs="宋体"/>
          <w:sz w:val="28"/>
          <w:highlight w:val="none"/>
        </w:rPr>
      </w:pPr>
      <w:bookmarkStart w:id="927" w:name="_Toc31248"/>
      <w:bookmarkStart w:id="928" w:name="_Toc1178"/>
      <w:r>
        <w:rPr>
          <w:rFonts w:hint="eastAsia" w:ascii="宋体" w:hAnsi="宋体" w:eastAsia="宋体" w:cs="宋体"/>
          <w:sz w:val="28"/>
          <w:highlight w:val="none"/>
        </w:rPr>
        <w:br w:type="page"/>
      </w:r>
    </w:p>
    <w:p>
      <w:pPr>
        <w:pStyle w:val="6"/>
        <w:spacing w:before="0" w:after="0" w:line="360" w:lineRule="auto"/>
        <w:jc w:val="center"/>
        <w:rPr>
          <w:rFonts w:ascii="宋体" w:hAnsi="宋体" w:eastAsia="宋体" w:cs="宋体"/>
          <w:sz w:val="28"/>
          <w:highlight w:val="none"/>
        </w:rPr>
      </w:pPr>
      <w:r>
        <w:rPr>
          <w:rFonts w:hint="eastAsia" w:ascii="宋体" w:hAnsi="宋体" w:eastAsia="宋体" w:cs="宋体"/>
          <w:sz w:val="28"/>
          <w:highlight w:val="none"/>
        </w:rPr>
        <w:t>六、报价人基本信息及其他材料</w:t>
      </w:r>
      <w:bookmarkEnd w:id="927"/>
      <w:bookmarkEnd w:id="928"/>
    </w:p>
    <w:p>
      <w:pPr>
        <w:pStyle w:val="7"/>
        <w:spacing w:before="0" w:after="0" w:line="360" w:lineRule="auto"/>
        <w:jc w:val="center"/>
        <w:rPr>
          <w:sz w:val="28"/>
          <w:szCs w:val="28"/>
          <w:highlight w:val="none"/>
        </w:rPr>
      </w:pPr>
      <w:bookmarkStart w:id="929" w:name="_Toc508110857"/>
      <w:bookmarkStart w:id="930" w:name="_Toc452107137"/>
      <w:bookmarkStart w:id="931" w:name="_Toc4375"/>
      <w:r>
        <w:rPr>
          <w:rFonts w:hint="eastAsia"/>
          <w:sz w:val="28"/>
          <w:szCs w:val="28"/>
          <w:highlight w:val="none"/>
        </w:rPr>
        <w:t>（一）报价人基本信息表</w:t>
      </w:r>
      <w:bookmarkEnd w:id="929"/>
      <w:bookmarkEnd w:id="930"/>
      <w:bookmarkEnd w:id="931"/>
    </w:p>
    <w:p>
      <w:pPr>
        <w:pStyle w:val="27"/>
        <w:rPr>
          <w:highlight w:val="none"/>
        </w:rPr>
      </w:pPr>
    </w:p>
    <w:tbl>
      <w:tblPr>
        <w:tblStyle w:val="45"/>
        <w:tblW w:w="85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1029"/>
        <w:gridCol w:w="762"/>
        <w:gridCol w:w="420"/>
        <w:gridCol w:w="311"/>
        <w:gridCol w:w="1059"/>
        <w:gridCol w:w="19"/>
        <w:gridCol w:w="490"/>
        <w:gridCol w:w="341"/>
        <w:gridCol w:w="15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报价人名称</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报价人</w:t>
            </w:r>
          </w:p>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公司股权结构</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网址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组织结构</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法定代表人</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姓名</w:t>
            </w:r>
          </w:p>
        </w:tc>
        <w:tc>
          <w:tcPr>
            <w:tcW w:w="10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技术职称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电话</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技术负责人</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姓名</w:t>
            </w:r>
          </w:p>
        </w:tc>
        <w:tc>
          <w:tcPr>
            <w:tcW w:w="10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技术职称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电话</w:t>
            </w:r>
          </w:p>
        </w:tc>
        <w:tc>
          <w:tcPr>
            <w:tcW w:w="15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成立时间</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年 月 日</w:t>
            </w:r>
          </w:p>
        </w:tc>
        <w:tc>
          <w:tcPr>
            <w:tcW w:w="491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firstLine="105" w:firstLineChars="50"/>
              <w:jc w:val="center"/>
              <w:rPr>
                <w:rFonts w:hint="default" w:ascii="宋体" w:hAnsi="宋体" w:cs="宋体"/>
                <w:color w:val="000000"/>
                <w:szCs w:val="21"/>
                <w:highlight w:val="none"/>
              </w:rPr>
            </w:pPr>
            <w:r>
              <w:rPr>
                <w:rFonts w:hint="eastAsia" w:ascii="宋体" w:hAnsi="宋体" w:cs="宋体"/>
                <w:color w:val="000000"/>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企业资质等级</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其中</w:t>
            </w: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10"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营业执照号</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注册资金</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开户银行</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账号</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zCs w:val="21"/>
                <w:highlight w:val="none"/>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highlight w:val="none"/>
              </w:rPr>
            </w:pPr>
            <w:r>
              <w:rPr>
                <w:rFonts w:hint="eastAsia" w:ascii="宋体" w:hAnsi="宋体" w:cs="宋体"/>
                <w:color w:val="000000"/>
                <w:szCs w:val="21"/>
                <w:highlight w:val="none"/>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1726" w:type="dxa"/>
            <w:tcBorders>
              <w:top w:val="single" w:color="auto" w:sz="4" w:space="0"/>
              <w:left w:val="single" w:color="auto" w:sz="4" w:space="0"/>
              <w:bottom w:val="nil"/>
              <w:right w:val="single" w:color="auto" w:sz="4" w:space="0"/>
            </w:tcBorders>
            <w:vAlign w:val="center"/>
          </w:tcPr>
          <w:p>
            <w:pPr>
              <w:keepNext w:val="0"/>
              <w:keepLines w:val="0"/>
              <w:suppressLineNumbers w:val="0"/>
              <w:topLinePunct/>
              <w:spacing w:before="0" w:beforeAutospacing="0" w:after="0" w:afterAutospacing="0" w:line="440" w:lineRule="exact"/>
              <w:ind w:left="0" w:right="0" w:firstLine="210" w:firstLineChars="100"/>
              <w:jc w:val="center"/>
              <w:rPr>
                <w:rFonts w:hint="default" w:ascii="宋体" w:hAnsi="宋体" w:cs="宋体"/>
                <w:color w:val="000000"/>
                <w:szCs w:val="21"/>
                <w:highlight w:val="none"/>
              </w:rPr>
            </w:pPr>
            <w:r>
              <w:rPr>
                <w:rFonts w:hint="eastAsia" w:ascii="宋体" w:hAnsi="宋体" w:cs="宋体"/>
                <w:color w:val="000000"/>
                <w:szCs w:val="21"/>
                <w:highlight w:val="none"/>
              </w:rPr>
              <w:t>经营范围</w:t>
            </w:r>
          </w:p>
        </w:tc>
        <w:tc>
          <w:tcPr>
            <w:tcW w:w="6839" w:type="dxa"/>
            <w:gridSpan w:val="10"/>
            <w:tcBorders>
              <w:top w:val="single" w:color="auto" w:sz="4" w:space="0"/>
              <w:left w:val="single" w:color="auto" w:sz="4" w:space="0"/>
              <w:bottom w:val="nil"/>
              <w:right w:val="single" w:color="auto" w:sz="4" w:space="0"/>
            </w:tcBorders>
            <w:vAlign w:val="center"/>
          </w:tcPr>
          <w:p>
            <w:pPr>
              <w:keepNext w:val="0"/>
              <w:keepLines w:val="0"/>
              <w:suppressLineNumbers w:val="0"/>
              <w:topLinePunct/>
              <w:spacing w:before="0" w:beforeAutospacing="0" w:after="0" w:afterAutospacing="0" w:line="440" w:lineRule="exact"/>
              <w:ind w:left="0" w:right="0"/>
              <w:rPr>
                <w:rFonts w:hint="default" w:ascii="宋体" w:hAnsi="宋体" w:cs="宋体"/>
                <w:color w:val="000000"/>
                <w:szCs w:val="21"/>
                <w:highlight w:val="none"/>
              </w:rPr>
            </w:pPr>
            <w:r>
              <w:rPr>
                <w:rFonts w:hint="eastAsia" w:ascii="宋体" w:hAnsi="宋体" w:cs="宋体"/>
                <w:color w:val="000000"/>
                <w:szCs w:val="21"/>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r>
              <w:rPr>
                <w:rFonts w:hint="eastAsia" w:ascii="宋体" w:hAnsi="宋体" w:cs="宋体"/>
                <w:color w:val="000000"/>
                <w:szCs w:val="21"/>
                <w:highlight w:val="none"/>
              </w:rPr>
              <w:t>备注</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default" w:ascii="宋体" w:hAnsi="宋体" w:cs="宋体"/>
                <w:color w:val="000000"/>
                <w:szCs w:val="21"/>
                <w:highlight w:val="none"/>
              </w:rPr>
            </w:pPr>
          </w:p>
        </w:tc>
      </w:tr>
    </w:tbl>
    <w:p>
      <w:pPr>
        <w:pStyle w:val="7"/>
        <w:jc w:val="center"/>
        <w:rPr>
          <w:rFonts w:ascii="宋体" w:hAnsi="宋体" w:cs="宋体"/>
          <w:sz w:val="28"/>
          <w:highlight w:val="none"/>
        </w:rPr>
      </w:pPr>
    </w:p>
    <w:p>
      <w:pPr>
        <w:pStyle w:val="7"/>
        <w:jc w:val="center"/>
        <w:rPr>
          <w:rFonts w:ascii="宋体" w:hAnsi="宋体" w:cs="宋体"/>
          <w:sz w:val="28"/>
          <w:highlight w:val="none"/>
        </w:rPr>
      </w:pPr>
      <w:r>
        <w:rPr>
          <w:rFonts w:hint="eastAsia" w:ascii="宋体" w:hAnsi="宋体" w:cs="宋体"/>
          <w:sz w:val="28"/>
          <w:highlight w:val="none"/>
        </w:rPr>
        <w:t>（二）其他材料</w:t>
      </w:r>
    </w:p>
    <w:p>
      <w:pPr>
        <w:pStyle w:val="3"/>
        <w:rPr>
          <w:rFonts w:hint="default" w:eastAsia="宋体"/>
          <w:highlight w:val="none"/>
          <w:lang w:val="en-US" w:eastAsia="zh-CN"/>
        </w:rPr>
      </w:pPr>
      <w:r>
        <w:rPr>
          <w:rFonts w:hint="eastAsia"/>
          <w:highlight w:val="none"/>
          <w:lang w:val="en-US" w:eastAsia="zh-CN"/>
        </w:rPr>
        <w:t>投标保证金缴纳证明</w:t>
      </w:r>
    </w:p>
    <w:p>
      <w:pPr>
        <w:pStyle w:val="3"/>
        <w:rPr>
          <w:rFonts w:hint="eastAsia"/>
          <w:highlight w:val="none"/>
        </w:rPr>
      </w:pPr>
      <w:r>
        <w:rPr>
          <w:rFonts w:hint="eastAsia"/>
          <w:highlight w:val="none"/>
        </w:rPr>
        <w:t>[提示：以转账支票或电汇形式交纳投标保证金的提供以下资料]</w:t>
      </w:r>
    </w:p>
    <w:p>
      <w:pPr>
        <w:pStyle w:val="3"/>
        <w:rPr>
          <w:rFonts w:hint="default" w:eastAsia="宋体"/>
          <w:highlight w:val="none"/>
          <w:lang w:val="en-US" w:eastAsia="zh-CN"/>
        </w:rPr>
      </w:pPr>
      <w:r>
        <w:rPr>
          <w:rFonts w:hint="eastAsia"/>
          <w:highlight w:val="none"/>
        </w:rPr>
        <w:t>（1）</w:t>
      </w:r>
      <w:r>
        <w:rPr>
          <w:rFonts w:hint="eastAsia"/>
          <w:highlight w:val="none"/>
          <w:lang w:val="en-US" w:eastAsia="zh-CN"/>
        </w:rPr>
        <w:t>汇款证明。</w:t>
      </w:r>
    </w:p>
    <w:p>
      <w:pPr>
        <w:pStyle w:val="3"/>
        <w:rPr>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企业基本账户开户证明文件。</w:t>
      </w:r>
    </w:p>
    <w:p>
      <w:pPr>
        <w:pStyle w:val="3"/>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p>
      <w:pPr>
        <w:pStyle w:val="3"/>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bookmarkEnd w:id="840"/>
    <w:bookmarkEnd w:id="841"/>
    <w:p>
      <w:pPr>
        <w:rPr>
          <w:rFonts w:hint="eastAsia"/>
          <w:color w:val="auto"/>
          <w:highlight w:val="none"/>
        </w:rPr>
      </w:pPr>
    </w:p>
    <w:p>
      <w:pPr>
        <w:rPr>
          <w:highlight w:val="none"/>
        </w:rPr>
      </w:pPr>
    </w:p>
    <w:sectPr>
      <w:pgSz w:w="11906" w:h="16838"/>
      <w:pgMar w:top="1440" w:right="1576" w:bottom="1440" w:left="1463" w:header="851" w:footer="992" w:gutter="0"/>
      <w:cols w:space="0" w:num="1"/>
      <w:titlePg/>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820D110F-8A30-4DE5-8545-D0743E4176AC}"/>
  </w:font>
  <w:font w:name="黑体">
    <w:panose1 w:val="02010609060101010101"/>
    <w:charset w:val="86"/>
    <w:family w:val="auto"/>
    <w:pitch w:val="default"/>
    <w:sig w:usb0="800002BF" w:usb1="38CF7CFA" w:usb2="00000016" w:usb3="00000000" w:csb0="00040001" w:csb1="00000000"/>
    <w:embedRegular r:id="rId2" w:fontKey="{D7FE11A9-2BCF-4328-867B-46BEFF73B5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48EE5D20-5D98-439F-8762-C833A24F9444}"/>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4" w:fontKey="{D4C2F1F0-77E5-4835-A458-EBE1490E6A77}"/>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10006FF" w:usb1="4000205B" w:usb2="00000010" w:usb3="00000000" w:csb0="2000019F" w:csb1="00000000"/>
  </w:font>
  <w:font w:name="MingLiU">
    <w:altName w:val="PMingLiU-ExtB"/>
    <w:panose1 w:val="02020509000000000000"/>
    <w:charset w:val="88"/>
    <w:family w:val="modern"/>
    <w:pitch w:val="default"/>
    <w:sig w:usb0="00000000" w:usb1="00000000" w:usb2="00000016" w:usb3="00000000" w:csb0="00100001" w:csb1="00000000"/>
    <w:embedRegular r:id="rId5" w:fontKey="{52401631-FB82-4A68-BF8C-7D19DF750F86}"/>
  </w:font>
  <w:font w:name="Calibri Light">
    <w:panose1 w:val="020F03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embedRegular r:id="rId6" w:fontKey="{80F7228F-B172-4C76-9AEB-5B2B115BADD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Style w:val="49"/>
                            </w:rPr>
                          </w:pPr>
                          <w:r>
                            <w:fldChar w:fldCharType="begin"/>
                          </w:r>
                          <w:r>
                            <w:rPr>
                              <w:rStyle w:val="49"/>
                            </w:rPr>
                            <w:instrText xml:space="preserve">PAGE  </w:instrText>
                          </w:r>
                          <w:r>
                            <w:fldChar w:fldCharType="separate"/>
                          </w:r>
                          <w:r>
                            <w:rPr>
                              <w:rStyle w:val="49"/>
                            </w:rPr>
                            <w:t>95</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27"/>
                      <w:rPr>
                        <w:rStyle w:val="49"/>
                      </w:rPr>
                    </w:pPr>
                    <w:r>
                      <w:fldChar w:fldCharType="begin"/>
                    </w:r>
                    <w:r>
                      <w:rPr>
                        <w:rStyle w:val="49"/>
                      </w:rPr>
                      <w:instrText xml:space="preserve">PAGE  </w:instrText>
                    </w:r>
                    <w:r>
                      <w:fldChar w:fldCharType="separate"/>
                    </w:r>
                    <w:r>
                      <w:rPr>
                        <w:rStyle w:val="49"/>
                      </w:rPr>
                      <w:t>95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92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92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9"/>
      </w:rPr>
    </w:pPr>
    <w:r>
      <w:fldChar w:fldCharType="begin"/>
    </w:r>
    <w:r>
      <w:rPr>
        <w:rStyle w:val="49"/>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eastAsia="zh-CN"/>
      </w:rPr>
      <w:t>79</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6</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520" w:h="235" w:hRule="exact" w:wrap="around" w:vAnchor="text" w:hAnchor="page" w:x="6073" w:y="-2"/>
      <w:rPr>
        <w:rStyle w:val="49"/>
      </w:rPr>
    </w:pPr>
    <w:r>
      <w:fldChar w:fldCharType="begin"/>
    </w:r>
    <w:r>
      <w:rPr>
        <w:rStyle w:val="49"/>
      </w:rPr>
      <w:instrText xml:space="preserve">PAGE  </w:instrText>
    </w:r>
    <w:r>
      <w:fldChar w:fldCharType="separate"/>
    </w:r>
    <w:r>
      <w:rPr>
        <w:rStyle w:val="49"/>
      </w:rPr>
      <w:t>78</w:t>
    </w:r>
    <w:r>
      <w:fldChar w:fldCharType="end"/>
    </w:r>
  </w:p>
  <w:p>
    <w:pPr>
      <w:pStyle w:val="27"/>
      <w:ind w:right="360"/>
      <w:jc w:val="center"/>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sz w:val="20"/>
        <w:szCs w:val="24"/>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33985" cy="1530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69</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62336;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DNwz58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69</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7"/>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foLY88BAACXAwAADgAAAAAAAAABACAAAAAfAQAAZHJz&#10;L2Uyb0RvYy54bWxQSwUGAAAAAAYABgBZAQAAYAUAAAAA&#10;">
              <v:fill on="f" focussize="0,0"/>
              <v:stroke on="f"/>
              <v:imagedata o:title=""/>
              <o:lock v:ext="edit" aspectratio="f"/>
              <v:textbox inset="0mm,0mm,0mm,0mm" style="mso-fit-shape-to-text:t;">
                <w:txbxContent>
                  <w:p>
                    <w:pPr>
                      <w:pStyle w:val="27"/>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7"/>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H3TVgzgEAAJcDAAAOAAAAAAAAAAEAIAAAAB8BAABkcnMv&#10;ZTJvRG9jLnhtbFBLBQYAAAAABgAGAFkBAABfBQAAAAA=&#10;">
              <v:fill on="f" focussize="0,0"/>
              <v:stroke on="f"/>
              <v:imagedata o:title=""/>
              <o:lock v:ext="edit" aspectratio="f"/>
              <v:textbox inset="0mm,0mm,0mm,0mm" style="mso-fit-shape-to-text:t;">
                <w:txbxContent>
                  <w:p>
                    <w:pPr>
                      <w:pStyle w:val="27"/>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矩形 9"/>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27"/>
                          </w:pPr>
                          <w:r>
                            <w:fldChar w:fldCharType="begin"/>
                          </w:r>
                          <w:r>
                            <w:instrText xml:space="preserve">PAGE  </w:instrText>
                          </w:r>
                          <w:r>
                            <w:fldChar w:fldCharType="separate"/>
                          </w:r>
                          <w:r>
                            <w:t>98</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GaVPAvEAQAAigMAAA4AAAAAAAAAAQAgAAAAHwEAAGRycy9lMm9Eb2MueG1s&#10;UEsFBgAAAAAGAAYAWQEAAFUFAAAAAA==&#10;">
              <v:fill on="f" focussize="0,0"/>
              <v:stroke on="f"/>
              <v:imagedata o:title=""/>
              <o:lock v:ext="edit" aspectratio="f"/>
              <v:textbox inset="0mm,0mm,0mm,0mm" style="mso-fit-shape-to-text:t;">
                <w:txbxContent>
                  <w:p>
                    <w:pPr>
                      <w:pStyle w:val="27"/>
                    </w:pPr>
                    <w:r>
                      <w:fldChar w:fldCharType="begin"/>
                    </w:r>
                    <w:r>
                      <w:instrText xml:space="preserve">PAGE  </w:instrText>
                    </w:r>
                    <w:r>
                      <w:fldChar w:fldCharType="separate"/>
                    </w:r>
                    <w:r>
                      <w:t>98</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hint="eastAsia"/>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矩形 8"/>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27"/>
                          </w:pPr>
                          <w:r>
                            <w:fldChar w:fldCharType="begin"/>
                          </w:r>
                          <w:r>
                            <w:instrText xml:space="preserve">PAGE  </w:instrText>
                          </w:r>
                          <w:r>
                            <w:fldChar w:fldCharType="separate"/>
                          </w:r>
                          <w:r>
                            <w:t>98</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ALS5OfEAQAAigMAAA4AAAAAAAAAAQAgAAAAHwEAAGRycy9lMm9Eb2MueG1s&#10;UEsFBgAAAAAGAAYAWQEAAFUFAAAAAA==&#10;">
              <v:fill on="f" focussize="0,0"/>
              <v:stroke on="f"/>
              <v:imagedata o:title=""/>
              <o:lock v:ext="edit" aspectratio="f"/>
              <v:textbox inset="0mm,0mm,0mm,0mm" style="mso-fit-shape-to-text:t;">
                <w:txbxContent>
                  <w:p>
                    <w:pPr>
                      <w:pStyle w:val="27"/>
                    </w:pPr>
                    <w:r>
                      <w:fldChar w:fldCharType="begin"/>
                    </w:r>
                    <w:r>
                      <w:instrText xml:space="preserve">PAGE  </w:instrText>
                    </w:r>
                    <w:r>
                      <w:fldChar w:fldCharType="separate"/>
                    </w:r>
                    <w:r>
                      <w:t>98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AC2BC"/>
    <w:multiLevelType w:val="singleLevel"/>
    <w:tmpl w:val="8EBAC2BC"/>
    <w:lvl w:ilvl="0" w:tentative="0">
      <w:start w:val="1"/>
      <w:numFmt w:val="decimal"/>
      <w:suff w:val="nothing"/>
      <w:lvlText w:val="%1、"/>
      <w:lvlJc w:val="left"/>
    </w:lvl>
  </w:abstractNum>
  <w:abstractNum w:abstractNumId="1">
    <w:nsid w:val="9CBF54FB"/>
    <w:multiLevelType w:val="singleLevel"/>
    <w:tmpl w:val="9CBF54FB"/>
    <w:lvl w:ilvl="0" w:tentative="0">
      <w:start w:val="1"/>
      <w:numFmt w:val="decimal"/>
      <w:lvlText w:val="(%1)"/>
      <w:lvlJc w:val="left"/>
      <w:pPr>
        <w:ind w:left="425" w:hanging="425"/>
      </w:pPr>
      <w:rPr>
        <w:rFonts w:hint="default"/>
      </w:rPr>
    </w:lvl>
  </w:abstractNum>
  <w:abstractNum w:abstractNumId="2">
    <w:nsid w:val="9D11DF0E"/>
    <w:multiLevelType w:val="singleLevel"/>
    <w:tmpl w:val="9D11DF0E"/>
    <w:lvl w:ilvl="0" w:tentative="0">
      <w:start w:val="1"/>
      <w:numFmt w:val="chineseCounting"/>
      <w:suff w:val="nothing"/>
      <w:lvlText w:val="（%1）"/>
      <w:lvlJc w:val="left"/>
      <w:rPr>
        <w:rFonts w:hint="eastAsia"/>
      </w:rPr>
    </w:lvl>
  </w:abstractNum>
  <w:abstractNum w:abstractNumId="3">
    <w:nsid w:val="AE5142CB"/>
    <w:multiLevelType w:val="singleLevel"/>
    <w:tmpl w:val="AE5142CB"/>
    <w:lvl w:ilvl="0" w:tentative="0">
      <w:start w:val="28"/>
      <w:numFmt w:val="decimal"/>
      <w:lvlText w:val="%1."/>
      <w:lvlJc w:val="left"/>
      <w:pPr>
        <w:tabs>
          <w:tab w:val="left" w:pos="312"/>
        </w:tabs>
      </w:pPr>
    </w:lvl>
  </w:abstractNum>
  <w:abstractNum w:abstractNumId="4">
    <w:nsid w:val="C6DEEEE1"/>
    <w:multiLevelType w:val="singleLevel"/>
    <w:tmpl w:val="C6DEEEE1"/>
    <w:lvl w:ilvl="0" w:tentative="0">
      <w:start w:val="1"/>
      <w:numFmt w:val="chineseCounting"/>
      <w:suff w:val="nothing"/>
      <w:lvlText w:val="%1、"/>
      <w:lvlJc w:val="left"/>
      <w:pPr>
        <w:ind w:left="0" w:firstLine="420"/>
      </w:pPr>
      <w:rPr>
        <w:rFonts w:hint="eastAsia"/>
      </w:rPr>
    </w:lvl>
  </w:abstractNum>
  <w:abstractNum w:abstractNumId="5">
    <w:nsid w:val="C87D13C6"/>
    <w:multiLevelType w:val="singleLevel"/>
    <w:tmpl w:val="C87D13C6"/>
    <w:lvl w:ilvl="0" w:tentative="0">
      <w:start w:val="3"/>
      <w:numFmt w:val="chineseCounting"/>
      <w:suff w:val="space"/>
      <w:lvlText w:val="第%1章"/>
      <w:lvlJc w:val="left"/>
      <w:rPr>
        <w:rFonts w:hint="eastAsia"/>
      </w:rPr>
    </w:lvl>
  </w:abstractNum>
  <w:abstractNum w:abstractNumId="6">
    <w:nsid w:val="EF33A2A3"/>
    <w:multiLevelType w:val="singleLevel"/>
    <w:tmpl w:val="EF33A2A3"/>
    <w:lvl w:ilvl="0" w:tentative="0">
      <w:start w:val="1"/>
      <w:numFmt w:val="decimal"/>
      <w:suff w:val="nothing"/>
      <w:lvlText w:val="%1、"/>
      <w:lvlJc w:val="left"/>
    </w:lvl>
  </w:abstractNum>
  <w:abstractNum w:abstractNumId="7">
    <w:nsid w:val="F5EAA11E"/>
    <w:multiLevelType w:val="singleLevel"/>
    <w:tmpl w:val="F5EAA11E"/>
    <w:lvl w:ilvl="0" w:tentative="0">
      <w:start w:val="1"/>
      <w:numFmt w:val="decimal"/>
      <w:suff w:val="nothing"/>
      <w:lvlText w:val="（%1）"/>
      <w:lvlJc w:val="left"/>
    </w:lvl>
  </w:abstractNum>
  <w:abstractNum w:abstractNumId="8">
    <w:nsid w:val="00000001"/>
    <w:multiLevelType w:val="multilevel"/>
    <w:tmpl w:val="00000001"/>
    <w:lvl w:ilvl="0" w:tentative="0">
      <w:start w:val="1"/>
      <w:numFmt w:val="chineseCountingThousand"/>
      <w:lvlText w:val="（%1）"/>
      <w:lvlJc w:val="left"/>
      <w:pPr>
        <w:tabs>
          <w:tab w:val="left" w:pos="1146"/>
        </w:tabs>
        <w:ind w:left="1146" w:hanging="720"/>
      </w:pPr>
      <w:rPr>
        <w:rFonts w:hint="eastAsia"/>
        <w:i w:val="0"/>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D"/>
    <w:multiLevelType w:val="multilevel"/>
    <w:tmpl w:val="0000000D"/>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pStyle w:val="144"/>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0">
    <w:nsid w:val="0AA38CF7"/>
    <w:multiLevelType w:val="singleLevel"/>
    <w:tmpl w:val="0AA38CF7"/>
    <w:lvl w:ilvl="0" w:tentative="0">
      <w:start w:val="2"/>
      <w:numFmt w:val="decimal"/>
      <w:lvlText w:val="%1."/>
      <w:lvlJc w:val="left"/>
      <w:pPr>
        <w:tabs>
          <w:tab w:val="left" w:pos="312"/>
        </w:tabs>
        <w:ind w:left="735" w:leftChars="0" w:firstLine="0" w:firstLineChars="0"/>
      </w:pPr>
    </w:lvl>
  </w:abstractNum>
  <w:abstractNum w:abstractNumId="11">
    <w:nsid w:val="12538CEA"/>
    <w:multiLevelType w:val="singleLevel"/>
    <w:tmpl w:val="12538CEA"/>
    <w:lvl w:ilvl="0" w:tentative="0">
      <w:start w:val="1"/>
      <w:numFmt w:val="decimal"/>
      <w:suff w:val="nothing"/>
      <w:lvlText w:val="（%1）"/>
      <w:lvlJc w:val="left"/>
    </w:lvl>
  </w:abstractNum>
  <w:abstractNum w:abstractNumId="12">
    <w:nsid w:val="3871CE1D"/>
    <w:multiLevelType w:val="singleLevel"/>
    <w:tmpl w:val="3871CE1D"/>
    <w:lvl w:ilvl="0" w:tentative="0">
      <w:start w:val="1"/>
      <w:numFmt w:val="chineseCounting"/>
      <w:suff w:val="nothing"/>
      <w:lvlText w:val="%1、"/>
      <w:lvlJc w:val="left"/>
      <w:rPr>
        <w:rFonts w:hint="eastAsia"/>
      </w:rPr>
    </w:lvl>
  </w:abstractNum>
  <w:num w:numId="1">
    <w:abstractNumId w:val="9"/>
  </w:num>
  <w:num w:numId="2">
    <w:abstractNumId w:val="0"/>
  </w:num>
  <w:num w:numId="3">
    <w:abstractNumId w:val="1"/>
  </w:num>
  <w:num w:numId="4">
    <w:abstractNumId w:val="7"/>
  </w:num>
  <w:num w:numId="5">
    <w:abstractNumId w:val="11"/>
  </w:num>
  <w:num w:numId="6">
    <w:abstractNumId w:val="6"/>
  </w:num>
  <w:num w:numId="7">
    <w:abstractNumId w:val="5"/>
  </w:num>
  <w:num w:numId="8">
    <w:abstractNumId w:val="3"/>
  </w:num>
  <w:num w:numId="9">
    <w:abstractNumId w:val="8"/>
  </w:num>
  <w:num w:numId="10">
    <w:abstractNumId w:val="2"/>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NotTrackMoves/>
  <w:trackRevisions w:val="1"/>
  <w:documentProtection w:enforcement="0"/>
  <w:defaultTabStop w:val="0"/>
  <w:drawingGridVerticalSpacing w:val="164"/>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YzI4NGJiMjg2ZWZlN2MzZDcyYzg5ZDEwYzBhZDAifQ=="/>
  </w:docVars>
  <w:rsids>
    <w:rsidRoot w:val="00F1787C"/>
    <w:rsid w:val="00002283"/>
    <w:rsid w:val="0000322E"/>
    <w:rsid w:val="00003524"/>
    <w:rsid w:val="00006DC2"/>
    <w:rsid w:val="00014F18"/>
    <w:rsid w:val="0002191D"/>
    <w:rsid w:val="00022C81"/>
    <w:rsid w:val="000247E8"/>
    <w:rsid w:val="00025133"/>
    <w:rsid w:val="000252CD"/>
    <w:rsid w:val="00025B39"/>
    <w:rsid w:val="00031B7B"/>
    <w:rsid w:val="000329B5"/>
    <w:rsid w:val="000338C1"/>
    <w:rsid w:val="000349C1"/>
    <w:rsid w:val="00035D65"/>
    <w:rsid w:val="00035FD9"/>
    <w:rsid w:val="00037178"/>
    <w:rsid w:val="000439F3"/>
    <w:rsid w:val="00046EC8"/>
    <w:rsid w:val="0005109B"/>
    <w:rsid w:val="00055B95"/>
    <w:rsid w:val="000563B8"/>
    <w:rsid w:val="000572DF"/>
    <w:rsid w:val="00057B74"/>
    <w:rsid w:val="0006209E"/>
    <w:rsid w:val="000620D8"/>
    <w:rsid w:val="00066BA0"/>
    <w:rsid w:val="00067251"/>
    <w:rsid w:val="000757B2"/>
    <w:rsid w:val="0007698A"/>
    <w:rsid w:val="00076FDF"/>
    <w:rsid w:val="0008303D"/>
    <w:rsid w:val="0008378C"/>
    <w:rsid w:val="000849FA"/>
    <w:rsid w:val="00085499"/>
    <w:rsid w:val="00086CAB"/>
    <w:rsid w:val="000875BF"/>
    <w:rsid w:val="00087626"/>
    <w:rsid w:val="0009000C"/>
    <w:rsid w:val="0009140C"/>
    <w:rsid w:val="00093516"/>
    <w:rsid w:val="000939F8"/>
    <w:rsid w:val="00093CD5"/>
    <w:rsid w:val="000940B1"/>
    <w:rsid w:val="000945AC"/>
    <w:rsid w:val="00095B35"/>
    <w:rsid w:val="00095EDA"/>
    <w:rsid w:val="0009781C"/>
    <w:rsid w:val="000A18D6"/>
    <w:rsid w:val="000A1E4C"/>
    <w:rsid w:val="000A2296"/>
    <w:rsid w:val="000A31DB"/>
    <w:rsid w:val="000A423A"/>
    <w:rsid w:val="000A4B3C"/>
    <w:rsid w:val="000A5164"/>
    <w:rsid w:val="000A60BC"/>
    <w:rsid w:val="000A6558"/>
    <w:rsid w:val="000B3499"/>
    <w:rsid w:val="000B446C"/>
    <w:rsid w:val="000B48BA"/>
    <w:rsid w:val="000B7D1A"/>
    <w:rsid w:val="000C0102"/>
    <w:rsid w:val="000C153A"/>
    <w:rsid w:val="000C3C36"/>
    <w:rsid w:val="000C4170"/>
    <w:rsid w:val="000C42B0"/>
    <w:rsid w:val="000C4955"/>
    <w:rsid w:val="000C5DB1"/>
    <w:rsid w:val="000C6C80"/>
    <w:rsid w:val="000C6EF3"/>
    <w:rsid w:val="000D0FF5"/>
    <w:rsid w:val="000D6003"/>
    <w:rsid w:val="000E2A4B"/>
    <w:rsid w:val="000E313E"/>
    <w:rsid w:val="000E59C6"/>
    <w:rsid w:val="000F2842"/>
    <w:rsid w:val="00100F21"/>
    <w:rsid w:val="0010112E"/>
    <w:rsid w:val="00101194"/>
    <w:rsid w:val="00104DDA"/>
    <w:rsid w:val="00105562"/>
    <w:rsid w:val="001060F0"/>
    <w:rsid w:val="00107D39"/>
    <w:rsid w:val="00107E81"/>
    <w:rsid w:val="00110CAE"/>
    <w:rsid w:val="00112802"/>
    <w:rsid w:val="001150C8"/>
    <w:rsid w:val="00115A03"/>
    <w:rsid w:val="00120582"/>
    <w:rsid w:val="00123DF3"/>
    <w:rsid w:val="0012612C"/>
    <w:rsid w:val="0012618D"/>
    <w:rsid w:val="001264BE"/>
    <w:rsid w:val="00131319"/>
    <w:rsid w:val="001326B8"/>
    <w:rsid w:val="00133F0F"/>
    <w:rsid w:val="0013640A"/>
    <w:rsid w:val="00137B7C"/>
    <w:rsid w:val="00137FF4"/>
    <w:rsid w:val="00142542"/>
    <w:rsid w:val="00143D4F"/>
    <w:rsid w:val="00147ECF"/>
    <w:rsid w:val="001509A5"/>
    <w:rsid w:val="00151358"/>
    <w:rsid w:val="001528F7"/>
    <w:rsid w:val="00157E7E"/>
    <w:rsid w:val="00160A9D"/>
    <w:rsid w:val="00161FBA"/>
    <w:rsid w:val="0016324C"/>
    <w:rsid w:val="001637E6"/>
    <w:rsid w:val="001646C7"/>
    <w:rsid w:val="001661DF"/>
    <w:rsid w:val="00166289"/>
    <w:rsid w:val="00167BC0"/>
    <w:rsid w:val="00170C4F"/>
    <w:rsid w:val="001743B9"/>
    <w:rsid w:val="00180EFE"/>
    <w:rsid w:val="00183BEA"/>
    <w:rsid w:val="00184A5E"/>
    <w:rsid w:val="0018579A"/>
    <w:rsid w:val="0019148A"/>
    <w:rsid w:val="001A0539"/>
    <w:rsid w:val="001A09DE"/>
    <w:rsid w:val="001A5CDC"/>
    <w:rsid w:val="001A7336"/>
    <w:rsid w:val="001B37EE"/>
    <w:rsid w:val="001B455F"/>
    <w:rsid w:val="001B7789"/>
    <w:rsid w:val="001C0BBE"/>
    <w:rsid w:val="001C47B4"/>
    <w:rsid w:val="001C7A81"/>
    <w:rsid w:val="001D0E4A"/>
    <w:rsid w:val="001D4A30"/>
    <w:rsid w:val="001D5992"/>
    <w:rsid w:val="001D620B"/>
    <w:rsid w:val="001D748A"/>
    <w:rsid w:val="001E2FBC"/>
    <w:rsid w:val="001E35E5"/>
    <w:rsid w:val="001E3AE0"/>
    <w:rsid w:val="001E4ED8"/>
    <w:rsid w:val="001F1955"/>
    <w:rsid w:val="001F5D0C"/>
    <w:rsid w:val="001F6241"/>
    <w:rsid w:val="00203576"/>
    <w:rsid w:val="002111A4"/>
    <w:rsid w:val="002136F9"/>
    <w:rsid w:val="00213C13"/>
    <w:rsid w:val="00214A65"/>
    <w:rsid w:val="00214E11"/>
    <w:rsid w:val="0021510A"/>
    <w:rsid w:val="00217ABC"/>
    <w:rsid w:val="00217CD9"/>
    <w:rsid w:val="00217F8C"/>
    <w:rsid w:val="002202C8"/>
    <w:rsid w:val="00220469"/>
    <w:rsid w:val="00220B1B"/>
    <w:rsid w:val="00220F2D"/>
    <w:rsid w:val="00222DE6"/>
    <w:rsid w:val="002258E9"/>
    <w:rsid w:val="00226226"/>
    <w:rsid w:val="00230813"/>
    <w:rsid w:val="00231314"/>
    <w:rsid w:val="00231845"/>
    <w:rsid w:val="002339FF"/>
    <w:rsid w:val="00235CEC"/>
    <w:rsid w:val="002460EA"/>
    <w:rsid w:val="00246DBB"/>
    <w:rsid w:val="0025058B"/>
    <w:rsid w:val="002537F9"/>
    <w:rsid w:val="00253875"/>
    <w:rsid w:val="0025448C"/>
    <w:rsid w:val="00264707"/>
    <w:rsid w:val="002660DD"/>
    <w:rsid w:val="00272FC8"/>
    <w:rsid w:val="00277351"/>
    <w:rsid w:val="00277BB5"/>
    <w:rsid w:val="002826F6"/>
    <w:rsid w:val="00287A1A"/>
    <w:rsid w:val="0029648C"/>
    <w:rsid w:val="002966A3"/>
    <w:rsid w:val="00296F6F"/>
    <w:rsid w:val="00297D35"/>
    <w:rsid w:val="002A0370"/>
    <w:rsid w:val="002A055F"/>
    <w:rsid w:val="002A2803"/>
    <w:rsid w:val="002A4245"/>
    <w:rsid w:val="002B19F4"/>
    <w:rsid w:val="002B4E72"/>
    <w:rsid w:val="002B52E8"/>
    <w:rsid w:val="002B6790"/>
    <w:rsid w:val="002B6B13"/>
    <w:rsid w:val="002B6E57"/>
    <w:rsid w:val="002B72CF"/>
    <w:rsid w:val="002C2E51"/>
    <w:rsid w:val="002C471B"/>
    <w:rsid w:val="002C5A0E"/>
    <w:rsid w:val="002C7AB6"/>
    <w:rsid w:val="002D54DB"/>
    <w:rsid w:val="002E1D11"/>
    <w:rsid w:val="002E695F"/>
    <w:rsid w:val="002F308B"/>
    <w:rsid w:val="002F59DF"/>
    <w:rsid w:val="002F6545"/>
    <w:rsid w:val="002F737A"/>
    <w:rsid w:val="002F73BF"/>
    <w:rsid w:val="002F7968"/>
    <w:rsid w:val="00300BA8"/>
    <w:rsid w:val="0030183E"/>
    <w:rsid w:val="00305027"/>
    <w:rsid w:val="003111A2"/>
    <w:rsid w:val="0031451A"/>
    <w:rsid w:val="0031530B"/>
    <w:rsid w:val="00321B30"/>
    <w:rsid w:val="00322C4B"/>
    <w:rsid w:val="00323A00"/>
    <w:rsid w:val="0032479B"/>
    <w:rsid w:val="00325CDF"/>
    <w:rsid w:val="00326D75"/>
    <w:rsid w:val="003331DE"/>
    <w:rsid w:val="003332D7"/>
    <w:rsid w:val="003349A6"/>
    <w:rsid w:val="00336D14"/>
    <w:rsid w:val="00340515"/>
    <w:rsid w:val="003413B4"/>
    <w:rsid w:val="0034521F"/>
    <w:rsid w:val="003458EB"/>
    <w:rsid w:val="00345A28"/>
    <w:rsid w:val="003467A2"/>
    <w:rsid w:val="003515E2"/>
    <w:rsid w:val="00351749"/>
    <w:rsid w:val="0035184A"/>
    <w:rsid w:val="00355399"/>
    <w:rsid w:val="003600B5"/>
    <w:rsid w:val="00361ABE"/>
    <w:rsid w:val="00362AD2"/>
    <w:rsid w:val="003638FE"/>
    <w:rsid w:val="003668C2"/>
    <w:rsid w:val="00367182"/>
    <w:rsid w:val="0037709D"/>
    <w:rsid w:val="00380543"/>
    <w:rsid w:val="00383AFE"/>
    <w:rsid w:val="00384108"/>
    <w:rsid w:val="00384E9A"/>
    <w:rsid w:val="003856B3"/>
    <w:rsid w:val="003858BE"/>
    <w:rsid w:val="003859B8"/>
    <w:rsid w:val="0039099F"/>
    <w:rsid w:val="00397134"/>
    <w:rsid w:val="003A063A"/>
    <w:rsid w:val="003A67CF"/>
    <w:rsid w:val="003B5115"/>
    <w:rsid w:val="003B5AAE"/>
    <w:rsid w:val="003B696A"/>
    <w:rsid w:val="003C18C8"/>
    <w:rsid w:val="003C28DD"/>
    <w:rsid w:val="003C4C34"/>
    <w:rsid w:val="003C7632"/>
    <w:rsid w:val="003C7809"/>
    <w:rsid w:val="003D0BF2"/>
    <w:rsid w:val="003D4436"/>
    <w:rsid w:val="003D5153"/>
    <w:rsid w:val="003D5F84"/>
    <w:rsid w:val="003E0D5A"/>
    <w:rsid w:val="003E3829"/>
    <w:rsid w:val="003E38BD"/>
    <w:rsid w:val="003E68AB"/>
    <w:rsid w:val="003F098D"/>
    <w:rsid w:val="003F1C45"/>
    <w:rsid w:val="003F1F45"/>
    <w:rsid w:val="003F34F8"/>
    <w:rsid w:val="003F6AEE"/>
    <w:rsid w:val="003F7927"/>
    <w:rsid w:val="003F7A0C"/>
    <w:rsid w:val="00402F66"/>
    <w:rsid w:val="00403314"/>
    <w:rsid w:val="00404848"/>
    <w:rsid w:val="00411545"/>
    <w:rsid w:val="00412072"/>
    <w:rsid w:val="00415B93"/>
    <w:rsid w:val="00420586"/>
    <w:rsid w:val="00420FC3"/>
    <w:rsid w:val="00421DFA"/>
    <w:rsid w:val="00423CEA"/>
    <w:rsid w:val="00426621"/>
    <w:rsid w:val="0043226B"/>
    <w:rsid w:val="0043326B"/>
    <w:rsid w:val="00434144"/>
    <w:rsid w:val="00435BC6"/>
    <w:rsid w:val="004409EE"/>
    <w:rsid w:val="0044320E"/>
    <w:rsid w:val="00443CBF"/>
    <w:rsid w:val="00443D8E"/>
    <w:rsid w:val="00444730"/>
    <w:rsid w:val="00452F25"/>
    <w:rsid w:val="00453BE6"/>
    <w:rsid w:val="00454E6B"/>
    <w:rsid w:val="0045502B"/>
    <w:rsid w:val="004566D2"/>
    <w:rsid w:val="0045695D"/>
    <w:rsid w:val="00461AD0"/>
    <w:rsid w:val="004634AB"/>
    <w:rsid w:val="00466348"/>
    <w:rsid w:val="004706E6"/>
    <w:rsid w:val="0047569F"/>
    <w:rsid w:val="00476803"/>
    <w:rsid w:val="004774EC"/>
    <w:rsid w:val="00480132"/>
    <w:rsid w:val="004802D9"/>
    <w:rsid w:val="00480BDB"/>
    <w:rsid w:val="00481CDD"/>
    <w:rsid w:val="0048320C"/>
    <w:rsid w:val="004851D3"/>
    <w:rsid w:val="00492555"/>
    <w:rsid w:val="00493C71"/>
    <w:rsid w:val="00494844"/>
    <w:rsid w:val="00496C67"/>
    <w:rsid w:val="004A15BA"/>
    <w:rsid w:val="004A1630"/>
    <w:rsid w:val="004A16CA"/>
    <w:rsid w:val="004A19AC"/>
    <w:rsid w:val="004A3E48"/>
    <w:rsid w:val="004B13EB"/>
    <w:rsid w:val="004B24DB"/>
    <w:rsid w:val="004B36BA"/>
    <w:rsid w:val="004C00BE"/>
    <w:rsid w:val="004C023B"/>
    <w:rsid w:val="004C0E82"/>
    <w:rsid w:val="004C1326"/>
    <w:rsid w:val="004C1C0B"/>
    <w:rsid w:val="004C42BC"/>
    <w:rsid w:val="004C4B65"/>
    <w:rsid w:val="004C5682"/>
    <w:rsid w:val="004C6795"/>
    <w:rsid w:val="004C71DC"/>
    <w:rsid w:val="004D1ADF"/>
    <w:rsid w:val="004D4A97"/>
    <w:rsid w:val="004D5467"/>
    <w:rsid w:val="004D6EA5"/>
    <w:rsid w:val="004E6A77"/>
    <w:rsid w:val="004F05BD"/>
    <w:rsid w:val="004F5845"/>
    <w:rsid w:val="004F7236"/>
    <w:rsid w:val="005016AD"/>
    <w:rsid w:val="00501C58"/>
    <w:rsid w:val="00502E26"/>
    <w:rsid w:val="00504EDE"/>
    <w:rsid w:val="005118BF"/>
    <w:rsid w:val="005142E6"/>
    <w:rsid w:val="00514DF5"/>
    <w:rsid w:val="005216B1"/>
    <w:rsid w:val="005230E8"/>
    <w:rsid w:val="005248B7"/>
    <w:rsid w:val="00524AAD"/>
    <w:rsid w:val="00527DED"/>
    <w:rsid w:val="0053576A"/>
    <w:rsid w:val="0053749E"/>
    <w:rsid w:val="0053783C"/>
    <w:rsid w:val="00540A63"/>
    <w:rsid w:val="00541EAD"/>
    <w:rsid w:val="00543B84"/>
    <w:rsid w:val="00551444"/>
    <w:rsid w:val="005516BA"/>
    <w:rsid w:val="00554CE3"/>
    <w:rsid w:val="00565E3C"/>
    <w:rsid w:val="0056641F"/>
    <w:rsid w:val="005668C7"/>
    <w:rsid w:val="00571660"/>
    <w:rsid w:val="0057233D"/>
    <w:rsid w:val="00573321"/>
    <w:rsid w:val="005758E3"/>
    <w:rsid w:val="005914DA"/>
    <w:rsid w:val="00591F3F"/>
    <w:rsid w:val="00594228"/>
    <w:rsid w:val="005946A1"/>
    <w:rsid w:val="00594DBC"/>
    <w:rsid w:val="0059501D"/>
    <w:rsid w:val="005A0E5B"/>
    <w:rsid w:val="005A1707"/>
    <w:rsid w:val="005A390C"/>
    <w:rsid w:val="005A3A26"/>
    <w:rsid w:val="005A6CF0"/>
    <w:rsid w:val="005B0870"/>
    <w:rsid w:val="005B2C7F"/>
    <w:rsid w:val="005B635A"/>
    <w:rsid w:val="005C1367"/>
    <w:rsid w:val="005C137A"/>
    <w:rsid w:val="005C3C93"/>
    <w:rsid w:val="005C7304"/>
    <w:rsid w:val="005D1938"/>
    <w:rsid w:val="005D1C59"/>
    <w:rsid w:val="005D3202"/>
    <w:rsid w:val="005D48DB"/>
    <w:rsid w:val="005E25FB"/>
    <w:rsid w:val="005E3EBE"/>
    <w:rsid w:val="005E3F38"/>
    <w:rsid w:val="005E782A"/>
    <w:rsid w:val="005F18AC"/>
    <w:rsid w:val="005F2C77"/>
    <w:rsid w:val="00605878"/>
    <w:rsid w:val="00606A11"/>
    <w:rsid w:val="00610C35"/>
    <w:rsid w:val="00611462"/>
    <w:rsid w:val="00612C1F"/>
    <w:rsid w:val="006133CC"/>
    <w:rsid w:val="00614387"/>
    <w:rsid w:val="00614689"/>
    <w:rsid w:val="00616253"/>
    <w:rsid w:val="0061673D"/>
    <w:rsid w:val="00617262"/>
    <w:rsid w:val="006201A2"/>
    <w:rsid w:val="006226F3"/>
    <w:rsid w:val="006227F1"/>
    <w:rsid w:val="00622C1A"/>
    <w:rsid w:val="00623718"/>
    <w:rsid w:val="00625AF6"/>
    <w:rsid w:val="00626C3A"/>
    <w:rsid w:val="00633525"/>
    <w:rsid w:val="00634491"/>
    <w:rsid w:val="00640A2B"/>
    <w:rsid w:val="006410AE"/>
    <w:rsid w:val="00641DDB"/>
    <w:rsid w:val="00645AA4"/>
    <w:rsid w:val="0064614C"/>
    <w:rsid w:val="006501D9"/>
    <w:rsid w:val="0065343F"/>
    <w:rsid w:val="00662461"/>
    <w:rsid w:val="00663C2A"/>
    <w:rsid w:val="00664ABD"/>
    <w:rsid w:val="00672863"/>
    <w:rsid w:val="0067333E"/>
    <w:rsid w:val="00674008"/>
    <w:rsid w:val="006747F2"/>
    <w:rsid w:val="0067739E"/>
    <w:rsid w:val="00677827"/>
    <w:rsid w:val="00680AC1"/>
    <w:rsid w:val="00681547"/>
    <w:rsid w:val="00681630"/>
    <w:rsid w:val="00682C95"/>
    <w:rsid w:val="00685B7E"/>
    <w:rsid w:val="00685D10"/>
    <w:rsid w:val="00694FA7"/>
    <w:rsid w:val="006A29F5"/>
    <w:rsid w:val="006A2D0D"/>
    <w:rsid w:val="006A4D20"/>
    <w:rsid w:val="006A79F4"/>
    <w:rsid w:val="006B1A0A"/>
    <w:rsid w:val="006B49C1"/>
    <w:rsid w:val="006B60A9"/>
    <w:rsid w:val="006C41F0"/>
    <w:rsid w:val="006C497C"/>
    <w:rsid w:val="006C75C9"/>
    <w:rsid w:val="006C7F0A"/>
    <w:rsid w:val="006D1032"/>
    <w:rsid w:val="006D48FF"/>
    <w:rsid w:val="006D4950"/>
    <w:rsid w:val="006E2BEB"/>
    <w:rsid w:val="006E2F3D"/>
    <w:rsid w:val="006E3F3F"/>
    <w:rsid w:val="006E44D5"/>
    <w:rsid w:val="006F08B7"/>
    <w:rsid w:val="00702554"/>
    <w:rsid w:val="0070267A"/>
    <w:rsid w:val="00704E87"/>
    <w:rsid w:val="00705864"/>
    <w:rsid w:val="0071015C"/>
    <w:rsid w:val="0071261D"/>
    <w:rsid w:val="0071777A"/>
    <w:rsid w:val="00722FD3"/>
    <w:rsid w:val="00724D14"/>
    <w:rsid w:val="00727D4B"/>
    <w:rsid w:val="00736D71"/>
    <w:rsid w:val="007372DF"/>
    <w:rsid w:val="00737EEA"/>
    <w:rsid w:val="00741B7A"/>
    <w:rsid w:val="00747B86"/>
    <w:rsid w:val="007504EC"/>
    <w:rsid w:val="007508E2"/>
    <w:rsid w:val="007560DB"/>
    <w:rsid w:val="00756FB5"/>
    <w:rsid w:val="00756FFD"/>
    <w:rsid w:val="00761FD8"/>
    <w:rsid w:val="00766052"/>
    <w:rsid w:val="00767E72"/>
    <w:rsid w:val="00770B52"/>
    <w:rsid w:val="00771915"/>
    <w:rsid w:val="00775C9B"/>
    <w:rsid w:val="00776703"/>
    <w:rsid w:val="007857ED"/>
    <w:rsid w:val="0079289A"/>
    <w:rsid w:val="00795C0E"/>
    <w:rsid w:val="007961C7"/>
    <w:rsid w:val="0079740B"/>
    <w:rsid w:val="00797B24"/>
    <w:rsid w:val="007A0CD6"/>
    <w:rsid w:val="007A0FAF"/>
    <w:rsid w:val="007A113F"/>
    <w:rsid w:val="007A1179"/>
    <w:rsid w:val="007A1D32"/>
    <w:rsid w:val="007A5B10"/>
    <w:rsid w:val="007A6154"/>
    <w:rsid w:val="007A683C"/>
    <w:rsid w:val="007A6D78"/>
    <w:rsid w:val="007B04A9"/>
    <w:rsid w:val="007B119C"/>
    <w:rsid w:val="007B187B"/>
    <w:rsid w:val="007B1FF2"/>
    <w:rsid w:val="007B536D"/>
    <w:rsid w:val="007B53BD"/>
    <w:rsid w:val="007C074F"/>
    <w:rsid w:val="007C2233"/>
    <w:rsid w:val="007C27E7"/>
    <w:rsid w:val="007C38AE"/>
    <w:rsid w:val="007C4438"/>
    <w:rsid w:val="007C4BDE"/>
    <w:rsid w:val="007C6B07"/>
    <w:rsid w:val="007D0ED0"/>
    <w:rsid w:val="007D39FA"/>
    <w:rsid w:val="007D3CE4"/>
    <w:rsid w:val="007D6D40"/>
    <w:rsid w:val="007D719A"/>
    <w:rsid w:val="007E07E5"/>
    <w:rsid w:val="007E090D"/>
    <w:rsid w:val="007E4D6B"/>
    <w:rsid w:val="007E586D"/>
    <w:rsid w:val="007E5AE7"/>
    <w:rsid w:val="007F1DF1"/>
    <w:rsid w:val="007F2820"/>
    <w:rsid w:val="007F2E31"/>
    <w:rsid w:val="007F2F27"/>
    <w:rsid w:val="007F341C"/>
    <w:rsid w:val="007F3F04"/>
    <w:rsid w:val="007F5056"/>
    <w:rsid w:val="007F6705"/>
    <w:rsid w:val="00800029"/>
    <w:rsid w:val="00800203"/>
    <w:rsid w:val="00802994"/>
    <w:rsid w:val="00802E86"/>
    <w:rsid w:val="00803A57"/>
    <w:rsid w:val="008048A3"/>
    <w:rsid w:val="00805344"/>
    <w:rsid w:val="00805BEB"/>
    <w:rsid w:val="00806DE5"/>
    <w:rsid w:val="008104E5"/>
    <w:rsid w:val="008111A1"/>
    <w:rsid w:val="00812A52"/>
    <w:rsid w:val="00812B54"/>
    <w:rsid w:val="00816118"/>
    <w:rsid w:val="00816C40"/>
    <w:rsid w:val="008170C3"/>
    <w:rsid w:val="00825742"/>
    <w:rsid w:val="00833989"/>
    <w:rsid w:val="00833FEE"/>
    <w:rsid w:val="00834654"/>
    <w:rsid w:val="008346F1"/>
    <w:rsid w:val="008354B1"/>
    <w:rsid w:val="008365E2"/>
    <w:rsid w:val="00836AA3"/>
    <w:rsid w:val="0084014A"/>
    <w:rsid w:val="00840D93"/>
    <w:rsid w:val="0084176C"/>
    <w:rsid w:val="00842D69"/>
    <w:rsid w:val="008450AB"/>
    <w:rsid w:val="00846D68"/>
    <w:rsid w:val="008539A0"/>
    <w:rsid w:val="00855C88"/>
    <w:rsid w:val="00857785"/>
    <w:rsid w:val="00857AD8"/>
    <w:rsid w:val="008601D6"/>
    <w:rsid w:val="008607DC"/>
    <w:rsid w:val="00860E29"/>
    <w:rsid w:val="00861BC4"/>
    <w:rsid w:val="00863EE0"/>
    <w:rsid w:val="00866111"/>
    <w:rsid w:val="00866AB6"/>
    <w:rsid w:val="008704B2"/>
    <w:rsid w:val="00872187"/>
    <w:rsid w:val="00874906"/>
    <w:rsid w:val="00874BFC"/>
    <w:rsid w:val="00876B56"/>
    <w:rsid w:val="0088161E"/>
    <w:rsid w:val="0088193E"/>
    <w:rsid w:val="00882774"/>
    <w:rsid w:val="00882B8D"/>
    <w:rsid w:val="00885AC5"/>
    <w:rsid w:val="00886F6A"/>
    <w:rsid w:val="00887D97"/>
    <w:rsid w:val="00890EBC"/>
    <w:rsid w:val="00891734"/>
    <w:rsid w:val="00895E46"/>
    <w:rsid w:val="008967CB"/>
    <w:rsid w:val="008977A4"/>
    <w:rsid w:val="008A3AA0"/>
    <w:rsid w:val="008A55D4"/>
    <w:rsid w:val="008B1019"/>
    <w:rsid w:val="008B3FC7"/>
    <w:rsid w:val="008B5DEA"/>
    <w:rsid w:val="008B6331"/>
    <w:rsid w:val="008B67BA"/>
    <w:rsid w:val="008B7405"/>
    <w:rsid w:val="008C301B"/>
    <w:rsid w:val="008C5B46"/>
    <w:rsid w:val="008C725C"/>
    <w:rsid w:val="008D00FA"/>
    <w:rsid w:val="008D63E7"/>
    <w:rsid w:val="008D73C7"/>
    <w:rsid w:val="008E0572"/>
    <w:rsid w:val="008E1519"/>
    <w:rsid w:val="008E287D"/>
    <w:rsid w:val="008E45A7"/>
    <w:rsid w:val="00900693"/>
    <w:rsid w:val="009006A6"/>
    <w:rsid w:val="00903037"/>
    <w:rsid w:val="009046B3"/>
    <w:rsid w:val="00905B3A"/>
    <w:rsid w:val="00916B64"/>
    <w:rsid w:val="00920C99"/>
    <w:rsid w:val="00925EBF"/>
    <w:rsid w:val="00927097"/>
    <w:rsid w:val="009275AE"/>
    <w:rsid w:val="009279C7"/>
    <w:rsid w:val="00931886"/>
    <w:rsid w:val="009332B4"/>
    <w:rsid w:val="0093372E"/>
    <w:rsid w:val="00933E5E"/>
    <w:rsid w:val="00940847"/>
    <w:rsid w:val="00940FA6"/>
    <w:rsid w:val="0094101C"/>
    <w:rsid w:val="009421B0"/>
    <w:rsid w:val="0094715F"/>
    <w:rsid w:val="009514A5"/>
    <w:rsid w:val="00953549"/>
    <w:rsid w:val="00954247"/>
    <w:rsid w:val="009564C7"/>
    <w:rsid w:val="00956F8D"/>
    <w:rsid w:val="009572C8"/>
    <w:rsid w:val="00962870"/>
    <w:rsid w:val="00962ACC"/>
    <w:rsid w:val="00964B02"/>
    <w:rsid w:val="009661C5"/>
    <w:rsid w:val="00972900"/>
    <w:rsid w:val="00972BE1"/>
    <w:rsid w:val="00974712"/>
    <w:rsid w:val="00974ED2"/>
    <w:rsid w:val="009756CC"/>
    <w:rsid w:val="00984865"/>
    <w:rsid w:val="00993114"/>
    <w:rsid w:val="009933AA"/>
    <w:rsid w:val="009967E9"/>
    <w:rsid w:val="00997538"/>
    <w:rsid w:val="009A2809"/>
    <w:rsid w:val="009A2EF8"/>
    <w:rsid w:val="009A4256"/>
    <w:rsid w:val="009B2BC0"/>
    <w:rsid w:val="009C1CE2"/>
    <w:rsid w:val="009C33B6"/>
    <w:rsid w:val="009C5D1A"/>
    <w:rsid w:val="009C64B8"/>
    <w:rsid w:val="009C672B"/>
    <w:rsid w:val="009C6EA7"/>
    <w:rsid w:val="009D1627"/>
    <w:rsid w:val="009D412F"/>
    <w:rsid w:val="009D797B"/>
    <w:rsid w:val="009D7B9F"/>
    <w:rsid w:val="009E0777"/>
    <w:rsid w:val="009E1498"/>
    <w:rsid w:val="009E1C34"/>
    <w:rsid w:val="009E2FCF"/>
    <w:rsid w:val="009E3D1F"/>
    <w:rsid w:val="009E7FE7"/>
    <w:rsid w:val="009F2D22"/>
    <w:rsid w:val="009F5199"/>
    <w:rsid w:val="009F6408"/>
    <w:rsid w:val="00A00E02"/>
    <w:rsid w:val="00A047ED"/>
    <w:rsid w:val="00A05452"/>
    <w:rsid w:val="00A077AC"/>
    <w:rsid w:val="00A07D0B"/>
    <w:rsid w:val="00A123BA"/>
    <w:rsid w:val="00A14408"/>
    <w:rsid w:val="00A21CCE"/>
    <w:rsid w:val="00A2254A"/>
    <w:rsid w:val="00A23A4F"/>
    <w:rsid w:val="00A23CC4"/>
    <w:rsid w:val="00A2552A"/>
    <w:rsid w:val="00A260BF"/>
    <w:rsid w:val="00A268ED"/>
    <w:rsid w:val="00A27BFC"/>
    <w:rsid w:val="00A3283D"/>
    <w:rsid w:val="00A32C05"/>
    <w:rsid w:val="00A347AC"/>
    <w:rsid w:val="00A35AB5"/>
    <w:rsid w:val="00A35DDA"/>
    <w:rsid w:val="00A40D7A"/>
    <w:rsid w:val="00A428B1"/>
    <w:rsid w:val="00A4428D"/>
    <w:rsid w:val="00A45C50"/>
    <w:rsid w:val="00A45DFE"/>
    <w:rsid w:val="00A47351"/>
    <w:rsid w:val="00A47721"/>
    <w:rsid w:val="00A47E7E"/>
    <w:rsid w:val="00A47FEC"/>
    <w:rsid w:val="00A50146"/>
    <w:rsid w:val="00A52E4B"/>
    <w:rsid w:val="00A53075"/>
    <w:rsid w:val="00A543C4"/>
    <w:rsid w:val="00A56AFF"/>
    <w:rsid w:val="00A637BA"/>
    <w:rsid w:val="00A63F81"/>
    <w:rsid w:val="00A66FA8"/>
    <w:rsid w:val="00A70CA2"/>
    <w:rsid w:val="00A71A44"/>
    <w:rsid w:val="00A7363E"/>
    <w:rsid w:val="00A805C4"/>
    <w:rsid w:val="00A81C0E"/>
    <w:rsid w:val="00A826A4"/>
    <w:rsid w:val="00A828D4"/>
    <w:rsid w:val="00A83919"/>
    <w:rsid w:val="00A84585"/>
    <w:rsid w:val="00A84832"/>
    <w:rsid w:val="00A8542F"/>
    <w:rsid w:val="00A92E22"/>
    <w:rsid w:val="00A95AFB"/>
    <w:rsid w:val="00AA1ED7"/>
    <w:rsid w:val="00AA2125"/>
    <w:rsid w:val="00AA7B39"/>
    <w:rsid w:val="00AB291E"/>
    <w:rsid w:val="00AB3079"/>
    <w:rsid w:val="00AB454C"/>
    <w:rsid w:val="00AB7314"/>
    <w:rsid w:val="00AC0B60"/>
    <w:rsid w:val="00AC35C8"/>
    <w:rsid w:val="00AC5579"/>
    <w:rsid w:val="00AC77D9"/>
    <w:rsid w:val="00AD254C"/>
    <w:rsid w:val="00AD3F91"/>
    <w:rsid w:val="00AD5063"/>
    <w:rsid w:val="00AE0656"/>
    <w:rsid w:val="00AE0F5B"/>
    <w:rsid w:val="00AE17FA"/>
    <w:rsid w:val="00AE3AEB"/>
    <w:rsid w:val="00AE7FF3"/>
    <w:rsid w:val="00AF5F1C"/>
    <w:rsid w:val="00AF6CF5"/>
    <w:rsid w:val="00B0490C"/>
    <w:rsid w:val="00B05534"/>
    <w:rsid w:val="00B05CAE"/>
    <w:rsid w:val="00B070E2"/>
    <w:rsid w:val="00B12019"/>
    <w:rsid w:val="00B122D8"/>
    <w:rsid w:val="00B13624"/>
    <w:rsid w:val="00B13908"/>
    <w:rsid w:val="00B151A8"/>
    <w:rsid w:val="00B20392"/>
    <w:rsid w:val="00B235BC"/>
    <w:rsid w:val="00B24221"/>
    <w:rsid w:val="00B2626C"/>
    <w:rsid w:val="00B307F7"/>
    <w:rsid w:val="00B32CAE"/>
    <w:rsid w:val="00B3421D"/>
    <w:rsid w:val="00B35641"/>
    <w:rsid w:val="00B36173"/>
    <w:rsid w:val="00B41020"/>
    <w:rsid w:val="00B42F9A"/>
    <w:rsid w:val="00B459DA"/>
    <w:rsid w:val="00B4774B"/>
    <w:rsid w:val="00B52622"/>
    <w:rsid w:val="00B529B8"/>
    <w:rsid w:val="00B53EAE"/>
    <w:rsid w:val="00B63108"/>
    <w:rsid w:val="00B64A4E"/>
    <w:rsid w:val="00B64BC6"/>
    <w:rsid w:val="00B657A0"/>
    <w:rsid w:val="00B66875"/>
    <w:rsid w:val="00B71C05"/>
    <w:rsid w:val="00B73167"/>
    <w:rsid w:val="00B756D1"/>
    <w:rsid w:val="00B7661F"/>
    <w:rsid w:val="00B77958"/>
    <w:rsid w:val="00B7798B"/>
    <w:rsid w:val="00B82491"/>
    <w:rsid w:val="00B851D0"/>
    <w:rsid w:val="00B92194"/>
    <w:rsid w:val="00B94AC5"/>
    <w:rsid w:val="00B95D90"/>
    <w:rsid w:val="00B96171"/>
    <w:rsid w:val="00B97C03"/>
    <w:rsid w:val="00BA114B"/>
    <w:rsid w:val="00BA4C4A"/>
    <w:rsid w:val="00BA5453"/>
    <w:rsid w:val="00BA65F5"/>
    <w:rsid w:val="00BA7026"/>
    <w:rsid w:val="00BA718D"/>
    <w:rsid w:val="00BA7E13"/>
    <w:rsid w:val="00BB1932"/>
    <w:rsid w:val="00BB471C"/>
    <w:rsid w:val="00BB4F74"/>
    <w:rsid w:val="00BB5003"/>
    <w:rsid w:val="00BB60E7"/>
    <w:rsid w:val="00BC050E"/>
    <w:rsid w:val="00BC12EE"/>
    <w:rsid w:val="00BC1489"/>
    <w:rsid w:val="00BC203B"/>
    <w:rsid w:val="00BC33A9"/>
    <w:rsid w:val="00BD6DC6"/>
    <w:rsid w:val="00BE1BEC"/>
    <w:rsid w:val="00BE4A86"/>
    <w:rsid w:val="00BE4A91"/>
    <w:rsid w:val="00BE60A7"/>
    <w:rsid w:val="00BF28B3"/>
    <w:rsid w:val="00BF6FA8"/>
    <w:rsid w:val="00BF76B0"/>
    <w:rsid w:val="00C02712"/>
    <w:rsid w:val="00C07B2A"/>
    <w:rsid w:val="00C11F6E"/>
    <w:rsid w:val="00C13F63"/>
    <w:rsid w:val="00C15831"/>
    <w:rsid w:val="00C168B7"/>
    <w:rsid w:val="00C21595"/>
    <w:rsid w:val="00C22F13"/>
    <w:rsid w:val="00C22FCC"/>
    <w:rsid w:val="00C24264"/>
    <w:rsid w:val="00C2444F"/>
    <w:rsid w:val="00C30D22"/>
    <w:rsid w:val="00C31744"/>
    <w:rsid w:val="00C33666"/>
    <w:rsid w:val="00C364DD"/>
    <w:rsid w:val="00C37792"/>
    <w:rsid w:val="00C415BC"/>
    <w:rsid w:val="00C44E2D"/>
    <w:rsid w:val="00C46B60"/>
    <w:rsid w:val="00C474B2"/>
    <w:rsid w:val="00C563B6"/>
    <w:rsid w:val="00C624A2"/>
    <w:rsid w:val="00C65656"/>
    <w:rsid w:val="00C66A53"/>
    <w:rsid w:val="00C66FB7"/>
    <w:rsid w:val="00C76490"/>
    <w:rsid w:val="00C848C9"/>
    <w:rsid w:val="00C8655B"/>
    <w:rsid w:val="00C91CDE"/>
    <w:rsid w:val="00C91F22"/>
    <w:rsid w:val="00C92C81"/>
    <w:rsid w:val="00C943E9"/>
    <w:rsid w:val="00CA01B6"/>
    <w:rsid w:val="00CA2781"/>
    <w:rsid w:val="00CA398D"/>
    <w:rsid w:val="00CA45CB"/>
    <w:rsid w:val="00CA6808"/>
    <w:rsid w:val="00CA7567"/>
    <w:rsid w:val="00CB452C"/>
    <w:rsid w:val="00CB4A3D"/>
    <w:rsid w:val="00CB5C0F"/>
    <w:rsid w:val="00CB7FDA"/>
    <w:rsid w:val="00CC505F"/>
    <w:rsid w:val="00CC5715"/>
    <w:rsid w:val="00CD1726"/>
    <w:rsid w:val="00CD225D"/>
    <w:rsid w:val="00CD4175"/>
    <w:rsid w:val="00CD6C71"/>
    <w:rsid w:val="00CD78E5"/>
    <w:rsid w:val="00CE076F"/>
    <w:rsid w:val="00CE0E41"/>
    <w:rsid w:val="00CE2D7F"/>
    <w:rsid w:val="00CE32CD"/>
    <w:rsid w:val="00CE44DD"/>
    <w:rsid w:val="00CF2931"/>
    <w:rsid w:val="00CF3754"/>
    <w:rsid w:val="00CF3D31"/>
    <w:rsid w:val="00CF3FE8"/>
    <w:rsid w:val="00D0363A"/>
    <w:rsid w:val="00D065C5"/>
    <w:rsid w:val="00D0782A"/>
    <w:rsid w:val="00D1077A"/>
    <w:rsid w:val="00D1446B"/>
    <w:rsid w:val="00D230C6"/>
    <w:rsid w:val="00D2649C"/>
    <w:rsid w:val="00D273BE"/>
    <w:rsid w:val="00D3252E"/>
    <w:rsid w:val="00D32643"/>
    <w:rsid w:val="00D3367B"/>
    <w:rsid w:val="00D37D3B"/>
    <w:rsid w:val="00D609BA"/>
    <w:rsid w:val="00D61413"/>
    <w:rsid w:val="00D62541"/>
    <w:rsid w:val="00D64F3A"/>
    <w:rsid w:val="00D66247"/>
    <w:rsid w:val="00D66886"/>
    <w:rsid w:val="00D66F49"/>
    <w:rsid w:val="00D7284C"/>
    <w:rsid w:val="00D74280"/>
    <w:rsid w:val="00D765D5"/>
    <w:rsid w:val="00D77AEF"/>
    <w:rsid w:val="00D813D8"/>
    <w:rsid w:val="00D8175D"/>
    <w:rsid w:val="00D818CF"/>
    <w:rsid w:val="00D81A15"/>
    <w:rsid w:val="00D83624"/>
    <w:rsid w:val="00D83DD9"/>
    <w:rsid w:val="00D879C7"/>
    <w:rsid w:val="00D9071B"/>
    <w:rsid w:val="00D9317E"/>
    <w:rsid w:val="00D97A95"/>
    <w:rsid w:val="00DA0216"/>
    <w:rsid w:val="00DA24A3"/>
    <w:rsid w:val="00DB0400"/>
    <w:rsid w:val="00DB0B93"/>
    <w:rsid w:val="00DB0CCC"/>
    <w:rsid w:val="00DB227F"/>
    <w:rsid w:val="00DB2BAB"/>
    <w:rsid w:val="00DB49D5"/>
    <w:rsid w:val="00DB759D"/>
    <w:rsid w:val="00DC0B72"/>
    <w:rsid w:val="00DC578C"/>
    <w:rsid w:val="00DC6A1F"/>
    <w:rsid w:val="00DC6F92"/>
    <w:rsid w:val="00DD1747"/>
    <w:rsid w:val="00DD2133"/>
    <w:rsid w:val="00DD38F6"/>
    <w:rsid w:val="00DD4A11"/>
    <w:rsid w:val="00DD4FB9"/>
    <w:rsid w:val="00DD737B"/>
    <w:rsid w:val="00DE1033"/>
    <w:rsid w:val="00DE288F"/>
    <w:rsid w:val="00DE2BFF"/>
    <w:rsid w:val="00DE3226"/>
    <w:rsid w:val="00DE58F9"/>
    <w:rsid w:val="00DE680C"/>
    <w:rsid w:val="00DE7971"/>
    <w:rsid w:val="00DF1985"/>
    <w:rsid w:val="00DF5B31"/>
    <w:rsid w:val="00E02114"/>
    <w:rsid w:val="00E03783"/>
    <w:rsid w:val="00E06502"/>
    <w:rsid w:val="00E0716D"/>
    <w:rsid w:val="00E10E7C"/>
    <w:rsid w:val="00E15007"/>
    <w:rsid w:val="00E17769"/>
    <w:rsid w:val="00E20ABC"/>
    <w:rsid w:val="00E23505"/>
    <w:rsid w:val="00E24890"/>
    <w:rsid w:val="00E26737"/>
    <w:rsid w:val="00E30BDB"/>
    <w:rsid w:val="00E34C6A"/>
    <w:rsid w:val="00E36724"/>
    <w:rsid w:val="00E42612"/>
    <w:rsid w:val="00E42AF9"/>
    <w:rsid w:val="00E44E76"/>
    <w:rsid w:val="00E457A5"/>
    <w:rsid w:val="00E45EDE"/>
    <w:rsid w:val="00E516C7"/>
    <w:rsid w:val="00E52FD0"/>
    <w:rsid w:val="00E53668"/>
    <w:rsid w:val="00E562C9"/>
    <w:rsid w:val="00E57CE7"/>
    <w:rsid w:val="00E64D73"/>
    <w:rsid w:val="00E65B2B"/>
    <w:rsid w:val="00E84AD3"/>
    <w:rsid w:val="00E8555A"/>
    <w:rsid w:val="00E907D3"/>
    <w:rsid w:val="00E9117E"/>
    <w:rsid w:val="00E91C2B"/>
    <w:rsid w:val="00E9267B"/>
    <w:rsid w:val="00E9477F"/>
    <w:rsid w:val="00EA168E"/>
    <w:rsid w:val="00EA2585"/>
    <w:rsid w:val="00EA416E"/>
    <w:rsid w:val="00EA6533"/>
    <w:rsid w:val="00EA7196"/>
    <w:rsid w:val="00EB209E"/>
    <w:rsid w:val="00EB6899"/>
    <w:rsid w:val="00EC0FB9"/>
    <w:rsid w:val="00EC1329"/>
    <w:rsid w:val="00EC1698"/>
    <w:rsid w:val="00EC21B3"/>
    <w:rsid w:val="00EC26B2"/>
    <w:rsid w:val="00EC4BAC"/>
    <w:rsid w:val="00EC58D0"/>
    <w:rsid w:val="00EC6200"/>
    <w:rsid w:val="00ED29DF"/>
    <w:rsid w:val="00EE220D"/>
    <w:rsid w:val="00EE440D"/>
    <w:rsid w:val="00EE4955"/>
    <w:rsid w:val="00EE5143"/>
    <w:rsid w:val="00EE75C1"/>
    <w:rsid w:val="00EF4112"/>
    <w:rsid w:val="00EF7399"/>
    <w:rsid w:val="00F02127"/>
    <w:rsid w:val="00F03096"/>
    <w:rsid w:val="00F04171"/>
    <w:rsid w:val="00F04CFE"/>
    <w:rsid w:val="00F04E3D"/>
    <w:rsid w:val="00F05061"/>
    <w:rsid w:val="00F10690"/>
    <w:rsid w:val="00F14AAD"/>
    <w:rsid w:val="00F15A03"/>
    <w:rsid w:val="00F1614E"/>
    <w:rsid w:val="00F1787C"/>
    <w:rsid w:val="00F23B12"/>
    <w:rsid w:val="00F3551B"/>
    <w:rsid w:val="00F43948"/>
    <w:rsid w:val="00F4432F"/>
    <w:rsid w:val="00F47A3D"/>
    <w:rsid w:val="00F47D02"/>
    <w:rsid w:val="00F518DB"/>
    <w:rsid w:val="00F53D6E"/>
    <w:rsid w:val="00F55898"/>
    <w:rsid w:val="00F55EB1"/>
    <w:rsid w:val="00F56076"/>
    <w:rsid w:val="00F620DD"/>
    <w:rsid w:val="00F6265D"/>
    <w:rsid w:val="00F646A2"/>
    <w:rsid w:val="00F65BF5"/>
    <w:rsid w:val="00F70302"/>
    <w:rsid w:val="00F72A20"/>
    <w:rsid w:val="00F72AAD"/>
    <w:rsid w:val="00F72FBB"/>
    <w:rsid w:val="00F73BC2"/>
    <w:rsid w:val="00F73F3B"/>
    <w:rsid w:val="00F74775"/>
    <w:rsid w:val="00F75143"/>
    <w:rsid w:val="00F807D7"/>
    <w:rsid w:val="00F8218B"/>
    <w:rsid w:val="00F8241E"/>
    <w:rsid w:val="00F83C2D"/>
    <w:rsid w:val="00F848FF"/>
    <w:rsid w:val="00F8662C"/>
    <w:rsid w:val="00F90AD7"/>
    <w:rsid w:val="00F92857"/>
    <w:rsid w:val="00F941F8"/>
    <w:rsid w:val="00F97718"/>
    <w:rsid w:val="00F97C4A"/>
    <w:rsid w:val="00FA1207"/>
    <w:rsid w:val="00FA6D96"/>
    <w:rsid w:val="00FA7E59"/>
    <w:rsid w:val="00FB438B"/>
    <w:rsid w:val="00FB5E2B"/>
    <w:rsid w:val="00FB671E"/>
    <w:rsid w:val="00FC070A"/>
    <w:rsid w:val="00FC3792"/>
    <w:rsid w:val="00FC6389"/>
    <w:rsid w:val="00FD2B70"/>
    <w:rsid w:val="00FD480A"/>
    <w:rsid w:val="00FD4E1C"/>
    <w:rsid w:val="00FD5A4F"/>
    <w:rsid w:val="00FE041C"/>
    <w:rsid w:val="00FE3166"/>
    <w:rsid w:val="00FE3EEF"/>
    <w:rsid w:val="00FE5EBF"/>
    <w:rsid w:val="00FE7AEA"/>
    <w:rsid w:val="00FF3180"/>
    <w:rsid w:val="00FF4C28"/>
    <w:rsid w:val="00FF569F"/>
    <w:rsid w:val="00FF7182"/>
    <w:rsid w:val="010F0FD0"/>
    <w:rsid w:val="01166364"/>
    <w:rsid w:val="015D18DC"/>
    <w:rsid w:val="01852BD3"/>
    <w:rsid w:val="018A6C3C"/>
    <w:rsid w:val="019821AA"/>
    <w:rsid w:val="01A8609A"/>
    <w:rsid w:val="01F5332B"/>
    <w:rsid w:val="02105DD0"/>
    <w:rsid w:val="02155A13"/>
    <w:rsid w:val="02195A53"/>
    <w:rsid w:val="02532161"/>
    <w:rsid w:val="029D41FE"/>
    <w:rsid w:val="02A800C5"/>
    <w:rsid w:val="02C6499B"/>
    <w:rsid w:val="02C91CAA"/>
    <w:rsid w:val="02EB4148"/>
    <w:rsid w:val="02FC1D07"/>
    <w:rsid w:val="037D0CD2"/>
    <w:rsid w:val="03891527"/>
    <w:rsid w:val="038B3366"/>
    <w:rsid w:val="038E34D9"/>
    <w:rsid w:val="03981B5E"/>
    <w:rsid w:val="03996EAD"/>
    <w:rsid w:val="03B80F4C"/>
    <w:rsid w:val="03F60BFA"/>
    <w:rsid w:val="04023CC8"/>
    <w:rsid w:val="040320C1"/>
    <w:rsid w:val="04074EC0"/>
    <w:rsid w:val="042674F4"/>
    <w:rsid w:val="042D3C13"/>
    <w:rsid w:val="0437159C"/>
    <w:rsid w:val="045B70AB"/>
    <w:rsid w:val="04722D72"/>
    <w:rsid w:val="047915F8"/>
    <w:rsid w:val="047A0BBC"/>
    <w:rsid w:val="04931FE3"/>
    <w:rsid w:val="049C16D0"/>
    <w:rsid w:val="04C12ED8"/>
    <w:rsid w:val="04C70D83"/>
    <w:rsid w:val="04D133D0"/>
    <w:rsid w:val="04DC5749"/>
    <w:rsid w:val="04E26FED"/>
    <w:rsid w:val="04E41F94"/>
    <w:rsid w:val="04FD6633"/>
    <w:rsid w:val="052838D4"/>
    <w:rsid w:val="052D4B75"/>
    <w:rsid w:val="052E2B3B"/>
    <w:rsid w:val="05355D48"/>
    <w:rsid w:val="054416D2"/>
    <w:rsid w:val="054C2DCF"/>
    <w:rsid w:val="05507F0F"/>
    <w:rsid w:val="05616943"/>
    <w:rsid w:val="057A317B"/>
    <w:rsid w:val="05871A0A"/>
    <w:rsid w:val="05A42E7B"/>
    <w:rsid w:val="05A70EA9"/>
    <w:rsid w:val="05C869C2"/>
    <w:rsid w:val="05D55D36"/>
    <w:rsid w:val="060C2525"/>
    <w:rsid w:val="0624009C"/>
    <w:rsid w:val="062756FD"/>
    <w:rsid w:val="06387810"/>
    <w:rsid w:val="065F7A31"/>
    <w:rsid w:val="0674516C"/>
    <w:rsid w:val="067C53E7"/>
    <w:rsid w:val="06820F5E"/>
    <w:rsid w:val="068F02DD"/>
    <w:rsid w:val="06AA444A"/>
    <w:rsid w:val="06AE2ABA"/>
    <w:rsid w:val="06C75368"/>
    <w:rsid w:val="06C75DF5"/>
    <w:rsid w:val="06DD02BB"/>
    <w:rsid w:val="06E71F51"/>
    <w:rsid w:val="06F34DC4"/>
    <w:rsid w:val="06F76370"/>
    <w:rsid w:val="06F965AD"/>
    <w:rsid w:val="07050666"/>
    <w:rsid w:val="071C4DB7"/>
    <w:rsid w:val="07362674"/>
    <w:rsid w:val="073B54B2"/>
    <w:rsid w:val="07537EF9"/>
    <w:rsid w:val="07541C4C"/>
    <w:rsid w:val="07815EE7"/>
    <w:rsid w:val="07C64E1E"/>
    <w:rsid w:val="08045C1E"/>
    <w:rsid w:val="081748AE"/>
    <w:rsid w:val="082E5075"/>
    <w:rsid w:val="084C2E18"/>
    <w:rsid w:val="085576E6"/>
    <w:rsid w:val="08635851"/>
    <w:rsid w:val="088A5A8D"/>
    <w:rsid w:val="0893510B"/>
    <w:rsid w:val="08C2359B"/>
    <w:rsid w:val="08F024B8"/>
    <w:rsid w:val="09041814"/>
    <w:rsid w:val="092D7BDC"/>
    <w:rsid w:val="09332D2B"/>
    <w:rsid w:val="093E2D64"/>
    <w:rsid w:val="09472203"/>
    <w:rsid w:val="09542615"/>
    <w:rsid w:val="095B087A"/>
    <w:rsid w:val="0962432C"/>
    <w:rsid w:val="098B1DA7"/>
    <w:rsid w:val="09907951"/>
    <w:rsid w:val="099F43E4"/>
    <w:rsid w:val="09A31A61"/>
    <w:rsid w:val="09BA7A85"/>
    <w:rsid w:val="09DE1094"/>
    <w:rsid w:val="09E2475B"/>
    <w:rsid w:val="0A24345E"/>
    <w:rsid w:val="0A335AB8"/>
    <w:rsid w:val="0A3F34B7"/>
    <w:rsid w:val="0A4B11BE"/>
    <w:rsid w:val="0A7B4003"/>
    <w:rsid w:val="0A8E5B8D"/>
    <w:rsid w:val="0AA240FA"/>
    <w:rsid w:val="0AAC0CBB"/>
    <w:rsid w:val="0ACB31DC"/>
    <w:rsid w:val="0AD84BD3"/>
    <w:rsid w:val="0AE941D3"/>
    <w:rsid w:val="0AF0019D"/>
    <w:rsid w:val="0B1061C6"/>
    <w:rsid w:val="0B2B08D5"/>
    <w:rsid w:val="0BA35012"/>
    <w:rsid w:val="0BB825ED"/>
    <w:rsid w:val="0BC0647C"/>
    <w:rsid w:val="0BD7624B"/>
    <w:rsid w:val="0BF26817"/>
    <w:rsid w:val="0C22464A"/>
    <w:rsid w:val="0C2B72AE"/>
    <w:rsid w:val="0C623EAC"/>
    <w:rsid w:val="0C946488"/>
    <w:rsid w:val="0CAD24AF"/>
    <w:rsid w:val="0CB27F34"/>
    <w:rsid w:val="0CD756C6"/>
    <w:rsid w:val="0CDE26C7"/>
    <w:rsid w:val="0D0D3F93"/>
    <w:rsid w:val="0D12389F"/>
    <w:rsid w:val="0D2820B7"/>
    <w:rsid w:val="0D662EE5"/>
    <w:rsid w:val="0D69706B"/>
    <w:rsid w:val="0D851774"/>
    <w:rsid w:val="0D860EC5"/>
    <w:rsid w:val="0D9339BE"/>
    <w:rsid w:val="0D9E6A67"/>
    <w:rsid w:val="0D9F0DC4"/>
    <w:rsid w:val="0DC02AA1"/>
    <w:rsid w:val="0DDE695A"/>
    <w:rsid w:val="0DF73A5B"/>
    <w:rsid w:val="0E0A5DCA"/>
    <w:rsid w:val="0E157D82"/>
    <w:rsid w:val="0E164CA8"/>
    <w:rsid w:val="0E231949"/>
    <w:rsid w:val="0E2D072E"/>
    <w:rsid w:val="0E3B295D"/>
    <w:rsid w:val="0E47249B"/>
    <w:rsid w:val="0E551882"/>
    <w:rsid w:val="0E65340B"/>
    <w:rsid w:val="0E7306EC"/>
    <w:rsid w:val="0E97177E"/>
    <w:rsid w:val="0E9E3FF1"/>
    <w:rsid w:val="0EB254B2"/>
    <w:rsid w:val="0EBC4C74"/>
    <w:rsid w:val="0EFB3F5D"/>
    <w:rsid w:val="0F041CC7"/>
    <w:rsid w:val="0F042317"/>
    <w:rsid w:val="0F097D41"/>
    <w:rsid w:val="0F1209F8"/>
    <w:rsid w:val="0F4B7869"/>
    <w:rsid w:val="0F4C19DA"/>
    <w:rsid w:val="0F4C7D05"/>
    <w:rsid w:val="0F4F31AF"/>
    <w:rsid w:val="0F5F17BD"/>
    <w:rsid w:val="0F90531D"/>
    <w:rsid w:val="0FAD64B5"/>
    <w:rsid w:val="0FB21FD4"/>
    <w:rsid w:val="0FFF5930"/>
    <w:rsid w:val="10014FAA"/>
    <w:rsid w:val="10646943"/>
    <w:rsid w:val="10A265EF"/>
    <w:rsid w:val="10A544F9"/>
    <w:rsid w:val="10D03925"/>
    <w:rsid w:val="10EC4A0F"/>
    <w:rsid w:val="11156FC6"/>
    <w:rsid w:val="11485B0D"/>
    <w:rsid w:val="114C7209"/>
    <w:rsid w:val="11513D10"/>
    <w:rsid w:val="1154158B"/>
    <w:rsid w:val="117076B2"/>
    <w:rsid w:val="117568FF"/>
    <w:rsid w:val="119E6579"/>
    <w:rsid w:val="11D435DD"/>
    <w:rsid w:val="11DA3C43"/>
    <w:rsid w:val="12033C24"/>
    <w:rsid w:val="12041F86"/>
    <w:rsid w:val="1220326C"/>
    <w:rsid w:val="123A67B6"/>
    <w:rsid w:val="125670E6"/>
    <w:rsid w:val="125E1A9C"/>
    <w:rsid w:val="1276289F"/>
    <w:rsid w:val="1288522D"/>
    <w:rsid w:val="12912AF5"/>
    <w:rsid w:val="129D6A95"/>
    <w:rsid w:val="12AF4046"/>
    <w:rsid w:val="12CE506D"/>
    <w:rsid w:val="12E446B0"/>
    <w:rsid w:val="12F65490"/>
    <w:rsid w:val="12F73D2A"/>
    <w:rsid w:val="12F9698E"/>
    <w:rsid w:val="13112273"/>
    <w:rsid w:val="131C7C5D"/>
    <w:rsid w:val="13340D5A"/>
    <w:rsid w:val="13511DF6"/>
    <w:rsid w:val="13515743"/>
    <w:rsid w:val="138B4634"/>
    <w:rsid w:val="138F1214"/>
    <w:rsid w:val="1399390E"/>
    <w:rsid w:val="13BF412F"/>
    <w:rsid w:val="13D101C7"/>
    <w:rsid w:val="13DF5DFB"/>
    <w:rsid w:val="13FF14D9"/>
    <w:rsid w:val="1400440E"/>
    <w:rsid w:val="142669A3"/>
    <w:rsid w:val="143805F9"/>
    <w:rsid w:val="144729D8"/>
    <w:rsid w:val="14647DD5"/>
    <w:rsid w:val="148E78CB"/>
    <w:rsid w:val="149B043C"/>
    <w:rsid w:val="149F4D92"/>
    <w:rsid w:val="14A13E6D"/>
    <w:rsid w:val="14A55A2C"/>
    <w:rsid w:val="14AB614D"/>
    <w:rsid w:val="14B96C2B"/>
    <w:rsid w:val="14C601A8"/>
    <w:rsid w:val="14F075E7"/>
    <w:rsid w:val="15282A96"/>
    <w:rsid w:val="15436E45"/>
    <w:rsid w:val="15507C7E"/>
    <w:rsid w:val="15664AEF"/>
    <w:rsid w:val="158025A7"/>
    <w:rsid w:val="158E23E1"/>
    <w:rsid w:val="159D7EA6"/>
    <w:rsid w:val="159F1BF9"/>
    <w:rsid w:val="15B71B1D"/>
    <w:rsid w:val="15E63361"/>
    <w:rsid w:val="15E96C0C"/>
    <w:rsid w:val="160B0227"/>
    <w:rsid w:val="166C7DA6"/>
    <w:rsid w:val="16864176"/>
    <w:rsid w:val="168D0306"/>
    <w:rsid w:val="16C32FBA"/>
    <w:rsid w:val="16E04880"/>
    <w:rsid w:val="16F4534A"/>
    <w:rsid w:val="16F86032"/>
    <w:rsid w:val="17081A7A"/>
    <w:rsid w:val="17265496"/>
    <w:rsid w:val="17292C0C"/>
    <w:rsid w:val="174C321D"/>
    <w:rsid w:val="176F50FE"/>
    <w:rsid w:val="17711D46"/>
    <w:rsid w:val="17D06B76"/>
    <w:rsid w:val="17D10049"/>
    <w:rsid w:val="17DD0B49"/>
    <w:rsid w:val="17DF5065"/>
    <w:rsid w:val="17F1563C"/>
    <w:rsid w:val="17F20410"/>
    <w:rsid w:val="17F23C73"/>
    <w:rsid w:val="180F3B80"/>
    <w:rsid w:val="181B1411"/>
    <w:rsid w:val="181C1400"/>
    <w:rsid w:val="18223BBF"/>
    <w:rsid w:val="18406E44"/>
    <w:rsid w:val="185C1918"/>
    <w:rsid w:val="1880349D"/>
    <w:rsid w:val="18D435BC"/>
    <w:rsid w:val="18D45102"/>
    <w:rsid w:val="18E261BC"/>
    <w:rsid w:val="19090E1F"/>
    <w:rsid w:val="19193365"/>
    <w:rsid w:val="19261639"/>
    <w:rsid w:val="195D5C0E"/>
    <w:rsid w:val="196E732C"/>
    <w:rsid w:val="198A4786"/>
    <w:rsid w:val="19AF6607"/>
    <w:rsid w:val="19B64CC2"/>
    <w:rsid w:val="19BA69A5"/>
    <w:rsid w:val="19DF6D3F"/>
    <w:rsid w:val="19E22C35"/>
    <w:rsid w:val="19E24459"/>
    <w:rsid w:val="1A305FF4"/>
    <w:rsid w:val="1A3D7EBE"/>
    <w:rsid w:val="1A4353A0"/>
    <w:rsid w:val="1A557489"/>
    <w:rsid w:val="1A781533"/>
    <w:rsid w:val="1A953330"/>
    <w:rsid w:val="1AF45443"/>
    <w:rsid w:val="1B075A0C"/>
    <w:rsid w:val="1B223ED6"/>
    <w:rsid w:val="1B67066F"/>
    <w:rsid w:val="1B7229E4"/>
    <w:rsid w:val="1B7A5EC7"/>
    <w:rsid w:val="1B811695"/>
    <w:rsid w:val="1B8E5EC0"/>
    <w:rsid w:val="1B9C7BA1"/>
    <w:rsid w:val="1BAB226E"/>
    <w:rsid w:val="1BBC06EA"/>
    <w:rsid w:val="1BCA6B98"/>
    <w:rsid w:val="1C0C002B"/>
    <w:rsid w:val="1C1B61AE"/>
    <w:rsid w:val="1C6B28A5"/>
    <w:rsid w:val="1CB24EC6"/>
    <w:rsid w:val="1CB33990"/>
    <w:rsid w:val="1CD617B2"/>
    <w:rsid w:val="1CF6260F"/>
    <w:rsid w:val="1CF83AEA"/>
    <w:rsid w:val="1CF911FC"/>
    <w:rsid w:val="1D0A0015"/>
    <w:rsid w:val="1D3D4DA3"/>
    <w:rsid w:val="1D4B067B"/>
    <w:rsid w:val="1D630D4A"/>
    <w:rsid w:val="1D6914D5"/>
    <w:rsid w:val="1D7C7A22"/>
    <w:rsid w:val="1D7E09CF"/>
    <w:rsid w:val="1D9F1A69"/>
    <w:rsid w:val="1DAF299C"/>
    <w:rsid w:val="1DC81497"/>
    <w:rsid w:val="1DE41480"/>
    <w:rsid w:val="1E0631F7"/>
    <w:rsid w:val="1E1C7453"/>
    <w:rsid w:val="1E2139B7"/>
    <w:rsid w:val="1E58665D"/>
    <w:rsid w:val="1E7A14A8"/>
    <w:rsid w:val="1E7E58E4"/>
    <w:rsid w:val="1E7F32B0"/>
    <w:rsid w:val="1E8976CC"/>
    <w:rsid w:val="1EBA058B"/>
    <w:rsid w:val="1EBB622E"/>
    <w:rsid w:val="1EC34807"/>
    <w:rsid w:val="1EEA13A6"/>
    <w:rsid w:val="1EFE64E9"/>
    <w:rsid w:val="1F0B12EF"/>
    <w:rsid w:val="1F1A1BE5"/>
    <w:rsid w:val="1F3E55AA"/>
    <w:rsid w:val="1F5C1F0B"/>
    <w:rsid w:val="1F6207D0"/>
    <w:rsid w:val="1F6F5671"/>
    <w:rsid w:val="1F7D0570"/>
    <w:rsid w:val="1FD53D5E"/>
    <w:rsid w:val="1FE1627D"/>
    <w:rsid w:val="1FEA603B"/>
    <w:rsid w:val="20133D98"/>
    <w:rsid w:val="20226856"/>
    <w:rsid w:val="20293E2F"/>
    <w:rsid w:val="20686E43"/>
    <w:rsid w:val="206E3E8E"/>
    <w:rsid w:val="207224C8"/>
    <w:rsid w:val="2076639A"/>
    <w:rsid w:val="2093114F"/>
    <w:rsid w:val="209B57AA"/>
    <w:rsid w:val="20A121FD"/>
    <w:rsid w:val="20C20004"/>
    <w:rsid w:val="20D07CD4"/>
    <w:rsid w:val="20D83D6E"/>
    <w:rsid w:val="20DE5531"/>
    <w:rsid w:val="20E1180E"/>
    <w:rsid w:val="20EA6084"/>
    <w:rsid w:val="20F01139"/>
    <w:rsid w:val="20F1461D"/>
    <w:rsid w:val="212B522B"/>
    <w:rsid w:val="21736537"/>
    <w:rsid w:val="21945462"/>
    <w:rsid w:val="21977807"/>
    <w:rsid w:val="219A6D4B"/>
    <w:rsid w:val="21C2735E"/>
    <w:rsid w:val="21C806DA"/>
    <w:rsid w:val="21E57FA3"/>
    <w:rsid w:val="21E734BE"/>
    <w:rsid w:val="21FB5A74"/>
    <w:rsid w:val="220D2602"/>
    <w:rsid w:val="226827C0"/>
    <w:rsid w:val="22774B9A"/>
    <w:rsid w:val="227C6EFF"/>
    <w:rsid w:val="22942795"/>
    <w:rsid w:val="22A10D06"/>
    <w:rsid w:val="22B665A5"/>
    <w:rsid w:val="22B85F08"/>
    <w:rsid w:val="22C925E0"/>
    <w:rsid w:val="22DC0A1F"/>
    <w:rsid w:val="22E46F4A"/>
    <w:rsid w:val="22F20159"/>
    <w:rsid w:val="22F53CC5"/>
    <w:rsid w:val="23005537"/>
    <w:rsid w:val="233C2C53"/>
    <w:rsid w:val="23486890"/>
    <w:rsid w:val="236F1F61"/>
    <w:rsid w:val="237506D4"/>
    <w:rsid w:val="23AB4CDF"/>
    <w:rsid w:val="23BA3BE1"/>
    <w:rsid w:val="23C37A75"/>
    <w:rsid w:val="23FF5A4E"/>
    <w:rsid w:val="24084702"/>
    <w:rsid w:val="24220F3E"/>
    <w:rsid w:val="2423604B"/>
    <w:rsid w:val="243A3F7E"/>
    <w:rsid w:val="243E0123"/>
    <w:rsid w:val="24436391"/>
    <w:rsid w:val="2450121E"/>
    <w:rsid w:val="246C679A"/>
    <w:rsid w:val="2487622C"/>
    <w:rsid w:val="24973094"/>
    <w:rsid w:val="249F7859"/>
    <w:rsid w:val="24AD6D9A"/>
    <w:rsid w:val="24CA69A8"/>
    <w:rsid w:val="251418FC"/>
    <w:rsid w:val="257218BD"/>
    <w:rsid w:val="257D29CD"/>
    <w:rsid w:val="25A845B3"/>
    <w:rsid w:val="25DF5CBB"/>
    <w:rsid w:val="25EB71B7"/>
    <w:rsid w:val="26154215"/>
    <w:rsid w:val="261A0BE6"/>
    <w:rsid w:val="26274DF6"/>
    <w:rsid w:val="262C6E4F"/>
    <w:rsid w:val="263C7691"/>
    <w:rsid w:val="263F63D5"/>
    <w:rsid w:val="265B3015"/>
    <w:rsid w:val="265E2776"/>
    <w:rsid w:val="26666FDC"/>
    <w:rsid w:val="26AB763C"/>
    <w:rsid w:val="26B267E7"/>
    <w:rsid w:val="26ED19DF"/>
    <w:rsid w:val="26F131DC"/>
    <w:rsid w:val="26F65310"/>
    <w:rsid w:val="27052D05"/>
    <w:rsid w:val="27082804"/>
    <w:rsid w:val="270832AE"/>
    <w:rsid w:val="2714160F"/>
    <w:rsid w:val="27273923"/>
    <w:rsid w:val="27357F9F"/>
    <w:rsid w:val="27944D81"/>
    <w:rsid w:val="279544FE"/>
    <w:rsid w:val="27A4553F"/>
    <w:rsid w:val="27D35135"/>
    <w:rsid w:val="27EF1935"/>
    <w:rsid w:val="280451E0"/>
    <w:rsid w:val="280A1B75"/>
    <w:rsid w:val="28382722"/>
    <w:rsid w:val="283962F8"/>
    <w:rsid w:val="286F11F3"/>
    <w:rsid w:val="287A36F4"/>
    <w:rsid w:val="288458E7"/>
    <w:rsid w:val="28952672"/>
    <w:rsid w:val="28A33A20"/>
    <w:rsid w:val="28A47F17"/>
    <w:rsid w:val="28C657AC"/>
    <w:rsid w:val="28EB22EE"/>
    <w:rsid w:val="290212C1"/>
    <w:rsid w:val="290D5ED8"/>
    <w:rsid w:val="29656DCE"/>
    <w:rsid w:val="298B4B23"/>
    <w:rsid w:val="29B71FDB"/>
    <w:rsid w:val="29CF18DD"/>
    <w:rsid w:val="29D65D23"/>
    <w:rsid w:val="29D875FE"/>
    <w:rsid w:val="29F67CE3"/>
    <w:rsid w:val="2A0A2709"/>
    <w:rsid w:val="2A0B100E"/>
    <w:rsid w:val="2A1077E6"/>
    <w:rsid w:val="2A194E5D"/>
    <w:rsid w:val="2A21554B"/>
    <w:rsid w:val="2A594BC2"/>
    <w:rsid w:val="2A7D60F5"/>
    <w:rsid w:val="2A9F7561"/>
    <w:rsid w:val="2AA90FA0"/>
    <w:rsid w:val="2AB31CE2"/>
    <w:rsid w:val="2AB55266"/>
    <w:rsid w:val="2B0F45C8"/>
    <w:rsid w:val="2B45448D"/>
    <w:rsid w:val="2B481888"/>
    <w:rsid w:val="2B487382"/>
    <w:rsid w:val="2B552F60"/>
    <w:rsid w:val="2B7841A6"/>
    <w:rsid w:val="2B9E4989"/>
    <w:rsid w:val="2BB367B9"/>
    <w:rsid w:val="2C13380B"/>
    <w:rsid w:val="2C184D47"/>
    <w:rsid w:val="2C514425"/>
    <w:rsid w:val="2C5A5A72"/>
    <w:rsid w:val="2C796A89"/>
    <w:rsid w:val="2CBD3A96"/>
    <w:rsid w:val="2CC74339"/>
    <w:rsid w:val="2CCC23F7"/>
    <w:rsid w:val="2CCE1414"/>
    <w:rsid w:val="2CE453B8"/>
    <w:rsid w:val="2CF93ABF"/>
    <w:rsid w:val="2D1E27A3"/>
    <w:rsid w:val="2D394FF5"/>
    <w:rsid w:val="2D6E25C1"/>
    <w:rsid w:val="2D766528"/>
    <w:rsid w:val="2D83275B"/>
    <w:rsid w:val="2D907BB8"/>
    <w:rsid w:val="2DA368CD"/>
    <w:rsid w:val="2DAA6942"/>
    <w:rsid w:val="2DF314FE"/>
    <w:rsid w:val="2DFD104F"/>
    <w:rsid w:val="2E0F1975"/>
    <w:rsid w:val="2E20089A"/>
    <w:rsid w:val="2E3511E0"/>
    <w:rsid w:val="2E402CEA"/>
    <w:rsid w:val="2E600F0A"/>
    <w:rsid w:val="2E6A704D"/>
    <w:rsid w:val="2E6E3675"/>
    <w:rsid w:val="2E8A6255"/>
    <w:rsid w:val="2EAA33F6"/>
    <w:rsid w:val="2EC310BD"/>
    <w:rsid w:val="2F0B1048"/>
    <w:rsid w:val="2F141AAA"/>
    <w:rsid w:val="2F2A56A7"/>
    <w:rsid w:val="2F3A4DD1"/>
    <w:rsid w:val="2FB76FDC"/>
    <w:rsid w:val="2FCA4353"/>
    <w:rsid w:val="2FE55D75"/>
    <w:rsid w:val="2FF23F99"/>
    <w:rsid w:val="300C37CC"/>
    <w:rsid w:val="30236367"/>
    <w:rsid w:val="30331BC6"/>
    <w:rsid w:val="303E7E03"/>
    <w:rsid w:val="304A182B"/>
    <w:rsid w:val="304C5E75"/>
    <w:rsid w:val="30700C52"/>
    <w:rsid w:val="30757C00"/>
    <w:rsid w:val="307D5D65"/>
    <w:rsid w:val="30B34CE3"/>
    <w:rsid w:val="30CB1C83"/>
    <w:rsid w:val="30ED2830"/>
    <w:rsid w:val="311C7D4E"/>
    <w:rsid w:val="3120277A"/>
    <w:rsid w:val="313A4B14"/>
    <w:rsid w:val="31523460"/>
    <w:rsid w:val="316B2857"/>
    <w:rsid w:val="31832D29"/>
    <w:rsid w:val="319D5339"/>
    <w:rsid w:val="319F2F47"/>
    <w:rsid w:val="31D20CDE"/>
    <w:rsid w:val="31F37E23"/>
    <w:rsid w:val="31FD0ADA"/>
    <w:rsid w:val="31FE689A"/>
    <w:rsid w:val="32223DC6"/>
    <w:rsid w:val="325A02A1"/>
    <w:rsid w:val="329032EF"/>
    <w:rsid w:val="329970EF"/>
    <w:rsid w:val="329B2BE5"/>
    <w:rsid w:val="32A14FB7"/>
    <w:rsid w:val="32B35AAA"/>
    <w:rsid w:val="32BE3907"/>
    <w:rsid w:val="32F92871"/>
    <w:rsid w:val="33135210"/>
    <w:rsid w:val="3326373F"/>
    <w:rsid w:val="332845FB"/>
    <w:rsid w:val="333169F3"/>
    <w:rsid w:val="333E69C6"/>
    <w:rsid w:val="334459AC"/>
    <w:rsid w:val="336358B7"/>
    <w:rsid w:val="33705A64"/>
    <w:rsid w:val="33A055AF"/>
    <w:rsid w:val="33A51E80"/>
    <w:rsid w:val="33E660E2"/>
    <w:rsid w:val="33EE589E"/>
    <w:rsid w:val="340329A9"/>
    <w:rsid w:val="342645AD"/>
    <w:rsid w:val="342B057B"/>
    <w:rsid w:val="34335C8F"/>
    <w:rsid w:val="34617CD8"/>
    <w:rsid w:val="34753860"/>
    <w:rsid w:val="34761FCF"/>
    <w:rsid w:val="3489363D"/>
    <w:rsid w:val="349E4CF3"/>
    <w:rsid w:val="34A61339"/>
    <w:rsid w:val="34AD7EA2"/>
    <w:rsid w:val="34CC3006"/>
    <w:rsid w:val="34F3793E"/>
    <w:rsid w:val="351F4A39"/>
    <w:rsid w:val="35245113"/>
    <w:rsid w:val="35574E9C"/>
    <w:rsid w:val="35712E34"/>
    <w:rsid w:val="35895CF3"/>
    <w:rsid w:val="35ED793B"/>
    <w:rsid w:val="35F84740"/>
    <w:rsid w:val="360637D5"/>
    <w:rsid w:val="36154BBE"/>
    <w:rsid w:val="36383125"/>
    <w:rsid w:val="3652092A"/>
    <w:rsid w:val="36656A49"/>
    <w:rsid w:val="366C082D"/>
    <w:rsid w:val="367417D4"/>
    <w:rsid w:val="368C388A"/>
    <w:rsid w:val="36BD137C"/>
    <w:rsid w:val="36C90DD1"/>
    <w:rsid w:val="374634AB"/>
    <w:rsid w:val="37704489"/>
    <w:rsid w:val="37710026"/>
    <w:rsid w:val="37737C8C"/>
    <w:rsid w:val="37925427"/>
    <w:rsid w:val="379E0F7A"/>
    <w:rsid w:val="37A55DCC"/>
    <w:rsid w:val="37CA04FF"/>
    <w:rsid w:val="37D30771"/>
    <w:rsid w:val="37EC0BB8"/>
    <w:rsid w:val="381147D8"/>
    <w:rsid w:val="381E5E4A"/>
    <w:rsid w:val="38995839"/>
    <w:rsid w:val="38FF1464"/>
    <w:rsid w:val="392E03A9"/>
    <w:rsid w:val="394C68A5"/>
    <w:rsid w:val="395E479A"/>
    <w:rsid w:val="39675804"/>
    <w:rsid w:val="39A36C2D"/>
    <w:rsid w:val="39AA29B9"/>
    <w:rsid w:val="39E71AEC"/>
    <w:rsid w:val="39F60058"/>
    <w:rsid w:val="3A104089"/>
    <w:rsid w:val="3A3C7DF7"/>
    <w:rsid w:val="3A486DC5"/>
    <w:rsid w:val="3A8217DE"/>
    <w:rsid w:val="3A822B01"/>
    <w:rsid w:val="3AB8426E"/>
    <w:rsid w:val="3ACF765C"/>
    <w:rsid w:val="3AD278CD"/>
    <w:rsid w:val="3AFA4BE5"/>
    <w:rsid w:val="3B217306"/>
    <w:rsid w:val="3B2A44B8"/>
    <w:rsid w:val="3B2B6476"/>
    <w:rsid w:val="3B5827D7"/>
    <w:rsid w:val="3BBC038E"/>
    <w:rsid w:val="3BBE6BF1"/>
    <w:rsid w:val="3BC8543C"/>
    <w:rsid w:val="3BD9707D"/>
    <w:rsid w:val="3BFE3F02"/>
    <w:rsid w:val="3BFF5F92"/>
    <w:rsid w:val="3C035F1A"/>
    <w:rsid w:val="3C0E7604"/>
    <w:rsid w:val="3C2972FD"/>
    <w:rsid w:val="3C5B4444"/>
    <w:rsid w:val="3C852047"/>
    <w:rsid w:val="3C8A646B"/>
    <w:rsid w:val="3C9D59A6"/>
    <w:rsid w:val="3CA13116"/>
    <w:rsid w:val="3CA925AE"/>
    <w:rsid w:val="3CF877AB"/>
    <w:rsid w:val="3D2F4655"/>
    <w:rsid w:val="3D306CB2"/>
    <w:rsid w:val="3D32729D"/>
    <w:rsid w:val="3D347EBE"/>
    <w:rsid w:val="3D485E54"/>
    <w:rsid w:val="3D667959"/>
    <w:rsid w:val="3D8230F2"/>
    <w:rsid w:val="3D886E2C"/>
    <w:rsid w:val="3D9B4E64"/>
    <w:rsid w:val="3DAA5519"/>
    <w:rsid w:val="3DC413E8"/>
    <w:rsid w:val="3DCA34BB"/>
    <w:rsid w:val="3DD83D60"/>
    <w:rsid w:val="3E044CAE"/>
    <w:rsid w:val="3E0A4773"/>
    <w:rsid w:val="3E0B01E0"/>
    <w:rsid w:val="3E12201C"/>
    <w:rsid w:val="3E427218"/>
    <w:rsid w:val="3E613D17"/>
    <w:rsid w:val="3EA72ABE"/>
    <w:rsid w:val="3EAD4174"/>
    <w:rsid w:val="3EAD7F9C"/>
    <w:rsid w:val="3EB32892"/>
    <w:rsid w:val="3EBC3336"/>
    <w:rsid w:val="3EDE79C6"/>
    <w:rsid w:val="3EF65530"/>
    <w:rsid w:val="3EF9D3F1"/>
    <w:rsid w:val="3F064AE9"/>
    <w:rsid w:val="3F34555B"/>
    <w:rsid w:val="3F3B0C43"/>
    <w:rsid w:val="3F4C62B0"/>
    <w:rsid w:val="3F7279F0"/>
    <w:rsid w:val="3F8663DE"/>
    <w:rsid w:val="3F9717D1"/>
    <w:rsid w:val="3FB2485B"/>
    <w:rsid w:val="3FF554C5"/>
    <w:rsid w:val="3FF81676"/>
    <w:rsid w:val="40284794"/>
    <w:rsid w:val="402A34B8"/>
    <w:rsid w:val="40360CD1"/>
    <w:rsid w:val="40361D66"/>
    <w:rsid w:val="406060C3"/>
    <w:rsid w:val="40613E30"/>
    <w:rsid w:val="40736573"/>
    <w:rsid w:val="407D7357"/>
    <w:rsid w:val="409B4A07"/>
    <w:rsid w:val="40A15961"/>
    <w:rsid w:val="40A9327B"/>
    <w:rsid w:val="40BF6E39"/>
    <w:rsid w:val="40C25B7F"/>
    <w:rsid w:val="40D5118D"/>
    <w:rsid w:val="40F66678"/>
    <w:rsid w:val="410E1C56"/>
    <w:rsid w:val="4120577A"/>
    <w:rsid w:val="412151D0"/>
    <w:rsid w:val="41243350"/>
    <w:rsid w:val="41313EDF"/>
    <w:rsid w:val="416C142E"/>
    <w:rsid w:val="41B66342"/>
    <w:rsid w:val="41F75769"/>
    <w:rsid w:val="41FD121E"/>
    <w:rsid w:val="4215030D"/>
    <w:rsid w:val="421A7627"/>
    <w:rsid w:val="422519D2"/>
    <w:rsid w:val="4233112B"/>
    <w:rsid w:val="42401E98"/>
    <w:rsid w:val="42872311"/>
    <w:rsid w:val="428B5762"/>
    <w:rsid w:val="42D33CD5"/>
    <w:rsid w:val="42D47C2B"/>
    <w:rsid w:val="42DA32B5"/>
    <w:rsid w:val="433543AC"/>
    <w:rsid w:val="43420FE8"/>
    <w:rsid w:val="434513F0"/>
    <w:rsid w:val="436D4129"/>
    <w:rsid w:val="43702851"/>
    <w:rsid w:val="437F46CD"/>
    <w:rsid w:val="43CA4F48"/>
    <w:rsid w:val="44226CC2"/>
    <w:rsid w:val="4424604A"/>
    <w:rsid w:val="442967DE"/>
    <w:rsid w:val="445014AB"/>
    <w:rsid w:val="449E4335"/>
    <w:rsid w:val="44CB55AC"/>
    <w:rsid w:val="44CE660D"/>
    <w:rsid w:val="44D750ED"/>
    <w:rsid w:val="45303661"/>
    <w:rsid w:val="454F0B76"/>
    <w:rsid w:val="45511BA7"/>
    <w:rsid w:val="456357E4"/>
    <w:rsid w:val="45795008"/>
    <w:rsid w:val="4579514B"/>
    <w:rsid w:val="457E2BBE"/>
    <w:rsid w:val="457F0A4B"/>
    <w:rsid w:val="457F72E8"/>
    <w:rsid w:val="45DE083B"/>
    <w:rsid w:val="45E076C0"/>
    <w:rsid w:val="45F36067"/>
    <w:rsid w:val="460C0745"/>
    <w:rsid w:val="463122D8"/>
    <w:rsid w:val="4632053D"/>
    <w:rsid w:val="463D551C"/>
    <w:rsid w:val="46577675"/>
    <w:rsid w:val="4662415A"/>
    <w:rsid w:val="4662498C"/>
    <w:rsid w:val="46A022D9"/>
    <w:rsid w:val="46A9554B"/>
    <w:rsid w:val="46AA7AE9"/>
    <w:rsid w:val="46B21457"/>
    <w:rsid w:val="46B36C86"/>
    <w:rsid w:val="46B81836"/>
    <w:rsid w:val="46BE1A6C"/>
    <w:rsid w:val="46BE6647"/>
    <w:rsid w:val="46C96620"/>
    <w:rsid w:val="46EE3897"/>
    <w:rsid w:val="46F15895"/>
    <w:rsid w:val="471B3499"/>
    <w:rsid w:val="4730142A"/>
    <w:rsid w:val="478E4BD2"/>
    <w:rsid w:val="479E2BDE"/>
    <w:rsid w:val="47CE35B6"/>
    <w:rsid w:val="47DD756D"/>
    <w:rsid w:val="48037A8A"/>
    <w:rsid w:val="48377D23"/>
    <w:rsid w:val="48531B40"/>
    <w:rsid w:val="486634EE"/>
    <w:rsid w:val="48713385"/>
    <w:rsid w:val="48807890"/>
    <w:rsid w:val="48A64B98"/>
    <w:rsid w:val="48BC156D"/>
    <w:rsid w:val="48CD09DE"/>
    <w:rsid w:val="48F765BE"/>
    <w:rsid w:val="490241F5"/>
    <w:rsid w:val="490445F2"/>
    <w:rsid w:val="490935A0"/>
    <w:rsid w:val="490B4B42"/>
    <w:rsid w:val="49183CD0"/>
    <w:rsid w:val="49320F23"/>
    <w:rsid w:val="49690195"/>
    <w:rsid w:val="49861CBE"/>
    <w:rsid w:val="49886B35"/>
    <w:rsid w:val="49911BC9"/>
    <w:rsid w:val="49A0734F"/>
    <w:rsid w:val="49A65F05"/>
    <w:rsid w:val="49B14177"/>
    <w:rsid w:val="49BA0254"/>
    <w:rsid w:val="49DD73AE"/>
    <w:rsid w:val="49F95BD6"/>
    <w:rsid w:val="4AA73240"/>
    <w:rsid w:val="4AB72272"/>
    <w:rsid w:val="4AD703A4"/>
    <w:rsid w:val="4B305E1B"/>
    <w:rsid w:val="4B58746D"/>
    <w:rsid w:val="4BB02118"/>
    <w:rsid w:val="4BB92D8E"/>
    <w:rsid w:val="4BD07B58"/>
    <w:rsid w:val="4BDB773A"/>
    <w:rsid w:val="4BE87BA5"/>
    <w:rsid w:val="4BFF31D4"/>
    <w:rsid w:val="4C0A69B9"/>
    <w:rsid w:val="4C276021"/>
    <w:rsid w:val="4C3176AB"/>
    <w:rsid w:val="4C415DC1"/>
    <w:rsid w:val="4C435AFD"/>
    <w:rsid w:val="4C6E278E"/>
    <w:rsid w:val="4C8E6B5C"/>
    <w:rsid w:val="4CBD494A"/>
    <w:rsid w:val="4CF6364B"/>
    <w:rsid w:val="4CFF538B"/>
    <w:rsid w:val="4D375FB2"/>
    <w:rsid w:val="4D4D7800"/>
    <w:rsid w:val="4D664345"/>
    <w:rsid w:val="4D7251FF"/>
    <w:rsid w:val="4DB316D4"/>
    <w:rsid w:val="4DE50C0B"/>
    <w:rsid w:val="4E11105D"/>
    <w:rsid w:val="4E16225A"/>
    <w:rsid w:val="4E253AB8"/>
    <w:rsid w:val="4E472C92"/>
    <w:rsid w:val="4E824D97"/>
    <w:rsid w:val="4E872543"/>
    <w:rsid w:val="4E9D5C2D"/>
    <w:rsid w:val="4EBA57C1"/>
    <w:rsid w:val="4ED50A17"/>
    <w:rsid w:val="4F047E0A"/>
    <w:rsid w:val="4F0F27D9"/>
    <w:rsid w:val="4F3B21A6"/>
    <w:rsid w:val="4F477F24"/>
    <w:rsid w:val="4F702DF3"/>
    <w:rsid w:val="4F7933E6"/>
    <w:rsid w:val="4FA91AAC"/>
    <w:rsid w:val="4FBD0FF5"/>
    <w:rsid w:val="4FC854D7"/>
    <w:rsid w:val="50142DE1"/>
    <w:rsid w:val="5015687B"/>
    <w:rsid w:val="501926CA"/>
    <w:rsid w:val="503109FF"/>
    <w:rsid w:val="503708EA"/>
    <w:rsid w:val="505E3D68"/>
    <w:rsid w:val="509C604E"/>
    <w:rsid w:val="50B272C7"/>
    <w:rsid w:val="50BD5963"/>
    <w:rsid w:val="50C0499E"/>
    <w:rsid w:val="50D13748"/>
    <w:rsid w:val="510039D6"/>
    <w:rsid w:val="516A440A"/>
    <w:rsid w:val="51707AD0"/>
    <w:rsid w:val="518965D2"/>
    <w:rsid w:val="51BA5A6F"/>
    <w:rsid w:val="51C42E16"/>
    <w:rsid w:val="521115A1"/>
    <w:rsid w:val="52417FE5"/>
    <w:rsid w:val="525351F4"/>
    <w:rsid w:val="525A6FBC"/>
    <w:rsid w:val="526B7834"/>
    <w:rsid w:val="526C0997"/>
    <w:rsid w:val="52855A65"/>
    <w:rsid w:val="53311AB3"/>
    <w:rsid w:val="53317F44"/>
    <w:rsid w:val="533D33D1"/>
    <w:rsid w:val="53511F1B"/>
    <w:rsid w:val="53670B33"/>
    <w:rsid w:val="537735FB"/>
    <w:rsid w:val="53775B6A"/>
    <w:rsid w:val="538F5737"/>
    <w:rsid w:val="539A15FA"/>
    <w:rsid w:val="53BA0CC5"/>
    <w:rsid w:val="53D43855"/>
    <w:rsid w:val="53D6214F"/>
    <w:rsid w:val="53EE1101"/>
    <w:rsid w:val="53FC4E8E"/>
    <w:rsid w:val="541717DC"/>
    <w:rsid w:val="54177AB0"/>
    <w:rsid w:val="54271D5C"/>
    <w:rsid w:val="546734E2"/>
    <w:rsid w:val="54976AA9"/>
    <w:rsid w:val="549A3F89"/>
    <w:rsid w:val="54AA6F8B"/>
    <w:rsid w:val="54D83F05"/>
    <w:rsid w:val="54DE0134"/>
    <w:rsid w:val="54F83FD0"/>
    <w:rsid w:val="550A7A2A"/>
    <w:rsid w:val="553C46BA"/>
    <w:rsid w:val="553C5120"/>
    <w:rsid w:val="5545363C"/>
    <w:rsid w:val="55494082"/>
    <w:rsid w:val="555C3F91"/>
    <w:rsid w:val="556C6DB9"/>
    <w:rsid w:val="557D5B60"/>
    <w:rsid w:val="55834A19"/>
    <w:rsid w:val="55AF14F9"/>
    <w:rsid w:val="55D55D03"/>
    <w:rsid w:val="55EA0043"/>
    <w:rsid w:val="55EB785C"/>
    <w:rsid w:val="55F27046"/>
    <w:rsid w:val="55F526C6"/>
    <w:rsid w:val="56066DC9"/>
    <w:rsid w:val="564E1228"/>
    <w:rsid w:val="565322AD"/>
    <w:rsid w:val="565C74DC"/>
    <w:rsid w:val="566C01E8"/>
    <w:rsid w:val="56A2566D"/>
    <w:rsid w:val="56A6131D"/>
    <w:rsid w:val="56A82B00"/>
    <w:rsid w:val="56B955FB"/>
    <w:rsid w:val="56BC5AD0"/>
    <w:rsid w:val="56D00C68"/>
    <w:rsid w:val="57022BD1"/>
    <w:rsid w:val="571051DB"/>
    <w:rsid w:val="57212B27"/>
    <w:rsid w:val="572809C2"/>
    <w:rsid w:val="57480C4D"/>
    <w:rsid w:val="574C27F3"/>
    <w:rsid w:val="57597981"/>
    <w:rsid w:val="575B631B"/>
    <w:rsid w:val="576F5440"/>
    <w:rsid w:val="57895A45"/>
    <w:rsid w:val="57C5313B"/>
    <w:rsid w:val="57D807D4"/>
    <w:rsid w:val="57EA7969"/>
    <w:rsid w:val="57F740F4"/>
    <w:rsid w:val="57FA3D86"/>
    <w:rsid w:val="58750691"/>
    <w:rsid w:val="5875340D"/>
    <w:rsid w:val="589D2963"/>
    <w:rsid w:val="58AB575D"/>
    <w:rsid w:val="58BC728D"/>
    <w:rsid w:val="58D451F1"/>
    <w:rsid w:val="58DD0763"/>
    <w:rsid w:val="591F781C"/>
    <w:rsid w:val="59445F91"/>
    <w:rsid w:val="5955073B"/>
    <w:rsid w:val="59815208"/>
    <w:rsid w:val="59E06FAB"/>
    <w:rsid w:val="59F001A4"/>
    <w:rsid w:val="5A1E2DE7"/>
    <w:rsid w:val="5A20427A"/>
    <w:rsid w:val="5A395FB6"/>
    <w:rsid w:val="5A436A2D"/>
    <w:rsid w:val="5ABF4E13"/>
    <w:rsid w:val="5B0A066E"/>
    <w:rsid w:val="5B102BC2"/>
    <w:rsid w:val="5B123FA7"/>
    <w:rsid w:val="5B124E8F"/>
    <w:rsid w:val="5B506217"/>
    <w:rsid w:val="5B5E18A4"/>
    <w:rsid w:val="5B613C0E"/>
    <w:rsid w:val="5B7A6F8C"/>
    <w:rsid w:val="5B7C4F58"/>
    <w:rsid w:val="5B907673"/>
    <w:rsid w:val="5B955E96"/>
    <w:rsid w:val="5B9B3675"/>
    <w:rsid w:val="5BA26571"/>
    <w:rsid w:val="5BCA6564"/>
    <w:rsid w:val="5BD42B40"/>
    <w:rsid w:val="5BD66D67"/>
    <w:rsid w:val="5C107D40"/>
    <w:rsid w:val="5C1E3775"/>
    <w:rsid w:val="5C381264"/>
    <w:rsid w:val="5C672644"/>
    <w:rsid w:val="5C8132C7"/>
    <w:rsid w:val="5CA23A25"/>
    <w:rsid w:val="5CBA4B9F"/>
    <w:rsid w:val="5CC26330"/>
    <w:rsid w:val="5CD5091E"/>
    <w:rsid w:val="5CD67F41"/>
    <w:rsid w:val="5CDF760E"/>
    <w:rsid w:val="5CF20AC5"/>
    <w:rsid w:val="5CFC40FC"/>
    <w:rsid w:val="5D017C51"/>
    <w:rsid w:val="5D325B30"/>
    <w:rsid w:val="5D4165A3"/>
    <w:rsid w:val="5D463591"/>
    <w:rsid w:val="5D4F2A78"/>
    <w:rsid w:val="5D6765A9"/>
    <w:rsid w:val="5D792AE4"/>
    <w:rsid w:val="5DC25C67"/>
    <w:rsid w:val="5DD97571"/>
    <w:rsid w:val="5DFD1E4D"/>
    <w:rsid w:val="5E2F58D3"/>
    <w:rsid w:val="5E5A06FD"/>
    <w:rsid w:val="5E785CE1"/>
    <w:rsid w:val="5E9342EC"/>
    <w:rsid w:val="5EA27CF7"/>
    <w:rsid w:val="5EB62B27"/>
    <w:rsid w:val="5EBC3C1E"/>
    <w:rsid w:val="5F0B23C3"/>
    <w:rsid w:val="5F2913F5"/>
    <w:rsid w:val="5F2E00CC"/>
    <w:rsid w:val="5F3815EE"/>
    <w:rsid w:val="5F3C1030"/>
    <w:rsid w:val="5F5C32D6"/>
    <w:rsid w:val="5F6E7D60"/>
    <w:rsid w:val="5FA92D9F"/>
    <w:rsid w:val="5FAC2DE4"/>
    <w:rsid w:val="5FB10E83"/>
    <w:rsid w:val="5FCF64AB"/>
    <w:rsid w:val="5FD26E39"/>
    <w:rsid w:val="5FEE7519"/>
    <w:rsid w:val="600E788A"/>
    <w:rsid w:val="6011673F"/>
    <w:rsid w:val="604130CF"/>
    <w:rsid w:val="604304C3"/>
    <w:rsid w:val="604E4A0D"/>
    <w:rsid w:val="60663C94"/>
    <w:rsid w:val="60794FD4"/>
    <w:rsid w:val="60814FEF"/>
    <w:rsid w:val="60AE4E89"/>
    <w:rsid w:val="60D32F5A"/>
    <w:rsid w:val="60E7023C"/>
    <w:rsid w:val="610E2B4C"/>
    <w:rsid w:val="612E3759"/>
    <w:rsid w:val="61846CDE"/>
    <w:rsid w:val="619945D7"/>
    <w:rsid w:val="61C24BFD"/>
    <w:rsid w:val="61DE43D4"/>
    <w:rsid w:val="61E06967"/>
    <w:rsid w:val="61E447BA"/>
    <w:rsid w:val="61ED083B"/>
    <w:rsid w:val="624216A0"/>
    <w:rsid w:val="626343A0"/>
    <w:rsid w:val="626736F9"/>
    <w:rsid w:val="626B4082"/>
    <w:rsid w:val="626B6B00"/>
    <w:rsid w:val="628E1BE9"/>
    <w:rsid w:val="62A241F2"/>
    <w:rsid w:val="62BB4C0D"/>
    <w:rsid w:val="62D06FF9"/>
    <w:rsid w:val="62D765EB"/>
    <w:rsid w:val="62F01FB7"/>
    <w:rsid w:val="63536A40"/>
    <w:rsid w:val="636B22CC"/>
    <w:rsid w:val="636C198B"/>
    <w:rsid w:val="636D772A"/>
    <w:rsid w:val="639F518E"/>
    <w:rsid w:val="63B65AC7"/>
    <w:rsid w:val="63C83BAD"/>
    <w:rsid w:val="63D7428B"/>
    <w:rsid w:val="64057493"/>
    <w:rsid w:val="640C4C0D"/>
    <w:rsid w:val="643B5584"/>
    <w:rsid w:val="645830D7"/>
    <w:rsid w:val="64675414"/>
    <w:rsid w:val="647258C3"/>
    <w:rsid w:val="648A3E9D"/>
    <w:rsid w:val="64AA2E73"/>
    <w:rsid w:val="64B8434A"/>
    <w:rsid w:val="64C5008F"/>
    <w:rsid w:val="64CA2D32"/>
    <w:rsid w:val="64E8446E"/>
    <w:rsid w:val="65376B47"/>
    <w:rsid w:val="654042F5"/>
    <w:rsid w:val="656802E9"/>
    <w:rsid w:val="659A2704"/>
    <w:rsid w:val="65F66C79"/>
    <w:rsid w:val="660447CA"/>
    <w:rsid w:val="66393280"/>
    <w:rsid w:val="665622BC"/>
    <w:rsid w:val="6660772E"/>
    <w:rsid w:val="66653739"/>
    <w:rsid w:val="666C4EE6"/>
    <w:rsid w:val="66714A33"/>
    <w:rsid w:val="66792487"/>
    <w:rsid w:val="66AD68DD"/>
    <w:rsid w:val="66C814F3"/>
    <w:rsid w:val="66CB01E7"/>
    <w:rsid w:val="66F83B86"/>
    <w:rsid w:val="66FB0FDC"/>
    <w:rsid w:val="66FC5AFF"/>
    <w:rsid w:val="6709462E"/>
    <w:rsid w:val="674072DB"/>
    <w:rsid w:val="6777196F"/>
    <w:rsid w:val="678A1ED0"/>
    <w:rsid w:val="6794184A"/>
    <w:rsid w:val="67AB61F8"/>
    <w:rsid w:val="67BA7741"/>
    <w:rsid w:val="67E32C55"/>
    <w:rsid w:val="67E560D7"/>
    <w:rsid w:val="67E6170C"/>
    <w:rsid w:val="680D0CA5"/>
    <w:rsid w:val="686457A3"/>
    <w:rsid w:val="687B6403"/>
    <w:rsid w:val="68974C5D"/>
    <w:rsid w:val="68A45648"/>
    <w:rsid w:val="68A5668C"/>
    <w:rsid w:val="68B946CD"/>
    <w:rsid w:val="68D27297"/>
    <w:rsid w:val="68E5013A"/>
    <w:rsid w:val="6911241F"/>
    <w:rsid w:val="692769A5"/>
    <w:rsid w:val="69434E61"/>
    <w:rsid w:val="6985191D"/>
    <w:rsid w:val="69AC786C"/>
    <w:rsid w:val="69B12E3A"/>
    <w:rsid w:val="69B67115"/>
    <w:rsid w:val="69B82DF4"/>
    <w:rsid w:val="69EF3499"/>
    <w:rsid w:val="69EF53B4"/>
    <w:rsid w:val="6A022F6E"/>
    <w:rsid w:val="6A126DD2"/>
    <w:rsid w:val="6A283FCE"/>
    <w:rsid w:val="6A3848B9"/>
    <w:rsid w:val="6A420E56"/>
    <w:rsid w:val="6A876FCF"/>
    <w:rsid w:val="6A924E32"/>
    <w:rsid w:val="6A94008C"/>
    <w:rsid w:val="6AB853DB"/>
    <w:rsid w:val="6AC00C9E"/>
    <w:rsid w:val="6AC15264"/>
    <w:rsid w:val="6AC635A8"/>
    <w:rsid w:val="6AE60947"/>
    <w:rsid w:val="6AEF6EB8"/>
    <w:rsid w:val="6B0B374F"/>
    <w:rsid w:val="6B0E6D92"/>
    <w:rsid w:val="6B17074E"/>
    <w:rsid w:val="6B1F0CCB"/>
    <w:rsid w:val="6B6234E5"/>
    <w:rsid w:val="6B672C06"/>
    <w:rsid w:val="6B8B6A70"/>
    <w:rsid w:val="6BBD11F5"/>
    <w:rsid w:val="6BCE1834"/>
    <w:rsid w:val="6BD12800"/>
    <w:rsid w:val="6BD1501C"/>
    <w:rsid w:val="6BE17EE8"/>
    <w:rsid w:val="6C022DB1"/>
    <w:rsid w:val="6C2747CD"/>
    <w:rsid w:val="6C5A499B"/>
    <w:rsid w:val="6C5A7A8C"/>
    <w:rsid w:val="6C5E02FC"/>
    <w:rsid w:val="6C721812"/>
    <w:rsid w:val="6C7500F8"/>
    <w:rsid w:val="6C8574C7"/>
    <w:rsid w:val="6C8B0F52"/>
    <w:rsid w:val="6CAC1AE4"/>
    <w:rsid w:val="6CD01102"/>
    <w:rsid w:val="6CDD0DD0"/>
    <w:rsid w:val="6CF90041"/>
    <w:rsid w:val="6CFA7DB1"/>
    <w:rsid w:val="6D0127E4"/>
    <w:rsid w:val="6D135E16"/>
    <w:rsid w:val="6D1C168A"/>
    <w:rsid w:val="6D347A31"/>
    <w:rsid w:val="6D3668DD"/>
    <w:rsid w:val="6D471CAB"/>
    <w:rsid w:val="6D4833B1"/>
    <w:rsid w:val="6DAC0977"/>
    <w:rsid w:val="6DB44AF9"/>
    <w:rsid w:val="6DB941BD"/>
    <w:rsid w:val="6DC60F63"/>
    <w:rsid w:val="6E4C770B"/>
    <w:rsid w:val="6E5F1098"/>
    <w:rsid w:val="6E6F2793"/>
    <w:rsid w:val="6E703D8E"/>
    <w:rsid w:val="6E84323D"/>
    <w:rsid w:val="6E942A76"/>
    <w:rsid w:val="6EA41FA2"/>
    <w:rsid w:val="6EB44AD4"/>
    <w:rsid w:val="6EF2F120"/>
    <w:rsid w:val="6F313FE8"/>
    <w:rsid w:val="6F381CAC"/>
    <w:rsid w:val="6F6128C1"/>
    <w:rsid w:val="6F7A7721"/>
    <w:rsid w:val="6F9C6902"/>
    <w:rsid w:val="6FA0729C"/>
    <w:rsid w:val="6FA80114"/>
    <w:rsid w:val="6FEF4FB0"/>
    <w:rsid w:val="70100CA2"/>
    <w:rsid w:val="70393572"/>
    <w:rsid w:val="70685CF4"/>
    <w:rsid w:val="70A24D48"/>
    <w:rsid w:val="70BA64EF"/>
    <w:rsid w:val="70C031C3"/>
    <w:rsid w:val="70C900DF"/>
    <w:rsid w:val="70E1634E"/>
    <w:rsid w:val="70F80524"/>
    <w:rsid w:val="710A2419"/>
    <w:rsid w:val="710C226A"/>
    <w:rsid w:val="71326D32"/>
    <w:rsid w:val="713F0604"/>
    <w:rsid w:val="714C2CD0"/>
    <w:rsid w:val="715A596A"/>
    <w:rsid w:val="717C106A"/>
    <w:rsid w:val="717C247D"/>
    <w:rsid w:val="717C7162"/>
    <w:rsid w:val="717F26E4"/>
    <w:rsid w:val="71816B8E"/>
    <w:rsid w:val="71832D29"/>
    <w:rsid w:val="71907818"/>
    <w:rsid w:val="71A33AA5"/>
    <w:rsid w:val="71B252F9"/>
    <w:rsid w:val="71BF5724"/>
    <w:rsid w:val="71E95916"/>
    <w:rsid w:val="7203413E"/>
    <w:rsid w:val="72227383"/>
    <w:rsid w:val="72442376"/>
    <w:rsid w:val="7250588C"/>
    <w:rsid w:val="726F5278"/>
    <w:rsid w:val="727E786A"/>
    <w:rsid w:val="72804262"/>
    <w:rsid w:val="72887FD4"/>
    <w:rsid w:val="72BD0544"/>
    <w:rsid w:val="72C0472D"/>
    <w:rsid w:val="72C84615"/>
    <w:rsid w:val="72D11D5C"/>
    <w:rsid w:val="72D66D46"/>
    <w:rsid w:val="72E06836"/>
    <w:rsid w:val="72E85DAD"/>
    <w:rsid w:val="72FB42CA"/>
    <w:rsid w:val="732303D9"/>
    <w:rsid w:val="73532CC9"/>
    <w:rsid w:val="736E6F7E"/>
    <w:rsid w:val="73D56FFD"/>
    <w:rsid w:val="73D73D11"/>
    <w:rsid w:val="74221DD8"/>
    <w:rsid w:val="74402983"/>
    <w:rsid w:val="744975DD"/>
    <w:rsid w:val="746920A5"/>
    <w:rsid w:val="74CB1EDB"/>
    <w:rsid w:val="74D97F76"/>
    <w:rsid w:val="74DE73F5"/>
    <w:rsid w:val="74FA5557"/>
    <w:rsid w:val="74FA5C60"/>
    <w:rsid w:val="750B1268"/>
    <w:rsid w:val="751E77AF"/>
    <w:rsid w:val="75C8117D"/>
    <w:rsid w:val="75D07F8B"/>
    <w:rsid w:val="75EE5669"/>
    <w:rsid w:val="763E70DC"/>
    <w:rsid w:val="76646D93"/>
    <w:rsid w:val="76681311"/>
    <w:rsid w:val="76957051"/>
    <w:rsid w:val="76AC74B5"/>
    <w:rsid w:val="76BD4232"/>
    <w:rsid w:val="76C10199"/>
    <w:rsid w:val="76C57BCB"/>
    <w:rsid w:val="76F73BDA"/>
    <w:rsid w:val="76F927CD"/>
    <w:rsid w:val="76F93003"/>
    <w:rsid w:val="76FF2D0F"/>
    <w:rsid w:val="77022702"/>
    <w:rsid w:val="773B2934"/>
    <w:rsid w:val="773E064E"/>
    <w:rsid w:val="774E1211"/>
    <w:rsid w:val="777006FF"/>
    <w:rsid w:val="777B71D8"/>
    <w:rsid w:val="77A54D53"/>
    <w:rsid w:val="77BC200C"/>
    <w:rsid w:val="77D75F2B"/>
    <w:rsid w:val="77FC6767"/>
    <w:rsid w:val="780D1833"/>
    <w:rsid w:val="781A0BEC"/>
    <w:rsid w:val="78202415"/>
    <w:rsid w:val="78213FC9"/>
    <w:rsid w:val="78697846"/>
    <w:rsid w:val="78701D9C"/>
    <w:rsid w:val="78896E24"/>
    <w:rsid w:val="78A9385A"/>
    <w:rsid w:val="78AD5F33"/>
    <w:rsid w:val="78CD19BA"/>
    <w:rsid w:val="78FA0671"/>
    <w:rsid w:val="791C22B1"/>
    <w:rsid w:val="793A634F"/>
    <w:rsid w:val="798635EB"/>
    <w:rsid w:val="79A5750A"/>
    <w:rsid w:val="7A0C1011"/>
    <w:rsid w:val="7A0E7A81"/>
    <w:rsid w:val="7A321CDB"/>
    <w:rsid w:val="7A470679"/>
    <w:rsid w:val="7A567B6E"/>
    <w:rsid w:val="7A6E32C8"/>
    <w:rsid w:val="7A850425"/>
    <w:rsid w:val="7A8903BE"/>
    <w:rsid w:val="7A8D3FE6"/>
    <w:rsid w:val="7AC900CF"/>
    <w:rsid w:val="7B052FBD"/>
    <w:rsid w:val="7B434427"/>
    <w:rsid w:val="7B5A5A6C"/>
    <w:rsid w:val="7B5C250E"/>
    <w:rsid w:val="7B6D0F87"/>
    <w:rsid w:val="7B72691F"/>
    <w:rsid w:val="7B783FD8"/>
    <w:rsid w:val="7B9A3DB8"/>
    <w:rsid w:val="7BA113AB"/>
    <w:rsid w:val="7BA619AB"/>
    <w:rsid w:val="7BD52290"/>
    <w:rsid w:val="7BD568A0"/>
    <w:rsid w:val="7BE177CE"/>
    <w:rsid w:val="7BEF4EB5"/>
    <w:rsid w:val="7BF20E1E"/>
    <w:rsid w:val="7C5728ED"/>
    <w:rsid w:val="7C9408F4"/>
    <w:rsid w:val="7CA51C63"/>
    <w:rsid w:val="7CB83597"/>
    <w:rsid w:val="7CB90CC2"/>
    <w:rsid w:val="7CDB1DEC"/>
    <w:rsid w:val="7CFB2CE9"/>
    <w:rsid w:val="7D0C34C4"/>
    <w:rsid w:val="7D212CA5"/>
    <w:rsid w:val="7D255EE2"/>
    <w:rsid w:val="7D293184"/>
    <w:rsid w:val="7D3B3B39"/>
    <w:rsid w:val="7D4A23DF"/>
    <w:rsid w:val="7D4B3EE6"/>
    <w:rsid w:val="7D6112EF"/>
    <w:rsid w:val="7D68620F"/>
    <w:rsid w:val="7D69777E"/>
    <w:rsid w:val="7D7C6E9A"/>
    <w:rsid w:val="7D927DC0"/>
    <w:rsid w:val="7DB34706"/>
    <w:rsid w:val="7E066731"/>
    <w:rsid w:val="7E1A0A9F"/>
    <w:rsid w:val="7E1E3FB8"/>
    <w:rsid w:val="7E336242"/>
    <w:rsid w:val="7E3C401A"/>
    <w:rsid w:val="7E3E4021"/>
    <w:rsid w:val="7E415887"/>
    <w:rsid w:val="7E641213"/>
    <w:rsid w:val="7EA67E97"/>
    <w:rsid w:val="7EB47431"/>
    <w:rsid w:val="7EE33139"/>
    <w:rsid w:val="7EF34773"/>
    <w:rsid w:val="7F0D08DC"/>
    <w:rsid w:val="7F173D26"/>
    <w:rsid w:val="7F5C5F7E"/>
    <w:rsid w:val="7F5DC674"/>
    <w:rsid w:val="7F666017"/>
    <w:rsid w:val="7F714EE5"/>
    <w:rsid w:val="7F7F2734"/>
    <w:rsid w:val="7F8B7363"/>
    <w:rsid w:val="7F9A408E"/>
    <w:rsid w:val="7FA44DC6"/>
    <w:rsid w:val="7FA63F96"/>
    <w:rsid w:val="7FB9287C"/>
    <w:rsid w:val="7FCC47FD"/>
    <w:rsid w:val="7FD31973"/>
    <w:rsid w:val="7FE15B01"/>
    <w:rsid w:val="7FFA3A11"/>
    <w:rsid w:val="7FFB1B6E"/>
    <w:rsid w:val="C5DB1ABC"/>
    <w:rsid w:val="DDDB8AE3"/>
    <w:rsid w:val="FFB965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75"/>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176"/>
    <w:autoRedefine/>
    <w:qFormat/>
    <w:uiPriority w:val="0"/>
    <w:pPr>
      <w:keepNext/>
      <w:keepLines/>
      <w:spacing w:before="260" w:after="260" w:line="415" w:lineRule="auto"/>
      <w:outlineLvl w:val="1"/>
    </w:pPr>
    <w:rPr>
      <w:rFonts w:ascii="Arial" w:hAnsi="Arial" w:eastAsia="黑体"/>
      <w:b/>
      <w:bCs/>
      <w:kern w:val="0"/>
      <w:sz w:val="32"/>
      <w:szCs w:val="32"/>
    </w:rPr>
  </w:style>
  <w:style w:type="paragraph" w:styleId="7">
    <w:name w:val="heading 3"/>
    <w:basedOn w:val="1"/>
    <w:next w:val="1"/>
    <w:link w:val="58"/>
    <w:qFormat/>
    <w:uiPriority w:val="0"/>
    <w:pPr>
      <w:keepNext/>
      <w:keepLines/>
      <w:spacing w:before="260" w:after="260" w:line="415" w:lineRule="auto"/>
      <w:outlineLvl w:val="2"/>
    </w:pPr>
    <w:rPr>
      <w:b/>
      <w:bCs/>
      <w:kern w:val="0"/>
      <w:sz w:val="32"/>
      <w:szCs w:val="32"/>
    </w:rPr>
  </w:style>
  <w:style w:type="paragraph" w:styleId="8">
    <w:name w:val="heading 4"/>
    <w:basedOn w:val="1"/>
    <w:next w:val="1"/>
    <w:link w:val="93"/>
    <w:autoRedefine/>
    <w:qFormat/>
    <w:uiPriority w:val="0"/>
    <w:pPr>
      <w:keepNext/>
      <w:keepLines/>
      <w:spacing w:before="280" w:after="290" w:line="374" w:lineRule="auto"/>
      <w:outlineLvl w:val="3"/>
    </w:pPr>
    <w:rPr>
      <w:rFonts w:ascii="Arial" w:hAnsi="Arial" w:eastAsia="黑体"/>
      <w:b/>
      <w:bCs/>
      <w:kern w:val="0"/>
      <w:sz w:val="28"/>
      <w:szCs w:val="28"/>
    </w:rPr>
  </w:style>
  <w:style w:type="paragraph" w:styleId="9">
    <w:name w:val="heading 6"/>
    <w:basedOn w:val="1"/>
    <w:next w:val="1"/>
    <w:link w:val="60"/>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100"/>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82"/>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74"/>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 w:val="20"/>
      <w:szCs w:val="21"/>
    </w:rPr>
  </w:style>
  <w:style w:type="character" w:default="1" w:styleId="47">
    <w:name w:val="Default Paragraph Font"/>
    <w:autoRedefine/>
    <w:unhideWhenUsed/>
    <w:qFormat/>
    <w:uiPriority w:val="1"/>
  </w:style>
  <w:style w:type="table" w:default="1" w:styleId="45">
    <w:name w:val="Normal Table"/>
    <w:autoRedefine/>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adjustRightInd w:val="0"/>
      <w:spacing w:line="275" w:lineRule="atLeast"/>
      <w:ind w:firstLine="420"/>
      <w:textAlignment w:val="baseline"/>
    </w:pPr>
    <w:rPr>
      <w:rFonts w:ascii="宋体" w:eastAsia="楷体_GB2312"/>
      <w:sz w:val="24"/>
      <w:szCs w:val="20"/>
    </w:rPr>
  </w:style>
  <w:style w:type="paragraph" w:styleId="3">
    <w:name w:val="Body Text"/>
    <w:basedOn w:val="1"/>
    <w:next w:val="4"/>
    <w:link w:val="66"/>
    <w:autoRedefine/>
    <w:qFormat/>
    <w:uiPriority w:val="0"/>
    <w:pPr>
      <w:spacing w:after="120"/>
    </w:pPr>
    <w:rPr>
      <w:kern w:val="0"/>
      <w:sz w:val="20"/>
    </w:rPr>
  </w:style>
  <w:style w:type="paragraph" w:styleId="4">
    <w:name w:val="toc 5"/>
    <w:basedOn w:val="1"/>
    <w:next w:val="1"/>
    <w:autoRedefine/>
    <w:qFormat/>
    <w:uiPriority w:val="39"/>
    <w:pPr>
      <w:ind w:left="840"/>
      <w:jc w:val="left"/>
    </w:pPr>
    <w:rPr>
      <w:rFonts w:ascii="Calibri" w:hAnsi="Calibri"/>
      <w:sz w:val="18"/>
      <w:szCs w:val="18"/>
    </w:rPr>
  </w:style>
  <w:style w:type="paragraph" w:styleId="13">
    <w:name w:val="toc 7"/>
    <w:basedOn w:val="1"/>
    <w:next w:val="1"/>
    <w:autoRedefine/>
    <w:qFormat/>
    <w:uiPriority w:val="39"/>
    <w:pPr>
      <w:ind w:left="1260"/>
      <w:jc w:val="left"/>
    </w:pPr>
    <w:rPr>
      <w:rFonts w:ascii="Calibri" w:hAnsi="Calibri"/>
      <w:sz w:val="18"/>
      <w:szCs w:val="18"/>
    </w:rPr>
  </w:style>
  <w:style w:type="paragraph" w:styleId="14">
    <w:name w:val="table of authorities"/>
    <w:basedOn w:val="1"/>
    <w:next w:val="1"/>
    <w:autoRedefine/>
    <w:qFormat/>
    <w:uiPriority w:val="99"/>
    <w:pPr>
      <w:ind w:left="420" w:leftChars="200"/>
    </w:pPr>
  </w:style>
  <w:style w:type="paragraph" w:styleId="15">
    <w:name w:val="Normal Indent"/>
    <w:basedOn w:val="16"/>
    <w:link w:val="70"/>
    <w:autoRedefine/>
    <w:qFormat/>
    <w:uiPriority w:val="0"/>
    <w:pPr>
      <w:ind w:firstLine="420" w:firstLineChars="200"/>
    </w:pPr>
  </w:style>
  <w:style w:type="paragraph" w:styleId="16">
    <w:name w:val="Balloon Text"/>
    <w:basedOn w:val="3"/>
    <w:link w:val="81"/>
    <w:autoRedefine/>
    <w:qFormat/>
    <w:uiPriority w:val="0"/>
    <w:rPr>
      <w:kern w:val="0"/>
      <w:sz w:val="18"/>
      <w:szCs w:val="18"/>
    </w:rPr>
  </w:style>
  <w:style w:type="paragraph" w:styleId="17">
    <w:name w:val="Document Map"/>
    <w:basedOn w:val="1"/>
    <w:link w:val="77"/>
    <w:autoRedefine/>
    <w:qFormat/>
    <w:uiPriority w:val="0"/>
    <w:pPr>
      <w:shd w:val="clear" w:color="auto" w:fill="000080"/>
    </w:pPr>
    <w:rPr>
      <w:kern w:val="0"/>
      <w:sz w:val="20"/>
    </w:rPr>
  </w:style>
  <w:style w:type="paragraph" w:styleId="18">
    <w:name w:val="annotation text"/>
    <w:basedOn w:val="1"/>
    <w:link w:val="59"/>
    <w:autoRedefine/>
    <w:unhideWhenUsed/>
    <w:qFormat/>
    <w:uiPriority w:val="99"/>
    <w:pPr>
      <w:jc w:val="left"/>
    </w:pPr>
    <w:rPr>
      <w:kern w:val="0"/>
      <w:sz w:val="20"/>
    </w:rPr>
  </w:style>
  <w:style w:type="paragraph" w:styleId="19">
    <w:name w:val="Body Text 3"/>
    <w:basedOn w:val="1"/>
    <w:link w:val="63"/>
    <w:autoRedefine/>
    <w:qFormat/>
    <w:uiPriority w:val="0"/>
    <w:rPr>
      <w:rFonts w:ascii="宋体"/>
      <w:kern w:val="0"/>
      <w:sz w:val="24"/>
      <w:szCs w:val="20"/>
    </w:rPr>
  </w:style>
  <w:style w:type="paragraph" w:styleId="20">
    <w:name w:val="Body Text Indent"/>
    <w:basedOn w:val="1"/>
    <w:link w:val="76"/>
    <w:autoRedefine/>
    <w:qFormat/>
    <w:uiPriority w:val="0"/>
    <w:pPr>
      <w:spacing w:after="120"/>
      <w:ind w:left="420" w:leftChars="200"/>
    </w:pPr>
    <w:rPr>
      <w:kern w:val="0"/>
      <w:sz w:val="20"/>
    </w:rPr>
  </w:style>
  <w:style w:type="paragraph" w:styleId="21">
    <w:name w:val="Block Text"/>
    <w:basedOn w:val="1"/>
    <w:autoRedefine/>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2">
    <w:name w:val="toc 3"/>
    <w:basedOn w:val="1"/>
    <w:next w:val="1"/>
    <w:autoRedefine/>
    <w:qFormat/>
    <w:uiPriority w:val="39"/>
    <w:pPr>
      <w:ind w:left="420"/>
      <w:jc w:val="left"/>
    </w:pPr>
    <w:rPr>
      <w:rFonts w:ascii="Calibri" w:hAnsi="Calibri"/>
      <w:i/>
      <w:iCs/>
      <w:sz w:val="20"/>
      <w:szCs w:val="20"/>
    </w:rPr>
  </w:style>
  <w:style w:type="paragraph" w:styleId="23">
    <w:name w:val="Plain Text"/>
    <w:basedOn w:val="1"/>
    <w:link w:val="99"/>
    <w:autoRedefine/>
    <w:qFormat/>
    <w:uiPriority w:val="99"/>
    <w:rPr>
      <w:rFonts w:ascii="Courier New" w:hAnsi="Courier New"/>
      <w:kern w:val="0"/>
      <w:sz w:val="20"/>
      <w:szCs w:val="20"/>
    </w:rPr>
  </w:style>
  <w:style w:type="paragraph" w:styleId="24">
    <w:name w:val="toc 8"/>
    <w:basedOn w:val="1"/>
    <w:next w:val="1"/>
    <w:autoRedefine/>
    <w:qFormat/>
    <w:uiPriority w:val="39"/>
    <w:pPr>
      <w:ind w:left="1470"/>
      <w:jc w:val="left"/>
    </w:pPr>
    <w:rPr>
      <w:rFonts w:ascii="Calibri" w:hAnsi="Calibri"/>
      <w:sz w:val="18"/>
      <w:szCs w:val="18"/>
    </w:rPr>
  </w:style>
  <w:style w:type="paragraph" w:styleId="25">
    <w:name w:val="Date"/>
    <w:basedOn w:val="1"/>
    <w:next w:val="1"/>
    <w:link w:val="83"/>
    <w:autoRedefine/>
    <w:qFormat/>
    <w:uiPriority w:val="0"/>
    <w:rPr>
      <w:kern w:val="0"/>
      <w:sz w:val="24"/>
      <w:szCs w:val="20"/>
    </w:rPr>
  </w:style>
  <w:style w:type="paragraph" w:styleId="26">
    <w:name w:val="Body Text Indent 2"/>
    <w:basedOn w:val="1"/>
    <w:autoRedefine/>
    <w:qFormat/>
    <w:uiPriority w:val="0"/>
    <w:pPr>
      <w:spacing w:after="120" w:line="480" w:lineRule="auto"/>
      <w:ind w:left="420" w:leftChars="200"/>
    </w:pPr>
  </w:style>
  <w:style w:type="paragraph" w:styleId="27">
    <w:name w:val="footer"/>
    <w:basedOn w:val="1"/>
    <w:link w:val="95"/>
    <w:autoRedefine/>
    <w:qFormat/>
    <w:uiPriority w:val="99"/>
    <w:pPr>
      <w:tabs>
        <w:tab w:val="center" w:pos="4153"/>
        <w:tab w:val="right" w:pos="8306"/>
      </w:tabs>
      <w:snapToGrid w:val="0"/>
      <w:jc w:val="left"/>
    </w:pPr>
    <w:rPr>
      <w:kern w:val="0"/>
      <w:sz w:val="18"/>
      <w:szCs w:val="18"/>
    </w:rPr>
  </w:style>
  <w:style w:type="paragraph" w:styleId="28">
    <w:name w:val="header"/>
    <w:basedOn w:val="1"/>
    <w:link w:val="73"/>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autoRedefine/>
    <w:qFormat/>
    <w:uiPriority w:val="39"/>
    <w:pPr>
      <w:spacing w:before="120" w:after="120"/>
      <w:jc w:val="left"/>
    </w:pPr>
    <w:rPr>
      <w:rFonts w:ascii="Calibri" w:hAnsi="Calibri"/>
      <w:b/>
      <w:bCs/>
      <w:caps/>
      <w:sz w:val="20"/>
      <w:szCs w:val="20"/>
    </w:rPr>
  </w:style>
  <w:style w:type="paragraph" w:styleId="30">
    <w:name w:val="toc 4"/>
    <w:basedOn w:val="1"/>
    <w:next w:val="1"/>
    <w:autoRedefine/>
    <w:qFormat/>
    <w:uiPriority w:val="39"/>
    <w:pPr>
      <w:ind w:left="630"/>
      <w:jc w:val="left"/>
    </w:pPr>
    <w:rPr>
      <w:rFonts w:ascii="Calibri" w:hAnsi="Calibri"/>
      <w:sz w:val="18"/>
      <w:szCs w:val="18"/>
    </w:rPr>
  </w:style>
  <w:style w:type="paragraph" w:styleId="31">
    <w:name w:val="List"/>
    <w:basedOn w:val="1"/>
    <w:autoRedefine/>
    <w:qFormat/>
    <w:uiPriority w:val="0"/>
    <w:pPr>
      <w:ind w:left="200" w:hanging="200" w:hangingChars="200"/>
    </w:pPr>
    <w:rPr>
      <w:rFonts w:ascii="Times New Roman" w:hAnsi="Times New Roman" w:eastAsia="宋体" w:cs="Times New Roman"/>
    </w:rPr>
  </w:style>
  <w:style w:type="paragraph" w:styleId="32">
    <w:name w:val="footnote text"/>
    <w:basedOn w:val="1"/>
    <w:link w:val="67"/>
    <w:autoRedefine/>
    <w:qFormat/>
    <w:uiPriority w:val="0"/>
    <w:rPr>
      <w:kern w:val="0"/>
      <w:sz w:val="20"/>
      <w:szCs w:val="20"/>
    </w:rPr>
  </w:style>
  <w:style w:type="paragraph" w:styleId="33">
    <w:name w:val="toc 6"/>
    <w:basedOn w:val="1"/>
    <w:next w:val="1"/>
    <w:autoRedefine/>
    <w:qFormat/>
    <w:uiPriority w:val="39"/>
    <w:pPr>
      <w:ind w:left="1050"/>
      <w:jc w:val="left"/>
    </w:pPr>
    <w:rPr>
      <w:rFonts w:ascii="Calibri" w:hAnsi="Calibri"/>
      <w:sz w:val="18"/>
      <w:szCs w:val="18"/>
    </w:rPr>
  </w:style>
  <w:style w:type="paragraph" w:styleId="34">
    <w:name w:val="Body Text Indent 3"/>
    <w:basedOn w:val="1"/>
    <w:link w:val="87"/>
    <w:autoRedefine/>
    <w:qFormat/>
    <w:uiPriority w:val="0"/>
    <w:pPr>
      <w:spacing w:after="120"/>
      <w:ind w:left="420" w:leftChars="200"/>
    </w:pPr>
    <w:rPr>
      <w:kern w:val="0"/>
      <w:sz w:val="16"/>
      <w:szCs w:val="16"/>
    </w:rPr>
  </w:style>
  <w:style w:type="paragraph" w:styleId="35">
    <w:name w:val="table of figures"/>
    <w:basedOn w:val="1"/>
    <w:next w:val="1"/>
    <w:autoRedefine/>
    <w:qFormat/>
    <w:uiPriority w:val="0"/>
    <w:pPr>
      <w:ind w:leftChars="200" w:hanging="200" w:hangingChars="200"/>
    </w:pPr>
  </w:style>
  <w:style w:type="paragraph" w:styleId="36">
    <w:name w:val="toc 2"/>
    <w:basedOn w:val="1"/>
    <w:next w:val="1"/>
    <w:autoRedefine/>
    <w:qFormat/>
    <w:uiPriority w:val="39"/>
    <w:pPr>
      <w:ind w:left="210"/>
      <w:jc w:val="left"/>
    </w:pPr>
    <w:rPr>
      <w:rFonts w:ascii="Calibri" w:hAnsi="Calibri"/>
      <w:smallCaps/>
      <w:sz w:val="20"/>
      <w:szCs w:val="20"/>
    </w:rPr>
  </w:style>
  <w:style w:type="paragraph" w:styleId="37">
    <w:name w:val="toc 9"/>
    <w:basedOn w:val="1"/>
    <w:next w:val="1"/>
    <w:autoRedefine/>
    <w:qFormat/>
    <w:uiPriority w:val="39"/>
    <w:pPr>
      <w:ind w:left="1680"/>
      <w:jc w:val="left"/>
    </w:pPr>
    <w:rPr>
      <w:rFonts w:ascii="Calibri" w:hAnsi="Calibri"/>
      <w:sz w:val="18"/>
      <w:szCs w:val="18"/>
    </w:rPr>
  </w:style>
  <w:style w:type="paragraph" w:styleId="38">
    <w:name w:val="Body Text 2"/>
    <w:basedOn w:val="1"/>
    <w:autoRedefine/>
    <w:qFormat/>
    <w:uiPriority w:val="0"/>
    <w:pPr>
      <w:spacing w:before="50" w:beforeLines="50" w:after="120" w:line="480" w:lineRule="auto"/>
      <w:ind w:firstLine="200" w:firstLineChars="200"/>
    </w:pPr>
    <w:rPr>
      <w:rFonts w:ascii="Times New Roman" w:hAnsi="Times New Roman" w:eastAsia="宋体" w:cs="Times New Roman"/>
      <w:sz w:val="24"/>
    </w:rPr>
  </w:style>
  <w:style w:type="paragraph" w:styleId="39">
    <w:name w:val="HTML Preformatted"/>
    <w:basedOn w:val="1"/>
    <w:link w:val="97"/>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4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1">
    <w:name w:val="index 1"/>
    <w:basedOn w:val="1"/>
    <w:next w:val="1"/>
    <w:autoRedefine/>
    <w:semiHidden/>
    <w:qFormat/>
    <w:uiPriority w:val="0"/>
    <w:pPr>
      <w:spacing w:line="360" w:lineRule="auto"/>
      <w:jc w:val="center"/>
    </w:pPr>
    <w:rPr>
      <w:rFonts w:ascii="宋体" w:hAnsi="Arial" w:cs="Arial"/>
      <w:b/>
      <w:color w:val="000000"/>
      <w:sz w:val="24"/>
    </w:rPr>
  </w:style>
  <w:style w:type="paragraph" w:styleId="42">
    <w:name w:val="Title"/>
    <w:basedOn w:val="1"/>
    <w:link w:val="80"/>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8"/>
    <w:next w:val="18"/>
    <w:link w:val="69"/>
    <w:autoRedefine/>
    <w:qFormat/>
    <w:uiPriority w:val="0"/>
    <w:rPr>
      <w:b/>
      <w:bCs/>
    </w:rPr>
  </w:style>
  <w:style w:type="paragraph" w:styleId="44">
    <w:name w:val="Body Text First Indent 2"/>
    <w:basedOn w:val="20"/>
    <w:autoRedefine/>
    <w:qFormat/>
    <w:uiPriority w:val="0"/>
    <w:pPr>
      <w:spacing w:after="120" w:line="240" w:lineRule="auto"/>
      <w:ind w:left="420" w:leftChars="200" w:firstLine="420"/>
    </w:pPr>
    <w:rPr>
      <w:sz w:val="21"/>
    </w:rPr>
  </w:style>
  <w:style w:type="table" w:styleId="46">
    <w:name w:val="Table Grid"/>
    <w:basedOn w:val="45"/>
    <w:autoRedefine/>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autoRedefine/>
    <w:qFormat/>
    <w:uiPriority w:val="0"/>
    <w:rPr>
      <w:b/>
      <w:bCs/>
    </w:rPr>
  </w:style>
  <w:style w:type="character" w:styleId="49">
    <w:name w:val="page number"/>
    <w:autoRedefine/>
    <w:qFormat/>
    <w:uiPriority w:val="0"/>
  </w:style>
  <w:style w:type="character" w:styleId="50">
    <w:name w:val="FollowedHyperlink"/>
    <w:basedOn w:val="47"/>
    <w:autoRedefine/>
    <w:qFormat/>
    <w:uiPriority w:val="0"/>
    <w:rPr>
      <w:rFonts w:hint="default" w:ascii="Arial" w:hAnsi="Arial" w:eastAsia="Arial" w:cs="Arial"/>
      <w:color w:val="333333"/>
      <w:sz w:val="21"/>
      <w:szCs w:val="21"/>
      <w:u w:val="none"/>
    </w:rPr>
  </w:style>
  <w:style w:type="character" w:styleId="51">
    <w:name w:val="Hyperlink"/>
    <w:basedOn w:val="47"/>
    <w:autoRedefine/>
    <w:qFormat/>
    <w:uiPriority w:val="99"/>
    <w:rPr>
      <w:rFonts w:ascii="Arial" w:hAnsi="Arial" w:eastAsia="Arial" w:cs="Arial"/>
      <w:color w:val="333333"/>
      <w:sz w:val="21"/>
      <w:szCs w:val="21"/>
      <w:u w:val="none"/>
    </w:rPr>
  </w:style>
  <w:style w:type="character" w:styleId="52">
    <w:name w:val="annotation reference"/>
    <w:autoRedefine/>
    <w:qFormat/>
    <w:uiPriority w:val="0"/>
    <w:rPr>
      <w:sz w:val="21"/>
      <w:szCs w:val="21"/>
    </w:rPr>
  </w:style>
  <w:style w:type="character" w:styleId="53">
    <w:name w:val="footnote reference"/>
    <w:autoRedefine/>
    <w:qFormat/>
    <w:uiPriority w:val="0"/>
    <w:rPr>
      <w:vertAlign w:val="superscript"/>
    </w:rPr>
  </w:style>
  <w:style w:type="character" w:customStyle="1" w:styleId="54">
    <w:name w:val="apple-style-span"/>
    <w:autoRedefine/>
    <w:qFormat/>
    <w:uiPriority w:val="0"/>
    <w:rPr>
      <w:rFonts w:ascii="Verdana" w:hAnsi="Verdana" w:eastAsia="宋体"/>
      <w:sz w:val="21"/>
      <w:lang w:val="en-US" w:eastAsia="en-US" w:bidi="ar-SA"/>
    </w:rPr>
  </w:style>
  <w:style w:type="character" w:customStyle="1" w:styleId="55">
    <w:name w:val="正文文本 3 Char1"/>
    <w:autoRedefine/>
    <w:semiHidden/>
    <w:qFormat/>
    <w:uiPriority w:val="99"/>
    <w:rPr>
      <w:rFonts w:ascii="Times New Roman" w:hAnsi="Times New Roman" w:eastAsia="宋体" w:cs="Times New Roman"/>
      <w:sz w:val="16"/>
      <w:szCs w:val="16"/>
    </w:rPr>
  </w:style>
  <w:style w:type="character" w:customStyle="1" w:styleId="56">
    <w:name w:val="样式 宋体"/>
    <w:autoRedefine/>
    <w:qFormat/>
    <w:uiPriority w:val="0"/>
    <w:rPr>
      <w:rFonts w:ascii="Times New Roman" w:hAnsi="Times New Roman" w:eastAsia="宋体"/>
      <w:sz w:val="21"/>
    </w:rPr>
  </w:style>
  <w:style w:type="character" w:customStyle="1" w:styleId="57">
    <w:name w:val="正文文本 (2) + 9.5 pt"/>
    <w:autoRedefine/>
    <w:qFormat/>
    <w:uiPriority w:val="0"/>
    <w:rPr>
      <w:rFonts w:ascii="MingLiU" w:hAnsi="MingLiU" w:eastAsia="MingLiU" w:cs="MingLiU"/>
      <w:color w:val="000000"/>
      <w:spacing w:val="0"/>
      <w:w w:val="100"/>
      <w:position w:val="0"/>
      <w:sz w:val="19"/>
      <w:szCs w:val="19"/>
      <w:u w:val="none"/>
      <w:lang w:val="zh-TW" w:eastAsia="zh-TW" w:bidi="zh-TW"/>
    </w:rPr>
  </w:style>
  <w:style w:type="character" w:customStyle="1" w:styleId="58">
    <w:name w:val="标题 3 Char"/>
    <w:link w:val="7"/>
    <w:autoRedefine/>
    <w:qFormat/>
    <w:uiPriority w:val="0"/>
    <w:rPr>
      <w:rFonts w:ascii="Times New Roman" w:hAnsi="Times New Roman" w:eastAsia="宋体" w:cs="Times New Roman"/>
      <w:b/>
      <w:bCs/>
      <w:sz w:val="32"/>
      <w:szCs w:val="32"/>
    </w:rPr>
  </w:style>
  <w:style w:type="character" w:customStyle="1" w:styleId="59">
    <w:name w:val="批注文字 Char1"/>
    <w:link w:val="18"/>
    <w:autoRedefine/>
    <w:semiHidden/>
    <w:qFormat/>
    <w:uiPriority w:val="99"/>
    <w:rPr>
      <w:rFonts w:ascii="Times New Roman" w:hAnsi="Times New Roman" w:eastAsia="宋体" w:cs="Times New Roman"/>
      <w:szCs w:val="24"/>
    </w:rPr>
  </w:style>
  <w:style w:type="character" w:customStyle="1" w:styleId="60">
    <w:name w:val="标题 6 Char"/>
    <w:link w:val="9"/>
    <w:autoRedefine/>
    <w:qFormat/>
    <w:uiPriority w:val="0"/>
    <w:rPr>
      <w:rFonts w:ascii="Arial" w:hAnsi="Arial" w:eastAsia="黑体" w:cs="Times New Roman"/>
      <w:b/>
      <w:bCs/>
      <w:kern w:val="0"/>
      <w:sz w:val="24"/>
      <w:szCs w:val="24"/>
    </w:rPr>
  </w:style>
  <w:style w:type="character" w:customStyle="1" w:styleId="61">
    <w:name w:val=" Char Char8"/>
    <w:autoRedefine/>
    <w:qFormat/>
    <w:uiPriority w:val="0"/>
    <w:rPr>
      <w:rFonts w:ascii="Arial" w:hAnsi="Arial" w:eastAsia="黑体"/>
      <w:b/>
      <w:bCs/>
      <w:kern w:val="2"/>
      <w:sz w:val="32"/>
      <w:szCs w:val="32"/>
      <w:lang w:val="en-US" w:eastAsia="zh-CN" w:bidi="ar-SA"/>
    </w:rPr>
  </w:style>
  <w:style w:type="character" w:customStyle="1" w:styleId="62">
    <w:name w:val="脚注文本 Char1"/>
    <w:autoRedefine/>
    <w:semiHidden/>
    <w:qFormat/>
    <w:uiPriority w:val="99"/>
    <w:rPr>
      <w:rFonts w:ascii="Times New Roman" w:hAnsi="Times New Roman" w:eastAsia="宋体" w:cs="Times New Roman"/>
      <w:sz w:val="18"/>
      <w:szCs w:val="18"/>
    </w:rPr>
  </w:style>
  <w:style w:type="character" w:customStyle="1" w:styleId="63">
    <w:name w:val="正文文本 3 Char"/>
    <w:link w:val="19"/>
    <w:autoRedefine/>
    <w:qFormat/>
    <w:uiPriority w:val="0"/>
    <w:rPr>
      <w:rFonts w:ascii="宋体"/>
      <w:sz w:val="24"/>
    </w:rPr>
  </w:style>
  <w:style w:type="character" w:customStyle="1" w:styleId="64">
    <w:name w:val="页脚 Char1"/>
    <w:autoRedefine/>
    <w:semiHidden/>
    <w:qFormat/>
    <w:uiPriority w:val="99"/>
    <w:rPr>
      <w:rFonts w:ascii="Times New Roman" w:hAnsi="Times New Roman" w:eastAsia="宋体" w:cs="Times New Roman"/>
      <w:sz w:val="18"/>
      <w:szCs w:val="18"/>
    </w:rPr>
  </w:style>
  <w:style w:type="character" w:customStyle="1" w:styleId="65">
    <w:name w:val="标题 Char1"/>
    <w:autoRedefine/>
    <w:qFormat/>
    <w:uiPriority w:val="10"/>
    <w:rPr>
      <w:rFonts w:ascii="Calibri Light" w:hAnsi="Calibri Light" w:eastAsia="宋体" w:cs="Times New Roman"/>
      <w:b/>
      <w:bCs/>
      <w:sz w:val="32"/>
      <w:szCs w:val="32"/>
    </w:rPr>
  </w:style>
  <w:style w:type="character" w:customStyle="1" w:styleId="66">
    <w:name w:val="正文文本 Char"/>
    <w:link w:val="3"/>
    <w:autoRedefine/>
    <w:qFormat/>
    <w:uiPriority w:val="0"/>
    <w:rPr>
      <w:rFonts w:eastAsia="宋体"/>
      <w:szCs w:val="24"/>
    </w:rPr>
  </w:style>
  <w:style w:type="character" w:customStyle="1" w:styleId="67">
    <w:name w:val="脚注文本 Char"/>
    <w:link w:val="32"/>
    <w:autoRedefine/>
    <w:qFormat/>
    <w:uiPriority w:val="0"/>
    <w:rPr>
      <w:rFonts w:eastAsia="宋体"/>
    </w:rPr>
  </w:style>
  <w:style w:type="character" w:customStyle="1" w:styleId="68">
    <w:name w:val="纯文本 Char1"/>
    <w:autoRedefine/>
    <w:semiHidden/>
    <w:qFormat/>
    <w:uiPriority w:val="99"/>
    <w:rPr>
      <w:rFonts w:ascii="宋体" w:hAnsi="Courier New" w:eastAsia="宋体" w:cs="Courier New"/>
      <w:szCs w:val="21"/>
    </w:rPr>
  </w:style>
  <w:style w:type="character" w:customStyle="1" w:styleId="69">
    <w:name w:val="批注主题 Char"/>
    <w:link w:val="43"/>
    <w:autoRedefine/>
    <w:qFormat/>
    <w:uiPriority w:val="0"/>
    <w:rPr>
      <w:rFonts w:ascii="Times New Roman" w:hAnsi="Times New Roman" w:eastAsia="宋体" w:cs="Times New Roman"/>
      <w:b/>
      <w:bCs/>
      <w:szCs w:val="24"/>
    </w:rPr>
  </w:style>
  <w:style w:type="character" w:customStyle="1" w:styleId="70">
    <w:name w:val="正文缩进 Char"/>
    <w:link w:val="15"/>
    <w:autoRedefine/>
    <w:qFormat/>
    <w:locked/>
    <w:uiPriority w:val="0"/>
    <w:rPr>
      <w:kern w:val="2"/>
      <w:sz w:val="21"/>
      <w:szCs w:val="24"/>
    </w:rPr>
  </w:style>
  <w:style w:type="character" w:customStyle="1" w:styleId="71">
    <w:name w:val="font11"/>
    <w:autoRedefine/>
    <w:qFormat/>
    <w:uiPriority w:val="0"/>
    <w:rPr>
      <w:rFonts w:hint="default" w:ascii="Times New Roman" w:hAnsi="Times New Roman" w:cs="Times New Roman"/>
      <w:color w:val="000000"/>
      <w:sz w:val="22"/>
      <w:szCs w:val="22"/>
      <w:u w:val="none"/>
    </w:rPr>
  </w:style>
  <w:style w:type="character" w:customStyle="1" w:styleId="72">
    <w:name w:val="font01"/>
    <w:autoRedefine/>
    <w:qFormat/>
    <w:uiPriority w:val="0"/>
    <w:rPr>
      <w:rFonts w:hint="eastAsia" w:ascii="宋体" w:hAnsi="宋体" w:eastAsia="宋体" w:cs="宋体"/>
      <w:color w:val="000000"/>
      <w:sz w:val="22"/>
      <w:szCs w:val="22"/>
      <w:u w:val="none"/>
    </w:rPr>
  </w:style>
  <w:style w:type="character" w:customStyle="1" w:styleId="73">
    <w:name w:val="页眉 Char"/>
    <w:link w:val="28"/>
    <w:autoRedefine/>
    <w:qFormat/>
    <w:uiPriority w:val="0"/>
    <w:rPr>
      <w:rFonts w:ascii="Times New Roman" w:hAnsi="Times New Roman" w:eastAsia="宋体" w:cs="Times New Roman"/>
      <w:sz w:val="18"/>
      <w:szCs w:val="18"/>
    </w:rPr>
  </w:style>
  <w:style w:type="character" w:customStyle="1" w:styleId="74">
    <w:name w:val="标题 9 Char"/>
    <w:link w:val="12"/>
    <w:autoRedefine/>
    <w:qFormat/>
    <w:uiPriority w:val="0"/>
    <w:rPr>
      <w:rFonts w:ascii="Arial" w:hAnsi="Arial" w:eastAsia="黑体" w:cs="Times New Roman"/>
      <w:kern w:val="0"/>
      <w:szCs w:val="21"/>
    </w:rPr>
  </w:style>
  <w:style w:type="character" w:customStyle="1" w:styleId="75">
    <w:name w:val="标题 2 Char1"/>
    <w:autoRedefine/>
    <w:qFormat/>
    <w:uiPriority w:val="0"/>
    <w:rPr>
      <w:rFonts w:ascii="Arial" w:hAnsi="Arial" w:eastAsia="黑体" w:cs="Times New Roman"/>
      <w:b/>
      <w:bCs/>
      <w:sz w:val="32"/>
      <w:szCs w:val="32"/>
      <w:lang w:val="en-US" w:eastAsia="en-US" w:bidi="ar-SA"/>
    </w:rPr>
  </w:style>
  <w:style w:type="character" w:customStyle="1" w:styleId="76">
    <w:name w:val="正文文本缩进 Char"/>
    <w:link w:val="20"/>
    <w:autoRedefine/>
    <w:qFormat/>
    <w:uiPriority w:val="0"/>
    <w:rPr>
      <w:szCs w:val="24"/>
    </w:rPr>
  </w:style>
  <w:style w:type="character" w:customStyle="1" w:styleId="77">
    <w:name w:val="文档结构图 Char"/>
    <w:link w:val="17"/>
    <w:autoRedefine/>
    <w:qFormat/>
    <w:uiPriority w:val="0"/>
    <w:rPr>
      <w:rFonts w:ascii="Times New Roman" w:hAnsi="Times New Roman" w:eastAsia="宋体" w:cs="Times New Roman"/>
      <w:szCs w:val="24"/>
      <w:shd w:val="clear" w:color="auto" w:fill="000080"/>
    </w:rPr>
  </w:style>
  <w:style w:type="character" w:customStyle="1" w:styleId="78">
    <w:name w:val="font161"/>
    <w:autoRedefine/>
    <w:qFormat/>
    <w:uiPriority w:val="0"/>
    <w:rPr>
      <w:b/>
      <w:bCs/>
      <w:sz w:val="32"/>
      <w:szCs w:val="32"/>
    </w:rPr>
  </w:style>
  <w:style w:type="character" w:customStyle="1" w:styleId="79">
    <w:name w:val="标题 2 Char"/>
    <w:link w:val="6"/>
    <w:autoRedefine/>
    <w:qFormat/>
    <w:uiPriority w:val="0"/>
    <w:rPr>
      <w:rFonts w:ascii="Arial" w:hAnsi="Arial" w:eastAsia="黑体" w:cs="Times New Roman"/>
      <w:b/>
      <w:bCs/>
      <w:sz w:val="32"/>
      <w:szCs w:val="32"/>
    </w:rPr>
  </w:style>
  <w:style w:type="character" w:customStyle="1" w:styleId="80">
    <w:name w:val="标题 Char"/>
    <w:link w:val="42"/>
    <w:autoRedefine/>
    <w:qFormat/>
    <w:uiPriority w:val="0"/>
    <w:rPr>
      <w:rFonts w:ascii="Arial" w:hAnsi="Arial"/>
      <w:b/>
      <w:sz w:val="32"/>
    </w:rPr>
  </w:style>
  <w:style w:type="character" w:customStyle="1" w:styleId="81">
    <w:name w:val="批注框文本 Char"/>
    <w:link w:val="16"/>
    <w:autoRedefine/>
    <w:qFormat/>
    <w:uiPriority w:val="0"/>
    <w:rPr>
      <w:rFonts w:ascii="Times New Roman" w:hAnsi="Times New Roman" w:eastAsia="宋体" w:cs="Times New Roman"/>
      <w:sz w:val="18"/>
      <w:szCs w:val="18"/>
    </w:rPr>
  </w:style>
  <w:style w:type="character" w:customStyle="1" w:styleId="82">
    <w:name w:val="标题 8 Char"/>
    <w:link w:val="11"/>
    <w:autoRedefine/>
    <w:qFormat/>
    <w:uiPriority w:val="0"/>
    <w:rPr>
      <w:rFonts w:ascii="Arial" w:hAnsi="Arial" w:eastAsia="黑体" w:cs="Times New Roman"/>
      <w:kern w:val="0"/>
      <w:sz w:val="24"/>
      <w:szCs w:val="24"/>
    </w:rPr>
  </w:style>
  <w:style w:type="character" w:customStyle="1" w:styleId="83">
    <w:name w:val="日期 Char"/>
    <w:link w:val="25"/>
    <w:autoRedefine/>
    <w:qFormat/>
    <w:uiPriority w:val="0"/>
    <w:rPr>
      <w:rFonts w:ascii="Times New Roman" w:hAnsi="Times New Roman" w:eastAsia="宋体" w:cs="Times New Roman"/>
      <w:sz w:val="24"/>
      <w:szCs w:val="20"/>
    </w:rPr>
  </w:style>
  <w:style w:type="character" w:customStyle="1" w:styleId="84">
    <w:name w:val="标题 1 Char"/>
    <w:link w:val="5"/>
    <w:autoRedefine/>
    <w:qFormat/>
    <w:uiPriority w:val="0"/>
    <w:rPr>
      <w:rFonts w:ascii="Times New Roman" w:hAnsi="Times New Roman" w:eastAsia="宋体" w:cs="Times New Roman"/>
      <w:b/>
      <w:bCs/>
      <w:kern w:val="44"/>
      <w:sz w:val="44"/>
      <w:szCs w:val="44"/>
    </w:rPr>
  </w:style>
  <w:style w:type="character" w:customStyle="1" w:styleId="85">
    <w:name w:val="招标节 Char"/>
    <w:link w:val="86"/>
    <w:autoRedefine/>
    <w:qFormat/>
    <w:locked/>
    <w:uiPriority w:val="0"/>
    <w:rPr>
      <w:b/>
      <w:sz w:val="24"/>
      <w:szCs w:val="24"/>
    </w:rPr>
  </w:style>
  <w:style w:type="paragraph" w:customStyle="1" w:styleId="86">
    <w:name w:val="招标节"/>
    <w:basedOn w:val="1"/>
    <w:next w:val="1"/>
    <w:link w:val="85"/>
    <w:autoRedefine/>
    <w:qFormat/>
    <w:uiPriority w:val="0"/>
    <w:pPr>
      <w:spacing w:beforeLines="50" w:afterLines="50"/>
      <w:outlineLvl w:val="1"/>
    </w:pPr>
    <w:rPr>
      <w:b/>
      <w:kern w:val="0"/>
      <w:sz w:val="24"/>
    </w:rPr>
  </w:style>
  <w:style w:type="character" w:customStyle="1" w:styleId="87">
    <w:name w:val="正文文本缩进 3 Char"/>
    <w:link w:val="34"/>
    <w:autoRedefine/>
    <w:qFormat/>
    <w:uiPriority w:val="0"/>
    <w:rPr>
      <w:rFonts w:ascii="Times New Roman" w:hAnsi="Times New Roman" w:eastAsia="宋体" w:cs="Times New Roman"/>
      <w:sz w:val="16"/>
      <w:szCs w:val="16"/>
    </w:rPr>
  </w:style>
  <w:style w:type="character" w:customStyle="1" w:styleId="88">
    <w:name w:val="tpc_content1"/>
    <w:autoRedefine/>
    <w:qFormat/>
    <w:uiPriority w:val="0"/>
    <w:rPr>
      <w:sz w:val="20"/>
      <w:szCs w:val="20"/>
    </w:rPr>
  </w:style>
  <w:style w:type="character" w:customStyle="1" w:styleId="89">
    <w:name w:val=" Char Char"/>
    <w:autoRedefine/>
    <w:qFormat/>
    <w:uiPriority w:val="0"/>
    <w:rPr>
      <w:rFonts w:ascii="Arial" w:hAnsi="Arial" w:eastAsia="黑体"/>
      <w:b/>
      <w:bCs/>
      <w:kern w:val="2"/>
      <w:sz w:val="32"/>
      <w:szCs w:val="32"/>
      <w:lang w:val="en-US" w:eastAsia="zh-CN" w:bidi="ar-SA"/>
    </w:rPr>
  </w:style>
  <w:style w:type="character" w:customStyle="1" w:styleId="90">
    <w:name w:val="正文文本 Char1"/>
    <w:autoRedefine/>
    <w:semiHidden/>
    <w:qFormat/>
    <w:uiPriority w:val="99"/>
    <w:rPr>
      <w:rFonts w:ascii="Times New Roman" w:hAnsi="Times New Roman" w:eastAsia="宋体" w:cs="Times New Roman"/>
      <w:szCs w:val="24"/>
    </w:rPr>
  </w:style>
  <w:style w:type="character" w:customStyle="1" w:styleId="91">
    <w:name w:val=" Char Char2"/>
    <w:autoRedefine/>
    <w:qFormat/>
    <w:uiPriority w:val="0"/>
    <w:rPr>
      <w:rFonts w:eastAsia="宋体"/>
      <w:kern w:val="2"/>
      <w:sz w:val="21"/>
      <w:szCs w:val="24"/>
      <w:lang w:val="en-US" w:eastAsia="zh-CN" w:bidi="ar-SA"/>
    </w:rPr>
  </w:style>
  <w:style w:type="character" w:customStyle="1" w:styleId="92">
    <w:name w:val="apple-converted-space"/>
    <w:autoRedefine/>
    <w:qFormat/>
    <w:uiPriority w:val="0"/>
  </w:style>
  <w:style w:type="character" w:customStyle="1" w:styleId="93">
    <w:name w:val="标题 4 Char"/>
    <w:link w:val="8"/>
    <w:autoRedefine/>
    <w:qFormat/>
    <w:uiPriority w:val="0"/>
    <w:rPr>
      <w:rFonts w:ascii="Arial" w:hAnsi="Arial" w:eastAsia="黑体" w:cs="Times New Roman"/>
      <w:b/>
      <w:bCs/>
      <w:sz w:val="28"/>
      <w:szCs w:val="28"/>
    </w:rPr>
  </w:style>
  <w:style w:type="character" w:customStyle="1" w:styleId="94">
    <w:name w:val="正文文本缩进 Char1"/>
    <w:autoRedefine/>
    <w:semiHidden/>
    <w:qFormat/>
    <w:uiPriority w:val="99"/>
    <w:rPr>
      <w:rFonts w:ascii="Times New Roman" w:hAnsi="Times New Roman" w:eastAsia="宋体" w:cs="Times New Roman"/>
      <w:szCs w:val="24"/>
    </w:rPr>
  </w:style>
  <w:style w:type="character" w:customStyle="1" w:styleId="95">
    <w:name w:val="页脚 Char"/>
    <w:link w:val="27"/>
    <w:autoRedefine/>
    <w:qFormat/>
    <w:uiPriority w:val="99"/>
    <w:rPr>
      <w:sz w:val="18"/>
      <w:szCs w:val="18"/>
    </w:rPr>
  </w:style>
  <w:style w:type="character" w:customStyle="1" w:styleId="96">
    <w:name w:val=" Char Char7"/>
    <w:autoRedefine/>
    <w:qFormat/>
    <w:uiPriority w:val="0"/>
    <w:rPr>
      <w:rFonts w:ascii="Arial" w:hAnsi="Arial" w:eastAsia="黑体"/>
      <w:b/>
      <w:bCs/>
      <w:kern w:val="2"/>
      <w:sz w:val="32"/>
      <w:szCs w:val="32"/>
      <w:lang w:val="en-US" w:eastAsia="zh-CN" w:bidi="ar-SA"/>
    </w:rPr>
  </w:style>
  <w:style w:type="character" w:customStyle="1" w:styleId="97">
    <w:name w:val="HTML 预设格式 Char"/>
    <w:link w:val="39"/>
    <w:autoRedefine/>
    <w:qFormat/>
    <w:uiPriority w:val="0"/>
    <w:rPr>
      <w:rFonts w:ascii="微软雅黑" w:hAnsi="微软雅黑" w:eastAsia="微软雅黑" w:cs="Times New Roman"/>
      <w:kern w:val="0"/>
      <w:sz w:val="24"/>
      <w:szCs w:val="24"/>
    </w:rPr>
  </w:style>
  <w:style w:type="character" w:customStyle="1" w:styleId="98">
    <w:name w:val="批注文字 Char"/>
    <w:autoRedefine/>
    <w:qFormat/>
    <w:uiPriority w:val="0"/>
    <w:rPr>
      <w:rFonts w:eastAsia="宋体"/>
      <w:kern w:val="2"/>
      <w:sz w:val="21"/>
      <w:szCs w:val="24"/>
      <w:lang w:val="en-US" w:eastAsia="zh-CN" w:bidi="ar-SA"/>
    </w:rPr>
  </w:style>
  <w:style w:type="character" w:customStyle="1" w:styleId="99">
    <w:name w:val="纯文本 Char"/>
    <w:link w:val="23"/>
    <w:autoRedefine/>
    <w:qFormat/>
    <w:uiPriority w:val="99"/>
    <w:rPr>
      <w:rFonts w:ascii="Courier New" w:hAnsi="Courier New"/>
    </w:rPr>
  </w:style>
  <w:style w:type="character" w:customStyle="1" w:styleId="100">
    <w:name w:val="标题 7 Char"/>
    <w:link w:val="10"/>
    <w:autoRedefine/>
    <w:qFormat/>
    <w:uiPriority w:val="0"/>
    <w:rPr>
      <w:rFonts w:ascii="Times New Roman" w:hAnsi="Times New Roman" w:eastAsia="宋体" w:cs="Times New Roman"/>
      <w:b/>
      <w:bCs/>
      <w:kern w:val="0"/>
      <w:sz w:val="24"/>
      <w:szCs w:val="24"/>
    </w:rPr>
  </w:style>
  <w:style w:type="paragraph" w:customStyle="1" w:styleId="101">
    <w:name w:val="样式4"/>
    <w:basedOn w:val="7"/>
    <w:autoRedefine/>
    <w:qFormat/>
    <w:uiPriority w:val="0"/>
    <w:rPr>
      <w:rFonts w:eastAsia="Arial"/>
    </w:rPr>
  </w:style>
  <w:style w:type="paragraph" w:customStyle="1" w:styleId="102">
    <w:name w:val="Normal_95"/>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3">
    <w:name w:val="Normal_67"/>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4">
    <w:name w:val="font10"/>
    <w:basedOn w:val="1"/>
    <w:autoRedefine/>
    <w:qFormat/>
    <w:uiPriority w:val="0"/>
    <w:pPr>
      <w:widowControl/>
      <w:spacing w:before="100" w:beforeAutospacing="1" w:after="100" w:afterAutospacing="1"/>
      <w:jc w:val="left"/>
    </w:pPr>
    <w:rPr>
      <w:kern w:val="0"/>
      <w:sz w:val="28"/>
      <w:szCs w:val="28"/>
    </w:rPr>
  </w:style>
  <w:style w:type="paragraph" w:customStyle="1" w:styleId="105">
    <w:name w:val="Normal_53"/>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6">
    <w:name w:val="Normal_60"/>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7">
    <w:name w:val="样式1"/>
    <w:basedOn w:val="7"/>
    <w:autoRedefine/>
    <w:qFormat/>
    <w:uiPriority w:val="0"/>
    <w:rPr>
      <w:rFonts w:eastAsia="Arial"/>
    </w:rPr>
  </w:style>
  <w:style w:type="paragraph" w:customStyle="1" w:styleId="108">
    <w:name w:val="Normal_250"/>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9">
    <w:name w:val="Normal_57"/>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0">
    <w:name w:val=" Char"/>
    <w:basedOn w:val="1"/>
    <w:autoRedefine/>
    <w:qFormat/>
    <w:uiPriority w:val="0"/>
    <w:pPr>
      <w:tabs>
        <w:tab w:val="left" w:pos="360"/>
      </w:tabs>
    </w:pPr>
    <w:rPr>
      <w:sz w:val="24"/>
    </w:rPr>
  </w:style>
  <w:style w:type="paragraph" w:customStyle="1" w:styleId="111">
    <w:name w:val="Normal_93"/>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2">
    <w:name w:val="表格"/>
    <w:basedOn w:val="1"/>
    <w:autoRedefine/>
    <w:qFormat/>
    <w:uiPriority w:val="0"/>
    <w:pPr>
      <w:jc w:val="center"/>
      <w:textAlignment w:val="center"/>
    </w:pPr>
    <w:rPr>
      <w:rFonts w:ascii="华文细黑" w:hAnsi="华文细黑"/>
      <w:kern w:val="0"/>
      <w:szCs w:val="20"/>
    </w:rPr>
  </w:style>
  <w:style w:type="paragraph" w:customStyle="1" w:styleId="113">
    <w:name w:val="Normal_55"/>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4">
    <w:name w:val="Normal_61"/>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5">
    <w:name w:val="Normal_68"/>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6">
    <w:name w:val="样式 居中 首行缩进:  2 字符"/>
    <w:basedOn w:val="1"/>
    <w:autoRedefine/>
    <w:qFormat/>
    <w:uiPriority w:val="0"/>
    <w:pPr>
      <w:widowControl/>
      <w:spacing w:line="360" w:lineRule="auto"/>
      <w:ind w:firstLine="480" w:firstLineChars="200"/>
      <w:jc w:val="center"/>
    </w:pPr>
    <w:rPr>
      <w:rFonts w:ascii="Calibri" w:hAnsi="Calibri" w:cs="宋体"/>
      <w:kern w:val="0"/>
      <w:szCs w:val="20"/>
      <w:lang w:eastAsia="en-US" w:bidi="en-US"/>
    </w:rPr>
  </w:style>
  <w:style w:type="paragraph" w:customStyle="1" w:styleId="117">
    <w:name w:val="Normal_63"/>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8">
    <w:name w:val="Normal_51"/>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9">
    <w:name w:val="Normal_59"/>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0">
    <w:name w:val="Normal_66"/>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1">
    <w:name w:val="Normal_64"/>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2">
    <w:name w:val="List Paragraph"/>
    <w:basedOn w:val="1"/>
    <w:autoRedefine/>
    <w:qFormat/>
    <w:uiPriority w:val="34"/>
    <w:pPr>
      <w:ind w:firstLine="420" w:firstLineChars="200"/>
    </w:pPr>
    <w:rPr>
      <w:rFonts w:ascii="Calibri" w:hAnsi="Calibri"/>
      <w:szCs w:val="22"/>
    </w:rPr>
  </w:style>
  <w:style w:type="paragraph" w:customStyle="1" w:styleId="123">
    <w:name w:val="样式 标题 2 + Times New Roman 四号 非加粗 段前: 5 磅 段后: 0 磅 行距: 固定值 20..."/>
    <w:basedOn w:val="6"/>
    <w:autoRedefine/>
    <w:qFormat/>
    <w:uiPriority w:val="0"/>
    <w:pPr>
      <w:spacing w:before="100" w:after="0" w:line="400" w:lineRule="exact"/>
    </w:pPr>
    <w:rPr>
      <w:rFonts w:ascii="Times New Roman" w:hAnsi="Times New Roman" w:cs="宋体"/>
      <w:b w:val="0"/>
      <w:bCs w:val="0"/>
      <w:sz w:val="28"/>
      <w:szCs w:val="20"/>
    </w:rPr>
  </w:style>
  <w:style w:type="paragraph" w:customStyle="1" w:styleId="124">
    <w:name w:val="Normal_50"/>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5">
    <w:name w:val="Normal_65"/>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6">
    <w:name w:val="表中"/>
    <w:basedOn w:val="1"/>
    <w:autoRedefine/>
    <w:qFormat/>
    <w:uiPriority w:val="0"/>
    <w:pPr>
      <w:autoSpaceDE w:val="0"/>
      <w:autoSpaceDN w:val="0"/>
      <w:adjustRightInd w:val="0"/>
      <w:spacing w:line="360" w:lineRule="atLeast"/>
      <w:jc w:val="center"/>
    </w:pPr>
    <w:rPr>
      <w:rFonts w:ascii="宋体"/>
      <w:kern w:val="0"/>
      <w:szCs w:val="20"/>
    </w:rPr>
  </w:style>
  <w:style w:type="paragraph" w:customStyle="1" w:styleId="127">
    <w:name w:val="样式 标题 1 + 黑体 三号 非加粗 居中 段前: 6 磅 段后: 6 磅 行距: 固定值 20 磅"/>
    <w:basedOn w:val="5"/>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28">
    <w:name w:val="1"/>
    <w:basedOn w:val="1"/>
    <w:next w:val="1"/>
    <w:autoRedefine/>
    <w:qFormat/>
    <w:uiPriority w:val="0"/>
  </w:style>
  <w:style w:type="paragraph" w:customStyle="1" w:styleId="129">
    <w:name w:val="Normal_58"/>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0">
    <w:name w:val="Normal_56"/>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1">
    <w:name w:val="规范文本"/>
    <w:basedOn w:val="23"/>
    <w:autoRedefine/>
    <w:qFormat/>
    <w:uiPriority w:val="0"/>
    <w:pPr>
      <w:adjustRightInd w:val="0"/>
      <w:snapToGrid w:val="0"/>
      <w:spacing w:line="360" w:lineRule="exact"/>
      <w:ind w:firstLine="420"/>
    </w:pPr>
    <w:rPr>
      <w:rFonts w:ascii="宋体"/>
      <w:snapToGrid w:val="0"/>
      <w:szCs w:val="21"/>
    </w:rPr>
  </w:style>
  <w:style w:type="paragraph" w:customStyle="1" w:styleId="132">
    <w:name w:val="样式 标题 2 + Times New Roman 四号 非加粗 行距: 单倍行距"/>
    <w:basedOn w:val="6"/>
    <w:autoRedefine/>
    <w:qFormat/>
    <w:uiPriority w:val="0"/>
    <w:pPr>
      <w:spacing w:before="0" w:after="0" w:line="240" w:lineRule="auto"/>
      <w:jc w:val="center"/>
    </w:pPr>
    <w:rPr>
      <w:rFonts w:ascii="宋体" w:hAnsi="宋体" w:eastAsia="宋体"/>
      <w:bCs w:val="0"/>
      <w:color w:val="000000"/>
      <w:kern w:val="44"/>
      <w:sz w:val="28"/>
      <w:szCs w:val="28"/>
    </w:rPr>
  </w:style>
  <w:style w:type="paragraph" w:customStyle="1" w:styleId="133">
    <w:name w:val="节"/>
    <w:basedOn w:val="23"/>
    <w:autoRedefine/>
    <w:qFormat/>
    <w:uiPriority w:val="0"/>
    <w:pPr>
      <w:adjustRightInd w:val="0"/>
      <w:snapToGrid w:val="0"/>
      <w:spacing w:before="600" w:after="600"/>
      <w:jc w:val="center"/>
      <w:outlineLvl w:val="2"/>
    </w:pPr>
    <w:rPr>
      <w:rFonts w:ascii="黑体" w:eastAsia="黑体"/>
      <w:snapToGrid w:val="0"/>
      <w:w w:val="90"/>
      <w:sz w:val="32"/>
    </w:rPr>
  </w:style>
  <w:style w:type="paragraph" w:customStyle="1" w:styleId="134">
    <w:name w:val="Normal_82"/>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5">
    <w:name w:val="样式3"/>
    <w:basedOn w:val="7"/>
    <w:autoRedefine/>
    <w:qFormat/>
    <w:uiPriority w:val="0"/>
    <w:rPr>
      <w:rFonts w:eastAsia="Arial"/>
    </w:rPr>
  </w:style>
  <w:style w:type="paragraph" w:customStyle="1" w:styleId="136">
    <w:name w:val="Normal_96"/>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7">
    <w:name w:val="Normal_52"/>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8">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9">
    <w:name w:val="Normal_92"/>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0">
    <w:name w:val="正文文本 (15)"/>
    <w:basedOn w:val="1"/>
    <w:autoRedefine/>
    <w:qFormat/>
    <w:uiPriority w:val="0"/>
    <w:pPr>
      <w:shd w:val="clear" w:color="auto" w:fill="FFFFFF"/>
      <w:spacing w:line="0" w:lineRule="atLeast"/>
      <w:jc w:val="left"/>
    </w:pPr>
    <w:rPr>
      <w:rFonts w:ascii="MingLiU" w:hAnsi="MingLiU" w:eastAsia="MingLiU"/>
      <w:spacing w:val="10"/>
      <w:kern w:val="0"/>
      <w:sz w:val="19"/>
      <w:szCs w:val="19"/>
    </w:rPr>
  </w:style>
  <w:style w:type="paragraph" w:customStyle="1" w:styleId="141">
    <w:name w:val="Normal_94"/>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2">
    <w:name w:val="Normal_48"/>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3">
    <w:name w:val="正文文本 (2)"/>
    <w:basedOn w:val="1"/>
    <w:autoRedefine/>
    <w:qFormat/>
    <w:uiPriority w:val="0"/>
    <w:pPr>
      <w:shd w:val="clear" w:color="auto" w:fill="FFFFFF"/>
      <w:spacing w:before="300" w:line="439" w:lineRule="exact"/>
      <w:jc w:val="distribute"/>
    </w:pPr>
    <w:rPr>
      <w:rFonts w:ascii="MingLiU" w:hAnsi="MingLiU" w:eastAsia="MingLiU"/>
      <w:kern w:val="0"/>
      <w:sz w:val="22"/>
      <w:szCs w:val="22"/>
    </w:rPr>
  </w:style>
  <w:style w:type="paragraph" w:customStyle="1" w:styleId="144">
    <w:name w:val="设计说明2"/>
    <w:basedOn w:val="1"/>
    <w:autoRedefine/>
    <w:qFormat/>
    <w:uiPriority w:val="0"/>
    <w:pPr>
      <w:numPr>
        <w:ilvl w:val="1"/>
        <w:numId w:val="1"/>
      </w:numPr>
      <w:tabs>
        <w:tab w:val="left" w:pos="630"/>
      </w:tabs>
      <w:spacing w:before="120" w:after="120" w:line="400" w:lineRule="exact"/>
      <w:jc w:val="left"/>
      <w:outlineLvl w:val="1"/>
    </w:pPr>
    <w:rPr>
      <w:rFonts w:ascii="新宋体" w:hAnsi="新宋体"/>
      <w:b/>
      <w:sz w:val="28"/>
      <w:szCs w:val="20"/>
    </w:rPr>
  </w:style>
  <w:style w:type="paragraph" w:customStyle="1" w:styleId="145">
    <w:name w:val="Normal_62"/>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6">
    <w:name w:val="样式 宋体 左 首行缩进:  2 字符"/>
    <w:basedOn w:val="1"/>
    <w:autoRedefine/>
    <w:qFormat/>
    <w:uiPriority w:val="0"/>
    <w:pPr>
      <w:widowControl/>
      <w:spacing w:line="360" w:lineRule="auto"/>
      <w:ind w:firstLine="200" w:firstLineChars="200"/>
    </w:pPr>
    <w:rPr>
      <w:rFonts w:cs="宋体"/>
      <w:kern w:val="0"/>
      <w:szCs w:val="20"/>
      <w:lang w:eastAsia="en-US" w:bidi="en-US"/>
    </w:rPr>
  </w:style>
  <w:style w:type="paragraph" w:customStyle="1" w:styleId="147">
    <w:name w:val="Normal_54"/>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8">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49">
    <w:name w:val="第二"/>
    <w:basedOn w:val="1"/>
    <w:autoRedefine/>
    <w:qFormat/>
    <w:uiPriority w:val="0"/>
    <w:pPr>
      <w:adjustRightInd w:val="0"/>
      <w:snapToGrid w:val="0"/>
      <w:spacing w:line="360" w:lineRule="auto"/>
      <w:ind w:right="-108" w:rightChars="-45" w:firstLine="482"/>
    </w:pPr>
    <w:rPr>
      <w:b/>
    </w:rPr>
  </w:style>
  <w:style w:type="paragraph" w:customStyle="1" w:styleId="150">
    <w:name w:val="样式 标题 3 + (中文) 黑体 小四 非加粗 段前: 7.8 磅 段后: 0 磅 行距: 固定值 20 磅"/>
    <w:basedOn w:val="7"/>
    <w:autoRedefine/>
    <w:qFormat/>
    <w:uiPriority w:val="0"/>
    <w:pPr>
      <w:spacing w:before="0" w:after="0" w:line="400" w:lineRule="exact"/>
    </w:pPr>
    <w:rPr>
      <w:rFonts w:eastAsia="黑体" w:cs="宋体"/>
      <w:b w:val="0"/>
      <w:bCs w:val="0"/>
      <w:sz w:val="24"/>
      <w:szCs w:val="20"/>
    </w:rPr>
  </w:style>
  <w:style w:type="paragraph" w:customStyle="1" w:styleId="15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2">
    <w:name w:val="xl27"/>
    <w:basedOn w:val="1"/>
    <w:autoRedefine/>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53">
    <w:name w:val="内容"/>
    <w:basedOn w:val="1"/>
    <w:autoRedefine/>
    <w:qFormat/>
    <w:uiPriority w:val="0"/>
    <w:pPr>
      <w:spacing w:line="480" w:lineRule="exact"/>
      <w:ind w:firstLine="200" w:firstLineChars="200"/>
    </w:pPr>
  </w:style>
  <w:style w:type="paragraph" w:customStyle="1" w:styleId="154">
    <w:name w:val="正文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5">
    <w:name w:val="Normal_49"/>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6">
    <w:name w:val="列出段落1"/>
    <w:basedOn w:val="1"/>
    <w:autoRedefine/>
    <w:qFormat/>
    <w:uiPriority w:val="99"/>
    <w:pPr>
      <w:ind w:firstLine="420" w:firstLineChars="200"/>
    </w:pPr>
  </w:style>
  <w:style w:type="paragraph" w:customStyle="1" w:styleId="157">
    <w:name w:val="Normal_47"/>
    <w:autoRedefine/>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8">
    <w:name w:val="表格文字"/>
    <w:basedOn w:val="1"/>
    <w:autoRedefine/>
    <w:qFormat/>
    <w:uiPriority w:val="0"/>
    <w:pPr>
      <w:adjustRightInd w:val="0"/>
      <w:spacing w:line="420" w:lineRule="atLeast"/>
      <w:jc w:val="left"/>
      <w:textAlignment w:val="baseline"/>
    </w:pPr>
    <w:rPr>
      <w:kern w:val="0"/>
      <w:szCs w:val="20"/>
    </w:rPr>
  </w:style>
  <w:style w:type="paragraph" w:customStyle="1" w:styleId="159">
    <w:name w:val="须知内容"/>
    <w:autoRedefine/>
    <w:qFormat/>
    <w:uiPriority w:val="0"/>
    <w:pPr>
      <w:tabs>
        <w:tab w:val="left" w:pos="5140"/>
        <w:tab w:val="left" w:pos="8520"/>
      </w:tabs>
      <w:adjustRightInd w:val="0"/>
      <w:snapToGrid w:val="0"/>
      <w:spacing w:line="320" w:lineRule="atLeast"/>
    </w:pPr>
    <w:rPr>
      <w:rFonts w:ascii="仿宋_GB2312" w:hAnsi="宋体" w:eastAsia="仿宋_GB2312" w:cs="Times New Roman"/>
      <w:kern w:val="2"/>
      <w:sz w:val="21"/>
      <w:szCs w:val="21"/>
      <w:lang w:val="en-US" w:eastAsia="zh-CN" w:bidi="ar-SA"/>
    </w:rPr>
  </w:style>
  <w:style w:type="paragraph" w:customStyle="1" w:styleId="160">
    <w:name w:val="样式2"/>
    <w:basedOn w:val="7"/>
    <w:autoRedefine/>
    <w:qFormat/>
    <w:uiPriority w:val="0"/>
  </w:style>
  <w:style w:type="character" w:customStyle="1" w:styleId="161">
    <w:name w:val="after"/>
    <w:basedOn w:val="47"/>
    <w:autoRedefine/>
    <w:qFormat/>
    <w:uiPriority w:val="0"/>
    <w:rPr>
      <w:bdr w:val="dashed" w:color="auto" w:sz="48" w:space="0"/>
    </w:rPr>
  </w:style>
  <w:style w:type="character" w:customStyle="1" w:styleId="162">
    <w:name w:val="before"/>
    <w:basedOn w:val="47"/>
    <w:autoRedefine/>
    <w:qFormat/>
    <w:uiPriority w:val="0"/>
    <w:rPr>
      <w:bdr w:val="single" w:color="auto" w:sz="48" w:space="0"/>
    </w:rPr>
  </w:style>
  <w:style w:type="character" w:customStyle="1" w:styleId="163">
    <w:name w:val="hover48"/>
    <w:basedOn w:val="47"/>
    <w:autoRedefine/>
    <w:qFormat/>
    <w:uiPriority w:val="0"/>
    <w:rPr>
      <w:shd w:val="clear" w:fill="346AC3"/>
    </w:rPr>
  </w:style>
  <w:style w:type="character" w:customStyle="1" w:styleId="164">
    <w:name w:val="hover49"/>
    <w:basedOn w:val="47"/>
    <w:autoRedefine/>
    <w:qFormat/>
    <w:uiPriority w:val="0"/>
  </w:style>
  <w:style w:type="character" w:customStyle="1" w:styleId="165">
    <w:name w:val="hover50"/>
    <w:basedOn w:val="47"/>
    <w:autoRedefine/>
    <w:qFormat/>
    <w:uiPriority w:val="0"/>
    <w:rPr>
      <w:color w:val="4285F4"/>
      <w:u w:val="none"/>
    </w:rPr>
  </w:style>
  <w:style w:type="character" w:customStyle="1" w:styleId="166">
    <w:name w:val="hover51"/>
    <w:basedOn w:val="47"/>
    <w:autoRedefine/>
    <w:qFormat/>
    <w:uiPriority w:val="0"/>
    <w:rPr>
      <w:color w:val="4285F4"/>
    </w:rPr>
  </w:style>
  <w:style w:type="character" w:customStyle="1" w:styleId="167">
    <w:name w:val="hover52"/>
    <w:basedOn w:val="47"/>
    <w:autoRedefine/>
    <w:qFormat/>
    <w:uiPriority w:val="0"/>
    <w:rPr>
      <w:color w:val="1A85D7"/>
    </w:rPr>
  </w:style>
  <w:style w:type="character" w:customStyle="1" w:styleId="168">
    <w:name w:val="credit"/>
    <w:basedOn w:val="47"/>
    <w:autoRedefine/>
    <w:qFormat/>
    <w:uiPriority w:val="0"/>
    <w:rPr>
      <w:sz w:val="18"/>
      <w:szCs w:val="18"/>
    </w:rPr>
  </w:style>
  <w:style w:type="character" w:customStyle="1" w:styleId="169">
    <w:name w:val="first-child"/>
    <w:basedOn w:val="47"/>
    <w:autoRedefine/>
    <w:qFormat/>
    <w:uiPriority w:val="0"/>
  </w:style>
  <w:style w:type="character" w:customStyle="1" w:styleId="170">
    <w:name w:val="font31"/>
    <w:basedOn w:val="47"/>
    <w:autoRedefine/>
    <w:qFormat/>
    <w:uiPriority w:val="0"/>
    <w:rPr>
      <w:rFonts w:hint="eastAsia" w:ascii="宋体" w:hAnsi="宋体" w:eastAsia="宋体" w:cs="宋体"/>
      <w:color w:val="000000"/>
      <w:sz w:val="24"/>
      <w:szCs w:val="24"/>
      <w:u w:val="none"/>
    </w:rPr>
  </w:style>
  <w:style w:type="paragraph" w:customStyle="1" w:styleId="171">
    <w:name w:val="样式 + 首行缩进: 2 字符"/>
    <w:basedOn w:val="1"/>
    <w:autoRedefine/>
    <w:qFormat/>
    <w:uiPriority w:val="0"/>
    <w:pPr>
      <w:keepNext w:val="0"/>
      <w:keepLines w:val="0"/>
      <w:widowControl w:val="0"/>
      <w:suppressLineNumbers w:val="0"/>
      <w:adjustRightInd w:val="0"/>
      <w:spacing w:before="0" w:beforeAutospacing="0" w:after="0" w:afterAutospacing="0" w:line="360" w:lineRule="auto"/>
      <w:ind w:left="0" w:right="0" w:firstLine="524" w:firstLineChars="200"/>
      <w:jc w:val="both"/>
    </w:pPr>
    <w:rPr>
      <w:rFonts w:hint="eastAsia" w:ascii="宋体" w:hAnsi="宋体" w:eastAsia="宋体" w:cs="Calibri"/>
      <w:spacing w:val="11"/>
      <w:kern w:val="0"/>
      <w:sz w:val="24"/>
      <w:szCs w:val="24"/>
      <w:lang w:val="en-US" w:eastAsia="zh-CN" w:bidi="ar"/>
    </w:rPr>
  </w:style>
  <w:style w:type="paragraph" w:customStyle="1" w:styleId="172">
    <w:name w:val="表格内正文，无编号"/>
    <w:basedOn w:val="1"/>
    <w:autoRedefine/>
    <w:qFormat/>
    <w:uiPriority w:val="0"/>
    <w:pPr>
      <w:spacing w:line="400" w:lineRule="exact"/>
      <w:ind w:firstLine="643" w:firstLineChars="200"/>
    </w:pPr>
  </w:style>
  <w:style w:type="paragraph" w:customStyle="1" w:styleId="173">
    <w:name w:val="*正文"/>
    <w:basedOn w:val="1"/>
    <w:autoRedefine/>
    <w:qFormat/>
    <w:uiPriority w:val="0"/>
    <w:pPr>
      <w:widowControl/>
      <w:ind w:firstLine="200" w:firstLineChars="200"/>
    </w:pPr>
    <w:rPr>
      <w:rFonts w:ascii="仿宋_GB2312" w:eastAsia="仿宋_GB2312" w:cstheme="minorBidi"/>
      <w:sz w:val="24"/>
      <w:szCs w:val="28"/>
    </w:rPr>
  </w:style>
  <w:style w:type="paragraph" w:customStyle="1" w:styleId="174">
    <w:name w:val="表体"/>
    <w:basedOn w:val="1"/>
    <w:next w:val="1"/>
    <w:autoRedefine/>
    <w:qFormat/>
    <w:uiPriority w:val="0"/>
    <w:pPr>
      <w:snapToGrid w:val="0"/>
      <w:spacing w:line="0" w:lineRule="atLeast"/>
    </w:pPr>
    <w:rPr>
      <w:b/>
      <w:szCs w:val="20"/>
    </w:rPr>
  </w:style>
  <w:style w:type="character" w:customStyle="1" w:styleId="175">
    <w:name w:val="标题 1 字符"/>
    <w:link w:val="5"/>
    <w:autoRedefine/>
    <w:qFormat/>
    <w:uiPriority w:val="0"/>
    <w:rPr>
      <w:rFonts w:ascii="Times New Roman" w:hAnsi="Times New Roman" w:eastAsia="宋体" w:cs="Times New Roman"/>
      <w:b/>
      <w:bCs/>
      <w:kern w:val="44"/>
      <w:sz w:val="44"/>
      <w:szCs w:val="44"/>
    </w:rPr>
  </w:style>
  <w:style w:type="character" w:customStyle="1" w:styleId="176">
    <w:name w:val="标题 2 字符"/>
    <w:link w:val="6"/>
    <w:autoRedefine/>
    <w:qFormat/>
    <w:uiPriority w:val="0"/>
    <w:rPr>
      <w:rFonts w:ascii="Arial" w:hAnsi="Arial" w:eastAsia="黑体" w:cs="Times New Roman"/>
      <w:b/>
      <w:bCs/>
      <w:sz w:val="32"/>
      <w:szCs w:val="32"/>
    </w:rPr>
  </w:style>
  <w:style w:type="character" w:customStyle="1" w:styleId="177">
    <w:name w:val="font21"/>
    <w:basedOn w:val="47"/>
    <w:autoRedefine/>
    <w:qFormat/>
    <w:uiPriority w:val="0"/>
    <w:rPr>
      <w:rFonts w:hint="eastAsia" w:ascii="宋体" w:hAnsi="宋体" w:eastAsia="宋体" w:cs="宋体"/>
      <w:b/>
      <w:bCs/>
      <w:color w:val="000000"/>
      <w:sz w:val="22"/>
      <w:szCs w:val="22"/>
      <w:u w:val="none"/>
    </w:rPr>
  </w:style>
  <w:style w:type="paragraph" w:customStyle="1" w:styleId="178">
    <w:name w:val="Table Paragraph"/>
    <w:basedOn w:val="1"/>
    <w:autoRedefine/>
    <w:qFormat/>
    <w:uiPriority w:val="1"/>
  </w:style>
  <w:style w:type="paragraph" w:customStyle="1" w:styleId="179">
    <w:name w:val="样式 WG标题3 + 行距: 固定值 18 磅"/>
    <w:basedOn w:val="1"/>
    <w:autoRedefine/>
    <w:qFormat/>
    <w:uiPriority w:val="0"/>
    <w:pPr>
      <w:autoSpaceDE w:val="0"/>
      <w:autoSpaceDN w:val="0"/>
      <w:adjustRightInd w:val="0"/>
      <w:spacing w:line="360" w:lineRule="exact"/>
      <w:textAlignment w:val="baseline"/>
      <w:outlineLvl w:val="2"/>
    </w:pPr>
    <w:rPr>
      <w:rFonts w:ascii="宋体" w:hAnsi="宋体" w:eastAsia="宋体" w:cs="宋体"/>
      <w:b/>
      <w:bCs/>
      <w:color w:val="000000"/>
      <w:kern w:val="20"/>
      <w:szCs w:val="20"/>
    </w:rPr>
  </w:style>
  <w:style w:type="paragraph" w:customStyle="1" w:styleId="180">
    <w:name w:val="表格文字中"/>
    <w:basedOn w:val="1"/>
    <w:autoRedefine/>
    <w:qFormat/>
    <w:uiPriority w:val="0"/>
    <w:pPr>
      <w:adjustRightInd w:val="0"/>
      <w:snapToGrid w:val="0"/>
      <w:jc w:val="center"/>
    </w:pPr>
    <w:rPr>
      <w:rFonts w:ascii="Times New Roman" w:hAnsi="Times New Roman" w:eastAsia="仿宋_GB2312" w:cs="Times New Roman"/>
    </w:rPr>
  </w:style>
  <w:style w:type="paragraph" w:customStyle="1" w:styleId="181">
    <w:name w:val="表注"/>
    <w:basedOn w:val="1"/>
    <w:autoRedefine/>
    <w:qFormat/>
    <w:uiPriority w:val="0"/>
    <w:pPr>
      <w:adjustRightInd w:val="0"/>
      <w:snapToGrid w:val="0"/>
      <w:spacing w:beforeLines="50" w:line="300" w:lineRule="auto"/>
      <w:ind w:left="200" w:hanging="200" w:hangingChars="200"/>
    </w:pPr>
    <w:rPr>
      <w:rFonts w:ascii="Times New Roman" w:hAnsi="Times New Roman" w:eastAsia="仿宋_GB2312" w:cs="Times New Roman"/>
      <w:bCs/>
      <w:color w:val="000000"/>
    </w:rPr>
  </w:style>
  <w:style w:type="paragraph" w:customStyle="1" w:styleId="182">
    <w:name w:val="表注1"/>
    <w:basedOn w:val="1"/>
    <w:autoRedefine/>
    <w:qFormat/>
    <w:uiPriority w:val="0"/>
    <w:pPr>
      <w:adjustRightInd w:val="0"/>
      <w:snapToGrid w:val="0"/>
      <w:spacing w:beforeLines="50" w:line="300" w:lineRule="auto"/>
      <w:ind w:left="350" w:hanging="350" w:hangingChars="350"/>
    </w:pPr>
    <w:rPr>
      <w:rFonts w:ascii="Times New Roman" w:hAnsi="Times New Roman" w:eastAsia="仿宋_GB2312" w:cs="Times New Roman"/>
      <w:bCs/>
      <w:color w:val="00000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34</Pages>
  <Words>14421</Words>
  <Characters>15534</Characters>
  <Lines>397</Lines>
  <Paragraphs>112</Paragraphs>
  <TotalTime>91</TotalTime>
  <ScaleCrop>false</ScaleCrop>
  <LinksUpToDate>false</LinksUpToDate>
  <CharactersWithSpaces>16684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2020-04-29T16:16:00Z</dcterms:created>
  <dc:creator>陈桂兰</dc:creator>
  <cp:lastModifiedBy>♂杰♂</cp:lastModifiedBy>
  <cp:lastPrinted>2022-06-07T02:51:00Z</cp:lastPrinted>
  <dcterms:modified xsi:type="dcterms:W3CDTF">2024-03-12T10:37:27Z</dcterms:modified>
  <dc:title>项目名称：2019年重庆市取消高速公路省界收费站项目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CA9229BF7F204DA08DD95BC61990121B</vt:lpwstr>
  </property>
</Properties>
</file>