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bookmarkStart w:id="9" w:name="_GoBack"/>
      <w:bookmarkEnd w:id="9"/>
      <w:r>
        <w:rPr>
          <w:rFonts w:hint="eastAsia"/>
          <w:sz w:val="44"/>
          <w:szCs w:val="44"/>
        </w:rPr>
        <w:t>附件：</w:t>
      </w:r>
    </w:p>
    <w:p>
      <w:r>
        <w:rPr>
          <w:rFonts w:hint="eastAsia"/>
        </w:rPr>
        <w:t xml:space="preserve"> </w:t>
      </w:r>
    </w:p>
    <w:p>
      <w:pPr>
        <w:jc w:val="center"/>
        <w:rPr>
          <w:sz w:val="36"/>
          <w:szCs w:val="36"/>
        </w:rPr>
      </w:pPr>
      <w:r>
        <w:rPr>
          <w:rFonts w:hint="eastAsia"/>
          <w:sz w:val="36"/>
          <w:szCs w:val="36"/>
          <w:lang w:val="en-US" w:eastAsia="zh-CN"/>
        </w:rPr>
        <w:t>重庆美术馆美术培训合作项目</w:t>
      </w:r>
      <w:r>
        <w:rPr>
          <w:rFonts w:hint="eastAsia"/>
          <w:sz w:val="36"/>
          <w:szCs w:val="36"/>
        </w:rPr>
        <w:t>公告</w:t>
      </w:r>
    </w:p>
    <w:p/>
    <w:p>
      <w:pPr>
        <w:pStyle w:val="8"/>
        <w:numPr>
          <w:ilvl w:val="0"/>
          <w:numId w:val="0"/>
        </w:numPr>
        <w:ind w:leftChars="0"/>
        <w:rPr>
          <w:sz w:val="28"/>
          <w:szCs w:val="28"/>
        </w:rPr>
      </w:pPr>
      <w:r>
        <w:rPr>
          <w:rFonts w:hint="eastAsia"/>
          <w:sz w:val="28"/>
          <w:szCs w:val="28"/>
          <w:lang w:eastAsia="zh-CN"/>
        </w:rPr>
        <w:t>一、</w:t>
      </w:r>
      <w:r>
        <w:rPr>
          <w:rFonts w:hint="eastAsia"/>
          <w:sz w:val="28"/>
          <w:szCs w:val="28"/>
        </w:rPr>
        <w:t>项目详情概况</w:t>
      </w:r>
    </w:p>
    <w:tbl>
      <w:tblPr>
        <w:tblStyle w:val="7"/>
        <w:tblW w:w="8522" w:type="dxa"/>
        <w:jc w:val="center"/>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47"/>
        <w:gridCol w:w="782"/>
        <w:gridCol w:w="518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68" w:type="dxa"/>
            <w:vAlign w:val="center"/>
          </w:tcPr>
          <w:p>
            <w:pPr>
              <w:pStyle w:val="5"/>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18"/>
                <w:szCs w:val="18"/>
              </w:rPr>
              <w:t>序号</w:t>
            </w:r>
          </w:p>
        </w:tc>
        <w:tc>
          <w:tcPr>
            <w:tcW w:w="847" w:type="dxa"/>
            <w:vAlign w:val="center"/>
          </w:tcPr>
          <w:p>
            <w:pPr>
              <w:pStyle w:val="5"/>
              <w:spacing w:line="240" w:lineRule="atLeast"/>
              <w:ind w:left="0"/>
              <w:jc w:val="center"/>
              <w:outlineLvl w:val="0"/>
              <w:rPr>
                <w:rFonts w:hint="eastAsia" w:ascii="方正仿宋_GBK" w:hAnsi="宋体" w:eastAsia="方正仿宋_GBK"/>
                <w:b/>
                <w:sz w:val="18"/>
                <w:szCs w:val="18"/>
              </w:rPr>
            </w:pPr>
            <w:r>
              <w:rPr>
                <w:rFonts w:hint="eastAsia" w:ascii="方正仿宋_GBK" w:hAnsi="宋体" w:eastAsia="方正仿宋_GBK"/>
                <w:b/>
                <w:sz w:val="18"/>
                <w:szCs w:val="18"/>
              </w:rPr>
              <w:t>项目</w:t>
            </w:r>
          </w:p>
          <w:p>
            <w:pPr>
              <w:pStyle w:val="5"/>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18"/>
                <w:szCs w:val="18"/>
              </w:rPr>
              <w:t>名称</w:t>
            </w:r>
          </w:p>
        </w:tc>
        <w:tc>
          <w:tcPr>
            <w:tcW w:w="782" w:type="dxa"/>
            <w:vAlign w:val="center"/>
          </w:tcPr>
          <w:p>
            <w:pPr>
              <w:pStyle w:val="5"/>
              <w:spacing w:line="240" w:lineRule="atLeast"/>
              <w:ind w:left="0"/>
              <w:jc w:val="center"/>
              <w:outlineLvl w:val="0"/>
              <w:rPr>
                <w:rFonts w:hint="eastAsia" w:ascii="方正仿宋_GBK" w:hAnsi="宋体" w:eastAsia="方正仿宋_GBK"/>
                <w:b/>
                <w:sz w:val="21"/>
                <w:szCs w:val="21"/>
                <w:lang w:eastAsia="zh-CN"/>
              </w:rPr>
            </w:pPr>
            <w:r>
              <w:rPr>
                <w:rFonts w:hint="eastAsia" w:ascii="方正仿宋_GBK" w:hAnsi="宋体" w:eastAsia="方正仿宋_GBK"/>
                <w:b/>
                <w:sz w:val="18"/>
                <w:szCs w:val="18"/>
                <w:lang w:eastAsia="zh-CN"/>
              </w:rPr>
              <w:t>服务期</w:t>
            </w:r>
          </w:p>
        </w:tc>
        <w:tc>
          <w:tcPr>
            <w:tcW w:w="5185" w:type="dxa"/>
            <w:vAlign w:val="center"/>
          </w:tcPr>
          <w:p>
            <w:pPr>
              <w:pStyle w:val="5"/>
              <w:spacing w:line="240" w:lineRule="atLeast"/>
              <w:ind w:left="0"/>
              <w:jc w:val="center"/>
              <w:outlineLvl w:val="0"/>
              <w:rPr>
                <w:rFonts w:hint="eastAsia" w:ascii="方正仿宋_GBK" w:hAnsi="宋体" w:eastAsia="方正仿宋_GBK"/>
                <w:b/>
                <w:sz w:val="18"/>
                <w:szCs w:val="18"/>
                <w:lang w:eastAsia="zh-CN"/>
              </w:rPr>
            </w:pPr>
            <w:r>
              <w:rPr>
                <w:rFonts w:hint="eastAsia" w:ascii="方正仿宋_GBK" w:hAnsi="宋体" w:eastAsia="方正仿宋_GBK"/>
                <w:b/>
                <w:sz w:val="18"/>
                <w:szCs w:val="18"/>
                <w:lang w:eastAsia="zh-CN"/>
              </w:rPr>
              <w:t>谈判需求</w:t>
            </w:r>
          </w:p>
        </w:tc>
        <w:tc>
          <w:tcPr>
            <w:tcW w:w="1240" w:type="dxa"/>
            <w:vAlign w:val="center"/>
          </w:tcPr>
          <w:p>
            <w:pPr>
              <w:pStyle w:val="5"/>
              <w:spacing w:line="240" w:lineRule="atLeast"/>
              <w:ind w:left="0"/>
              <w:jc w:val="center"/>
              <w:outlineLvl w:val="0"/>
              <w:rPr>
                <w:rFonts w:hint="eastAsia" w:ascii="方正仿宋_GBK" w:hAnsi="宋体" w:eastAsia="方正仿宋_GBK"/>
                <w:b/>
                <w:sz w:val="18"/>
                <w:szCs w:val="18"/>
                <w:lang w:eastAsia="zh-CN"/>
              </w:rPr>
            </w:pPr>
            <w:r>
              <w:rPr>
                <w:rFonts w:hint="eastAsia" w:ascii="方正仿宋_GBK" w:hAnsi="宋体" w:eastAsia="方正仿宋_GBK"/>
                <w:b/>
                <w:sz w:val="18"/>
                <w:szCs w:val="18"/>
                <w:lang w:eastAsia="zh-CN"/>
              </w:rPr>
              <w:t>费用要求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468" w:type="dxa"/>
            <w:vAlign w:val="center"/>
          </w:tcPr>
          <w:p>
            <w:pPr>
              <w:pStyle w:val="4"/>
              <w:spacing w:line="240" w:lineRule="atLeast"/>
              <w:ind w:firstLine="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847" w:type="dxa"/>
            <w:vAlign w:val="center"/>
          </w:tcPr>
          <w:p>
            <w:pPr>
              <w:pStyle w:val="5"/>
              <w:spacing w:line="240" w:lineRule="atLeast"/>
              <w:ind w:left="0"/>
              <w:jc w:val="center"/>
              <w:outlineLvl w:val="0"/>
              <w:rPr>
                <w:rFonts w:ascii="方正仿宋_GBK" w:hAnsi="宋体" w:eastAsia="方正仿宋_GBK"/>
                <w:sz w:val="21"/>
                <w:szCs w:val="21"/>
              </w:rPr>
            </w:pPr>
            <w:r>
              <w:rPr>
                <w:rFonts w:hint="eastAsia" w:ascii="Calibri" w:hAnsi="Calibri" w:eastAsia="宋体" w:cs="Times New Roman"/>
                <w:kern w:val="2"/>
                <w:sz w:val="21"/>
                <w:szCs w:val="21"/>
                <w:lang w:val="en-US" w:eastAsia="zh-CN" w:bidi="ar-SA"/>
              </w:rPr>
              <w:t>重庆美术馆美术培训合作项目</w:t>
            </w:r>
          </w:p>
        </w:tc>
        <w:tc>
          <w:tcPr>
            <w:tcW w:w="782" w:type="dxa"/>
          </w:tcPr>
          <w:p>
            <w:pPr>
              <w:pStyle w:val="4"/>
              <w:spacing w:line="400" w:lineRule="exact"/>
              <w:ind w:firstLine="0"/>
              <w:outlineLvl w:val="0"/>
              <w:rPr>
                <w:rFonts w:hint="eastAsia" w:ascii="方正仿宋_GBK" w:hAnsi="宋体" w:eastAsia="方正仿宋_GBK"/>
                <w:sz w:val="21"/>
                <w:szCs w:val="21"/>
              </w:rPr>
            </w:pPr>
          </w:p>
          <w:p>
            <w:pPr>
              <w:rPr>
                <w:rFonts w:hint="eastAsia" w:ascii="方正仿宋_GBK" w:hAnsi="宋体" w:eastAsia="方正仿宋_GBK"/>
                <w:sz w:val="21"/>
                <w:szCs w:val="21"/>
              </w:rPr>
            </w:pPr>
          </w:p>
          <w:p>
            <w:pPr>
              <w:jc w:val="center"/>
              <w:rPr>
                <w:rFonts w:hint="eastAsia" w:ascii="方正仿宋_GBK" w:hAnsi="宋体" w:eastAsia="方正仿宋_GBK"/>
                <w:sz w:val="21"/>
                <w:szCs w:val="21"/>
                <w:lang w:eastAsia="zh-CN"/>
              </w:rPr>
            </w:pPr>
          </w:p>
          <w:p>
            <w:pPr>
              <w:jc w:val="center"/>
              <w:rPr>
                <w:rFonts w:hint="eastAsia" w:ascii="方正仿宋_GBK" w:hAnsi="宋体" w:eastAsia="方正仿宋_GBK"/>
                <w:sz w:val="21"/>
                <w:szCs w:val="21"/>
                <w:lang w:eastAsia="zh-CN"/>
              </w:rPr>
            </w:pPr>
          </w:p>
          <w:p>
            <w:pPr>
              <w:jc w:val="center"/>
              <w:rPr>
                <w:rFonts w:hint="eastAsia" w:ascii="方正仿宋_GBK" w:hAnsi="宋体" w:eastAsia="方正仿宋_GBK"/>
                <w:sz w:val="21"/>
                <w:szCs w:val="21"/>
                <w:lang w:eastAsia="zh-CN"/>
              </w:rPr>
            </w:pPr>
          </w:p>
          <w:p>
            <w:pPr>
              <w:jc w:val="center"/>
              <w:rPr>
                <w:rFonts w:hint="eastAsia" w:ascii="方正仿宋_GBK" w:hAnsi="宋体" w:eastAsia="方正仿宋_GBK"/>
                <w:sz w:val="21"/>
                <w:szCs w:val="21"/>
                <w:lang w:eastAsia="zh-CN"/>
              </w:rPr>
            </w:pPr>
          </w:p>
          <w:p>
            <w:pPr>
              <w:jc w:val="center"/>
              <w:rPr>
                <w:rFonts w:hint="eastAsia" w:ascii="方正仿宋_GBK" w:hAnsi="宋体" w:eastAsia="方正仿宋_GBK"/>
                <w:sz w:val="21"/>
                <w:szCs w:val="21"/>
                <w:lang w:eastAsia="zh-CN"/>
              </w:rPr>
            </w:pPr>
          </w:p>
          <w:p>
            <w:pPr>
              <w:jc w:val="center"/>
              <w:rPr>
                <w:rFonts w:hint="eastAsia" w:eastAsia="方正仿宋_GBK"/>
                <w:sz w:val="21"/>
                <w:szCs w:val="21"/>
                <w:lang w:eastAsia="zh-CN"/>
              </w:rPr>
            </w:pPr>
            <w:r>
              <w:rPr>
                <w:rFonts w:hint="eastAsia" w:ascii="Calibri" w:hAnsi="Calibri" w:eastAsia="宋体" w:cs="Times New Roman"/>
                <w:sz w:val="21"/>
                <w:szCs w:val="21"/>
                <w:lang w:val="en-US" w:eastAsia="zh-CN"/>
              </w:rPr>
              <w:t>三年</w:t>
            </w:r>
          </w:p>
        </w:tc>
        <w:tc>
          <w:tcPr>
            <w:tcW w:w="5185" w:type="dxa"/>
            <w:vAlign w:val="top"/>
          </w:tcPr>
          <w:p>
            <w:pPr>
              <w:snapToGrid w:val="0"/>
              <w:spacing w:line="400" w:lineRule="exact"/>
              <w:rPr>
                <w:rFonts w:hint="eastAsia" w:ascii="Calibri" w:hAnsi="Calibri" w:eastAsia="宋体" w:cs="Times New Roman"/>
                <w:sz w:val="21"/>
                <w:szCs w:val="21"/>
                <w:lang w:val="en-US" w:eastAsia="zh-CN"/>
              </w:rPr>
            </w:pPr>
            <w:bookmarkStart w:id="0" w:name="_Toc425860452"/>
            <w:bookmarkStart w:id="1" w:name="_Toc6497"/>
            <w:bookmarkStart w:id="2" w:name="_Toc2721"/>
            <w:bookmarkStart w:id="3" w:name="_Toc5972"/>
            <w:bookmarkStart w:id="4" w:name="_Toc436128197"/>
            <w:bookmarkStart w:id="5" w:name="_Toc13686"/>
            <w:bookmarkStart w:id="6" w:name="_Toc21220"/>
            <w:bookmarkStart w:id="7" w:name="_Toc11023"/>
            <w:bookmarkStart w:id="8" w:name="_Toc20670"/>
            <w:r>
              <w:rPr>
                <w:rFonts w:hint="eastAsia" w:ascii="Calibri" w:hAnsi="Calibri" w:eastAsia="宋体" w:cs="Times New Roman"/>
                <w:sz w:val="21"/>
                <w:szCs w:val="21"/>
                <w:lang w:val="en-US" w:eastAsia="zh-CN"/>
              </w:rPr>
              <w:t>重庆美术馆作为直辖市4大功能场馆之一，起着培育推广美术教育，扩大美术馆影响的作用，作为公共文化服务机构，为了让公共文化服务惠及更多民众，进一步加强美术馆的引领、培训基础教育的功能，现需对外寻找一家专业运营美术馆培训的公司，并与之合作经营管理，提供相应专业咨询服务。</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开展上述项目的具体位置为：重庆国泰艺术中心（渝中区临江路1号）第 7 楼指定区域。</w:t>
            </w:r>
          </w:p>
          <w:bookmarkEnd w:id="0"/>
          <w:bookmarkEnd w:id="1"/>
          <w:p>
            <w:pPr>
              <w:snapToGrid w:val="0"/>
              <w:spacing w:line="400" w:lineRule="exact"/>
              <w:rPr>
                <w:rFonts w:hint="eastAsia" w:ascii="Calibri" w:hAnsi="Calibri" w:eastAsia="宋体" w:cs="Times New Roman"/>
                <w:b/>
                <w:bCs/>
                <w:sz w:val="21"/>
                <w:szCs w:val="21"/>
                <w:lang w:val="en-US" w:eastAsia="zh-CN"/>
              </w:rPr>
            </w:pPr>
            <w:r>
              <w:rPr>
                <w:rFonts w:hint="eastAsia" w:ascii="Calibri" w:hAnsi="Calibri" w:eastAsia="宋体" w:cs="Times New Roman"/>
                <w:b/>
                <w:bCs/>
                <w:sz w:val="21"/>
                <w:szCs w:val="21"/>
                <w:lang w:val="en-US" w:eastAsia="zh-CN"/>
              </w:rPr>
              <w:t>（一）业务技术要求</w:t>
            </w:r>
            <w:bookmarkEnd w:id="2"/>
            <w:bookmarkEnd w:id="3"/>
            <w:bookmarkEnd w:id="4"/>
            <w:bookmarkEnd w:id="5"/>
            <w:bookmarkEnd w:id="6"/>
            <w:bookmarkEnd w:id="7"/>
            <w:bookmarkEnd w:id="8"/>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1、文化公司诚实、守信、专业，无不良社会影响。</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2、注册时间超过2年，注册资本50万元及以上的文化企业，组织过大型文化交流活动、境外旅游、全市范围内的文化艺术比赛，重要节假日晚会的布置与安排，大型活动的开幕式或奠基仪式等。</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3、投标人承担安排美术培训业务开展的义务，包括签订劳动合同、必须按国家法律交齐五险费等，采购人有权在用工过程中随时察看及监督投标人的缴纳情况，如有违反，将采取相应的法律程序及法律手段，投标人应承担相关的法律责任。</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4、有美术培训资质的公司。</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5、其他未尽事项双方谈判后由合同条款明确。</w:t>
            </w:r>
          </w:p>
          <w:p>
            <w:pPr>
              <w:snapToGrid w:val="0"/>
              <w:spacing w:line="400" w:lineRule="exact"/>
              <w:rPr>
                <w:rFonts w:hint="eastAsia" w:ascii="Calibri" w:hAnsi="Calibri" w:eastAsia="宋体" w:cs="Times New Roman"/>
                <w:b/>
                <w:bCs/>
                <w:sz w:val="21"/>
                <w:szCs w:val="21"/>
                <w:lang w:val="en-US" w:eastAsia="zh-CN"/>
              </w:rPr>
            </w:pPr>
            <w:r>
              <w:rPr>
                <w:rFonts w:hint="eastAsia" w:ascii="Calibri" w:hAnsi="Calibri" w:eastAsia="宋体" w:cs="Times New Roman"/>
                <w:b/>
                <w:bCs/>
                <w:sz w:val="21"/>
                <w:szCs w:val="21"/>
                <w:lang w:val="en-US" w:eastAsia="zh-CN"/>
              </w:rPr>
              <w:t>（二）经营要求</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1、中标合作方独立经营，自负盈亏。</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2、工作人员由中标合作方自行安排，人员经费自理，不得私自转让或委托他人经营。</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3、中标合作方与我馆以外的单位和个人所发生的债权债务均与重庆美术馆无关。</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4、中标合作方在指定区域内的任何添附行为须经重庆美术馆书面同意并按照相关要求实施，并在实施过程中保证馆体本身及原有相关设施设备的完整，并须保证添附物（包括但不限于消防设施设备、特种设施设备、附属设施设备等）能通过相关部门验收（如需），在验收合格后方可使用，保证添附物处于能够正常使用状态。</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5、重庆美术馆出资的全部添附物（仅限于墙面结界、基础照明、电路接入端口,并购置桌子、凳子、储物柜，购置必备办公家具）权属归重庆美术馆所有，中标合作方不得对其进行拆除和损坏。中标合作方负责提供场地内全部设施设备的保养，也可自行购置其他设施设备。</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6、中标合作方负责指定区域的物业服务费、水电能源费。此外，重庆美术馆不再负担任何费用。</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7、重庆美术馆派驻一名监事，参与、监督本项目经营情况。</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8、中标合作方负责在约定范围内开展本项目日常经营活动，负责承担包括教师及教程材料费、店面管理及运营成本、日常宣传费用、系统使用成本等活动服务过程中所产生的一切费用，且系开展上述活动与服务项目的安全责任主体。对美术馆的美誉度有很大提升的大型推广宣传活动，按“一事一议”向重庆美术馆申报后处理。</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9、中标合作方须无条件遵守重庆美术馆的规章制度和意见以及重庆美术馆主管部门的规章和文件、地方法规等规定。</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 xml:space="preserve">10、中标合作方自行负责办理经营所需相关证照，依法经营，遵守公序良俗，致力于发展公共文化服务，不得从事违法、违规活动。 </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11、在双方具体合作过程中可能相互需要所提供专有价值的保密信息，属于其他方无法自公开渠道获取的文件资料和信息双方均应予以保密。</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 xml:space="preserve">12、中标合作方应如实将本项目所有收支作账，不得隐藏、改造、伪造。   </w:t>
            </w:r>
          </w:p>
          <w:p>
            <w:pPr>
              <w:snapToGrid w:val="0"/>
              <w:spacing w:line="400" w:lineRule="exact"/>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13、其他未尽事项双方谈判后由合同条款明确。</w:t>
            </w: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ascii="方正仿宋_GBK" w:hAnsi="宋体" w:eastAsia="方正仿宋_GBK"/>
                <w:sz w:val="21"/>
                <w:szCs w:val="21"/>
              </w:rPr>
            </w:pPr>
          </w:p>
        </w:tc>
        <w:tc>
          <w:tcPr>
            <w:tcW w:w="1240" w:type="dxa"/>
          </w:tcPr>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hint="eastAsia" w:ascii="宋体" w:hAnsi="宋体" w:eastAsia="宋体" w:cs="宋体"/>
                <w:b w:val="0"/>
                <w:kern w:val="2"/>
                <w:sz w:val="21"/>
                <w:szCs w:val="21"/>
                <w:lang w:val="en-US" w:eastAsia="zh-CN" w:bidi="ar-SA"/>
              </w:rPr>
            </w:pPr>
          </w:p>
          <w:p>
            <w:pPr>
              <w:pStyle w:val="4"/>
              <w:pageBreakBefore w:val="0"/>
              <w:widowControl w:val="0"/>
              <w:kinsoku/>
              <w:wordWrap/>
              <w:overflowPunct/>
              <w:topLinePunct w:val="0"/>
              <w:autoSpaceDE/>
              <w:autoSpaceDN/>
              <w:bidi w:val="0"/>
              <w:spacing w:line="240" w:lineRule="exact"/>
              <w:ind w:left="0" w:leftChars="0" w:right="0" w:rightChars="0" w:firstLine="210" w:firstLineChars="100"/>
              <w:jc w:val="both"/>
              <w:textAlignment w:val="auto"/>
              <w:outlineLvl w:val="0"/>
              <w:rPr>
                <w:rFonts w:ascii="方正仿宋_GBK" w:hAnsi="宋体" w:eastAsia="方正仿宋_GBK"/>
                <w:sz w:val="21"/>
                <w:szCs w:val="21"/>
              </w:rPr>
            </w:pPr>
            <w:r>
              <w:rPr>
                <w:rFonts w:hint="eastAsia" w:ascii="Calibri" w:hAnsi="Calibri" w:eastAsia="宋体" w:cs="Times New Roman"/>
                <w:kern w:val="2"/>
                <w:sz w:val="21"/>
                <w:szCs w:val="21"/>
                <w:lang w:val="en-US" w:eastAsia="zh-CN" w:bidi="ar-SA"/>
              </w:rPr>
              <w:t>咨询服务费不低于项目总营业额的40%，且本项目营业总额第一年不得低于人民币80万元，以后每年不得低于人民币100万元</w:t>
            </w:r>
          </w:p>
        </w:tc>
      </w:tr>
    </w:tbl>
    <w:p>
      <w:pPr>
        <w:pStyle w:val="8"/>
        <w:numPr>
          <w:ilvl w:val="0"/>
          <w:numId w:val="0"/>
        </w:numPr>
        <w:ind w:leftChars="0"/>
        <w:rPr>
          <w:rFonts w:hint="eastAsia"/>
          <w:sz w:val="21"/>
          <w:szCs w:val="21"/>
          <w:lang w:eastAsia="zh-CN"/>
        </w:rPr>
      </w:pPr>
    </w:p>
    <w:p>
      <w:pPr>
        <w:pStyle w:val="8"/>
        <w:numPr>
          <w:ilvl w:val="0"/>
          <w:numId w:val="0"/>
        </w:numPr>
        <w:ind w:leftChars="0"/>
        <w:rPr>
          <w:rFonts w:hint="eastAsia"/>
          <w:sz w:val="28"/>
          <w:szCs w:val="28"/>
        </w:rPr>
      </w:pPr>
      <w:r>
        <w:rPr>
          <w:rFonts w:hint="eastAsia"/>
          <w:sz w:val="28"/>
          <w:szCs w:val="28"/>
          <w:lang w:eastAsia="zh-CN"/>
        </w:rPr>
        <w:t>二、</w:t>
      </w:r>
      <w:r>
        <w:rPr>
          <w:rFonts w:hint="eastAsia"/>
          <w:sz w:val="28"/>
          <w:szCs w:val="28"/>
        </w:rPr>
        <w:t>供应商资格要求</w:t>
      </w:r>
    </w:p>
    <w:p>
      <w:pPr>
        <w:rPr>
          <w:sz w:val="24"/>
          <w:szCs w:val="24"/>
        </w:rPr>
      </w:pPr>
      <w:r>
        <w:rPr>
          <w:rFonts w:hint="eastAsia"/>
          <w:sz w:val="24"/>
          <w:szCs w:val="24"/>
        </w:rPr>
        <w:t>参加采购活动的供应商需满足以下条件</w:t>
      </w:r>
    </w:p>
    <w:p>
      <w:pPr>
        <w:pStyle w:val="8"/>
        <w:numPr>
          <w:ilvl w:val="0"/>
          <w:numId w:val="1"/>
        </w:numPr>
        <w:ind w:firstLineChars="0"/>
        <w:rPr>
          <w:sz w:val="24"/>
          <w:szCs w:val="24"/>
        </w:rPr>
      </w:pPr>
      <w:r>
        <w:rPr>
          <w:rFonts w:hint="eastAsia"/>
          <w:sz w:val="24"/>
          <w:szCs w:val="24"/>
        </w:rPr>
        <w:t>基本资格条件</w:t>
      </w:r>
    </w:p>
    <w:p>
      <w:pPr>
        <w:snapToGrid w:val="0"/>
        <w:spacing w:line="400" w:lineRule="exact"/>
        <w:rPr>
          <w:rFonts w:ascii="Calibri" w:hAnsi="Calibri" w:eastAsia="宋体" w:cs="Times New Roman"/>
          <w:sz w:val="24"/>
          <w:szCs w:val="24"/>
        </w:rPr>
      </w:pPr>
      <w:r>
        <w:rPr>
          <w:rFonts w:hint="eastAsia" w:ascii="Calibri" w:hAnsi="Calibri" w:eastAsia="宋体" w:cs="Times New Roman"/>
          <w:sz w:val="24"/>
          <w:szCs w:val="24"/>
        </w:rPr>
        <w:t>1、具有独立承担民事责任的能力；</w:t>
      </w:r>
    </w:p>
    <w:p>
      <w:pPr>
        <w:snapToGrid w:val="0"/>
        <w:spacing w:line="400" w:lineRule="exact"/>
        <w:rPr>
          <w:rFonts w:ascii="Calibri" w:hAnsi="Calibri" w:eastAsia="宋体" w:cs="Times New Roman"/>
          <w:sz w:val="24"/>
          <w:szCs w:val="24"/>
        </w:rPr>
      </w:pPr>
      <w:r>
        <w:rPr>
          <w:rFonts w:hint="eastAsia" w:ascii="Calibri" w:hAnsi="Calibri" w:eastAsia="宋体" w:cs="Times New Roman"/>
          <w:sz w:val="24"/>
          <w:szCs w:val="24"/>
        </w:rPr>
        <w:t>2、具有良好的商业信誉和健全的财务会计制度；</w:t>
      </w:r>
    </w:p>
    <w:p>
      <w:pPr>
        <w:snapToGrid w:val="0"/>
        <w:spacing w:line="400" w:lineRule="exact"/>
        <w:rPr>
          <w:rFonts w:ascii="Calibri" w:hAnsi="Calibri" w:eastAsia="宋体" w:cs="Times New Roman"/>
          <w:sz w:val="24"/>
          <w:szCs w:val="24"/>
        </w:rPr>
      </w:pPr>
      <w:r>
        <w:rPr>
          <w:rFonts w:hint="eastAsia" w:ascii="Calibri" w:hAnsi="Calibri" w:eastAsia="宋体" w:cs="Times New Roman"/>
          <w:sz w:val="24"/>
          <w:szCs w:val="24"/>
        </w:rPr>
        <w:t>3、具有履行合同所必需的设备和专业技术能力；</w:t>
      </w:r>
    </w:p>
    <w:p>
      <w:pPr>
        <w:snapToGrid w:val="0"/>
        <w:spacing w:line="400" w:lineRule="exact"/>
        <w:rPr>
          <w:rFonts w:ascii="Calibri" w:hAnsi="Calibri" w:eastAsia="宋体" w:cs="Times New Roman"/>
          <w:sz w:val="24"/>
          <w:szCs w:val="24"/>
        </w:rPr>
      </w:pPr>
      <w:r>
        <w:rPr>
          <w:rFonts w:hint="eastAsia" w:ascii="Calibri" w:hAnsi="Calibri" w:eastAsia="宋体" w:cs="Times New Roman"/>
          <w:sz w:val="24"/>
          <w:szCs w:val="24"/>
        </w:rPr>
        <w:t>4、有依法缴纳税收和社会保障资金的良好记录；</w:t>
      </w:r>
    </w:p>
    <w:p>
      <w:pPr>
        <w:spacing w:line="400" w:lineRule="exact"/>
        <w:rPr>
          <w:rFonts w:ascii="Calibri" w:hAnsi="Calibri" w:eastAsia="宋体" w:cs="Times New Roman"/>
          <w:sz w:val="24"/>
          <w:szCs w:val="24"/>
        </w:rPr>
      </w:pPr>
      <w:r>
        <w:rPr>
          <w:rFonts w:hint="eastAsia" w:ascii="Calibri" w:hAnsi="Calibri" w:eastAsia="宋体" w:cs="Times New Roman"/>
          <w:sz w:val="24"/>
          <w:szCs w:val="24"/>
        </w:rPr>
        <w:t>5、参加政府采购活动前三年内，在经营活动中没有重大违法记录;</w:t>
      </w:r>
    </w:p>
    <w:p>
      <w:pPr>
        <w:spacing w:line="400" w:lineRule="exact"/>
        <w:rPr>
          <w:sz w:val="24"/>
          <w:szCs w:val="24"/>
        </w:rPr>
      </w:pPr>
      <w:r>
        <w:rPr>
          <w:rFonts w:hint="eastAsia" w:ascii="Calibri" w:hAnsi="Calibri" w:eastAsia="宋体" w:cs="Times New Roman"/>
          <w:sz w:val="24"/>
          <w:szCs w:val="24"/>
        </w:rPr>
        <w:t>6、法律、行政法规规定的其他条件。</w:t>
      </w:r>
    </w:p>
    <w:p>
      <w:pPr>
        <w:pStyle w:val="8"/>
        <w:numPr>
          <w:ilvl w:val="0"/>
          <w:numId w:val="0"/>
        </w:numPr>
        <w:ind w:leftChars="0"/>
        <w:rPr>
          <w:sz w:val="28"/>
          <w:szCs w:val="28"/>
        </w:rPr>
      </w:pPr>
      <w:r>
        <w:rPr>
          <w:rFonts w:hint="eastAsia"/>
          <w:sz w:val="28"/>
          <w:szCs w:val="28"/>
          <w:lang w:eastAsia="zh-CN"/>
        </w:rPr>
        <w:t>三、</w:t>
      </w:r>
      <w:r>
        <w:rPr>
          <w:rFonts w:hint="eastAsia"/>
          <w:sz w:val="28"/>
          <w:szCs w:val="28"/>
        </w:rPr>
        <w:t>获取采购文件的期限、地点、方式</w:t>
      </w:r>
    </w:p>
    <w:p>
      <w:pPr>
        <w:snapToGrid w:val="0"/>
        <w:spacing w:line="400" w:lineRule="exact"/>
        <w:rPr>
          <w:sz w:val="24"/>
          <w:szCs w:val="24"/>
        </w:rPr>
      </w:pPr>
      <w:r>
        <w:rPr>
          <w:rFonts w:hint="eastAsia"/>
          <w:sz w:val="24"/>
          <w:szCs w:val="24"/>
        </w:rPr>
        <w:t>1.获取文件期限：201</w:t>
      </w:r>
      <w:r>
        <w:rPr>
          <w:rFonts w:hint="eastAsia"/>
          <w:sz w:val="24"/>
          <w:szCs w:val="24"/>
          <w:lang w:val="en-US" w:eastAsia="zh-CN"/>
        </w:rPr>
        <w:t>9</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16</w:t>
      </w:r>
      <w:r>
        <w:rPr>
          <w:rFonts w:hint="eastAsia"/>
          <w:sz w:val="24"/>
          <w:szCs w:val="24"/>
        </w:rPr>
        <w:t>日</w:t>
      </w:r>
      <w:r>
        <w:rPr>
          <w:rFonts w:hint="eastAsia"/>
          <w:sz w:val="24"/>
          <w:szCs w:val="24"/>
          <w:lang w:val="en-US" w:eastAsia="zh-CN"/>
        </w:rPr>
        <w:t>10：00</w:t>
      </w:r>
      <w:r>
        <w:rPr>
          <w:rFonts w:hint="eastAsia"/>
          <w:sz w:val="24"/>
          <w:szCs w:val="24"/>
        </w:rPr>
        <w:t>至201</w:t>
      </w:r>
      <w:r>
        <w:rPr>
          <w:rFonts w:hint="eastAsia"/>
          <w:sz w:val="24"/>
          <w:szCs w:val="24"/>
          <w:lang w:val="en-US" w:eastAsia="zh-CN"/>
        </w:rPr>
        <w:t>9</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18</w:t>
      </w:r>
      <w:r>
        <w:rPr>
          <w:rFonts w:hint="eastAsia"/>
          <w:sz w:val="24"/>
          <w:szCs w:val="24"/>
        </w:rPr>
        <w:t>日16:</w:t>
      </w:r>
      <w:r>
        <w:rPr>
          <w:rFonts w:hint="eastAsia"/>
          <w:sz w:val="24"/>
          <w:szCs w:val="24"/>
          <w:lang w:val="en-US" w:eastAsia="zh-CN"/>
        </w:rPr>
        <w:t>3</w:t>
      </w:r>
      <w:r>
        <w:rPr>
          <w:rFonts w:hint="eastAsia"/>
          <w:sz w:val="24"/>
          <w:szCs w:val="24"/>
        </w:rPr>
        <w:t>0</w:t>
      </w:r>
    </w:p>
    <w:p>
      <w:pPr>
        <w:snapToGrid w:val="0"/>
        <w:spacing w:line="400" w:lineRule="exact"/>
        <w:rPr>
          <w:sz w:val="24"/>
          <w:szCs w:val="24"/>
        </w:rPr>
      </w:pPr>
      <w:r>
        <w:rPr>
          <w:rFonts w:hint="eastAsia"/>
          <w:sz w:val="24"/>
          <w:szCs w:val="24"/>
        </w:rPr>
        <w:t>2.获取文件地点：重庆市渝中区临江门1号国泰艺术中心6楼</w:t>
      </w:r>
    </w:p>
    <w:p>
      <w:pPr>
        <w:snapToGrid w:val="0"/>
        <w:spacing w:line="400" w:lineRule="exact"/>
        <w:rPr>
          <w:sz w:val="24"/>
          <w:szCs w:val="24"/>
        </w:rPr>
      </w:pPr>
      <w:r>
        <w:rPr>
          <w:rFonts w:hint="eastAsia"/>
          <w:sz w:val="24"/>
          <w:szCs w:val="24"/>
        </w:rPr>
        <w:t>3.凡有意参加的供应商，请在文件获取期限内到指定地点领取招标文件，无论供应商领取与否，均视为知晓所有招标内容。</w:t>
      </w:r>
    </w:p>
    <w:p>
      <w:pPr>
        <w:snapToGrid w:val="0"/>
        <w:spacing w:line="400" w:lineRule="exact"/>
        <w:rPr>
          <w:sz w:val="24"/>
          <w:szCs w:val="24"/>
        </w:rPr>
      </w:pPr>
      <w:r>
        <w:rPr>
          <w:rFonts w:hint="eastAsia"/>
          <w:sz w:val="24"/>
          <w:szCs w:val="24"/>
        </w:rPr>
        <w:t>4.供应商需满足以下两种要件，其投标才被接收：</w:t>
      </w:r>
    </w:p>
    <w:p>
      <w:pPr>
        <w:snapToGrid w:val="0"/>
        <w:spacing w:line="400" w:lineRule="exact"/>
        <w:rPr>
          <w:sz w:val="24"/>
          <w:szCs w:val="24"/>
        </w:rPr>
      </w:pPr>
      <w:r>
        <w:rPr>
          <w:rFonts w:hint="eastAsia"/>
          <w:sz w:val="24"/>
          <w:szCs w:val="24"/>
        </w:rPr>
        <w:t>（1）按时递交投标文件</w:t>
      </w:r>
    </w:p>
    <w:p>
      <w:pPr>
        <w:snapToGrid w:val="0"/>
        <w:spacing w:line="400" w:lineRule="exact"/>
        <w:rPr>
          <w:sz w:val="24"/>
          <w:szCs w:val="24"/>
        </w:rPr>
      </w:pPr>
      <w:r>
        <w:rPr>
          <w:rFonts w:hint="eastAsia"/>
          <w:sz w:val="24"/>
          <w:szCs w:val="24"/>
        </w:rPr>
        <w:t>（2）按时报名签到</w:t>
      </w:r>
    </w:p>
    <w:p>
      <w:pPr>
        <w:pStyle w:val="8"/>
        <w:numPr>
          <w:ilvl w:val="0"/>
          <w:numId w:val="0"/>
        </w:numPr>
        <w:ind w:leftChars="0"/>
        <w:rPr>
          <w:sz w:val="28"/>
          <w:szCs w:val="28"/>
        </w:rPr>
      </w:pPr>
      <w:r>
        <w:rPr>
          <w:rFonts w:hint="eastAsia"/>
          <w:sz w:val="28"/>
          <w:szCs w:val="28"/>
          <w:lang w:eastAsia="zh-CN"/>
        </w:rPr>
        <w:t>四、</w:t>
      </w:r>
      <w:r>
        <w:rPr>
          <w:rFonts w:hint="eastAsia"/>
          <w:sz w:val="28"/>
          <w:szCs w:val="28"/>
        </w:rPr>
        <w:t>报名时限、开标时间及地点</w:t>
      </w:r>
    </w:p>
    <w:p>
      <w:pPr>
        <w:snapToGrid w:val="0"/>
        <w:spacing w:line="400" w:lineRule="exact"/>
        <w:rPr>
          <w:rFonts w:ascii="Calibri" w:hAnsi="Calibri" w:eastAsia="宋体" w:cs="Times New Roman"/>
          <w:sz w:val="24"/>
          <w:szCs w:val="24"/>
        </w:rPr>
      </w:pPr>
      <w:r>
        <w:rPr>
          <w:rFonts w:hint="eastAsia" w:ascii="Calibri" w:hAnsi="Calibri" w:eastAsia="宋体" w:cs="Times New Roman"/>
          <w:sz w:val="24"/>
          <w:szCs w:val="24"/>
        </w:rPr>
        <w:t>报名时限：201</w:t>
      </w:r>
      <w:r>
        <w:rPr>
          <w:rFonts w:hint="eastAsia" w:ascii="Calibri" w:hAnsi="Calibri" w:eastAsia="宋体" w:cs="Times New Roman"/>
          <w:sz w:val="24"/>
          <w:szCs w:val="24"/>
          <w:lang w:val="en-US" w:eastAsia="zh-CN"/>
        </w:rPr>
        <w:t>9</w:t>
      </w:r>
      <w:r>
        <w:rPr>
          <w:rFonts w:hint="eastAsia" w:ascii="Calibri" w:hAnsi="Calibri" w:eastAsia="宋体" w:cs="Times New Roman"/>
          <w:sz w:val="24"/>
          <w:szCs w:val="24"/>
        </w:rPr>
        <w:t>年</w:t>
      </w:r>
      <w:r>
        <w:rPr>
          <w:rFonts w:hint="eastAsia" w:ascii="Calibri" w:hAnsi="Calibri" w:eastAsia="宋体" w:cs="Times New Roman"/>
          <w:sz w:val="24"/>
          <w:szCs w:val="24"/>
          <w:lang w:val="en-US" w:eastAsia="zh-CN"/>
        </w:rPr>
        <w:t>9</w:t>
      </w:r>
      <w:r>
        <w:rPr>
          <w:rFonts w:hint="eastAsia" w:ascii="Calibri" w:hAnsi="Calibri" w:eastAsia="宋体" w:cs="Times New Roman"/>
          <w:sz w:val="24"/>
          <w:szCs w:val="24"/>
        </w:rPr>
        <w:t>月</w:t>
      </w:r>
      <w:r>
        <w:rPr>
          <w:rFonts w:hint="eastAsia" w:ascii="Calibri" w:hAnsi="Calibri" w:eastAsia="宋体" w:cs="Times New Roman"/>
          <w:sz w:val="24"/>
          <w:szCs w:val="24"/>
          <w:lang w:val="en-US" w:eastAsia="zh-CN"/>
        </w:rPr>
        <w:t>16</w:t>
      </w:r>
      <w:r>
        <w:rPr>
          <w:rFonts w:hint="eastAsia" w:ascii="Calibri" w:hAnsi="Calibri" w:eastAsia="宋体" w:cs="Times New Roman"/>
          <w:sz w:val="24"/>
          <w:szCs w:val="24"/>
        </w:rPr>
        <w:t>日</w:t>
      </w:r>
      <w:r>
        <w:rPr>
          <w:rFonts w:hint="eastAsia" w:ascii="Calibri" w:hAnsi="Calibri" w:eastAsia="宋体" w:cs="Times New Roman"/>
          <w:sz w:val="24"/>
          <w:szCs w:val="24"/>
          <w:lang w:val="en-US" w:eastAsia="zh-CN"/>
        </w:rPr>
        <w:t>10:00</w:t>
      </w:r>
      <w:r>
        <w:rPr>
          <w:rFonts w:hint="eastAsia" w:ascii="Calibri" w:hAnsi="Calibri" w:eastAsia="宋体" w:cs="Times New Roman"/>
          <w:sz w:val="24"/>
          <w:szCs w:val="24"/>
        </w:rPr>
        <w:t>至201</w:t>
      </w:r>
      <w:r>
        <w:rPr>
          <w:rFonts w:hint="eastAsia" w:ascii="Calibri" w:hAnsi="Calibri" w:eastAsia="宋体" w:cs="Times New Roman"/>
          <w:sz w:val="24"/>
          <w:szCs w:val="24"/>
          <w:lang w:val="en-US" w:eastAsia="zh-CN"/>
        </w:rPr>
        <w:t>9</w:t>
      </w:r>
      <w:r>
        <w:rPr>
          <w:rFonts w:hint="eastAsia" w:ascii="Calibri" w:hAnsi="Calibri" w:eastAsia="宋体" w:cs="Times New Roman"/>
          <w:sz w:val="24"/>
          <w:szCs w:val="24"/>
        </w:rPr>
        <w:t>年</w:t>
      </w:r>
      <w:r>
        <w:rPr>
          <w:rFonts w:hint="eastAsia" w:ascii="Calibri" w:hAnsi="Calibri" w:eastAsia="宋体" w:cs="Times New Roman"/>
          <w:sz w:val="24"/>
          <w:szCs w:val="24"/>
          <w:lang w:val="en-US" w:eastAsia="zh-CN"/>
        </w:rPr>
        <w:t>9</w:t>
      </w:r>
      <w:r>
        <w:rPr>
          <w:rFonts w:hint="eastAsia" w:ascii="Calibri" w:hAnsi="Calibri" w:eastAsia="宋体" w:cs="Times New Roman"/>
          <w:sz w:val="24"/>
          <w:szCs w:val="24"/>
        </w:rPr>
        <w:t>月</w:t>
      </w:r>
      <w:r>
        <w:rPr>
          <w:rFonts w:hint="eastAsia" w:ascii="Calibri" w:hAnsi="Calibri" w:eastAsia="宋体" w:cs="Times New Roman"/>
          <w:sz w:val="24"/>
          <w:szCs w:val="24"/>
          <w:lang w:val="en-US" w:eastAsia="zh-CN"/>
        </w:rPr>
        <w:t>18</w:t>
      </w:r>
      <w:r>
        <w:rPr>
          <w:rFonts w:hint="eastAsia" w:ascii="Calibri" w:hAnsi="Calibri" w:eastAsia="宋体" w:cs="Times New Roman"/>
          <w:sz w:val="24"/>
          <w:szCs w:val="24"/>
        </w:rPr>
        <w:t>日16:</w:t>
      </w:r>
      <w:r>
        <w:rPr>
          <w:rFonts w:hint="eastAsia" w:ascii="Calibri" w:hAnsi="Calibri" w:eastAsia="宋体" w:cs="Times New Roman"/>
          <w:sz w:val="24"/>
          <w:szCs w:val="24"/>
          <w:lang w:val="en-US" w:eastAsia="zh-CN"/>
        </w:rPr>
        <w:t>3</w:t>
      </w:r>
      <w:r>
        <w:rPr>
          <w:rFonts w:hint="eastAsia" w:ascii="Calibri" w:hAnsi="Calibri" w:eastAsia="宋体" w:cs="Times New Roman"/>
          <w:sz w:val="24"/>
          <w:szCs w:val="24"/>
        </w:rPr>
        <w:t>0</w:t>
      </w:r>
      <w:r>
        <w:rPr>
          <w:rFonts w:hint="eastAsia" w:ascii="Calibri" w:hAnsi="Calibri" w:eastAsia="宋体" w:cs="Times New Roman"/>
          <w:sz w:val="24"/>
          <w:szCs w:val="24"/>
          <w:lang w:eastAsia="zh-CN"/>
        </w:rPr>
        <w:t>（需现场报名）</w:t>
      </w:r>
    </w:p>
    <w:p>
      <w:pPr>
        <w:snapToGrid w:val="0"/>
        <w:spacing w:line="400" w:lineRule="exact"/>
        <w:rPr>
          <w:rFonts w:ascii="Calibri" w:hAnsi="Calibri" w:eastAsia="宋体" w:cs="Times New Roman"/>
          <w:sz w:val="24"/>
          <w:szCs w:val="24"/>
        </w:rPr>
      </w:pPr>
      <w:r>
        <w:rPr>
          <w:rFonts w:hint="eastAsia" w:ascii="Calibri" w:hAnsi="Calibri" w:eastAsia="宋体" w:cs="Times New Roman"/>
          <w:sz w:val="24"/>
          <w:szCs w:val="24"/>
        </w:rPr>
        <w:t>开标时间：201</w:t>
      </w:r>
      <w:r>
        <w:rPr>
          <w:rFonts w:hint="eastAsia" w:ascii="Calibri" w:hAnsi="Calibri" w:eastAsia="宋体" w:cs="Times New Roman"/>
          <w:sz w:val="24"/>
          <w:szCs w:val="24"/>
          <w:lang w:val="en-US" w:eastAsia="zh-CN"/>
        </w:rPr>
        <w:t>9</w:t>
      </w:r>
      <w:r>
        <w:rPr>
          <w:rFonts w:hint="eastAsia" w:ascii="Calibri" w:hAnsi="Calibri" w:eastAsia="宋体" w:cs="Times New Roman"/>
          <w:sz w:val="24"/>
          <w:szCs w:val="24"/>
        </w:rPr>
        <w:t>年</w:t>
      </w:r>
      <w:r>
        <w:rPr>
          <w:rFonts w:hint="eastAsia" w:ascii="Calibri" w:hAnsi="Calibri" w:eastAsia="宋体" w:cs="Times New Roman"/>
          <w:sz w:val="24"/>
          <w:szCs w:val="24"/>
          <w:lang w:val="en-US" w:eastAsia="zh-CN"/>
        </w:rPr>
        <w:t>9</w:t>
      </w:r>
      <w:r>
        <w:rPr>
          <w:rFonts w:hint="eastAsia" w:ascii="Calibri" w:hAnsi="Calibri" w:eastAsia="宋体" w:cs="Times New Roman"/>
          <w:sz w:val="24"/>
          <w:szCs w:val="24"/>
        </w:rPr>
        <w:t>月</w:t>
      </w:r>
      <w:r>
        <w:rPr>
          <w:rFonts w:hint="eastAsia" w:ascii="Calibri" w:hAnsi="Calibri" w:eastAsia="宋体" w:cs="Times New Roman"/>
          <w:sz w:val="24"/>
          <w:szCs w:val="24"/>
          <w:lang w:val="en-US" w:eastAsia="zh-CN"/>
        </w:rPr>
        <w:t>19</w:t>
      </w:r>
      <w:r>
        <w:rPr>
          <w:rFonts w:hint="eastAsia" w:ascii="Calibri" w:hAnsi="Calibri" w:eastAsia="宋体" w:cs="Times New Roman"/>
          <w:sz w:val="24"/>
          <w:szCs w:val="24"/>
        </w:rPr>
        <w:t>日</w:t>
      </w:r>
      <w:r>
        <w:rPr>
          <w:rFonts w:hint="eastAsia" w:ascii="Calibri" w:hAnsi="Calibri" w:eastAsia="宋体" w:cs="Times New Roman"/>
          <w:sz w:val="24"/>
          <w:szCs w:val="24"/>
          <w:lang w:val="en-US" w:eastAsia="zh-CN"/>
        </w:rPr>
        <w:t>15</w:t>
      </w:r>
      <w:r>
        <w:rPr>
          <w:rFonts w:hint="eastAsia" w:ascii="Calibri" w:hAnsi="Calibri" w:eastAsia="宋体" w:cs="Times New Roman"/>
          <w:sz w:val="24"/>
          <w:szCs w:val="24"/>
        </w:rPr>
        <w:t>:</w:t>
      </w:r>
      <w:r>
        <w:rPr>
          <w:rFonts w:hint="eastAsia" w:ascii="Calibri" w:hAnsi="Calibri" w:eastAsia="宋体" w:cs="Times New Roman"/>
          <w:sz w:val="24"/>
          <w:szCs w:val="24"/>
          <w:lang w:val="en-US" w:eastAsia="zh-CN"/>
        </w:rPr>
        <w:t>0</w:t>
      </w:r>
      <w:r>
        <w:rPr>
          <w:rFonts w:hint="eastAsia" w:ascii="Calibri" w:hAnsi="Calibri" w:eastAsia="宋体" w:cs="Times New Roman"/>
          <w:sz w:val="24"/>
          <w:szCs w:val="24"/>
        </w:rPr>
        <w:t>0现场开标</w:t>
      </w:r>
    </w:p>
    <w:p>
      <w:pPr>
        <w:snapToGrid w:val="0"/>
        <w:spacing w:line="400" w:lineRule="exact"/>
        <w:rPr>
          <w:rFonts w:ascii="Calibri" w:hAnsi="Calibri" w:eastAsia="宋体" w:cs="Times New Roman"/>
          <w:sz w:val="24"/>
          <w:szCs w:val="24"/>
        </w:rPr>
      </w:pPr>
      <w:r>
        <w:rPr>
          <w:rFonts w:hint="eastAsia" w:ascii="Calibri" w:hAnsi="Calibri" w:eastAsia="宋体" w:cs="Times New Roman"/>
          <w:sz w:val="24"/>
          <w:szCs w:val="24"/>
        </w:rPr>
        <w:t>开标地点：重庆市渝中区临江</w:t>
      </w:r>
      <w:r>
        <w:rPr>
          <w:rFonts w:hint="eastAsia" w:ascii="Calibri" w:hAnsi="Calibri" w:eastAsia="宋体" w:cs="Times New Roman"/>
          <w:sz w:val="24"/>
          <w:szCs w:val="24"/>
          <w:lang w:eastAsia="zh-CN"/>
        </w:rPr>
        <w:t>路</w:t>
      </w:r>
      <w:r>
        <w:rPr>
          <w:rFonts w:hint="eastAsia" w:ascii="Calibri" w:hAnsi="Calibri" w:eastAsia="宋体" w:cs="Times New Roman"/>
          <w:sz w:val="24"/>
          <w:szCs w:val="24"/>
        </w:rPr>
        <w:t>1号国泰艺术中心6楼</w:t>
      </w:r>
    </w:p>
    <w:p>
      <w:pPr>
        <w:pStyle w:val="8"/>
        <w:numPr>
          <w:ilvl w:val="0"/>
          <w:numId w:val="0"/>
        </w:numPr>
        <w:ind w:leftChars="0"/>
        <w:rPr>
          <w:sz w:val="28"/>
          <w:szCs w:val="28"/>
        </w:rPr>
      </w:pPr>
      <w:r>
        <w:rPr>
          <w:rFonts w:hint="eastAsia"/>
          <w:sz w:val="28"/>
          <w:szCs w:val="28"/>
          <w:lang w:eastAsia="zh-CN"/>
        </w:rPr>
        <w:t>五、</w:t>
      </w:r>
      <w:r>
        <w:rPr>
          <w:rFonts w:hint="eastAsia"/>
          <w:sz w:val="28"/>
          <w:szCs w:val="28"/>
        </w:rPr>
        <w:t>联系方式</w:t>
      </w:r>
    </w:p>
    <w:p>
      <w:pPr>
        <w:snapToGrid w:val="0"/>
        <w:spacing w:line="400" w:lineRule="exact"/>
        <w:jc w:val="left"/>
        <w:rPr>
          <w:sz w:val="24"/>
          <w:szCs w:val="24"/>
        </w:rPr>
      </w:pPr>
      <w:r>
        <w:rPr>
          <w:rFonts w:hint="eastAsia"/>
          <w:sz w:val="24"/>
          <w:szCs w:val="24"/>
        </w:rPr>
        <w:t>采购人：重庆美术馆</w:t>
      </w:r>
    </w:p>
    <w:p>
      <w:pPr>
        <w:snapToGrid w:val="0"/>
        <w:spacing w:line="400" w:lineRule="exact"/>
        <w:jc w:val="left"/>
        <w:rPr>
          <w:rFonts w:hint="eastAsia"/>
          <w:sz w:val="24"/>
          <w:szCs w:val="24"/>
          <w:lang w:eastAsia="zh-CN"/>
        </w:rPr>
      </w:pPr>
      <w:r>
        <w:rPr>
          <w:rFonts w:hint="eastAsia"/>
          <w:sz w:val="24"/>
          <w:szCs w:val="24"/>
        </w:rPr>
        <w:t>采购经办人：刘</w:t>
      </w:r>
      <w:r>
        <w:rPr>
          <w:rFonts w:hint="eastAsia"/>
          <w:sz w:val="24"/>
          <w:szCs w:val="24"/>
          <w:lang w:eastAsia="zh-CN"/>
        </w:rPr>
        <w:t>老师</w:t>
      </w:r>
    </w:p>
    <w:p>
      <w:pPr>
        <w:snapToGrid w:val="0"/>
        <w:spacing w:line="400" w:lineRule="exact"/>
        <w:jc w:val="left"/>
        <w:rPr>
          <w:rFonts w:hint="eastAsia"/>
          <w:sz w:val="24"/>
          <w:szCs w:val="24"/>
        </w:rPr>
      </w:pPr>
      <w:r>
        <w:rPr>
          <w:rFonts w:hint="eastAsia"/>
          <w:sz w:val="24"/>
          <w:szCs w:val="24"/>
        </w:rPr>
        <w:t>联系电话：023-60332196</w:t>
      </w:r>
    </w:p>
    <w:p>
      <w:pPr>
        <w:snapToGrid w:val="0"/>
        <w:spacing w:line="400" w:lineRule="exact"/>
        <w:jc w:val="left"/>
        <w:rPr>
          <w:rFonts w:hint="eastAsia"/>
          <w:sz w:val="24"/>
          <w:szCs w:val="24"/>
          <w:lang w:eastAsia="zh-CN"/>
        </w:rPr>
      </w:pPr>
      <w:r>
        <w:rPr>
          <w:rFonts w:hint="eastAsia"/>
          <w:sz w:val="24"/>
          <w:szCs w:val="24"/>
          <w:lang w:eastAsia="zh-CN"/>
        </w:rPr>
        <w:t>采购业务经办人：刘老师</w:t>
      </w:r>
    </w:p>
    <w:p>
      <w:pPr>
        <w:snapToGrid w:val="0"/>
        <w:spacing w:line="400" w:lineRule="exact"/>
        <w:jc w:val="left"/>
        <w:rPr>
          <w:rFonts w:hint="eastAsia"/>
          <w:sz w:val="24"/>
          <w:szCs w:val="24"/>
          <w:lang w:eastAsia="zh-CN"/>
        </w:rPr>
      </w:pPr>
      <w:r>
        <w:rPr>
          <w:rFonts w:hint="eastAsia"/>
          <w:sz w:val="24"/>
          <w:szCs w:val="24"/>
          <w:lang w:eastAsia="zh-CN"/>
        </w:rPr>
        <w:t>联系电话：</w:t>
      </w:r>
      <w:r>
        <w:rPr>
          <w:rFonts w:hint="eastAsia"/>
          <w:sz w:val="24"/>
          <w:szCs w:val="24"/>
          <w:lang w:val="en-US" w:eastAsia="zh-CN"/>
        </w:rPr>
        <w:t>023-63920702</w:t>
      </w:r>
    </w:p>
    <w:p>
      <w:pPr>
        <w:snapToGrid w:val="0"/>
        <w:spacing w:line="400" w:lineRule="exact"/>
        <w:jc w:val="left"/>
        <w:rPr>
          <w:rFonts w:hint="eastAsia"/>
          <w:sz w:val="24"/>
          <w:szCs w:val="24"/>
          <w:lang w:eastAsia="zh-CN"/>
        </w:rPr>
      </w:pPr>
    </w:p>
    <w:p>
      <w:pPr>
        <w:snapToGrid w:val="0"/>
        <w:spacing w:line="400" w:lineRule="exact"/>
        <w:jc w:val="left"/>
        <w:rPr>
          <w:sz w:val="24"/>
          <w:szCs w:val="24"/>
        </w:rPr>
      </w:pPr>
    </w:p>
    <w:sectPr>
      <w:pgSz w:w="11906" w:h="16838"/>
      <w:pgMar w:top="567" w:right="1800" w:bottom="56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新宋体"/>
    <w:panose1 w:val="020B060901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B24F9"/>
    <w:multiLevelType w:val="multilevel"/>
    <w:tmpl w:val="3C1B24F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04"/>
    <w:rsid w:val="002D443C"/>
    <w:rsid w:val="002E4333"/>
    <w:rsid w:val="003A2729"/>
    <w:rsid w:val="0054713D"/>
    <w:rsid w:val="006111D3"/>
    <w:rsid w:val="00656C67"/>
    <w:rsid w:val="006D2904"/>
    <w:rsid w:val="008E4CC7"/>
    <w:rsid w:val="0090069B"/>
    <w:rsid w:val="00963B07"/>
    <w:rsid w:val="00CF396C"/>
    <w:rsid w:val="00FB01D7"/>
    <w:rsid w:val="02432EDC"/>
    <w:rsid w:val="03E00F98"/>
    <w:rsid w:val="05AF1482"/>
    <w:rsid w:val="066F5534"/>
    <w:rsid w:val="12AD792C"/>
    <w:rsid w:val="3DA87076"/>
    <w:rsid w:val="43CB7C73"/>
    <w:rsid w:val="489D0210"/>
    <w:rsid w:val="4D211669"/>
    <w:rsid w:val="502D27C6"/>
    <w:rsid w:val="55F9513F"/>
    <w:rsid w:val="60F309A8"/>
    <w:rsid w:val="64C373F6"/>
    <w:rsid w:val="6D1877F2"/>
    <w:rsid w:val="74CF2F08"/>
    <w:rsid w:val="7A56212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rFonts w:eastAsia="宋体"/>
      <w:b/>
      <w:kern w:val="2"/>
      <w:sz w:val="3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styleId="5">
    <w:name w:val="Body Text Indent"/>
    <w:basedOn w:val="1"/>
    <w:link w:val="9"/>
    <w:qFormat/>
    <w:uiPriority w:val="0"/>
    <w:pPr>
      <w:spacing w:line="700" w:lineRule="exact"/>
      <w:ind w:left="960"/>
    </w:pPr>
    <w:rPr>
      <w:rFonts w:ascii="Times New Roman" w:hAnsi="Times New Roman" w:eastAsia="宋体" w:cs="Times New Roman"/>
      <w:sz w:val="44"/>
      <w:szCs w:val="20"/>
    </w:rPr>
  </w:style>
  <w:style w:type="paragraph" w:customStyle="1" w:styleId="8">
    <w:name w:val="List Paragraph"/>
    <w:basedOn w:val="1"/>
    <w:qFormat/>
    <w:uiPriority w:val="34"/>
    <w:pPr>
      <w:ind w:firstLine="420" w:firstLineChars="200"/>
    </w:pPr>
  </w:style>
  <w:style w:type="character" w:customStyle="1" w:styleId="9">
    <w:name w:val="正文文本缩进 Char"/>
    <w:basedOn w:val="6"/>
    <w:link w:val="5"/>
    <w:qFormat/>
    <w:uiPriority w:val="0"/>
    <w:rPr>
      <w:rFonts w:ascii="Times New Roman" w:hAnsi="Times New Roman" w:eastAsia="宋体" w:cs="Times New Roman"/>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Pages>
  <Words>96</Words>
  <Characters>548</Characters>
  <Lines>4</Lines>
  <Paragraphs>1</Paragraphs>
  <ScaleCrop>false</ScaleCrop>
  <LinksUpToDate>false</LinksUpToDate>
  <CharactersWithSpaces>643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2008-12-31T16:15:00Z</dcterms:created>
  <dc:creator>雨林木风</dc:creator>
  <cp:lastModifiedBy>Administrator</cp:lastModifiedBy>
  <cp:lastPrinted>2018-12-26T06:36:00Z</cp:lastPrinted>
  <dcterms:modified xsi:type="dcterms:W3CDTF">2019-09-11T08:26:32Z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